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4B2" w:rsidRPr="00F51FAF" w:rsidRDefault="00C14E82" w:rsidP="009313C0">
      <w:pPr>
        <w:pStyle w:val="Heading1"/>
        <w:numPr>
          <w:ilvl w:val="0"/>
          <w:numId w:val="0"/>
        </w:numPr>
      </w:pPr>
      <w:r>
        <w:rPr>
          <w:noProof/>
          <w:lang w:val="en-AU" w:eastAsia="en-AU"/>
        </w:rPr>
        <mc:AlternateContent>
          <mc:Choice Requires="wpg">
            <w:drawing>
              <wp:anchor distT="0" distB="0" distL="114300" distR="114300" simplePos="0" relativeHeight="251658752" behindDoc="0" locked="0" layoutInCell="1" allowOverlap="1">
                <wp:simplePos x="0" y="0"/>
                <wp:positionH relativeFrom="column">
                  <wp:posOffset>4114800</wp:posOffset>
                </wp:positionH>
                <wp:positionV relativeFrom="paragraph">
                  <wp:posOffset>53340</wp:posOffset>
                </wp:positionV>
                <wp:extent cx="990600" cy="1257300"/>
                <wp:effectExtent l="5080" t="20320" r="13970" b="17780"/>
                <wp:wrapNone/>
                <wp:docPr id="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990600" cy="1257300"/>
                          <a:chOff x="4015" y="1172"/>
                          <a:chExt cx="985" cy="1484"/>
                        </a:xfrm>
                      </wpg:grpSpPr>
                      <wps:wsp>
                        <wps:cNvPr id="5" name="Line 49"/>
                        <wps:cNvCnPr>
                          <a:cxnSpLocks noChangeShapeType="1"/>
                        </wps:cNvCnPr>
                        <wps:spPr bwMode="auto">
                          <a:xfrm flipV="1">
                            <a:off x="4265" y="1691"/>
                            <a:ext cx="79" cy="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 name="Line 50"/>
                        <wps:cNvCnPr>
                          <a:cxnSpLocks noChangeShapeType="1"/>
                        </wps:cNvCnPr>
                        <wps:spPr bwMode="auto">
                          <a:xfrm>
                            <a:off x="4700" y="1687"/>
                            <a:ext cx="61" cy="3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4380" y="1773"/>
                            <a:ext cx="71" cy="18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 name="Line 52"/>
                        <wps:cNvCnPr>
                          <a:cxnSpLocks noChangeShapeType="1"/>
                        </wps:cNvCnPr>
                        <wps:spPr bwMode="auto">
                          <a:xfrm flipH="1">
                            <a:off x="4564" y="1760"/>
                            <a:ext cx="77" cy="20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 name="Line 54"/>
                        <wps:cNvCnPr>
                          <a:cxnSpLocks noChangeShapeType="1"/>
                        </wps:cNvCnPr>
                        <wps:spPr bwMode="auto">
                          <a:xfrm>
                            <a:off x="4431" y="1902"/>
                            <a:ext cx="15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 name="Line 53"/>
                        <wps:cNvCnPr>
                          <a:cxnSpLocks noChangeShapeType="1"/>
                        </wps:cNvCnPr>
                        <wps:spPr bwMode="auto">
                          <a:xfrm>
                            <a:off x="4411" y="1858"/>
                            <a:ext cx="1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55"/>
                        <wps:cNvSpPr>
                          <a:spLocks noChangeArrowheads="1"/>
                        </wps:cNvSpPr>
                        <wps:spPr bwMode="auto">
                          <a:xfrm>
                            <a:off x="4415" y="1926"/>
                            <a:ext cx="68" cy="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rsidR="00191572" w:rsidRDefault="00191572" w:rsidP="00191572">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upright="1">
                          <a:noAutofit/>
                        </wps:bodyPr>
                      </wps:wsp>
                      <wps:wsp>
                        <wps:cNvPr id="13" name="Rectangle 56"/>
                        <wps:cNvSpPr>
                          <a:spLocks noChangeArrowheads="1"/>
                        </wps:cNvSpPr>
                        <wps:spPr bwMode="auto">
                          <a:xfrm>
                            <a:off x="4541" y="1926"/>
                            <a:ext cx="66" cy="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rsidR="00191572" w:rsidRDefault="00191572" w:rsidP="00191572">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upright="1">
                          <a:noAutofit/>
                        </wps:bodyPr>
                      </wps:wsp>
                      <wps:wsp>
                        <wps:cNvPr id="14" name="Rectangle 57"/>
                        <wps:cNvSpPr>
                          <a:spLocks noChangeArrowheads="1"/>
                        </wps:cNvSpPr>
                        <wps:spPr bwMode="auto">
                          <a:xfrm rot="-1571443">
                            <a:off x="4239" y="1182"/>
                            <a:ext cx="58" cy="6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rsidR="00191572" w:rsidRDefault="00191572" w:rsidP="00191572">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upright="1">
                          <a:noAutofit/>
                        </wps:bodyPr>
                      </wps:wsp>
                      <wps:wsp>
                        <wps:cNvPr id="15" name="Rectangle 58"/>
                        <wps:cNvSpPr>
                          <a:spLocks noChangeArrowheads="1"/>
                        </wps:cNvSpPr>
                        <wps:spPr bwMode="auto">
                          <a:xfrm rot="-1571443">
                            <a:off x="4132" y="1232"/>
                            <a:ext cx="59" cy="6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rsidR="00191572" w:rsidRDefault="00191572" w:rsidP="00191572">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upright="1">
                          <a:noAutofit/>
                        </wps:bodyPr>
                      </wps:wsp>
                      <wps:wsp>
                        <wps:cNvPr id="16" name="Rectangle 59"/>
                        <wps:cNvSpPr>
                          <a:spLocks noChangeArrowheads="1"/>
                        </wps:cNvSpPr>
                        <wps:spPr bwMode="auto">
                          <a:xfrm rot="1571443" flipH="1">
                            <a:off x="4824" y="1228"/>
                            <a:ext cx="59" cy="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rsidR="00191572" w:rsidRDefault="00191572" w:rsidP="00191572">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upright="1">
                          <a:noAutofit/>
                        </wps:bodyPr>
                      </wps:wsp>
                      <wps:wsp>
                        <wps:cNvPr id="17" name="Rectangle 60"/>
                        <wps:cNvSpPr>
                          <a:spLocks noChangeArrowheads="1"/>
                        </wps:cNvSpPr>
                        <wps:spPr bwMode="auto">
                          <a:xfrm rot="1571443" flipH="1">
                            <a:off x="4729" y="1172"/>
                            <a:ext cx="60" cy="6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rsidR="00191572" w:rsidRDefault="00191572" w:rsidP="00191572">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upright="1">
                          <a:noAutofit/>
                        </wps:bodyPr>
                      </wps:wsp>
                      <wps:wsp>
                        <wps:cNvPr id="18" name="Line 61"/>
                        <wps:cNvCnPr>
                          <a:cxnSpLocks noChangeShapeType="1"/>
                        </wps:cNvCnPr>
                        <wps:spPr bwMode="auto">
                          <a:xfrm>
                            <a:off x="4844" y="1253"/>
                            <a:ext cx="51" cy="2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 name="Line 62"/>
                        <wps:cNvCnPr>
                          <a:cxnSpLocks noChangeShapeType="1"/>
                        </wps:cNvCnPr>
                        <wps:spPr bwMode="auto">
                          <a:xfrm>
                            <a:off x="4858" y="1230"/>
                            <a:ext cx="49"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 name="Line 63"/>
                        <wps:cNvCnPr>
                          <a:cxnSpLocks noChangeShapeType="1"/>
                        </wps:cNvCnPr>
                        <wps:spPr bwMode="auto">
                          <a:xfrm>
                            <a:off x="4831" y="1277"/>
                            <a:ext cx="50"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1" name="Line 64"/>
                        <wps:cNvCnPr>
                          <a:cxnSpLocks noChangeShapeType="1"/>
                        </wps:cNvCnPr>
                        <wps:spPr bwMode="auto">
                          <a:xfrm>
                            <a:off x="4940" y="1306"/>
                            <a:ext cx="49" cy="2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 name="Line 65"/>
                        <wps:cNvCnPr>
                          <a:cxnSpLocks noChangeShapeType="1"/>
                        </wps:cNvCnPr>
                        <wps:spPr bwMode="auto">
                          <a:xfrm>
                            <a:off x="4951" y="1283"/>
                            <a:ext cx="49"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 name="Line 66"/>
                        <wps:cNvCnPr>
                          <a:cxnSpLocks noChangeShapeType="1"/>
                        </wps:cNvCnPr>
                        <wps:spPr bwMode="auto">
                          <a:xfrm>
                            <a:off x="4930" y="1330"/>
                            <a:ext cx="50"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 name="Line 67"/>
                        <wps:cNvCnPr>
                          <a:cxnSpLocks noChangeShapeType="1"/>
                        </wps:cNvCnPr>
                        <wps:spPr bwMode="auto">
                          <a:xfrm flipH="1">
                            <a:off x="4130" y="1258"/>
                            <a:ext cx="50" cy="2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 name="Line 68"/>
                        <wps:cNvCnPr>
                          <a:cxnSpLocks noChangeShapeType="1"/>
                        </wps:cNvCnPr>
                        <wps:spPr bwMode="auto">
                          <a:xfrm flipH="1">
                            <a:off x="4116" y="1235"/>
                            <a:ext cx="51"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 name="Line 69"/>
                        <wps:cNvCnPr>
                          <a:cxnSpLocks noChangeShapeType="1"/>
                        </wps:cNvCnPr>
                        <wps:spPr bwMode="auto">
                          <a:xfrm flipH="1">
                            <a:off x="4141" y="1282"/>
                            <a:ext cx="50"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0"/>
                        <wps:cNvCnPr>
                          <a:cxnSpLocks noChangeShapeType="1"/>
                        </wps:cNvCnPr>
                        <wps:spPr bwMode="auto">
                          <a:xfrm flipH="1">
                            <a:off x="4026" y="1313"/>
                            <a:ext cx="49"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 name="Line 71"/>
                        <wps:cNvCnPr>
                          <a:cxnSpLocks noChangeShapeType="1"/>
                        </wps:cNvCnPr>
                        <wps:spPr bwMode="auto">
                          <a:xfrm flipH="1">
                            <a:off x="4015" y="1290"/>
                            <a:ext cx="49"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 name="Line 72"/>
                        <wps:cNvCnPr>
                          <a:cxnSpLocks noChangeShapeType="1"/>
                        </wps:cNvCnPr>
                        <wps:spPr bwMode="auto">
                          <a:xfrm flipH="1">
                            <a:off x="4035" y="1336"/>
                            <a:ext cx="50" cy="2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324pt;margin-top:4.2pt;width:78pt;height:99pt;rotation:-90;z-index:251658752" coordorigin="4015,1172" coordsize="98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">
                <v:line id="Line 49" o:spid="_x0000_s1027" style="position:absolute;flip:y;visibility:visible;mso-wrap-style:square" from="4265,1691" to="4344,1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JWhMIAAADaAAAADwAAAGRycy9kb3ducmV2LnhtbERPy2rCQBTdF/oPwy10I83Eoq2kjlJ8&#10;CyKYdNHlbeaahGbuhMyo8e8dodDl4bzH087U4kytqywr6EcxCOLc6ooLBV/Z8mUEwnlkjbVlUnAl&#10;B9PJ48MYE20vfKBz6gsRQtglqKD0vkmkdHlJBl1kG+LAHW1r0AfYFlK3eAnhppavcfwmDVYcGkps&#10;aFZS/pueTJgxH2Tb68969b5fzPLdcTvoxZtvpZ6fus8PEJ46/y/+c2+0giHcrwQ/yM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JWhMIAAADaAAAADwAAAAAAAAAAAAAA&#10;AAChAgAAZHJzL2Rvd25yZXYueG1sUEsFBgAAAAAEAAQA+QAAAJADAAAAAA==&#10;" strokeweight="2.25pt"/>
                <v:line id="Line 50" o:spid="_x0000_s1028" style="position:absolute;visibility:visible;mso-wrap-style:square" from="4700,1687" to="4761,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f3cEAAADaAAAADwAAAGRycy9kb3ducmV2LnhtbESPQYvCMBSE74L/ITzB25oqIkvXWJaC&#10;0IMerLJ7fTRvm7LNS22i1n9vBMHjMDPfMOtssK24Uu8bxwrmswQEceV0w7WC03H78QnCB2SNrWNS&#10;cCcP2WY8WmOq3Y0PdC1DLSKEfYoKTAhdKqWvDFn0M9cRR+/P9RZDlH0tdY+3CLetXCTJSlpsOC4Y&#10;7Cg3VP2XF6tguS+M/h12fndIih9qzsv8XDqlppPh+wtEoCG8w692oRWs4Hkl3g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CZ/dwQAAANoAAAAPAAAAAAAAAAAAAAAA&#10;AKECAABkcnMvZG93bnJldi54bWxQSwUGAAAAAAQABAD5AAAAjwMAAAAA&#10;" strokeweight="2.25pt"/>
                <v:line id="Line 51" o:spid="_x0000_s1029" style="position:absolute;visibility:visible;mso-wrap-style:square" from="4380,1773" to="4451,1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quNL8AAADaAAAADwAAAGRycy9kb3ducmV2LnhtbERPz2uDMBS+F/Y/hFfobY0dpQzXVIow&#10;8GAPdWO7PsybkZoXNZm6/345FHr8+H4fs8V2YqLRt44V7LYJCOLa6ZYbBZ8f78+vIHxA1tg5JgV/&#10;5CE7Pa2OmGo385WmKjQihrBPUYEJoU+l9LUhi37reuLI/bjRYohwbKQecY7htpMvSXKQFluODQZ7&#10;yg3Vt+rXKthfCqO/l9KX16T4onbY50PllNqsl/MbiEBLeIjv7kIriFvjlXgD5O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tquNL8AAADaAAAADwAAAAAAAAAAAAAAAACh&#10;AgAAZHJzL2Rvd25yZXYueG1sUEsFBgAAAAAEAAQA+QAAAI0DAAAAAA==&#10;" strokeweight="2.25pt"/>
                <v:line id="Line 52" o:spid="_x0000_s1030" style="position:absolute;flip:x;visibility:visible;mso-wrap-style:square" from="4564,1760" to="4641,1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9cgcIAAADaAAAADwAAAGRycy9kb3ducmV2LnhtbERPy2rCQBTdF/oPwy10I83EIramjlJ8&#10;CyKYdNHlbeaahGbuhMyo8e8dodDl4bzH087U4kytqywr6EcxCOLc6ooLBV/Z8uUdhPPIGmvLpOBK&#10;DqaTx4cxJtpe+EDn1BcihLBLUEHpfZNI6fKSDLrINsSBO9rWoA+wLaRu8RLCTS1f43goDVYcGkps&#10;aFZS/pueTJgxH2Tb68969bZfzPLdcTvoxZtvpZ6fus8PEJ46/y/+c2+0ghHcrwQ/yM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i9cgcIAAADaAAAADwAAAAAAAAAAAAAA&#10;AAChAgAAZHJzL2Rvd25yZXYueG1sUEsFBgAAAAAEAAQA+QAAAJADAAAAAA==&#10;" strokeweight="2.25pt"/>
                <v:line id="Line 54" o:spid="_x0000_s1031" style="position:absolute;visibility:visible;mso-wrap-style:square" from="4431,1902" to="4588,1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eS8MAAADbAAAADwAAAGRycy9kb3ducmV2LnhtbESPQWvCQBCF7wX/wzKCN91YpEh0FRGE&#10;HPRglPY6ZMdsMDsbs1tN/33nUOhthvfmvW/W28G36kl9bAIbmM8yUMRVsA3XBq6Xw3QJKiZki21g&#10;MvBDEbab0dsacxtefKZnmWolIRxzNOBS6nKtY+XIY5yFjli0W+g9Jln7WtseXxLuW/2eZR/aY8PS&#10;4LCjvaPqXn57A4tT4ezXcIzHc1Z8UvNY7B9lMGYyHnYrUImG9G/+uy6s4Au9/CID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nkvDAAAA2wAAAA8AAAAAAAAAAAAA&#10;AAAAoQIAAGRycy9kb3ducmV2LnhtbFBLBQYAAAAABAAEAPkAAACRAwAAAAA=&#10;" strokeweight="2.25pt"/>
                <v:line id="Line 53" o:spid="_x0000_s1032" style="position:absolute;visibility:visible;mso-wrap-style:square" from="4411,1858" to="4606,1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M70MAAAADbAAAADwAAAGRycy9kb3ducmV2LnhtbERPTYvCMBC9L/gfwgje1rQisnSNZRGE&#10;HvRgFb0OzWxTtpnUJmr990YQ9jaP9znLfLCtuFHvG8cK0mkCgrhyuuFawfGw+fwC4QOyxtYxKXiQ&#10;h3w1+lhipt2d93QrQy1iCPsMFZgQukxKXxmy6KeuI47cr+sthgj7Wuoe7zHctnKWJAtpseHYYLCj&#10;taHqr7xaBfNdYfR52PrtPilO1Fzm60vplJqMh59vEIGG8C9+uwsd56fw+iUe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zO9DAAAAA2wAAAA8AAAAAAAAAAAAAAAAA&#10;oQIAAGRycy9kb3ducmV2LnhtbFBLBQYAAAAABAAEAPkAAACOAwAAAAA=&#10;" strokeweight="2.25pt"/>
                <v:rect id="Rectangle 55" o:spid="_x0000_s1033" style="position:absolute;left:4415;top:1926;width:68;height: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iRcIA&#10;AADbAAAADwAAAGRycy9kb3ducmV2LnhtbERPTWvCQBC9C/6HZYReRDfxUCS6BhFKWwsFY0uvQ3aa&#10;RLOzYXcbY399tyB4m8f7nHU+mFb05HxjWUE6T0AQl1Y3XCn4OD7NliB8QNbYWiYFV/KQb8ajNWba&#10;XvhAfREqEUPYZ6igDqHLpPRlTQb93HbEkfu2zmCI0FVSO7zEcNPKRZI8SoMNx4YaO9rVVJ6LH6Ng&#10;z346FOlz0r/S6f1Nfh0/yf0q9TAZtisQgYZwF9/cLzrOX8D/L/E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vKJFwgAAANsAAAAPAAAAAAAAAAAAAAAAAJgCAABkcnMvZG93&#10;bnJldi54bWxQSwUGAAAAAAQABAD1AAAAhwMAAAAA&#10;" filled="f" fillcolor="#6f3">
                  <v:textbox>
                    <w:txbxContent>
                      <w:p w:rsidR="00191572" w:rsidRDefault="00191572" w:rsidP="00191572">
                        <w:pPr>
                          <w:autoSpaceDE w:val="0"/>
                          <w:autoSpaceDN w:val="0"/>
                          <w:adjustRightInd w:val="0"/>
                          <w:rPr>
                            <w:rFonts w:ascii="Arial" w:hAnsi="Arial" w:cs="Arial"/>
                            <w:color w:val="FFFFFF"/>
                            <w:sz w:val="36"/>
                            <w:szCs w:val="36"/>
                          </w:rPr>
                        </w:pPr>
                      </w:p>
                    </w:txbxContent>
                  </v:textbox>
                </v:rect>
                <v:rect id="Rectangle 56" o:spid="_x0000_s1034" style="position:absolute;left:4541;top:1926;width:66;height: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H3sIA&#10;AADbAAAADwAAAGRycy9kb3ducmV2LnhtbERP22rCQBB9F/yHZYS+SN1YQUrqKkUQb1AwtvR1yE6T&#10;tNnZsLvG6Ne7BcG3OZzrzBadqUVLzleWFYxHCQji3OqKCwWfx9XzKwgfkDXWlknBhTws5v3eDFNt&#10;z3ygNguFiCHsU1RQhtCkUvq8JIN+ZBviyP1YZzBE6AqpHZ5juKnlS5JMpcGKY0OJDS1Lyv+yk1Gw&#10;Yz/ssvE6abf0+7GX38cvclelngbd+xuIQF14iO/ujY7zJ/D/Szx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8AfewgAAANsAAAAPAAAAAAAAAAAAAAAAAJgCAABkcnMvZG93&#10;bnJldi54bWxQSwUGAAAAAAQABAD1AAAAhwMAAAAA&#10;" filled="f" fillcolor="#6f3">
                  <v:textbox>
                    <w:txbxContent>
                      <w:p w:rsidR="00191572" w:rsidRDefault="00191572" w:rsidP="00191572">
                        <w:pPr>
                          <w:autoSpaceDE w:val="0"/>
                          <w:autoSpaceDN w:val="0"/>
                          <w:adjustRightInd w:val="0"/>
                          <w:rPr>
                            <w:rFonts w:ascii="Arial" w:hAnsi="Arial" w:cs="Arial"/>
                            <w:color w:val="FFFFFF"/>
                            <w:sz w:val="36"/>
                            <w:szCs w:val="36"/>
                          </w:rPr>
                        </w:pPr>
                      </w:p>
                    </w:txbxContent>
                  </v:textbox>
                </v:rect>
                <v:rect id="Rectangle 57" o:spid="_x0000_s1035" style="position:absolute;left:4239;top:1182;width:58;height:644;rotation:-171643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e1b8A&#10;AADbAAAADwAAAGRycy9kb3ducmV2LnhtbERPy6rCMBDdC/5DGOHuNFVEpBpFRMGV4IO6HZqxLTaT&#10;0ERb79cb4cLdzeE8Z7nuTC1e1PjKsoLxKAFBnFtdcaHgetkP5yB8QNZYWyYFb/KwXvV7S0y1bflE&#10;r3MoRAxhn6KCMgSXSunzkgz6kXXEkbvbxmCIsCmkbrCN4aaWkySZSYMVx4YSHW1Lyh/np1FwyY7J&#10;c/e4bx3Kw29729WZdGOlfgbdZgEiUBf+xX/ug47zp/D9JR4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dV7VvwAAANsAAAAPAAAAAAAAAAAAAAAAAJgCAABkcnMvZG93bnJl&#10;di54bWxQSwUGAAAAAAQABAD1AAAAhAMAAAAA&#10;" filled="f" fillcolor="#6f3">
                  <v:textbox>
                    <w:txbxContent>
                      <w:p w:rsidR="00191572" w:rsidRDefault="00191572" w:rsidP="00191572">
                        <w:pPr>
                          <w:autoSpaceDE w:val="0"/>
                          <w:autoSpaceDN w:val="0"/>
                          <w:adjustRightInd w:val="0"/>
                          <w:rPr>
                            <w:rFonts w:ascii="Arial" w:hAnsi="Arial" w:cs="Arial"/>
                            <w:color w:val="FFFFFF"/>
                            <w:sz w:val="36"/>
                            <w:szCs w:val="36"/>
                          </w:rPr>
                        </w:pPr>
                      </w:p>
                    </w:txbxContent>
                  </v:textbox>
                </v:rect>
                <v:rect id="Rectangle 58" o:spid="_x0000_s1036" style="position:absolute;left:4132;top:1232;width:59;height:644;rotation:-171643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n7Tr8A&#10;AADbAAAADwAAAGRycy9kb3ducmV2LnhtbERPy6rCMBDdC/5DGOHuNFVQpBpFRMGV4IO6HZqxLTaT&#10;0ERb79cb4cLdzeE8Z7nuTC1e1PjKsoLxKAFBnFtdcaHgetkP5yB8QNZYWyYFb/KwXvV7S0y1bflE&#10;r3MoRAxhn6KCMgSXSunzkgz6kXXEkbvbxmCIsCmkbrCN4aaWkySZSYMVx4YSHW1Lyh/np1FwyY7J&#10;c/e4bx3Kw29729WZdGOlfgbdZgEiUBf+xX/ug47zp/D9JR4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OftOvwAAANsAAAAPAAAAAAAAAAAAAAAAAJgCAABkcnMvZG93bnJl&#10;di54bWxQSwUGAAAAAAQABAD1AAAAhAMAAAAA&#10;" filled="f" fillcolor="#6f3">
                  <v:textbox>
                    <w:txbxContent>
                      <w:p w:rsidR="00191572" w:rsidRDefault="00191572" w:rsidP="00191572">
                        <w:pPr>
                          <w:autoSpaceDE w:val="0"/>
                          <w:autoSpaceDN w:val="0"/>
                          <w:adjustRightInd w:val="0"/>
                          <w:rPr>
                            <w:rFonts w:ascii="Arial" w:hAnsi="Arial" w:cs="Arial"/>
                            <w:color w:val="FFFFFF"/>
                            <w:sz w:val="36"/>
                            <w:szCs w:val="36"/>
                          </w:rPr>
                        </w:pPr>
                      </w:p>
                    </w:txbxContent>
                  </v:textbox>
                </v:rect>
                <v:rect id="Rectangle 59" o:spid="_x0000_s1037" style="position:absolute;left:4824;top:1228;width:59;height:645;rotation:-1716435fd;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3i8AA&#10;AADbAAAADwAAAGRycy9kb3ducmV2LnhtbERPS4vCMBC+L/gfwgh7WWyqUJHaKCIIe5CFrY/z0IxN&#10;sZmUJlvrv98sLHibj+85xXa0rRio941jBfMkBUFcOd1wreB8OsxWIHxA1tg6JgVP8rDdTN4KzLV7&#10;8DcNZahFDGGfowITQpdL6StDFn3iOuLI3VxvMUTY11L3+IjhtpWLNF1Kiw3HBoMd7Q1V9/LHKrhW&#10;x8w4+6WDdvv5ORvIPi8fSr1Px90aRKAxvMT/7k8d5y/h75d4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f3i8AAAADbAAAADwAAAAAAAAAAAAAAAACYAgAAZHJzL2Rvd25y&#10;ZXYueG1sUEsFBgAAAAAEAAQA9QAAAIUDAAAAAA==&#10;" filled="f" fillcolor="#6f3">
                  <v:textbox>
                    <w:txbxContent>
                      <w:p w:rsidR="00191572" w:rsidRDefault="00191572" w:rsidP="00191572">
                        <w:pPr>
                          <w:autoSpaceDE w:val="0"/>
                          <w:autoSpaceDN w:val="0"/>
                          <w:adjustRightInd w:val="0"/>
                          <w:rPr>
                            <w:rFonts w:ascii="Arial" w:hAnsi="Arial" w:cs="Arial"/>
                            <w:color w:val="FFFFFF"/>
                            <w:sz w:val="36"/>
                            <w:szCs w:val="36"/>
                          </w:rPr>
                        </w:pPr>
                      </w:p>
                    </w:txbxContent>
                  </v:textbox>
                </v:rect>
                <v:rect id="Rectangle 60" o:spid="_x0000_s1038" style="position:absolute;left:4729;top:1172;width:60;height:644;rotation:-1716435fd;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tSEL4A&#10;AADbAAAADwAAAGRycy9kb3ducmV2LnhtbERPy6rCMBDdC/5DGMGNaKrgVapRRBBcyAWf66EZm2Iz&#10;KU2s9e/NBeHu5nCes1y3thQN1b5wrGA8SkAQZ04XnCu4nHfDOQgfkDWWjknBmzysV93OElPtXnyk&#10;5hRyEUPYp6jAhFClUvrMkEU/chVx5O6uthgirHOpa3zFcFvKSZL8SIsFxwaDFW0NZY/T0yq4ZYep&#10;cfZXB+2248u0Ifu+DpTq99rNAkSgNvyLv+69jvNn8PdLPE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y7UhC+AAAA2wAAAA8AAAAAAAAAAAAAAAAAmAIAAGRycy9kb3ducmV2&#10;LnhtbFBLBQYAAAAABAAEAPUAAACDAwAAAAA=&#10;" filled="f" fillcolor="#6f3">
                  <v:textbox>
                    <w:txbxContent>
                      <w:p w:rsidR="00191572" w:rsidRDefault="00191572" w:rsidP="00191572">
                        <w:pPr>
                          <w:autoSpaceDE w:val="0"/>
                          <w:autoSpaceDN w:val="0"/>
                          <w:adjustRightInd w:val="0"/>
                          <w:rPr>
                            <w:rFonts w:ascii="Arial" w:hAnsi="Arial" w:cs="Arial"/>
                            <w:color w:val="FFFFFF"/>
                            <w:sz w:val="36"/>
                            <w:szCs w:val="36"/>
                          </w:rPr>
                        </w:pPr>
                      </w:p>
                    </w:txbxContent>
                  </v:textbox>
                </v:rect>
                <v:line id="Line 61" o:spid="_x0000_s1039" style="position:absolute;visibility:visible;mso-wrap-style:square" from="4844,1253" to="4895,1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mSTcMAAADbAAAADwAAAGRycy9kb3ducmV2LnhtbESPQWvCQBCF7wX/wzKCN91YpEh0FRGE&#10;HPRglPY6ZMdsMDsbs1tN/33nUOhthvfmvW/W28G36kl9bAIbmM8yUMRVsA3XBq6Xw3QJKiZki21g&#10;MvBDEbab0dsacxtefKZnmWolIRxzNOBS6nKtY+XIY5yFjli0W+g9Jln7WtseXxLuW/2eZR/aY8PS&#10;4LCjvaPqXn57A4tT4ezXcIzHc1Z8UvNY7B9lMGYyHnYrUImG9G/+uy6s4Aus/CID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Jkk3DAAAA2wAAAA8AAAAAAAAAAAAA&#10;AAAAoQIAAGRycy9kb3ducmV2LnhtbFBLBQYAAAAABAAEAPkAAACRAwAAAAA=&#10;" strokeweight="2.25pt"/>
                <v:line id="Line 62" o:spid="_x0000_s1040" style="position:absolute;visibility:visible;mso-wrap-style:square" from="4858,1230" to="4907,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U31sEAAADbAAAADwAAAGRycy9kb3ducmV2LnhtbERPTWvCQBC9F/wPywje6sYipabZSBGE&#10;HPRgKnodstNsaHY2Zre6/nu3UOhtHu9zinW0vbjS6DvHChbzDARx43THrYLj5/b5DYQPyBp7x6Tg&#10;Th7W5eSpwFy7Gx/oWodWpBD2OSowIQy5lL4xZNHP3UCcuC83WgwJjq3UI95SuO3lS5a9SosdpwaD&#10;A20MNd/1j1Ww3FdGn+PO7w5ZdaLustxcaqfUbBo/3kEEiuFf/OeudJq/gt9f0gGy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hTfWwQAAANsAAAAPAAAAAAAAAAAAAAAA&#10;AKECAABkcnMvZG93bnJldi54bWxQSwUGAAAAAAQABAD5AAAAjwMAAAAA&#10;" strokeweight="2.25pt"/>
                <v:line id="Line 63" o:spid="_x0000_s1041" style="position:absolute;visibility:visible;mso-wrap-style:square" from="4831,1277" to="488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U9r4AAADbAAAADwAAAGRycy9kb3ducmV2LnhtbERPTYvCMBC9L/gfwgjebKrIItUoIgg9&#10;6MEqeh2asSk2k9pErf/eHBb2+Hjfy3VvG/GizteOFUySFARx6XTNlYLzaTeeg/ABWWPjmBR8yMN6&#10;NfhZYqbdm4/0KkIlYgj7DBWYENpMSl8asugT1xJH7uY6iyHCrpK6w3cMt42cpumvtFhzbDDY0tZQ&#10;eS+eVsHskBt97fd+f0zzC9WP2fZROKVGw36zABGoD//iP3euFUzj+vgl/gC5+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b01T2vgAAANsAAAAPAAAAAAAAAAAAAAAAAKEC&#10;AABkcnMvZG93bnJldi54bWxQSwUGAAAAAAQABAD5AAAAjAMAAAAA&#10;" strokeweight="2.25pt"/>
                <v:line id="Line 64" o:spid="_x0000_s1042" style="position:absolute;visibility:visible;mso-wrap-style:square" from="4940,1306" to="4989,1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xbcEAAADbAAAADwAAAGRycy9kb3ducmV2LnhtbESPQYvCMBSE74L/ITzB25oqIks1ighC&#10;D+7BKnp9NM+m2LzUJqv13xtB8DjMzDfMYtXZWtyp9ZVjBeNRAoK4cLriUsHxsP35BeEDssbaMSl4&#10;kofVst9bYKrdg/d0z0MpIoR9igpMCE0qpS8MWfQj1xBH7+JaiyHKtpS6xUeE21pOkmQmLVYcFww2&#10;tDFUXPN/q2D6lxl97nZ+t0+yE1W36eaWO6WGg249BxGoC9/wp51pBZMxvL/EH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n/FtwQAAANsAAAAPAAAAAAAAAAAAAAAA&#10;AKECAABkcnMvZG93bnJldi54bWxQSwUGAAAAAAQABAD5AAAAjwMAAAAA&#10;" strokeweight="2.25pt"/>
                <v:line id="Line 65" o:spid="_x0000_s1043" style="position:absolute;visibility:visible;mso-wrap-style:square" from="4951,1283" to="5000,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1vGsEAAADbAAAADwAAAGRycy9kb3ducmV2LnhtbESPQYvCMBSE7wv+h/AEb2tqEVmqUUQQ&#10;enAPVtHro3k2xealNlmt/94Iwh6HmfmGWax624g7db52rGAyTkAQl07XXCk4HrbfPyB8QNbYOCYF&#10;T/KwWg6+Fphp9+A93YtQiQhhn6ECE0KbSelLQxb92LXE0bu4zmKIsquk7vAR4baRaZLMpMWa44LB&#10;ljaGymvxZxVMf3Ojz/3O7/ZJfqL6Nt3cCqfUaNiv5yAC9eE//GnnWkGawvtL/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TW8awQAAANsAAAAPAAAAAAAAAAAAAAAA&#10;AKECAABkcnMvZG93bnJldi54bWxQSwUGAAAAAAQABAD5AAAAjwMAAAAA&#10;" strokeweight="2.25pt"/>
                <v:line id="Line 66" o:spid="_x0000_s1044" style="position:absolute;visibility:visible;mso-wrap-style:square" from="4930,1330" to="4980,1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HKgcIAAADbAAAADwAAAGRycy9kb3ducmV2LnhtbESPT4vCMBTE7wt+h/AEb2vqHxapRhFB&#10;6EEPdkWvj+bZFJuX2kSt336zIHgcZuY3zGLV2Vo8qPWVYwWjYQKCuHC64lLB8Xf7PQPhA7LG2jEp&#10;eJGH1bL3tcBUuycf6JGHUkQI+xQVmBCaVEpfGLLoh64hjt7FtRZDlG0pdYvPCLe1HCfJj7RYcVww&#10;2NDGUHHN71bBdJ8Zfe52fndIshNVt+nmljulBv1uPQcRqAuf8LudaQXjCfx/iT9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HKgcIAAADbAAAADwAAAAAAAAAAAAAA&#10;AAChAgAAZHJzL2Rvd25yZXYueG1sUEsFBgAAAAAEAAQA+QAAAJADAAAAAA==&#10;" strokeweight="2.25pt"/>
                <v:line id="Line 67" o:spid="_x0000_s1045" style="position:absolute;flip:x;visibility:visible;mso-wrap-style:square" from="4130,1258" to="4180,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n/sYAAADbAAAADwAAAGRycy9kb3ducmV2LnhtbESPT2vCQBDF70K/wzIFL6IbJViJrlL8&#10;0yqUQtWDxzE7JqHZ2ZBdNX57VxA8Pt6835s3mTWmFBeqXWFZQb8XgSBOrS44U7DfrbojEM4jaywt&#10;k4IbOZhN31oTTLS98h9dtj4TAcIuQQW591UipUtzMuh6tiIO3snWBn2QdSZ1jdcAN6UcRNFQGiw4&#10;NORY0Tyn9H97NuGNRbzb3I7fXx+/y3n6c9rEnWh9UKr93nyOQXhq/Ov4mV5rBYMYHlsCAOT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gp/7GAAAA2wAAAA8AAAAAAAAA&#10;AAAAAAAAoQIAAGRycy9kb3ducmV2LnhtbFBLBQYAAAAABAAEAPkAAACUAwAAAAA=&#10;" strokeweight="2.25pt"/>
                <v:line id="Line 68" o:spid="_x0000_s1046" style="position:absolute;flip:x;visibility:visible;mso-wrap-style:square" from="4116,1235" to="4167,1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wCZccAAADbAAAADwAAAGRycy9kb3ducmV2LnhtbESPT2vCQBDF70K/wzKCl1I3FWslZpWi&#10;1SpIodGDxzE7+UOzsyG71fjtu4WCx8eb93vzkkVnanGh1lWWFTwPIxDEmdUVFwqOh/XTFITzyBpr&#10;y6TgRg4W84degrG2V/6iS+oLESDsYlRQet/EUrqsJINuaBvi4OW2NeiDbAupW7wGuKnlKIom0mDF&#10;oaHEhpYlZd/pjwlvrMaH3e38sXn9fF9m+3w3foy2J6UG/e5tBsJT5+/H/+mtVjB6gb8tAQB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LAJlxwAAANsAAAAPAAAAAAAA&#10;AAAAAAAAAKECAABkcnMvZG93bnJldi54bWxQSwUGAAAAAAQABAD5AAAAlQMAAAAA&#10;" strokeweight="2.25pt"/>
                <v:line id="Line 69" o:spid="_x0000_s1047" style="position:absolute;flip:x;visibility:visible;mso-wrap-style:square" from="4141,1282" to="4191,1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cEsYAAADbAAAADwAAAGRycy9kb3ducmV2LnhtbESPS4vCQBCE78L+h6EXvIhOFFHJOor4&#10;WgURfBz22Jtpk7CZnpAZNf77HUHwWFTXV13jaW0KcaPK5ZYVdDsRCOLE6pxTBefTqj0C4TyyxsIy&#10;KXiQg+nkozHGWNs7H+h29KkIEHYxKsi8L2MpXZKRQdexJXHwLrYy6IOsUqkrvAe4KWQvigbSYM6h&#10;IcOS5hklf8erCW8s+qft4/d7Pdwv58nusu23os2PUs3PevYFwlPt38ev9EYr6A3guSUAQE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nBLGAAAA2wAAAA8AAAAAAAAA&#10;AAAAAAAAoQIAAGRycy9kb3ducmV2LnhtbFBLBQYAAAAABAAEAPkAAACUAwAAAAA=&#10;" strokeweight="2.25pt"/>
                <v:line id="Line 70" o:spid="_x0000_s1048" style="position:absolute;flip:x;visibility:visible;mso-wrap-style:square" from="4026,1313" to="4075,1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I5icUAAADbAAAADwAAAGRycy9kb3ducmV2LnhtbESPQYvCMBCF74L/IYzgRdZUEV2qUcRd&#10;VwURVvfgcWzGtthMSpPV+u+NIHh8vHnfmzeZ1aYQV6pcbllBrxuBIE6szjlV8HdYfnyCcB5ZY2GZ&#10;FNzJwWzabEww1vbGv3Td+1QECLsYFWTel7GULsnIoOvakjh4Z1sZ9EFWqdQV3gLcFLIfRUNpMOfQ&#10;kGFJi4ySy/7fhDe+BofN/bT6Ge2+F8n2vBl0ovVRqXarno9BeKr9+/iVXmsF/RE8twQA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I5icUAAADbAAAADwAAAAAAAAAA&#10;AAAAAAChAgAAZHJzL2Rvd25yZXYueG1sUEsFBgAAAAAEAAQA+QAAAJMDAAAAAA==&#10;" strokeweight="2.25pt"/>
                <v:line id="Line 71" o:spid="_x0000_s1049" style="position:absolute;flip:x;visibility:visible;mso-wrap-style:square" from="4015,1290" to="4064,1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2t+8YAAADbAAAADwAAAGRycy9kb3ducmV2LnhtbESPTWvCQBCG7wX/wzKCF9FNRWxJXaX4&#10;VYVSqHroccyOSTA7G7Krxn/fORR6HN55n3lmOm9dpW7UhNKzgedhAoo487bk3MDxsB68ggoR2WLl&#10;mQw8KMB81nmaYmr9nb/pto+5EgiHFA0UMdap1iEryGEY+ppYsrNvHEYZm1zbBu8Cd5UeJclEOyxZ&#10;LhRY06Kg7LK/OtFYjg+7x+lj8/K1WmSf5924n2x/jOl12/c3UJHa+L/8195aAyORlV8EAHr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trfvGAAAA2wAAAA8AAAAAAAAA&#10;AAAAAAAAoQIAAGRycy9kb3ducmV2LnhtbFBLBQYAAAAABAAEAPkAAACUAwAAAAA=&#10;" strokeweight="2.25pt"/>
                <v:line id="Line 72" o:spid="_x0000_s1050" style="position:absolute;flip:x;visibility:visible;mso-wrap-style:square" from="4035,1336" to="4085,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EIYMcAAADbAAAADwAAAGRycy9kb3ducmV2LnhtbESPT2vCQBDF70K/wzKCl1I3Fak1ZpWi&#10;1SpIodGDxzE7+UOzsyG71fjtu4WCx8eb93vzkkVnanGh1lWWFTwPIxDEmdUVFwqOh/XTKwjnkTXW&#10;lknBjRws5g+9BGNtr/xFl9QXIkDYxaig9L6JpXRZSQbd0DbEwctta9AH2RZSt3gNcFPLURS9SIMV&#10;h4YSG1qWlH2nPya8sRofdrfzx2by+b7M9vlu/BhtT0oN+t3bDISnzt+P/9NbrWA0hb8tAQB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YQhgxwAAANsAAAAPAAAAAAAA&#10;AAAAAAAAAKECAABkcnMvZG93bnJldi54bWxQSwUGAAAAAAQABAD5AAAAlQMAAAAA&#10;" strokeweight="2.25pt"/>
              </v:group>
            </w:pict>
          </mc:Fallback>
        </mc:AlternateContent>
      </w:r>
      <w:r w:rsidR="00D844B2" w:rsidRPr="00F51FAF">
        <w:t>Name of the medicine</w:t>
      </w:r>
    </w:p>
    <w:p w:rsidR="00D844B2" w:rsidRPr="00F51FAF" w:rsidRDefault="00AE38AC" w:rsidP="005B6021">
      <w:pPr>
        <w:rPr>
          <w:sz w:val="36"/>
          <w:szCs w:val="36"/>
        </w:rPr>
      </w:pPr>
      <w:r w:rsidRPr="00F51FAF">
        <w:rPr>
          <w:b/>
          <w:sz w:val="36"/>
          <w:szCs w:val="36"/>
        </w:rPr>
        <w:t>OCREVUS™</w:t>
      </w:r>
    </w:p>
    <w:p w:rsidR="00D844B2" w:rsidRPr="004D18F3" w:rsidRDefault="005E047F" w:rsidP="009313C0">
      <w:pPr>
        <w:pStyle w:val="Heading9"/>
        <w:numPr>
          <w:ilvl w:val="0"/>
          <w:numId w:val="0"/>
        </w:numPr>
        <w:rPr>
          <w:i w:val="0"/>
        </w:rPr>
      </w:pPr>
      <w:proofErr w:type="spellStart"/>
      <w:proofErr w:type="gramStart"/>
      <w:r w:rsidRPr="004D18F3">
        <w:rPr>
          <w:i w:val="0"/>
        </w:rPr>
        <w:t>o</w:t>
      </w:r>
      <w:r w:rsidR="00AE38AC" w:rsidRPr="004D18F3">
        <w:rPr>
          <w:i w:val="0"/>
        </w:rPr>
        <w:t>crelizumab</w:t>
      </w:r>
      <w:proofErr w:type="spellEnd"/>
      <w:proofErr w:type="gramEnd"/>
      <w:r w:rsidR="004D18F3">
        <w:rPr>
          <w:i w:val="0"/>
        </w:rPr>
        <w:t xml:space="preserve"> (</w:t>
      </w:r>
      <w:proofErr w:type="spellStart"/>
      <w:r w:rsidR="004D18F3">
        <w:rPr>
          <w:i w:val="0"/>
        </w:rPr>
        <w:t>rch</w:t>
      </w:r>
      <w:proofErr w:type="spellEnd"/>
      <w:r w:rsidR="004D18F3">
        <w:rPr>
          <w:i w:val="0"/>
        </w:rPr>
        <w:t>)</w:t>
      </w:r>
      <w:r w:rsidR="00191572" w:rsidRPr="00191572">
        <w:rPr>
          <w:i w:val="0"/>
          <w:iCs w:val="0"/>
          <w:noProof/>
          <w:szCs w:val="24"/>
        </w:rPr>
        <w:t xml:space="preserve"> </w:t>
      </w:r>
    </w:p>
    <w:p w:rsidR="000B118C" w:rsidRPr="004D18F3" w:rsidRDefault="00CF3480" w:rsidP="008C4322">
      <w:r w:rsidRPr="004D18F3">
        <w:rPr>
          <w:lang w:val="en-GB"/>
        </w:rPr>
        <w:t xml:space="preserve">CAS: </w:t>
      </w:r>
      <w:r w:rsidR="00FD72FD" w:rsidRPr="00FD72FD">
        <w:t>637334-45-3</w:t>
      </w:r>
    </w:p>
    <w:p w:rsidR="00A83840" w:rsidRPr="00F51FAF" w:rsidRDefault="00A83840" w:rsidP="000B118C"/>
    <w:p w:rsidR="000B118C" w:rsidRPr="00F51FAF" w:rsidRDefault="00AE38AC" w:rsidP="000B118C">
      <w:r w:rsidRPr="00F51FAF">
        <w:t>OCREVUS</w:t>
      </w:r>
      <w:r w:rsidR="007508EE" w:rsidRPr="00F51FAF">
        <w:t xml:space="preserve"> (</w:t>
      </w:r>
      <w:proofErr w:type="spellStart"/>
      <w:r w:rsidR="007508EE" w:rsidRPr="004D18F3">
        <w:t>o</w:t>
      </w:r>
      <w:r w:rsidRPr="004D18F3">
        <w:t>crelizumab</w:t>
      </w:r>
      <w:proofErr w:type="spellEnd"/>
      <w:r w:rsidR="007508EE" w:rsidRPr="00F51FAF">
        <w:t>)</w:t>
      </w:r>
      <w:r w:rsidR="00A83840" w:rsidRPr="00F51FAF">
        <w:t xml:space="preserve"> is a recombinant humanised </w:t>
      </w:r>
      <w:r w:rsidRPr="00F51FAF">
        <w:t>anti-</w:t>
      </w:r>
      <w:r w:rsidR="00A83840" w:rsidRPr="00F51FAF">
        <w:t xml:space="preserve">CD20 </w:t>
      </w:r>
      <w:r w:rsidRPr="00F51FAF">
        <w:t>monoclonal antibody</w:t>
      </w:r>
      <w:r w:rsidR="00F24C33">
        <w:t xml:space="preserve"> (IgG1 </w:t>
      </w:r>
      <w:r w:rsidR="00C81404">
        <w:t>subtype)</w:t>
      </w:r>
      <w:r w:rsidR="00B2760F" w:rsidRPr="00F51FAF">
        <w:t>.</w:t>
      </w:r>
      <w:r w:rsidR="00A83840" w:rsidRPr="00F51FAF">
        <w:t xml:space="preserve"> </w:t>
      </w:r>
    </w:p>
    <w:p w:rsidR="00D844B2" w:rsidRPr="00F51FAF" w:rsidRDefault="00D844B2" w:rsidP="009313C0">
      <w:pPr>
        <w:pStyle w:val="Heading1"/>
        <w:numPr>
          <w:ilvl w:val="0"/>
          <w:numId w:val="0"/>
        </w:numPr>
      </w:pPr>
      <w:r w:rsidRPr="00F51FAF">
        <w:t>Description</w:t>
      </w:r>
    </w:p>
    <w:p w:rsidR="00D95864" w:rsidRPr="002A150B" w:rsidRDefault="00AE38AC" w:rsidP="00D95864">
      <w:r w:rsidRPr="00F51FAF">
        <w:t>OCREVUS</w:t>
      </w:r>
      <w:r w:rsidR="00A83840" w:rsidRPr="00F51FAF">
        <w:t xml:space="preserve"> </w:t>
      </w:r>
      <w:r w:rsidR="00D95864" w:rsidRPr="00F51FAF">
        <w:t xml:space="preserve">is supplied in a single-dose vial containing </w:t>
      </w:r>
      <w:r w:rsidRPr="00F51FAF">
        <w:t>10</w:t>
      </w:r>
      <w:r w:rsidR="00D95864" w:rsidRPr="00F51FAF">
        <w:t xml:space="preserve"> mL of preservative-free concentrate solution for infusion. Each vial contains </w:t>
      </w:r>
      <w:r w:rsidRPr="00F51FAF">
        <w:t xml:space="preserve">300 mg of </w:t>
      </w:r>
      <w:proofErr w:type="spellStart"/>
      <w:r w:rsidRPr="004D18F3">
        <w:t>ocrelizumab</w:t>
      </w:r>
      <w:proofErr w:type="spellEnd"/>
      <w:r w:rsidRPr="00F51FAF">
        <w:t xml:space="preserve"> (30</w:t>
      </w:r>
      <w:r w:rsidR="00D95864" w:rsidRPr="00F51FAF">
        <w:t xml:space="preserve"> mg/</w:t>
      </w:r>
      <w:r w:rsidR="00C51931">
        <w:t>mL) with the following excipient</w:t>
      </w:r>
      <w:r w:rsidR="00D95864" w:rsidRPr="00F51FAF">
        <w:t>s</w:t>
      </w:r>
      <w:r w:rsidR="00A83840" w:rsidRPr="00F51FAF">
        <w:t xml:space="preserve">: </w:t>
      </w:r>
      <w:r w:rsidRPr="00F51FAF">
        <w:t xml:space="preserve">sodium acetate </w:t>
      </w:r>
      <w:proofErr w:type="spellStart"/>
      <w:r w:rsidRPr="00F51FAF">
        <w:t>trihydrate</w:t>
      </w:r>
      <w:proofErr w:type="spellEnd"/>
      <w:r w:rsidRPr="00F51FAF">
        <w:t xml:space="preserve">, </w:t>
      </w:r>
      <w:r w:rsidR="00A83840" w:rsidRPr="00F51FAF">
        <w:t xml:space="preserve">trehalose </w:t>
      </w:r>
      <w:proofErr w:type="spellStart"/>
      <w:r w:rsidR="00664312">
        <w:t>di</w:t>
      </w:r>
      <w:r w:rsidR="00F51FAF" w:rsidRPr="00F51FAF">
        <w:t>hydrate</w:t>
      </w:r>
      <w:proofErr w:type="spellEnd"/>
      <w:r w:rsidR="00F51FAF" w:rsidRPr="00F51FAF">
        <w:t>, acetic acid – glacial</w:t>
      </w:r>
      <w:r w:rsidR="0041650C">
        <w:t xml:space="preserve">, </w:t>
      </w:r>
      <w:proofErr w:type="spellStart"/>
      <w:r w:rsidR="00F51FAF" w:rsidRPr="00F51FAF">
        <w:t>polysorbate</w:t>
      </w:r>
      <w:proofErr w:type="spellEnd"/>
      <w:r w:rsidR="00F51FAF" w:rsidRPr="00F51FAF">
        <w:t xml:space="preserve"> 20</w:t>
      </w:r>
      <w:r w:rsidR="0041650C">
        <w:t xml:space="preserve"> and </w:t>
      </w:r>
      <w:r w:rsidR="0041650C" w:rsidRPr="0041650C">
        <w:t>water for injections</w:t>
      </w:r>
      <w:r w:rsidR="00F51FAF" w:rsidRPr="00F51FAF">
        <w:t>.</w:t>
      </w:r>
    </w:p>
    <w:p w:rsidR="00D844B2" w:rsidRPr="002A150B" w:rsidRDefault="00D844B2" w:rsidP="009313C0">
      <w:pPr>
        <w:pStyle w:val="Heading1"/>
        <w:numPr>
          <w:ilvl w:val="0"/>
          <w:numId w:val="0"/>
        </w:numPr>
      </w:pPr>
      <w:r w:rsidRPr="002A150B">
        <w:t>Pharmacology</w:t>
      </w:r>
    </w:p>
    <w:p w:rsidR="00A83840" w:rsidRPr="002A150B" w:rsidRDefault="00A83840" w:rsidP="009313C0">
      <w:pPr>
        <w:pStyle w:val="Heading2"/>
        <w:numPr>
          <w:ilvl w:val="0"/>
          <w:numId w:val="0"/>
        </w:numPr>
      </w:pPr>
      <w:r w:rsidRPr="002A150B">
        <w:t>Pharmacodynamics</w:t>
      </w:r>
    </w:p>
    <w:p w:rsidR="002A150B" w:rsidRPr="00A66B8E" w:rsidRDefault="007508EE" w:rsidP="00846667">
      <w:proofErr w:type="spellStart"/>
      <w:r w:rsidRPr="004D18F3">
        <w:t>O</w:t>
      </w:r>
      <w:r w:rsidR="002A150B" w:rsidRPr="004D18F3">
        <w:t>crelizumab</w:t>
      </w:r>
      <w:proofErr w:type="spellEnd"/>
      <w:r w:rsidR="002A150B" w:rsidRPr="002A150B">
        <w:rPr>
          <w:i/>
        </w:rPr>
        <w:t xml:space="preserve"> </w:t>
      </w:r>
      <w:r w:rsidR="002A150B" w:rsidRPr="002A150B">
        <w:t>is a recombinant humanised monoclonal antibody that selectively ta</w:t>
      </w:r>
      <w:r w:rsidR="00E61C46">
        <w:t xml:space="preserve">rgets CD20-expressing B-cells. </w:t>
      </w:r>
    </w:p>
    <w:p w:rsidR="002A150B" w:rsidRPr="00A66B8E" w:rsidRDefault="002A150B" w:rsidP="00846667"/>
    <w:p w:rsidR="002A150B" w:rsidRPr="00A66B8E" w:rsidRDefault="002A150B" w:rsidP="00846667">
      <w:r w:rsidRPr="00A66B8E">
        <w:t xml:space="preserve">The precise mechanisms through which </w:t>
      </w:r>
      <w:proofErr w:type="spellStart"/>
      <w:r w:rsidRPr="004D18F3">
        <w:t>ocrelizumab</w:t>
      </w:r>
      <w:proofErr w:type="spellEnd"/>
      <w:r w:rsidRPr="00A66B8E">
        <w:t xml:space="preserve"> exerts its therapeutic clinical effects in</w:t>
      </w:r>
      <w:r w:rsidR="00D42D7B">
        <w:t xml:space="preserve"> multiple sclerosis</w:t>
      </w:r>
      <w:r w:rsidRPr="00A66B8E">
        <w:t xml:space="preserve"> </w:t>
      </w:r>
      <w:r w:rsidR="00D42D7B">
        <w:t>(</w:t>
      </w:r>
      <w:r w:rsidRPr="00A66B8E">
        <w:t>MS</w:t>
      </w:r>
      <w:r w:rsidR="00D42D7B">
        <w:t>)</w:t>
      </w:r>
      <w:r w:rsidRPr="00A66B8E">
        <w:t xml:space="preserve"> are not fully elucidated but is presumed to involve immunomodulation through the reduction in the number and function of CD20-expressing B-cells. Following cell surface binding, </w:t>
      </w:r>
      <w:r w:rsidR="008A6A81">
        <w:t xml:space="preserve">it is hypothesised that </w:t>
      </w:r>
      <w:proofErr w:type="spellStart"/>
      <w:r w:rsidRPr="004D18F3">
        <w:t>ocrelizumab</w:t>
      </w:r>
      <w:proofErr w:type="spellEnd"/>
      <w:r w:rsidRPr="00A66B8E">
        <w:t xml:space="preserve"> selectively depletes </w:t>
      </w:r>
      <w:r w:rsidR="00E62BF8" w:rsidRPr="00A66B8E">
        <w:t xml:space="preserve">CD20-expressing B-cells through antibody-dependent cellular phagocytosis, antibody-dependent cellular cytotoxicity, complement-dependent cytotoxicity, and apoptosis. </w:t>
      </w:r>
      <w:r w:rsidR="008A6A81">
        <w:t>It is presumed that t</w:t>
      </w:r>
      <w:r w:rsidR="00E62BF8" w:rsidRPr="00A66B8E">
        <w:t xml:space="preserve">he capacity of B-cell reconstitution and pre-existing </w:t>
      </w:r>
      <w:proofErr w:type="spellStart"/>
      <w:r w:rsidR="00E62BF8" w:rsidRPr="00A66B8E">
        <w:t>humoural</w:t>
      </w:r>
      <w:proofErr w:type="spellEnd"/>
      <w:r w:rsidR="00E62BF8" w:rsidRPr="00A66B8E">
        <w:t xml:space="preserve"> immunity are preserved</w:t>
      </w:r>
      <w:r w:rsidR="008A6A81">
        <w:t xml:space="preserve"> since the cell surface antigen CD20 is expressed on pre-B cells and mature and memory B cells, but not on lymphoid stem cells and plasma cells</w:t>
      </w:r>
      <w:r w:rsidR="00E62BF8" w:rsidRPr="00A66B8E">
        <w:t xml:space="preserve">. In addition, </w:t>
      </w:r>
      <w:r w:rsidR="008A6A81">
        <w:t xml:space="preserve">total numbers of cells of the </w:t>
      </w:r>
      <w:r w:rsidR="00E62BF8" w:rsidRPr="00A66B8E">
        <w:t>innate</w:t>
      </w:r>
      <w:r w:rsidR="008A6A81">
        <w:t xml:space="preserve"> immune system</w:t>
      </w:r>
      <w:r w:rsidR="00E62BF8" w:rsidRPr="00A66B8E">
        <w:t xml:space="preserve"> and total T-cell numbers are not affected.</w:t>
      </w:r>
    </w:p>
    <w:p w:rsidR="00E62BF8" w:rsidRPr="00A66B8E" w:rsidRDefault="00E62BF8" w:rsidP="00E62BF8">
      <w:pPr>
        <w:ind w:left="720" w:hanging="720"/>
      </w:pPr>
    </w:p>
    <w:p w:rsidR="00E62BF8" w:rsidRPr="00A66B8E" w:rsidRDefault="00E62BF8" w:rsidP="00E62BF8">
      <w:r w:rsidRPr="00A66B8E">
        <w:t>Treatment with OCREVUS leads to rapid depletion of CD19+ B</w:t>
      </w:r>
      <w:r w:rsidR="00311ED1">
        <w:t>-cells in blood by 14 days post-</w:t>
      </w:r>
      <w:r w:rsidRPr="00A66B8E">
        <w:t>treatment (first time-point of assessment) as an expected pharmacologic effect. This was sustained throughout the treatment period. For the B-cell counts, CD19 is used as the presence of OCREVUS interferes with the detection of CD20 by the assay.</w:t>
      </w:r>
    </w:p>
    <w:p w:rsidR="00E62BF8" w:rsidRPr="00A66B8E" w:rsidRDefault="00E62BF8" w:rsidP="00E62BF8"/>
    <w:p w:rsidR="00E62BF8" w:rsidRPr="00A66B8E" w:rsidRDefault="00E62BF8" w:rsidP="00E62BF8">
      <w:r w:rsidRPr="00A66B8E">
        <w:t xml:space="preserve">In the Phase III studies, between each dose of OCREVUS, up to 5% of patients showed B-cell repletion (&gt; lower limit of normal (LLN) or baseline) at least at one time point. The extent and duration of B-cell depletion was consistent in the </w:t>
      </w:r>
      <w:r w:rsidR="00D42D7B">
        <w:t>primary progressive MS (</w:t>
      </w:r>
      <w:r w:rsidRPr="00A66B8E">
        <w:t>PPMS</w:t>
      </w:r>
      <w:r w:rsidR="00D42D7B">
        <w:t>)</w:t>
      </w:r>
      <w:r w:rsidRPr="00A66B8E">
        <w:t xml:space="preserve"> and</w:t>
      </w:r>
      <w:r w:rsidR="00D42D7B">
        <w:t xml:space="preserve"> relapsing forms of MS</w:t>
      </w:r>
      <w:r w:rsidRPr="00A66B8E">
        <w:t xml:space="preserve"> </w:t>
      </w:r>
      <w:r w:rsidR="00D42D7B">
        <w:t>(</w:t>
      </w:r>
      <w:r w:rsidRPr="00A66B8E">
        <w:t>RMS</w:t>
      </w:r>
      <w:r w:rsidR="00D42D7B">
        <w:t>)</w:t>
      </w:r>
      <w:r w:rsidRPr="00A66B8E">
        <w:t xml:space="preserve"> trials.</w:t>
      </w:r>
    </w:p>
    <w:p w:rsidR="00E62BF8" w:rsidRPr="00A66B8E" w:rsidRDefault="00E62BF8" w:rsidP="00E62BF8"/>
    <w:p w:rsidR="00E62BF8" w:rsidRDefault="00E62BF8" w:rsidP="00E62BF8">
      <w:r w:rsidRPr="00A66B8E">
        <w:t xml:space="preserve">The longest follow up time after the last OCREVUS infusion (Phase II WA21493, n=51) indicates that the median time to B-cell repletion (return to baseline/LLN, whichever occurred </w:t>
      </w:r>
      <w:r w:rsidRPr="00A66B8E">
        <w:lastRenderedPageBreak/>
        <w:t xml:space="preserve">first) was 72 weeks (range 27-175 weeks). Ninety percent of all patients had their B-cells </w:t>
      </w:r>
      <w:proofErr w:type="spellStart"/>
      <w:r w:rsidRPr="00A66B8E">
        <w:t>repleted</w:t>
      </w:r>
      <w:proofErr w:type="spellEnd"/>
      <w:r w:rsidRPr="00A66B8E">
        <w:t xml:space="preserve"> to LLN or baseline</w:t>
      </w:r>
      <w:r w:rsidR="00A66B8E" w:rsidRPr="00A66B8E">
        <w:t xml:space="preserve"> by approximately two and a half years after the last infusion.</w:t>
      </w:r>
    </w:p>
    <w:p w:rsidR="00D42D7B" w:rsidRPr="00E61C46" w:rsidRDefault="00D42D7B" w:rsidP="00E62BF8"/>
    <w:p w:rsidR="00B2760F" w:rsidRPr="00E61C46" w:rsidRDefault="00B2760F" w:rsidP="009313C0">
      <w:pPr>
        <w:pStyle w:val="Heading2"/>
        <w:numPr>
          <w:ilvl w:val="0"/>
          <w:numId w:val="0"/>
        </w:numPr>
      </w:pPr>
      <w:r w:rsidRPr="00E61C46">
        <w:t>Pharmacokinetics</w:t>
      </w:r>
    </w:p>
    <w:p w:rsidR="00274C1A" w:rsidRPr="00E61C46" w:rsidRDefault="00E61C46" w:rsidP="00592D4B">
      <w:pPr>
        <w:pStyle w:val="TextTi12"/>
        <w:spacing w:after="0" w:line="240" w:lineRule="auto"/>
        <w:rPr>
          <w:rFonts w:cs="Arial"/>
          <w:lang w:eastAsia="ko-KR" w:bidi="he-IL"/>
        </w:rPr>
      </w:pPr>
      <w:r w:rsidRPr="00E61C46">
        <w:rPr>
          <w:rFonts w:cs="Arial"/>
          <w:lang w:eastAsia="ko-KR" w:bidi="he-IL"/>
        </w:rPr>
        <w:t xml:space="preserve">Pharmacokinetics of </w:t>
      </w:r>
      <w:proofErr w:type="spellStart"/>
      <w:r w:rsidR="00D42D7B" w:rsidRPr="004D18F3">
        <w:rPr>
          <w:rFonts w:cs="Arial"/>
          <w:lang w:eastAsia="ko-KR" w:bidi="he-IL"/>
        </w:rPr>
        <w:t>ocrelizumab</w:t>
      </w:r>
      <w:proofErr w:type="spellEnd"/>
      <w:r w:rsidRPr="00E61C46">
        <w:rPr>
          <w:rFonts w:cs="Arial"/>
          <w:lang w:eastAsia="ko-KR" w:bidi="he-IL"/>
        </w:rPr>
        <w:t xml:space="preserve"> in </w:t>
      </w:r>
      <w:r w:rsidR="00D42D7B">
        <w:rPr>
          <w:rFonts w:cs="Arial"/>
          <w:lang w:eastAsia="ko-KR" w:bidi="he-IL"/>
        </w:rPr>
        <w:t xml:space="preserve">the </w:t>
      </w:r>
      <w:r w:rsidRPr="00E61C46">
        <w:rPr>
          <w:rFonts w:cs="Arial"/>
          <w:lang w:eastAsia="ko-KR" w:bidi="he-IL"/>
        </w:rPr>
        <w:t xml:space="preserve">MS studies </w:t>
      </w:r>
      <w:proofErr w:type="gramStart"/>
      <w:r w:rsidRPr="00E61C46">
        <w:rPr>
          <w:rFonts w:cs="Arial"/>
          <w:lang w:eastAsia="ko-KR" w:bidi="he-IL"/>
        </w:rPr>
        <w:t>were</w:t>
      </w:r>
      <w:proofErr w:type="gramEnd"/>
      <w:r w:rsidRPr="00E61C46">
        <w:rPr>
          <w:rFonts w:cs="Arial"/>
          <w:lang w:eastAsia="ko-KR" w:bidi="he-IL"/>
        </w:rPr>
        <w:t xml:space="preserve"> described by a two compartment model with time-dependent clearance, and with </w:t>
      </w:r>
      <w:r w:rsidR="00D42D7B">
        <w:rPr>
          <w:rFonts w:cs="Arial"/>
          <w:lang w:eastAsia="ko-KR" w:bidi="he-IL"/>
        </w:rPr>
        <w:t>pharmacokinetic (</w:t>
      </w:r>
      <w:r w:rsidRPr="00E61C46">
        <w:rPr>
          <w:rFonts w:cs="Arial"/>
          <w:lang w:eastAsia="ko-KR" w:bidi="he-IL"/>
        </w:rPr>
        <w:t>PK</w:t>
      </w:r>
      <w:r w:rsidR="00D42D7B">
        <w:rPr>
          <w:rFonts w:cs="Arial"/>
          <w:lang w:eastAsia="ko-KR" w:bidi="he-IL"/>
        </w:rPr>
        <w:t>)</w:t>
      </w:r>
      <w:r w:rsidRPr="00E61C46">
        <w:rPr>
          <w:rFonts w:cs="Arial"/>
          <w:lang w:eastAsia="ko-KR" w:bidi="he-IL"/>
        </w:rPr>
        <w:t xml:space="preserve"> parameters typical for an IgG1 monoclonal antibody. Clearance and central volume were estimated at 0.17 L/day and 2.78 L, peripheral volume and inter-compartment clearance at 2.68 L and 0.294 L/day, and initial time-dependent clearance at 0.0489 L/day which declined with a half-life of 33 weeks. The overall exposure (area under curve (AUC) over the 24 week dosing intervals) was identical in the 2 x 300 mg PPMS </w:t>
      </w:r>
      <w:r w:rsidR="00D42D7B">
        <w:rPr>
          <w:rFonts w:cs="Arial"/>
          <w:lang w:eastAsia="ko-KR" w:bidi="he-IL"/>
        </w:rPr>
        <w:t xml:space="preserve">study </w:t>
      </w:r>
      <w:r w:rsidRPr="00E61C46">
        <w:rPr>
          <w:rFonts w:cs="Arial"/>
          <w:lang w:eastAsia="ko-KR" w:bidi="he-IL"/>
        </w:rPr>
        <w:t xml:space="preserve">and </w:t>
      </w:r>
      <w:r w:rsidR="00D42D7B">
        <w:rPr>
          <w:rFonts w:cs="Arial"/>
          <w:lang w:eastAsia="ko-KR" w:bidi="he-IL"/>
        </w:rPr>
        <w:t xml:space="preserve">the </w:t>
      </w:r>
      <w:r w:rsidRPr="00E61C46">
        <w:rPr>
          <w:rFonts w:cs="Arial"/>
          <w:lang w:eastAsia="ko-KR" w:bidi="he-IL"/>
        </w:rPr>
        <w:t xml:space="preserve">1 x 600 mg RMS studies, as expected given an identical dose was administered. </w:t>
      </w:r>
      <w:proofErr w:type="spellStart"/>
      <w:r w:rsidRPr="00E61C46">
        <w:rPr>
          <w:rFonts w:cs="Arial"/>
          <w:lang w:eastAsia="ko-KR" w:bidi="he-IL"/>
        </w:rPr>
        <w:t>AUCτ</w:t>
      </w:r>
      <w:proofErr w:type="spellEnd"/>
      <w:r w:rsidRPr="00E61C46">
        <w:rPr>
          <w:rFonts w:cs="Arial"/>
          <w:lang w:eastAsia="ko-KR" w:bidi="he-IL"/>
        </w:rPr>
        <w:t xml:space="preserve"> after the fourth dose of 600 mg OCREVUS was 3510 µg/</w:t>
      </w:r>
      <w:proofErr w:type="spellStart"/>
      <w:r w:rsidRPr="00E61C46">
        <w:rPr>
          <w:rFonts w:cs="Arial"/>
          <w:lang w:eastAsia="ko-KR" w:bidi="he-IL"/>
        </w:rPr>
        <w:t>mL•day</w:t>
      </w:r>
      <w:proofErr w:type="spellEnd"/>
      <w:r w:rsidRPr="00E61C46">
        <w:rPr>
          <w:rFonts w:cs="Arial"/>
          <w:lang w:eastAsia="ko-KR" w:bidi="he-IL"/>
        </w:rPr>
        <w:t>, and mean maximum concentration (</w:t>
      </w:r>
      <w:proofErr w:type="spellStart"/>
      <w:r w:rsidRPr="00E61C46">
        <w:rPr>
          <w:rFonts w:cs="Arial"/>
          <w:lang w:eastAsia="ko-KR" w:bidi="he-IL"/>
        </w:rPr>
        <w:t>C</w:t>
      </w:r>
      <w:r w:rsidRPr="00E61C46">
        <w:rPr>
          <w:rFonts w:cs="Arial"/>
          <w:vertAlign w:val="subscript"/>
          <w:lang w:eastAsia="ko-KR" w:bidi="he-IL"/>
        </w:rPr>
        <w:t>max</w:t>
      </w:r>
      <w:proofErr w:type="spellEnd"/>
      <w:r w:rsidRPr="00E61C46">
        <w:rPr>
          <w:rFonts w:cs="Arial"/>
          <w:lang w:eastAsia="ko-KR" w:bidi="he-IL"/>
        </w:rPr>
        <w:t>) was 212 µg/mL in RMS (600 mg infusion) and 141 µg/mL in PPMS (300 mg infusions). Terminal half-life was 26 days.</w:t>
      </w:r>
    </w:p>
    <w:p w:rsidR="00E61C46" w:rsidRPr="00E61C46" w:rsidRDefault="00E61C46" w:rsidP="00592D4B">
      <w:pPr>
        <w:pStyle w:val="TextTi12"/>
        <w:spacing w:after="0" w:line="240" w:lineRule="auto"/>
        <w:rPr>
          <w:rFonts w:cs="Arial"/>
          <w:lang w:eastAsia="ko-KR" w:bidi="he-IL"/>
        </w:rPr>
      </w:pPr>
    </w:p>
    <w:p w:rsidR="00274C1A" w:rsidRPr="00E61C46" w:rsidRDefault="00274C1A" w:rsidP="00274C1A">
      <w:pPr>
        <w:pStyle w:val="TextTi12"/>
        <w:spacing w:line="280" w:lineRule="exact"/>
        <w:rPr>
          <w:rFonts w:cs="Arial"/>
          <w:b/>
          <w:lang w:eastAsia="ko-KR" w:bidi="he-IL"/>
        </w:rPr>
      </w:pPr>
      <w:r w:rsidRPr="00E61C46">
        <w:rPr>
          <w:rFonts w:cs="Arial"/>
          <w:b/>
          <w:lang w:eastAsia="ko-KR" w:bidi="he-IL"/>
        </w:rPr>
        <w:t>Absorption</w:t>
      </w:r>
    </w:p>
    <w:p w:rsidR="00274C1A" w:rsidRPr="00E61C46" w:rsidRDefault="00286091" w:rsidP="00592D4B">
      <w:pPr>
        <w:pStyle w:val="TextTi12"/>
        <w:spacing w:after="0" w:line="240" w:lineRule="auto"/>
        <w:rPr>
          <w:rFonts w:cs="Arial"/>
        </w:rPr>
      </w:pPr>
      <w:proofErr w:type="spellStart"/>
      <w:r w:rsidRPr="004D18F3">
        <w:t>O</w:t>
      </w:r>
      <w:r w:rsidR="00E61C46" w:rsidRPr="004D18F3">
        <w:t>crelizumab</w:t>
      </w:r>
      <w:proofErr w:type="spellEnd"/>
      <w:r w:rsidR="00274C1A" w:rsidRPr="00E61C46">
        <w:rPr>
          <w:rFonts w:cs="Arial"/>
        </w:rPr>
        <w:t xml:space="preserve"> is administered </w:t>
      </w:r>
      <w:r w:rsidR="006435B1" w:rsidRPr="00E61C46">
        <w:rPr>
          <w:rFonts w:cs="Arial"/>
        </w:rPr>
        <w:t>intravenously</w:t>
      </w:r>
      <w:r w:rsidR="008B7596" w:rsidRPr="00E61C46">
        <w:rPr>
          <w:rFonts w:cs="Arial"/>
        </w:rPr>
        <w:t xml:space="preserve">. </w:t>
      </w:r>
      <w:r w:rsidR="00274C1A" w:rsidRPr="00E61C46">
        <w:rPr>
          <w:rFonts w:cs="Arial"/>
        </w:rPr>
        <w:t>There have been no clinical studies performed with other routes of administration.</w:t>
      </w:r>
      <w:r w:rsidR="006435B1" w:rsidRPr="00E61C46">
        <w:rPr>
          <w:rFonts w:cs="Arial"/>
        </w:rPr>
        <w:t xml:space="preserve"> </w:t>
      </w:r>
    </w:p>
    <w:p w:rsidR="00592D4B" w:rsidRPr="00E61C46" w:rsidRDefault="00592D4B" w:rsidP="00592D4B">
      <w:pPr>
        <w:pStyle w:val="TextTi12"/>
        <w:spacing w:after="0" w:line="240" w:lineRule="auto"/>
        <w:rPr>
          <w:rFonts w:cs="Arial"/>
          <w:b/>
          <w:lang w:eastAsia="ko-KR" w:bidi="he-IL"/>
        </w:rPr>
      </w:pPr>
    </w:p>
    <w:p w:rsidR="00274C1A" w:rsidRPr="00E61C46" w:rsidRDefault="00274C1A" w:rsidP="00274C1A">
      <w:pPr>
        <w:pStyle w:val="TextTi12"/>
        <w:spacing w:line="280" w:lineRule="exact"/>
        <w:rPr>
          <w:rFonts w:cs="Arial"/>
          <w:b/>
          <w:lang w:eastAsia="ko-KR" w:bidi="he-IL"/>
        </w:rPr>
      </w:pPr>
      <w:r w:rsidRPr="00E61C46">
        <w:rPr>
          <w:rFonts w:cs="Arial"/>
          <w:b/>
          <w:lang w:eastAsia="ko-KR" w:bidi="he-IL"/>
        </w:rPr>
        <w:t>Distribution</w:t>
      </w:r>
    </w:p>
    <w:p w:rsidR="00274C1A" w:rsidRPr="00E61C46" w:rsidRDefault="00E61C46" w:rsidP="00592D4B">
      <w:pPr>
        <w:pStyle w:val="TextTi12"/>
        <w:spacing w:after="0" w:line="240" w:lineRule="auto"/>
        <w:rPr>
          <w:rFonts w:cs="Arial"/>
          <w:lang w:eastAsia="ko-KR" w:bidi="he-IL"/>
        </w:rPr>
      </w:pPr>
      <w:r w:rsidRPr="00E61C46">
        <w:rPr>
          <w:rFonts w:cs="Arial"/>
          <w:lang w:eastAsia="ko-KR" w:bidi="he-IL"/>
        </w:rPr>
        <w:t xml:space="preserve">The population </w:t>
      </w:r>
      <w:r w:rsidR="00D42D7B">
        <w:rPr>
          <w:rFonts w:cs="Arial"/>
          <w:lang w:eastAsia="ko-KR" w:bidi="he-IL"/>
        </w:rPr>
        <w:t>PK</w:t>
      </w:r>
      <w:r w:rsidRPr="00E61C46">
        <w:rPr>
          <w:rFonts w:cs="Arial"/>
          <w:lang w:eastAsia="ko-KR" w:bidi="he-IL"/>
        </w:rPr>
        <w:t xml:space="preserve"> estimate of the central volume of distribution was 2.78 L. Peripheral volume and inter-compartment clearance were estimated at 2.68 L and 0.294 L/day.</w:t>
      </w:r>
    </w:p>
    <w:p w:rsidR="00E61C46" w:rsidRPr="00E61C46" w:rsidRDefault="00E61C46" w:rsidP="00592D4B">
      <w:pPr>
        <w:pStyle w:val="TextTi12"/>
        <w:spacing w:after="0" w:line="240" w:lineRule="auto"/>
        <w:rPr>
          <w:rFonts w:cs="Arial"/>
          <w:lang w:eastAsia="ko-KR" w:bidi="he-IL"/>
        </w:rPr>
      </w:pPr>
    </w:p>
    <w:p w:rsidR="00274C1A" w:rsidRPr="00E61C46" w:rsidRDefault="00274C1A" w:rsidP="00274C1A">
      <w:pPr>
        <w:pStyle w:val="TextTi12"/>
        <w:spacing w:line="280" w:lineRule="exact"/>
        <w:rPr>
          <w:rFonts w:cs="Arial"/>
          <w:b/>
          <w:lang w:eastAsia="ko-KR" w:bidi="he-IL"/>
        </w:rPr>
      </w:pPr>
      <w:r w:rsidRPr="00E61C46">
        <w:rPr>
          <w:rFonts w:cs="Arial"/>
          <w:b/>
          <w:lang w:eastAsia="ko-KR" w:bidi="he-IL"/>
        </w:rPr>
        <w:t>Metabolism</w:t>
      </w:r>
    </w:p>
    <w:p w:rsidR="008B7596" w:rsidRPr="00E61C46" w:rsidRDefault="00E61C46" w:rsidP="00592D4B">
      <w:pPr>
        <w:pStyle w:val="TextTi12"/>
        <w:spacing w:after="0" w:line="240" w:lineRule="auto"/>
        <w:rPr>
          <w:rFonts w:cs="Arial"/>
        </w:rPr>
      </w:pPr>
      <w:r w:rsidRPr="00E61C46">
        <w:rPr>
          <w:rFonts w:cs="Arial"/>
        </w:rPr>
        <w:t xml:space="preserve">The metabolism of </w:t>
      </w:r>
      <w:proofErr w:type="spellStart"/>
      <w:r w:rsidRPr="004D18F3">
        <w:rPr>
          <w:rFonts w:cs="Arial"/>
        </w:rPr>
        <w:t>ocrelizumab</w:t>
      </w:r>
      <w:proofErr w:type="spellEnd"/>
      <w:r w:rsidRPr="00E61C46">
        <w:rPr>
          <w:rFonts w:cs="Arial"/>
        </w:rPr>
        <w:t xml:space="preserve"> has not been directly studied, as antibodies are cleared principally by catabolism.</w:t>
      </w:r>
    </w:p>
    <w:p w:rsidR="00E61C46" w:rsidRPr="00E61C46" w:rsidRDefault="00E61C46" w:rsidP="00592D4B">
      <w:pPr>
        <w:pStyle w:val="TextTi12"/>
        <w:spacing w:after="0" w:line="240" w:lineRule="auto"/>
        <w:rPr>
          <w:rFonts w:cs="Arial"/>
          <w:i/>
          <w:lang w:eastAsia="ko-KR" w:bidi="he-IL"/>
        </w:rPr>
      </w:pPr>
    </w:p>
    <w:p w:rsidR="00274C1A" w:rsidRPr="00E61C46" w:rsidRDefault="00274C1A" w:rsidP="00274C1A">
      <w:pPr>
        <w:pStyle w:val="TextTi12"/>
        <w:spacing w:line="280" w:lineRule="exact"/>
        <w:rPr>
          <w:rFonts w:cs="Arial"/>
          <w:b/>
          <w:lang w:eastAsia="ko-KR" w:bidi="he-IL"/>
        </w:rPr>
      </w:pPr>
      <w:r w:rsidRPr="00E61C46">
        <w:rPr>
          <w:rFonts w:cs="Arial"/>
          <w:b/>
          <w:lang w:eastAsia="ko-KR" w:bidi="he-IL"/>
        </w:rPr>
        <w:t>Excretion</w:t>
      </w:r>
    </w:p>
    <w:p w:rsidR="00E61C46" w:rsidRPr="00E61C46" w:rsidRDefault="00E61C46" w:rsidP="00153F8E">
      <w:pPr>
        <w:pStyle w:val="TextTi12"/>
        <w:spacing w:line="280" w:lineRule="exact"/>
        <w:rPr>
          <w:rFonts w:cs="Arial"/>
          <w:lang w:eastAsia="ko-KR" w:bidi="he-IL"/>
        </w:rPr>
      </w:pPr>
      <w:r w:rsidRPr="00E61C46">
        <w:rPr>
          <w:rFonts w:cs="Arial"/>
          <w:lang w:eastAsia="ko-KR" w:bidi="he-IL"/>
        </w:rPr>
        <w:t>Constant clearance was estimated at 0.17 L/day, and initial time-dependent clearance at 0.0489 L/day which declined with a half-life of 33 weeks. The terminal elimination half-life was 26 days.</w:t>
      </w:r>
    </w:p>
    <w:p w:rsidR="00B2760F" w:rsidRPr="00EE5A09" w:rsidRDefault="00B2760F" w:rsidP="009313C0">
      <w:pPr>
        <w:pStyle w:val="Heading3"/>
        <w:numPr>
          <w:ilvl w:val="0"/>
          <w:numId w:val="0"/>
        </w:numPr>
        <w:rPr>
          <w:b/>
          <w:u w:val="none"/>
          <w:lang w:val="en-GB"/>
        </w:rPr>
      </w:pPr>
      <w:r w:rsidRPr="00EE5A09">
        <w:rPr>
          <w:b/>
          <w:u w:val="none"/>
          <w:lang w:val="en-GB"/>
        </w:rPr>
        <w:t>Pharmacokinetics in special populations</w:t>
      </w:r>
    </w:p>
    <w:p w:rsidR="00592D4B" w:rsidRPr="00EE5A09" w:rsidRDefault="001669F8" w:rsidP="00592D4B">
      <w:pPr>
        <w:pStyle w:val="TextTi12"/>
        <w:spacing w:after="0" w:line="240" w:lineRule="auto"/>
        <w:rPr>
          <w:rFonts w:cs="Arial"/>
          <w:b/>
          <w:i/>
        </w:rPr>
      </w:pPr>
      <w:r w:rsidRPr="00EE5A09">
        <w:rPr>
          <w:rFonts w:cs="Arial"/>
          <w:i/>
        </w:rPr>
        <w:t>Elderly</w:t>
      </w:r>
      <w:r w:rsidR="003407E1" w:rsidRPr="00EE5A09">
        <w:rPr>
          <w:rFonts w:cs="Arial"/>
          <w:i/>
        </w:rPr>
        <w:t xml:space="preserve"> Patients</w:t>
      </w:r>
      <w:r w:rsidR="00274C1A" w:rsidRPr="00EE5A09">
        <w:rPr>
          <w:rFonts w:cs="Arial"/>
          <w:i/>
        </w:rPr>
        <w:t>:</w:t>
      </w:r>
      <w:r w:rsidR="004E11D7" w:rsidRPr="00EE5A09">
        <w:t xml:space="preserve"> </w:t>
      </w:r>
      <w:r w:rsidR="00E61C46" w:rsidRPr="00EE5A09">
        <w:t xml:space="preserve">No studies have been conducted to investigate the </w:t>
      </w:r>
      <w:r w:rsidR="00D42D7B">
        <w:rPr>
          <w:rFonts w:cs="Arial"/>
        </w:rPr>
        <w:t>PK</w:t>
      </w:r>
      <w:r w:rsidR="00E61C46" w:rsidRPr="00EE5A09">
        <w:rPr>
          <w:rFonts w:cs="Arial"/>
        </w:rPr>
        <w:t xml:space="preserve"> of </w:t>
      </w:r>
      <w:proofErr w:type="spellStart"/>
      <w:r w:rsidR="00E61C46" w:rsidRPr="004D18F3">
        <w:rPr>
          <w:rFonts w:cs="Arial"/>
          <w:lang w:eastAsia="ko-KR" w:bidi="he-IL"/>
        </w:rPr>
        <w:t>ocrelizumab</w:t>
      </w:r>
      <w:proofErr w:type="spellEnd"/>
      <w:r w:rsidR="00E61C46" w:rsidRPr="00EE5A09">
        <w:rPr>
          <w:rFonts w:cs="Arial"/>
        </w:rPr>
        <w:t xml:space="preserve"> in </w:t>
      </w:r>
      <w:proofErr w:type="gramStart"/>
      <w:r w:rsidR="00E61C46" w:rsidRPr="00EE5A09">
        <w:rPr>
          <w:rFonts w:cs="Arial"/>
        </w:rPr>
        <w:t>patients</w:t>
      </w:r>
      <w:proofErr w:type="gramEnd"/>
      <w:r w:rsidR="00E61C46" w:rsidRPr="00EE5A09">
        <w:rPr>
          <w:rFonts w:cs="Arial"/>
        </w:rPr>
        <w:t xml:space="preserve"> </w:t>
      </w:r>
      <w:r w:rsidR="00E61C46" w:rsidRPr="00EE5A09">
        <w:t>≥</w:t>
      </w:r>
      <w:r w:rsidR="00E61C46" w:rsidRPr="00EE5A09">
        <w:rPr>
          <w:rFonts w:cs="Arial"/>
        </w:rPr>
        <w:t xml:space="preserve"> </w:t>
      </w:r>
      <w:r w:rsidR="004E11D7" w:rsidRPr="00EE5A09">
        <w:rPr>
          <w:rFonts w:cs="Arial"/>
        </w:rPr>
        <w:t>65 years.</w:t>
      </w:r>
      <w:r w:rsidR="00274C1A" w:rsidRPr="00EE5A09">
        <w:rPr>
          <w:rFonts w:cs="Arial"/>
          <w:b/>
          <w:i/>
        </w:rPr>
        <w:t xml:space="preserve"> </w:t>
      </w:r>
    </w:p>
    <w:p w:rsidR="00274C1A" w:rsidRPr="00EE5A09" w:rsidRDefault="00274C1A" w:rsidP="00592D4B">
      <w:pPr>
        <w:pStyle w:val="TextTi12"/>
        <w:spacing w:after="0" w:line="240" w:lineRule="auto"/>
        <w:rPr>
          <w:rFonts w:cs="Arial"/>
          <w:i/>
          <w:lang w:eastAsia="ko-KR" w:bidi="he-IL"/>
        </w:rPr>
      </w:pPr>
    </w:p>
    <w:p w:rsidR="00274C1A" w:rsidRPr="00EE5A09" w:rsidRDefault="006875BA" w:rsidP="00592D4B">
      <w:pPr>
        <w:pStyle w:val="TextTi12"/>
        <w:keepNext/>
        <w:spacing w:after="0" w:line="240" w:lineRule="auto"/>
        <w:rPr>
          <w:rFonts w:cs="Arial"/>
          <w:lang w:eastAsia="ko-KR" w:bidi="he-IL"/>
        </w:rPr>
      </w:pPr>
      <w:proofErr w:type="spellStart"/>
      <w:r w:rsidRPr="00EE5A09">
        <w:rPr>
          <w:rFonts w:cs="Arial"/>
          <w:i/>
        </w:rPr>
        <w:t>Paediatric</w:t>
      </w:r>
      <w:proofErr w:type="spellEnd"/>
      <w:r w:rsidRPr="00EE5A09">
        <w:rPr>
          <w:rFonts w:cs="Arial"/>
          <w:i/>
        </w:rPr>
        <w:t xml:space="preserve"> Patients</w:t>
      </w:r>
      <w:r w:rsidR="00274C1A" w:rsidRPr="00EE5A09">
        <w:rPr>
          <w:rFonts w:cs="Arial"/>
          <w:i/>
        </w:rPr>
        <w:t>:</w:t>
      </w:r>
      <w:r w:rsidR="00274C1A" w:rsidRPr="00EE5A09">
        <w:rPr>
          <w:rFonts w:cs="Arial"/>
        </w:rPr>
        <w:t xml:space="preserve"> </w:t>
      </w:r>
      <w:r w:rsidR="00AF6228" w:rsidRPr="00EE5A09">
        <w:t xml:space="preserve"> </w:t>
      </w:r>
      <w:r w:rsidR="00AF6228" w:rsidRPr="00EE5A09">
        <w:rPr>
          <w:rFonts w:cs="Arial"/>
          <w:lang w:eastAsia="ko-KR" w:bidi="he-IL"/>
        </w:rPr>
        <w:t xml:space="preserve">No studies have been conducted to investigate the </w:t>
      </w:r>
      <w:r w:rsidR="00D42D7B">
        <w:rPr>
          <w:rFonts w:cs="Arial"/>
          <w:lang w:eastAsia="ko-KR" w:bidi="he-IL"/>
        </w:rPr>
        <w:t>PK</w:t>
      </w:r>
      <w:r w:rsidR="00AF6228" w:rsidRPr="00EE5A09">
        <w:rPr>
          <w:rFonts w:cs="Arial"/>
          <w:lang w:eastAsia="ko-KR" w:bidi="he-IL"/>
        </w:rPr>
        <w:t xml:space="preserve"> of </w:t>
      </w:r>
      <w:proofErr w:type="spellStart"/>
      <w:r w:rsidR="00286091" w:rsidRPr="004D18F3">
        <w:rPr>
          <w:rFonts w:cs="Arial"/>
          <w:lang w:eastAsia="ko-KR" w:bidi="he-IL"/>
        </w:rPr>
        <w:t>o</w:t>
      </w:r>
      <w:r w:rsidR="00EE5A09" w:rsidRPr="004D18F3">
        <w:rPr>
          <w:rFonts w:cs="Arial"/>
          <w:lang w:eastAsia="ko-KR" w:bidi="he-IL"/>
        </w:rPr>
        <w:t>crelizumab</w:t>
      </w:r>
      <w:proofErr w:type="spellEnd"/>
      <w:r w:rsidR="00EE5A09" w:rsidRPr="00EE5A09">
        <w:rPr>
          <w:rFonts w:cs="Arial"/>
          <w:lang w:eastAsia="ko-KR" w:bidi="he-IL"/>
        </w:rPr>
        <w:t xml:space="preserve"> in children and adolescents (&lt; 18 years of age).</w:t>
      </w:r>
    </w:p>
    <w:p w:rsidR="00592D4B" w:rsidRPr="00EE5A09" w:rsidRDefault="00592D4B" w:rsidP="00592D4B">
      <w:pPr>
        <w:pStyle w:val="TextTi12"/>
        <w:keepNext/>
        <w:spacing w:after="0" w:line="240" w:lineRule="auto"/>
        <w:rPr>
          <w:rFonts w:cs="Arial"/>
          <w:lang w:eastAsia="ko-KR" w:bidi="he-IL"/>
        </w:rPr>
      </w:pPr>
    </w:p>
    <w:p w:rsidR="00592D4B" w:rsidRPr="00EE5A09" w:rsidRDefault="006875BA" w:rsidP="00592D4B">
      <w:pPr>
        <w:pStyle w:val="TextTi12"/>
        <w:spacing w:after="0" w:line="240" w:lineRule="auto"/>
        <w:rPr>
          <w:rFonts w:cs="Arial"/>
        </w:rPr>
      </w:pPr>
      <w:r w:rsidRPr="00EE5A09">
        <w:rPr>
          <w:rFonts w:cs="Arial"/>
          <w:i/>
        </w:rPr>
        <w:t>Renal impairment</w:t>
      </w:r>
      <w:r w:rsidR="00274C1A" w:rsidRPr="00EE5A09">
        <w:rPr>
          <w:rFonts w:cs="Arial"/>
          <w:i/>
        </w:rPr>
        <w:t>:</w:t>
      </w:r>
      <w:r w:rsidR="0063106C" w:rsidRPr="00EE5A09">
        <w:t xml:space="preserve"> </w:t>
      </w:r>
      <w:r w:rsidR="00EE5A09" w:rsidRPr="00EE5A09">
        <w:t xml:space="preserve">No formal </w:t>
      </w:r>
      <w:r w:rsidR="00D42D7B">
        <w:t>PK</w:t>
      </w:r>
      <w:r w:rsidR="00EE5A09" w:rsidRPr="00EE5A09">
        <w:t xml:space="preserve"> study has been conducted. Patients with mild renal impairment were included in clinical trials and no change in the </w:t>
      </w:r>
      <w:r w:rsidR="00D42D7B">
        <w:t>PK</w:t>
      </w:r>
      <w:r w:rsidR="00EE5A09" w:rsidRPr="00EE5A09">
        <w:t xml:space="preserve"> of </w:t>
      </w:r>
      <w:proofErr w:type="spellStart"/>
      <w:r w:rsidR="00EE5A09" w:rsidRPr="004D18F3">
        <w:t>ocrelizumab</w:t>
      </w:r>
      <w:proofErr w:type="spellEnd"/>
      <w:r w:rsidR="00EE5A09" w:rsidRPr="00EE5A09">
        <w:t xml:space="preserve"> was observed in those patients.</w:t>
      </w:r>
    </w:p>
    <w:p w:rsidR="00274C1A" w:rsidRDefault="006875BA" w:rsidP="00274C1A">
      <w:pPr>
        <w:pStyle w:val="TextTi12"/>
        <w:spacing w:after="120"/>
        <w:rPr>
          <w:rFonts w:cs="Arial"/>
        </w:rPr>
      </w:pPr>
      <w:bookmarkStart w:id="0" w:name="_GoBack"/>
      <w:bookmarkEnd w:id="0"/>
      <w:r w:rsidRPr="00EE5A09">
        <w:rPr>
          <w:rFonts w:cs="Arial"/>
          <w:i/>
        </w:rPr>
        <w:lastRenderedPageBreak/>
        <w:t>Hepatic impairment</w:t>
      </w:r>
      <w:r w:rsidR="00274C1A" w:rsidRPr="00EE5A09">
        <w:rPr>
          <w:rFonts w:cs="Arial"/>
          <w:i/>
        </w:rPr>
        <w:t>:</w:t>
      </w:r>
      <w:r w:rsidR="0063106C" w:rsidRPr="00EE5A09">
        <w:rPr>
          <w:rFonts w:cs="Arial"/>
        </w:rPr>
        <w:t xml:space="preserve"> </w:t>
      </w:r>
      <w:r w:rsidR="00EE5A09" w:rsidRPr="00EE5A09">
        <w:rPr>
          <w:rFonts w:cs="Arial"/>
        </w:rPr>
        <w:t xml:space="preserve">No formal </w:t>
      </w:r>
      <w:r w:rsidR="00D42D7B">
        <w:rPr>
          <w:rFonts w:cs="Arial"/>
        </w:rPr>
        <w:t>PK</w:t>
      </w:r>
      <w:r w:rsidR="00EE5A09" w:rsidRPr="00EE5A09">
        <w:rPr>
          <w:rFonts w:cs="Arial"/>
        </w:rPr>
        <w:t xml:space="preserve"> study has been conducted. Patients with mild hepatic impairment were included in clinical trials and no change in the </w:t>
      </w:r>
      <w:r w:rsidR="00D42D7B">
        <w:rPr>
          <w:rFonts w:cs="Arial"/>
        </w:rPr>
        <w:t>PK</w:t>
      </w:r>
      <w:r w:rsidR="00EE5A09" w:rsidRPr="00EE5A09">
        <w:rPr>
          <w:rFonts w:cs="Arial"/>
        </w:rPr>
        <w:t xml:space="preserve"> of </w:t>
      </w:r>
      <w:proofErr w:type="spellStart"/>
      <w:r w:rsidR="00EE5A09" w:rsidRPr="004D18F3">
        <w:rPr>
          <w:rFonts w:cs="Arial"/>
        </w:rPr>
        <w:t>ocrelizumab</w:t>
      </w:r>
      <w:proofErr w:type="spellEnd"/>
      <w:r w:rsidR="00EE5A09" w:rsidRPr="00EE5A09">
        <w:rPr>
          <w:rFonts w:cs="Arial"/>
        </w:rPr>
        <w:t xml:space="preserve"> was observed in those patients.</w:t>
      </w:r>
    </w:p>
    <w:p w:rsidR="00FC494D" w:rsidRPr="006365ED" w:rsidRDefault="006365ED" w:rsidP="009313C0">
      <w:pPr>
        <w:pStyle w:val="Heading1"/>
        <w:numPr>
          <w:ilvl w:val="0"/>
          <w:numId w:val="0"/>
        </w:numPr>
        <w:jc w:val="both"/>
      </w:pPr>
      <w:r>
        <w:t>Clinical trials</w:t>
      </w:r>
    </w:p>
    <w:p w:rsidR="006875BA" w:rsidRPr="000C3763" w:rsidRDefault="000C3763" w:rsidP="009313C0">
      <w:pPr>
        <w:pStyle w:val="Heading2"/>
        <w:numPr>
          <w:ilvl w:val="0"/>
          <w:numId w:val="0"/>
        </w:numPr>
      </w:pPr>
      <w:r w:rsidRPr="000C3763">
        <w:t>Relapsing Forms of MS (RMS)</w:t>
      </w:r>
    </w:p>
    <w:p w:rsidR="00FD72FD" w:rsidRDefault="000C3763" w:rsidP="009A1820">
      <w:r w:rsidRPr="000C3763">
        <w:t xml:space="preserve">The efficacy and safety of OCREVUS were evaluated in two randomised, double-blind, double-dummy, active comparator-controlled clinical trials with identical design in patients with RMS. Study design and baseline characteristics of the study population are summarised in Table </w:t>
      </w:r>
      <w:r w:rsidR="00D42D7B">
        <w:t>1</w:t>
      </w:r>
      <w:r w:rsidRPr="000C3763">
        <w:t>.</w:t>
      </w:r>
    </w:p>
    <w:p w:rsidR="000C3763" w:rsidRDefault="000C3763" w:rsidP="009A1820"/>
    <w:p w:rsidR="000C3763" w:rsidRDefault="000C3763" w:rsidP="009A1820">
      <w:r>
        <w:t>Demographic and baseline characteristics were well balanced across the two treatment groups. Patients receiving OCREVUS (Group A) were given 600 mg every 6 months (Dose 1</w:t>
      </w:r>
      <w:r w:rsidR="00E14029">
        <w:t xml:space="preserve"> - </w:t>
      </w:r>
      <w:r>
        <w:t>two x 300 mg IV infusions, administered two weeks apart</w:t>
      </w:r>
      <w:r w:rsidR="00E14029">
        <w:t>), and subsequent doses were administered as a single 600 mg IV infusion. Patients in Group B were administered interferon beta-1a (</w:t>
      </w:r>
      <w:proofErr w:type="spellStart"/>
      <w:r w:rsidR="00E14029">
        <w:t>Rebif</w:t>
      </w:r>
      <w:proofErr w:type="spellEnd"/>
      <w:r w:rsidR="00E14029" w:rsidRPr="004D18F3">
        <w:rPr>
          <w:vertAlign w:val="superscript"/>
        </w:rPr>
        <w:t>®</w:t>
      </w:r>
      <w:r w:rsidR="00E14029">
        <w:t>) 44 mcg subcutaneous (</w:t>
      </w:r>
      <w:proofErr w:type="spellStart"/>
      <w:proofErr w:type="gramStart"/>
      <w:r w:rsidR="00E14029">
        <w:t>s.c</w:t>
      </w:r>
      <w:proofErr w:type="gramEnd"/>
      <w:r w:rsidR="00E14029">
        <w:t>.</w:t>
      </w:r>
      <w:proofErr w:type="spellEnd"/>
      <w:r w:rsidR="00E14029">
        <w:t>) injection three times per week.</w:t>
      </w:r>
    </w:p>
    <w:p w:rsidR="00E14029" w:rsidRDefault="00E14029" w:rsidP="009A1820"/>
    <w:p w:rsidR="00E14029" w:rsidRPr="000C3763" w:rsidRDefault="00E14029" w:rsidP="009A1820">
      <w:r>
        <w:t xml:space="preserve">Key clinical and </w:t>
      </w:r>
      <w:r w:rsidR="00F47000" w:rsidRPr="00A930E1">
        <w:rPr>
          <w:lang w:val="en-GB"/>
        </w:rPr>
        <w:t xml:space="preserve">magnetic resonance imaging </w:t>
      </w:r>
      <w:r w:rsidR="00F47000">
        <w:rPr>
          <w:lang w:val="en-GB"/>
        </w:rPr>
        <w:t>(</w:t>
      </w:r>
      <w:r>
        <w:t>MRI</w:t>
      </w:r>
      <w:r w:rsidR="00F47000">
        <w:t>)</w:t>
      </w:r>
      <w:r>
        <w:t xml:space="preserve"> efficacy results are presented in Table </w:t>
      </w:r>
      <w:r w:rsidR="00D42D7B">
        <w:t>2</w:t>
      </w:r>
      <w:r>
        <w:t xml:space="preserve"> and Figure </w:t>
      </w:r>
      <w:r w:rsidR="00D42D7B">
        <w:t>1</w:t>
      </w:r>
      <w:r>
        <w:t>.</w:t>
      </w:r>
    </w:p>
    <w:p w:rsidR="00E14029" w:rsidRPr="00E14029" w:rsidRDefault="00E14029" w:rsidP="00260842"/>
    <w:p w:rsidR="00E14029" w:rsidRPr="00E14029" w:rsidRDefault="00E14029" w:rsidP="00260842">
      <w:r w:rsidRPr="00E14029">
        <w:rPr>
          <w:rFonts w:cs="Arial"/>
          <w:b/>
          <w:lang w:eastAsia="ko-KR" w:bidi="he-IL"/>
        </w:rPr>
        <w:t xml:space="preserve">Table </w:t>
      </w:r>
      <w:r w:rsidR="00D42D7B">
        <w:rPr>
          <w:rFonts w:cs="Arial"/>
          <w:b/>
          <w:lang w:eastAsia="ko-KR" w:bidi="he-IL"/>
        </w:rPr>
        <w:t>1</w:t>
      </w:r>
      <w:r w:rsidRPr="00E14029">
        <w:rPr>
          <w:rFonts w:cs="Arial"/>
          <w:b/>
          <w:lang w:eastAsia="ko-KR" w:bidi="he-IL"/>
        </w:rPr>
        <w:t xml:space="preserve"> </w:t>
      </w:r>
      <w:r>
        <w:rPr>
          <w:rFonts w:cs="Arial"/>
          <w:b/>
          <w:lang w:eastAsia="ko-KR" w:bidi="he-IL"/>
        </w:rPr>
        <w:t xml:space="preserve">Study </w:t>
      </w:r>
      <w:r w:rsidR="00DB5451">
        <w:rPr>
          <w:rFonts w:cs="Arial"/>
          <w:b/>
          <w:lang w:eastAsia="ko-KR" w:bidi="he-IL"/>
        </w:rPr>
        <w:t>d</w:t>
      </w:r>
      <w:r>
        <w:rPr>
          <w:rFonts w:cs="Arial"/>
          <w:b/>
          <w:lang w:eastAsia="ko-KR" w:bidi="he-IL"/>
        </w:rPr>
        <w:t xml:space="preserve">esign and </w:t>
      </w:r>
      <w:r w:rsidR="00DB5451">
        <w:rPr>
          <w:rFonts w:cs="Arial"/>
          <w:b/>
          <w:lang w:eastAsia="ko-KR" w:bidi="he-IL"/>
        </w:rPr>
        <w:t>d</w:t>
      </w:r>
      <w:r>
        <w:rPr>
          <w:rFonts w:cs="Arial"/>
          <w:b/>
          <w:lang w:eastAsia="ko-KR" w:bidi="he-IL"/>
        </w:rPr>
        <w:t xml:space="preserve">emographic </w:t>
      </w:r>
      <w:r w:rsidR="00DB5451">
        <w:rPr>
          <w:rFonts w:cs="Arial"/>
          <w:b/>
          <w:lang w:eastAsia="ko-KR" w:bidi="he-IL"/>
        </w:rPr>
        <w:t>c</w:t>
      </w:r>
      <w:r>
        <w:rPr>
          <w:rFonts w:cs="Arial"/>
          <w:b/>
          <w:lang w:eastAsia="ko-KR" w:bidi="he-IL"/>
        </w:rPr>
        <w:t>haracteristics</w:t>
      </w:r>
      <w:r w:rsidR="00171AA8">
        <w:rPr>
          <w:rFonts w:cs="Arial"/>
          <w:b/>
          <w:lang w:eastAsia="ko-KR" w:bidi="he-IL"/>
        </w:rPr>
        <w:t xml:space="preserve"> for studies WA21092 and WA21093</w:t>
      </w:r>
      <w:r w:rsidR="008E6C53">
        <w:rPr>
          <w:rFonts w:cs="Arial"/>
          <w:b/>
          <w:lang w:eastAsia="ko-KR" w:bidi="he-IL"/>
        </w:rPr>
        <w:t xml:space="preserve"> (RMS)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43"/>
        <w:gridCol w:w="1559"/>
        <w:gridCol w:w="1843"/>
        <w:gridCol w:w="1666"/>
      </w:tblGrid>
      <w:tr w:rsidR="00E14029" w:rsidRPr="00E14029" w:rsidTr="00BD59C2">
        <w:tc>
          <w:tcPr>
            <w:tcW w:w="2376" w:type="dxa"/>
            <w:shd w:val="clear" w:color="auto" w:fill="auto"/>
          </w:tcPr>
          <w:p w:rsidR="00E14029" w:rsidRPr="00E14029" w:rsidRDefault="00E14029" w:rsidP="00BD59C2">
            <w:pPr>
              <w:spacing w:before="40" w:after="40"/>
            </w:pPr>
          </w:p>
        </w:tc>
        <w:tc>
          <w:tcPr>
            <w:tcW w:w="3402" w:type="dxa"/>
            <w:gridSpan w:val="2"/>
            <w:shd w:val="clear" w:color="auto" w:fill="auto"/>
          </w:tcPr>
          <w:p w:rsidR="00E14029" w:rsidRPr="00BD59C2" w:rsidRDefault="00E14029" w:rsidP="00BD59C2">
            <w:pPr>
              <w:spacing w:before="40" w:after="40"/>
              <w:jc w:val="center"/>
              <w:rPr>
                <w:b/>
              </w:rPr>
            </w:pPr>
            <w:r w:rsidRPr="00BD59C2">
              <w:rPr>
                <w:b/>
              </w:rPr>
              <w:t>Study 1</w:t>
            </w:r>
          </w:p>
        </w:tc>
        <w:tc>
          <w:tcPr>
            <w:tcW w:w="3509" w:type="dxa"/>
            <w:gridSpan w:val="2"/>
            <w:shd w:val="clear" w:color="auto" w:fill="auto"/>
          </w:tcPr>
          <w:p w:rsidR="00E14029" w:rsidRPr="00BD59C2" w:rsidRDefault="00E14029" w:rsidP="00BD59C2">
            <w:pPr>
              <w:spacing w:before="40" w:after="40"/>
              <w:jc w:val="center"/>
              <w:rPr>
                <w:b/>
              </w:rPr>
            </w:pPr>
            <w:r w:rsidRPr="00BD59C2">
              <w:rPr>
                <w:b/>
              </w:rPr>
              <w:t>Study 2</w:t>
            </w:r>
          </w:p>
        </w:tc>
      </w:tr>
      <w:tr w:rsidR="00E14029" w:rsidRPr="00E14029" w:rsidTr="00BD59C2">
        <w:tc>
          <w:tcPr>
            <w:tcW w:w="2376" w:type="dxa"/>
            <w:shd w:val="clear" w:color="auto" w:fill="auto"/>
          </w:tcPr>
          <w:p w:rsidR="00E14029" w:rsidRPr="00BD59C2" w:rsidRDefault="00E14029" w:rsidP="00BD59C2">
            <w:pPr>
              <w:spacing w:before="40" w:after="40"/>
              <w:rPr>
                <w:b/>
              </w:rPr>
            </w:pPr>
            <w:r w:rsidRPr="00BD59C2">
              <w:rPr>
                <w:b/>
              </w:rPr>
              <w:t>Study name</w:t>
            </w:r>
          </w:p>
        </w:tc>
        <w:tc>
          <w:tcPr>
            <w:tcW w:w="3402" w:type="dxa"/>
            <w:gridSpan w:val="2"/>
            <w:shd w:val="clear" w:color="auto" w:fill="auto"/>
          </w:tcPr>
          <w:p w:rsidR="00E14029" w:rsidRPr="00BD59C2" w:rsidRDefault="00E14029" w:rsidP="00BD59C2">
            <w:pPr>
              <w:spacing w:before="40" w:after="40"/>
              <w:jc w:val="center"/>
              <w:rPr>
                <w:b/>
              </w:rPr>
            </w:pPr>
            <w:r w:rsidRPr="00BD59C2">
              <w:rPr>
                <w:b/>
              </w:rPr>
              <w:t>WA21092 (OPERA I) (n=821)</w:t>
            </w:r>
          </w:p>
        </w:tc>
        <w:tc>
          <w:tcPr>
            <w:tcW w:w="3509" w:type="dxa"/>
            <w:gridSpan w:val="2"/>
            <w:shd w:val="clear" w:color="auto" w:fill="auto"/>
          </w:tcPr>
          <w:p w:rsidR="00E14029" w:rsidRPr="00BD59C2" w:rsidRDefault="00E14029" w:rsidP="00BD59C2">
            <w:pPr>
              <w:spacing w:before="40" w:after="40"/>
              <w:jc w:val="center"/>
              <w:rPr>
                <w:b/>
              </w:rPr>
            </w:pPr>
            <w:r w:rsidRPr="00BD59C2">
              <w:rPr>
                <w:b/>
              </w:rPr>
              <w:t>WA21093 (OPERA II) (n=835)</w:t>
            </w:r>
          </w:p>
        </w:tc>
      </w:tr>
      <w:tr w:rsidR="00E14029" w:rsidRPr="00E14029" w:rsidTr="00BD59C2">
        <w:tc>
          <w:tcPr>
            <w:tcW w:w="9287" w:type="dxa"/>
            <w:gridSpan w:val="5"/>
            <w:shd w:val="clear" w:color="auto" w:fill="auto"/>
          </w:tcPr>
          <w:p w:rsidR="00E14029" w:rsidRPr="00BD59C2" w:rsidRDefault="00E14029" w:rsidP="00BD59C2">
            <w:pPr>
              <w:spacing w:before="40" w:after="40"/>
              <w:jc w:val="center"/>
              <w:rPr>
                <w:b/>
              </w:rPr>
            </w:pPr>
            <w:r w:rsidRPr="00BD59C2">
              <w:rPr>
                <w:b/>
              </w:rPr>
              <w:t>Study Design</w:t>
            </w:r>
          </w:p>
        </w:tc>
      </w:tr>
      <w:tr w:rsidR="00E14029" w:rsidRPr="00E14029" w:rsidTr="00BD59C2">
        <w:tc>
          <w:tcPr>
            <w:tcW w:w="2376" w:type="dxa"/>
            <w:shd w:val="clear" w:color="auto" w:fill="auto"/>
          </w:tcPr>
          <w:p w:rsidR="00E14029" w:rsidRPr="00BD59C2" w:rsidRDefault="00E14029" w:rsidP="00BD59C2">
            <w:pPr>
              <w:spacing w:before="40" w:after="40"/>
              <w:jc w:val="left"/>
              <w:rPr>
                <w:b/>
              </w:rPr>
            </w:pPr>
            <w:r w:rsidRPr="00BD59C2">
              <w:rPr>
                <w:b/>
              </w:rPr>
              <w:t>Population</w:t>
            </w:r>
          </w:p>
        </w:tc>
        <w:tc>
          <w:tcPr>
            <w:tcW w:w="6911" w:type="dxa"/>
            <w:gridSpan w:val="4"/>
            <w:shd w:val="clear" w:color="auto" w:fill="auto"/>
          </w:tcPr>
          <w:p w:rsidR="00E14029" w:rsidRPr="00E14029" w:rsidRDefault="00E14029" w:rsidP="00BD59C2">
            <w:pPr>
              <w:numPr>
                <w:ilvl w:val="0"/>
                <w:numId w:val="34"/>
              </w:numPr>
              <w:spacing w:before="40" w:after="40"/>
              <w:ind w:left="470" w:hanging="357"/>
              <w:jc w:val="left"/>
            </w:pPr>
            <w:r>
              <w:t>Patients with relapsing forms of MS</w:t>
            </w:r>
          </w:p>
        </w:tc>
      </w:tr>
      <w:tr w:rsidR="00E14029" w:rsidRPr="00E14029" w:rsidTr="00BD59C2">
        <w:tc>
          <w:tcPr>
            <w:tcW w:w="2376" w:type="dxa"/>
            <w:shd w:val="clear" w:color="auto" w:fill="auto"/>
            <w:vAlign w:val="center"/>
          </w:tcPr>
          <w:p w:rsidR="00E14029" w:rsidRPr="00BD59C2" w:rsidRDefault="00E14029" w:rsidP="00BD59C2">
            <w:pPr>
              <w:spacing w:before="40" w:after="40"/>
              <w:jc w:val="left"/>
              <w:rPr>
                <w:b/>
              </w:rPr>
            </w:pPr>
            <w:r w:rsidRPr="00BD59C2">
              <w:rPr>
                <w:b/>
              </w:rPr>
              <w:t>Disease history at screening</w:t>
            </w:r>
          </w:p>
        </w:tc>
        <w:tc>
          <w:tcPr>
            <w:tcW w:w="6911" w:type="dxa"/>
            <w:gridSpan w:val="4"/>
            <w:shd w:val="clear" w:color="auto" w:fill="auto"/>
          </w:tcPr>
          <w:p w:rsidR="00E14029" w:rsidRDefault="00E14029" w:rsidP="00BD59C2">
            <w:pPr>
              <w:numPr>
                <w:ilvl w:val="0"/>
                <w:numId w:val="33"/>
              </w:numPr>
              <w:spacing w:before="40" w:after="40"/>
              <w:ind w:left="470" w:hanging="357"/>
            </w:pPr>
            <w:r>
              <w:t>At least two relapses within the prior two years or one relapse within the prior year</w:t>
            </w:r>
          </w:p>
          <w:p w:rsidR="00E14029" w:rsidRPr="00E14029" w:rsidRDefault="00E14029" w:rsidP="003C3B46">
            <w:pPr>
              <w:numPr>
                <w:ilvl w:val="0"/>
                <w:numId w:val="33"/>
              </w:numPr>
              <w:spacing w:before="40" w:after="40"/>
              <w:ind w:left="470" w:hanging="357"/>
            </w:pPr>
            <w:r>
              <w:t>EDSS between 0 and 5.5, inclusive</w:t>
            </w:r>
          </w:p>
        </w:tc>
      </w:tr>
      <w:tr w:rsidR="00E14029" w:rsidRPr="00E14029" w:rsidTr="00BD59C2">
        <w:tc>
          <w:tcPr>
            <w:tcW w:w="2376" w:type="dxa"/>
            <w:shd w:val="clear" w:color="auto" w:fill="auto"/>
          </w:tcPr>
          <w:p w:rsidR="00E14029" w:rsidRPr="00BD59C2" w:rsidRDefault="000F6D44" w:rsidP="00BD59C2">
            <w:pPr>
              <w:spacing w:before="40" w:after="40"/>
              <w:jc w:val="left"/>
              <w:rPr>
                <w:b/>
              </w:rPr>
            </w:pPr>
            <w:r w:rsidRPr="00BD59C2">
              <w:rPr>
                <w:b/>
              </w:rPr>
              <w:t>Study duration</w:t>
            </w:r>
          </w:p>
        </w:tc>
        <w:tc>
          <w:tcPr>
            <w:tcW w:w="6911" w:type="dxa"/>
            <w:gridSpan w:val="4"/>
            <w:shd w:val="clear" w:color="auto" w:fill="auto"/>
          </w:tcPr>
          <w:p w:rsidR="00E14029" w:rsidRPr="00E14029" w:rsidRDefault="000F6D44" w:rsidP="00BD59C2">
            <w:pPr>
              <w:numPr>
                <w:ilvl w:val="0"/>
                <w:numId w:val="35"/>
              </w:numPr>
              <w:spacing w:before="40" w:after="40"/>
              <w:ind w:left="470" w:hanging="357"/>
            </w:pPr>
            <w:r>
              <w:t>Two years (96 weeks)</w:t>
            </w:r>
          </w:p>
        </w:tc>
      </w:tr>
      <w:tr w:rsidR="009433D9" w:rsidRPr="00E14029" w:rsidTr="00BD59C2">
        <w:tc>
          <w:tcPr>
            <w:tcW w:w="2376" w:type="dxa"/>
            <w:shd w:val="clear" w:color="auto" w:fill="auto"/>
            <w:vAlign w:val="center"/>
          </w:tcPr>
          <w:p w:rsidR="009433D9" w:rsidRPr="00BD59C2" w:rsidRDefault="009433D9" w:rsidP="00BD59C2">
            <w:pPr>
              <w:spacing w:before="40" w:after="40"/>
              <w:jc w:val="left"/>
              <w:rPr>
                <w:b/>
              </w:rPr>
            </w:pPr>
            <w:r w:rsidRPr="00BD59C2">
              <w:rPr>
                <w:b/>
              </w:rPr>
              <w:t>Treatment groups</w:t>
            </w:r>
          </w:p>
        </w:tc>
        <w:tc>
          <w:tcPr>
            <w:tcW w:w="6911" w:type="dxa"/>
            <w:gridSpan w:val="4"/>
            <w:shd w:val="clear" w:color="auto" w:fill="auto"/>
          </w:tcPr>
          <w:p w:rsidR="009433D9" w:rsidRDefault="009433D9" w:rsidP="00BD59C2">
            <w:pPr>
              <w:numPr>
                <w:ilvl w:val="0"/>
                <w:numId w:val="35"/>
              </w:numPr>
              <w:spacing w:before="40" w:after="40"/>
              <w:ind w:left="470" w:hanging="357"/>
            </w:pPr>
            <w:r>
              <w:t>Group A: OCREVUS 600 mg</w:t>
            </w:r>
          </w:p>
          <w:p w:rsidR="009433D9" w:rsidRPr="00E14029" w:rsidRDefault="009433D9" w:rsidP="00BD59C2">
            <w:pPr>
              <w:numPr>
                <w:ilvl w:val="0"/>
                <w:numId w:val="35"/>
              </w:numPr>
              <w:spacing w:before="40" w:after="40"/>
              <w:ind w:left="470" w:hanging="357"/>
            </w:pPr>
            <w:r>
              <w:t>Group B: interferon beta-1a (</w:t>
            </w:r>
            <w:proofErr w:type="spellStart"/>
            <w:r>
              <w:t>Rebif</w:t>
            </w:r>
            <w:proofErr w:type="spellEnd"/>
            <w:r w:rsidRPr="004D18F3">
              <w:rPr>
                <w:vertAlign w:val="superscript"/>
              </w:rPr>
              <w:t>®</w:t>
            </w:r>
            <w:r>
              <w:t xml:space="preserve">), 44 mcg </w:t>
            </w:r>
            <w:proofErr w:type="spellStart"/>
            <w:r>
              <w:t>s.c.</w:t>
            </w:r>
            <w:proofErr w:type="spellEnd"/>
            <w:r>
              <w:t xml:space="preserve"> (IFN)</w:t>
            </w:r>
          </w:p>
        </w:tc>
      </w:tr>
      <w:tr w:rsidR="009433D9" w:rsidRPr="00E14029" w:rsidTr="00BD59C2">
        <w:tc>
          <w:tcPr>
            <w:tcW w:w="2376" w:type="dxa"/>
            <w:shd w:val="clear" w:color="auto" w:fill="auto"/>
            <w:vAlign w:val="center"/>
          </w:tcPr>
          <w:p w:rsidR="009433D9" w:rsidRPr="00BD59C2" w:rsidRDefault="009433D9" w:rsidP="00BD59C2">
            <w:pPr>
              <w:spacing w:before="40" w:after="40"/>
              <w:jc w:val="left"/>
              <w:rPr>
                <w:b/>
              </w:rPr>
            </w:pPr>
            <w:r w:rsidRPr="00BD59C2">
              <w:rPr>
                <w:b/>
              </w:rPr>
              <w:t>Baseline Characteristics</w:t>
            </w:r>
          </w:p>
        </w:tc>
        <w:tc>
          <w:tcPr>
            <w:tcW w:w="1843" w:type="dxa"/>
            <w:shd w:val="clear" w:color="auto" w:fill="auto"/>
            <w:vAlign w:val="center"/>
          </w:tcPr>
          <w:p w:rsidR="009433D9" w:rsidRDefault="009433D9" w:rsidP="00BD59C2">
            <w:pPr>
              <w:spacing w:before="40" w:after="40"/>
              <w:jc w:val="center"/>
            </w:pPr>
            <w:r>
              <w:t>OCREVUS</w:t>
            </w:r>
          </w:p>
          <w:p w:rsidR="009433D9" w:rsidRPr="00E14029" w:rsidRDefault="009433D9" w:rsidP="00BD59C2">
            <w:pPr>
              <w:spacing w:before="40" w:after="40"/>
              <w:jc w:val="center"/>
            </w:pPr>
            <w:r>
              <w:t>600 mg (n=410)</w:t>
            </w:r>
          </w:p>
        </w:tc>
        <w:tc>
          <w:tcPr>
            <w:tcW w:w="1559" w:type="dxa"/>
            <w:shd w:val="clear" w:color="auto" w:fill="auto"/>
            <w:vAlign w:val="center"/>
          </w:tcPr>
          <w:p w:rsidR="009433D9" w:rsidRPr="00E14029" w:rsidRDefault="009433D9" w:rsidP="00BD59C2">
            <w:pPr>
              <w:spacing w:before="40" w:after="40"/>
              <w:jc w:val="center"/>
            </w:pPr>
            <w:r>
              <w:t>IFN 44 mcg (n=411)</w:t>
            </w:r>
          </w:p>
        </w:tc>
        <w:tc>
          <w:tcPr>
            <w:tcW w:w="1843" w:type="dxa"/>
            <w:shd w:val="clear" w:color="auto" w:fill="auto"/>
            <w:vAlign w:val="center"/>
          </w:tcPr>
          <w:p w:rsidR="009433D9" w:rsidRDefault="009433D9" w:rsidP="00BD59C2">
            <w:pPr>
              <w:spacing w:before="40" w:after="40"/>
              <w:jc w:val="center"/>
            </w:pPr>
            <w:r>
              <w:t>OCREVUS</w:t>
            </w:r>
          </w:p>
          <w:p w:rsidR="009433D9" w:rsidRPr="00E14029" w:rsidRDefault="009433D9" w:rsidP="00BD59C2">
            <w:pPr>
              <w:spacing w:before="40" w:after="40"/>
              <w:jc w:val="center"/>
            </w:pPr>
            <w:r>
              <w:t>600 mg (n=417)</w:t>
            </w:r>
          </w:p>
        </w:tc>
        <w:tc>
          <w:tcPr>
            <w:tcW w:w="1666" w:type="dxa"/>
            <w:shd w:val="clear" w:color="auto" w:fill="auto"/>
            <w:vAlign w:val="center"/>
          </w:tcPr>
          <w:p w:rsidR="009433D9" w:rsidRPr="00E14029" w:rsidRDefault="009433D9" w:rsidP="00BD59C2">
            <w:pPr>
              <w:spacing w:before="40" w:after="40"/>
              <w:jc w:val="center"/>
            </w:pPr>
            <w:r>
              <w:t>IFN 44 mcg (n=418)</w:t>
            </w:r>
          </w:p>
        </w:tc>
      </w:tr>
      <w:tr w:rsidR="00E14029" w:rsidRPr="00E14029" w:rsidTr="00BD59C2">
        <w:tc>
          <w:tcPr>
            <w:tcW w:w="2376" w:type="dxa"/>
            <w:shd w:val="clear" w:color="auto" w:fill="auto"/>
          </w:tcPr>
          <w:p w:rsidR="00E14029" w:rsidRPr="00E14029" w:rsidRDefault="009433D9" w:rsidP="00BD59C2">
            <w:pPr>
              <w:spacing w:before="40" w:after="40"/>
              <w:jc w:val="left"/>
            </w:pPr>
            <w:r>
              <w:t>Mean age (years)</w:t>
            </w:r>
          </w:p>
        </w:tc>
        <w:tc>
          <w:tcPr>
            <w:tcW w:w="1843" w:type="dxa"/>
            <w:shd w:val="clear" w:color="auto" w:fill="auto"/>
          </w:tcPr>
          <w:p w:rsidR="00E14029" w:rsidRPr="00E14029" w:rsidRDefault="009433D9" w:rsidP="00BD59C2">
            <w:pPr>
              <w:spacing w:before="40" w:after="40"/>
              <w:jc w:val="center"/>
            </w:pPr>
            <w:r>
              <w:t>37.1</w:t>
            </w:r>
          </w:p>
        </w:tc>
        <w:tc>
          <w:tcPr>
            <w:tcW w:w="1559" w:type="dxa"/>
            <w:shd w:val="clear" w:color="auto" w:fill="auto"/>
          </w:tcPr>
          <w:p w:rsidR="00E14029" w:rsidRPr="00E14029" w:rsidRDefault="009433D9" w:rsidP="00BD59C2">
            <w:pPr>
              <w:spacing w:before="40" w:after="40"/>
              <w:jc w:val="center"/>
            </w:pPr>
            <w:r>
              <w:t>36.9</w:t>
            </w:r>
          </w:p>
        </w:tc>
        <w:tc>
          <w:tcPr>
            <w:tcW w:w="1843" w:type="dxa"/>
            <w:shd w:val="clear" w:color="auto" w:fill="auto"/>
          </w:tcPr>
          <w:p w:rsidR="00E14029" w:rsidRPr="00E14029" w:rsidRDefault="009433D9" w:rsidP="00BD59C2">
            <w:pPr>
              <w:spacing w:before="40" w:after="40"/>
              <w:jc w:val="center"/>
            </w:pPr>
            <w:r>
              <w:t>37.2</w:t>
            </w:r>
          </w:p>
        </w:tc>
        <w:tc>
          <w:tcPr>
            <w:tcW w:w="1666" w:type="dxa"/>
            <w:shd w:val="clear" w:color="auto" w:fill="auto"/>
          </w:tcPr>
          <w:p w:rsidR="00E14029" w:rsidRPr="00E14029" w:rsidRDefault="009433D9" w:rsidP="00BD59C2">
            <w:pPr>
              <w:spacing w:before="40" w:after="40"/>
              <w:jc w:val="center"/>
            </w:pPr>
            <w:r>
              <w:t>37.4</w:t>
            </w:r>
          </w:p>
        </w:tc>
      </w:tr>
      <w:tr w:rsidR="00E14029" w:rsidRPr="00E14029" w:rsidTr="00BD59C2">
        <w:tc>
          <w:tcPr>
            <w:tcW w:w="2376" w:type="dxa"/>
            <w:shd w:val="clear" w:color="auto" w:fill="auto"/>
          </w:tcPr>
          <w:p w:rsidR="00E14029" w:rsidRPr="00E14029" w:rsidRDefault="009433D9" w:rsidP="00BD59C2">
            <w:pPr>
              <w:spacing w:before="40" w:after="40"/>
              <w:jc w:val="left"/>
            </w:pPr>
            <w:r>
              <w:t>Gender distribution (% male/% female)</w:t>
            </w:r>
          </w:p>
        </w:tc>
        <w:tc>
          <w:tcPr>
            <w:tcW w:w="1843" w:type="dxa"/>
            <w:shd w:val="clear" w:color="auto" w:fill="auto"/>
            <w:vAlign w:val="center"/>
          </w:tcPr>
          <w:p w:rsidR="00E14029" w:rsidRPr="00E14029" w:rsidRDefault="009433D9" w:rsidP="00BD59C2">
            <w:pPr>
              <w:spacing w:before="40" w:after="40"/>
              <w:jc w:val="center"/>
            </w:pPr>
            <w:r>
              <w:t>34.1 / 65.9</w:t>
            </w:r>
          </w:p>
        </w:tc>
        <w:tc>
          <w:tcPr>
            <w:tcW w:w="1559" w:type="dxa"/>
            <w:shd w:val="clear" w:color="auto" w:fill="auto"/>
            <w:vAlign w:val="center"/>
          </w:tcPr>
          <w:p w:rsidR="00E14029" w:rsidRPr="00E14029" w:rsidRDefault="009433D9" w:rsidP="00BD59C2">
            <w:pPr>
              <w:spacing w:before="40" w:after="40"/>
              <w:jc w:val="center"/>
            </w:pPr>
            <w:r>
              <w:t>33.8 / 66.2</w:t>
            </w:r>
          </w:p>
        </w:tc>
        <w:tc>
          <w:tcPr>
            <w:tcW w:w="1843" w:type="dxa"/>
            <w:shd w:val="clear" w:color="auto" w:fill="auto"/>
            <w:vAlign w:val="center"/>
          </w:tcPr>
          <w:p w:rsidR="00E14029" w:rsidRPr="00E14029" w:rsidRDefault="009433D9" w:rsidP="00BD59C2">
            <w:pPr>
              <w:spacing w:before="40" w:after="40"/>
              <w:jc w:val="center"/>
            </w:pPr>
            <w:r>
              <w:t>35.0 / 65.0</w:t>
            </w:r>
          </w:p>
        </w:tc>
        <w:tc>
          <w:tcPr>
            <w:tcW w:w="1666" w:type="dxa"/>
            <w:shd w:val="clear" w:color="auto" w:fill="auto"/>
            <w:vAlign w:val="center"/>
          </w:tcPr>
          <w:p w:rsidR="00E14029" w:rsidRPr="00E14029" w:rsidRDefault="009433D9" w:rsidP="00BD59C2">
            <w:pPr>
              <w:spacing w:before="40" w:after="40"/>
              <w:jc w:val="center"/>
            </w:pPr>
            <w:r>
              <w:t>33.0 / 67.0</w:t>
            </w:r>
          </w:p>
        </w:tc>
      </w:tr>
      <w:tr w:rsidR="00E14029" w:rsidRPr="00E14029" w:rsidTr="00BD59C2">
        <w:tc>
          <w:tcPr>
            <w:tcW w:w="2376" w:type="dxa"/>
            <w:shd w:val="clear" w:color="auto" w:fill="auto"/>
          </w:tcPr>
          <w:p w:rsidR="00E14029" w:rsidRPr="00E14029" w:rsidRDefault="009433D9" w:rsidP="00BD59C2">
            <w:pPr>
              <w:spacing w:before="40" w:after="40"/>
              <w:jc w:val="left"/>
            </w:pPr>
            <w:r>
              <w:t>Mean/Median duration since onset of MS symptoms (years)</w:t>
            </w:r>
          </w:p>
        </w:tc>
        <w:tc>
          <w:tcPr>
            <w:tcW w:w="1843" w:type="dxa"/>
            <w:shd w:val="clear" w:color="auto" w:fill="auto"/>
            <w:vAlign w:val="center"/>
          </w:tcPr>
          <w:p w:rsidR="00E14029" w:rsidRPr="00E14029" w:rsidRDefault="009433D9" w:rsidP="00BD59C2">
            <w:pPr>
              <w:spacing w:before="40" w:after="40"/>
              <w:jc w:val="center"/>
            </w:pPr>
            <w:r>
              <w:t>6.74 / 4.88</w:t>
            </w:r>
          </w:p>
        </w:tc>
        <w:tc>
          <w:tcPr>
            <w:tcW w:w="1559" w:type="dxa"/>
            <w:shd w:val="clear" w:color="auto" w:fill="auto"/>
            <w:vAlign w:val="center"/>
          </w:tcPr>
          <w:p w:rsidR="00E14029" w:rsidRPr="00E14029" w:rsidRDefault="009433D9" w:rsidP="00BD59C2">
            <w:pPr>
              <w:spacing w:before="40" w:after="40"/>
              <w:jc w:val="center"/>
            </w:pPr>
            <w:r>
              <w:t>6.25 / 4.62</w:t>
            </w:r>
          </w:p>
        </w:tc>
        <w:tc>
          <w:tcPr>
            <w:tcW w:w="1843" w:type="dxa"/>
            <w:shd w:val="clear" w:color="auto" w:fill="auto"/>
            <w:vAlign w:val="center"/>
          </w:tcPr>
          <w:p w:rsidR="00E14029" w:rsidRPr="00E14029" w:rsidRDefault="009433D9" w:rsidP="00BD59C2">
            <w:pPr>
              <w:spacing w:before="40" w:after="40"/>
              <w:jc w:val="center"/>
            </w:pPr>
            <w:r>
              <w:t>6.72 / 5.16</w:t>
            </w:r>
          </w:p>
        </w:tc>
        <w:tc>
          <w:tcPr>
            <w:tcW w:w="1666" w:type="dxa"/>
            <w:shd w:val="clear" w:color="auto" w:fill="auto"/>
            <w:vAlign w:val="center"/>
          </w:tcPr>
          <w:p w:rsidR="00E14029" w:rsidRPr="00E14029" w:rsidRDefault="009433D9" w:rsidP="00BD59C2">
            <w:pPr>
              <w:spacing w:before="40" w:after="40"/>
              <w:jc w:val="center"/>
            </w:pPr>
            <w:r>
              <w:t>6.68 / 5.07</w:t>
            </w:r>
          </w:p>
        </w:tc>
      </w:tr>
      <w:tr w:rsidR="00E14029" w:rsidRPr="00E14029" w:rsidTr="00BD59C2">
        <w:tc>
          <w:tcPr>
            <w:tcW w:w="2376" w:type="dxa"/>
            <w:shd w:val="clear" w:color="auto" w:fill="auto"/>
          </w:tcPr>
          <w:p w:rsidR="00E14029" w:rsidRPr="00E14029" w:rsidRDefault="00D67231" w:rsidP="00BD59C2">
            <w:pPr>
              <w:spacing w:before="40" w:after="40"/>
              <w:jc w:val="left"/>
            </w:pPr>
            <w:r>
              <w:t xml:space="preserve">Mean/Median disease </w:t>
            </w:r>
            <w:r>
              <w:lastRenderedPageBreak/>
              <w:t>duration since diagnosis (years)</w:t>
            </w:r>
          </w:p>
        </w:tc>
        <w:tc>
          <w:tcPr>
            <w:tcW w:w="1843" w:type="dxa"/>
            <w:shd w:val="clear" w:color="auto" w:fill="auto"/>
            <w:vAlign w:val="center"/>
          </w:tcPr>
          <w:p w:rsidR="00E14029" w:rsidRPr="00E14029" w:rsidRDefault="00D67231" w:rsidP="00BD59C2">
            <w:pPr>
              <w:spacing w:before="40" w:after="40"/>
              <w:jc w:val="center"/>
            </w:pPr>
            <w:r>
              <w:lastRenderedPageBreak/>
              <w:t>3.82 / 1.53</w:t>
            </w:r>
          </w:p>
        </w:tc>
        <w:tc>
          <w:tcPr>
            <w:tcW w:w="1559" w:type="dxa"/>
            <w:shd w:val="clear" w:color="auto" w:fill="auto"/>
            <w:vAlign w:val="center"/>
          </w:tcPr>
          <w:p w:rsidR="00E14029" w:rsidRPr="00E14029" w:rsidRDefault="00D67231" w:rsidP="00BD59C2">
            <w:pPr>
              <w:spacing w:before="40" w:after="40"/>
              <w:jc w:val="center"/>
            </w:pPr>
            <w:r>
              <w:t>3.71 / 1.57</w:t>
            </w:r>
          </w:p>
        </w:tc>
        <w:tc>
          <w:tcPr>
            <w:tcW w:w="1843" w:type="dxa"/>
            <w:shd w:val="clear" w:color="auto" w:fill="auto"/>
            <w:vAlign w:val="center"/>
          </w:tcPr>
          <w:p w:rsidR="00E14029" w:rsidRPr="00E14029" w:rsidRDefault="00D67231" w:rsidP="00BD59C2">
            <w:pPr>
              <w:spacing w:before="40" w:after="40"/>
              <w:jc w:val="center"/>
            </w:pPr>
            <w:r>
              <w:t>4.15 / 2.10</w:t>
            </w:r>
          </w:p>
        </w:tc>
        <w:tc>
          <w:tcPr>
            <w:tcW w:w="1666" w:type="dxa"/>
            <w:shd w:val="clear" w:color="auto" w:fill="auto"/>
            <w:vAlign w:val="center"/>
          </w:tcPr>
          <w:p w:rsidR="00E14029" w:rsidRPr="00E14029" w:rsidRDefault="00D67231" w:rsidP="00BD59C2">
            <w:pPr>
              <w:spacing w:before="40" w:after="40"/>
              <w:jc w:val="center"/>
            </w:pPr>
            <w:r>
              <w:t>4.13 / 1.84</w:t>
            </w:r>
          </w:p>
        </w:tc>
      </w:tr>
      <w:tr w:rsidR="00DE4274" w:rsidRPr="00E14029" w:rsidTr="00BD59C2">
        <w:tc>
          <w:tcPr>
            <w:tcW w:w="2376" w:type="dxa"/>
            <w:shd w:val="clear" w:color="auto" w:fill="auto"/>
          </w:tcPr>
          <w:p w:rsidR="00DE4274" w:rsidRDefault="00DE4274" w:rsidP="00BD59C2">
            <w:pPr>
              <w:spacing w:before="40" w:after="40"/>
              <w:jc w:val="left"/>
            </w:pPr>
            <w:r>
              <w:lastRenderedPageBreak/>
              <w:t>Mean EDSS</w:t>
            </w:r>
          </w:p>
        </w:tc>
        <w:tc>
          <w:tcPr>
            <w:tcW w:w="1843" w:type="dxa"/>
            <w:shd w:val="clear" w:color="auto" w:fill="auto"/>
            <w:vAlign w:val="center"/>
          </w:tcPr>
          <w:p w:rsidR="00DE4274" w:rsidRDefault="00DE4274" w:rsidP="00BD59C2">
            <w:pPr>
              <w:spacing w:before="40" w:after="40"/>
              <w:jc w:val="center"/>
            </w:pPr>
            <w:r>
              <w:t>2.82</w:t>
            </w:r>
          </w:p>
        </w:tc>
        <w:tc>
          <w:tcPr>
            <w:tcW w:w="1559" w:type="dxa"/>
            <w:shd w:val="clear" w:color="auto" w:fill="auto"/>
            <w:vAlign w:val="center"/>
          </w:tcPr>
          <w:p w:rsidR="00DE4274" w:rsidRDefault="00DE4274" w:rsidP="00BD59C2">
            <w:pPr>
              <w:spacing w:before="40" w:after="40"/>
              <w:jc w:val="center"/>
            </w:pPr>
            <w:r>
              <w:t>2.71</w:t>
            </w:r>
          </w:p>
        </w:tc>
        <w:tc>
          <w:tcPr>
            <w:tcW w:w="1843" w:type="dxa"/>
            <w:shd w:val="clear" w:color="auto" w:fill="auto"/>
            <w:vAlign w:val="center"/>
          </w:tcPr>
          <w:p w:rsidR="00DE4274" w:rsidRDefault="00DE4274" w:rsidP="00BD59C2">
            <w:pPr>
              <w:spacing w:before="40" w:after="40"/>
              <w:jc w:val="center"/>
            </w:pPr>
            <w:r>
              <w:t>2.73</w:t>
            </w:r>
          </w:p>
        </w:tc>
        <w:tc>
          <w:tcPr>
            <w:tcW w:w="1666" w:type="dxa"/>
            <w:shd w:val="clear" w:color="auto" w:fill="auto"/>
            <w:vAlign w:val="center"/>
          </w:tcPr>
          <w:p w:rsidR="00DE4274" w:rsidRDefault="00DE4274" w:rsidP="00BD59C2">
            <w:pPr>
              <w:spacing w:before="40" w:after="40"/>
              <w:jc w:val="center"/>
            </w:pPr>
            <w:r>
              <w:t>2.79</w:t>
            </w:r>
          </w:p>
        </w:tc>
      </w:tr>
      <w:tr w:rsidR="00E14029" w:rsidRPr="00E14029" w:rsidTr="00BD59C2">
        <w:tc>
          <w:tcPr>
            <w:tcW w:w="2376" w:type="dxa"/>
            <w:shd w:val="clear" w:color="auto" w:fill="auto"/>
          </w:tcPr>
          <w:p w:rsidR="00E14029" w:rsidRPr="00E14029" w:rsidRDefault="00D67231" w:rsidP="00BD59C2">
            <w:pPr>
              <w:spacing w:before="40" w:after="40"/>
              <w:jc w:val="left"/>
            </w:pPr>
            <w:r>
              <w:t>Mean number of relapses in the last year</w:t>
            </w:r>
          </w:p>
        </w:tc>
        <w:tc>
          <w:tcPr>
            <w:tcW w:w="1843" w:type="dxa"/>
            <w:shd w:val="clear" w:color="auto" w:fill="auto"/>
            <w:vAlign w:val="center"/>
          </w:tcPr>
          <w:p w:rsidR="00E14029" w:rsidRPr="00E14029" w:rsidRDefault="00D67231" w:rsidP="00BD59C2">
            <w:pPr>
              <w:spacing w:before="40" w:after="40"/>
              <w:jc w:val="center"/>
            </w:pPr>
            <w:r>
              <w:t>1.31</w:t>
            </w:r>
          </w:p>
        </w:tc>
        <w:tc>
          <w:tcPr>
            <w:tcW w:w="1559" w:type="dxa"/>
            <w:shd w:val="clear" w:color="auto" w:fill="auto"/>
            <w:vAlign w:val="center"/>
          </w:tcPr>
          <w:p w:rsidR="00E14029" w:rsidRPr="00E14029" w:rsidRDefault="00D67231" w:rsidP="00BD59C2">
            <w:pPr>
              <w:spacing w:before="40" w:after="40"/>
              <w:jc w:val="center"/>
            </w:pPr>
            <w:r>
              <w:t>1.33</w:t>
            </w:r>
          </w:p>
        </w:tc>
        <w:tc>
          <w:tcPr>
            <w:tcW w:w="1843" w:type="dxa"/>
            <w:shd w:val="clear" w:color="auto" w:fill="auto"/>
            <w:vAlign w:val="center"/>
          </w:tcPr>
          <w:p w:rsidR="00E14029" w:rsidRPr="00E14029" w:rsidRDefault="00D67231" w:rsidP="00BD59C2">
            <w:pPr>
              <w:spacing w:before="40" w:after="40"/>
              <w:jc w:val="center"/>
            </w:pPr>
            <w:r>
              <w:t>1.32</w:t>
            </w:r>
          </w:p>
        </w:tc>
        <w:tc>
          <w:tcPr>
            <w:tcW w:w="1666" w:type="dxa"/>
            <w:shd w:val="clear" w:color="auto" w:fill="auto"/>
            <w:vAlign w:val="center"/>
          </w:tcPr>
          <w:p w:rsidR="00E14029" w:rsidRPr="00E14029" w:rsidRDefault="00D67231" w:rsidP="00BD59C2">
            <w:pPr>
              <w:spacing w:before="40" w:after="40"/>
              <w:jc w:val="center"/>
            </w:pPr>
            <w:r>
              <w:t>1.34</w:t>
            </w:r>
          </w:p>
        </w:tc>
      </w:tr>
      <w:tr w:rsidR="00E14029" w:rsidRPr="00E14029" w:rsidTr="00BD59C2">
        <w:tc>
          <w:tcPr>
            <w:tcW w:w="2376" w:type="dxa"/>
            <w:shd w:val="clear" w:color="auto" w:fill="auto"/>
          </w:tcPr>
          <w:p w:rsidR="00E14029" w:rsidRPr="00E14029" w:rsidRDefault="00D67231" w:rsidP="00BD59C2">
            <w:pPr>
              <w:spacing w:before="40" w:after="40"/>
              <w:jc w:val="left"/>
            </w:pPr>
            <w:r>
              <w:t xml:space="preserve">Mean </w:t>
            </w:r>
            <w:proofErr w:type="spellStart"/>
            <w:r>
              <w:t>Gd</w:t>
            </w:r>
            <w:proofErr w:type="spellEnd"/>
            <w:r>
              <w:t>-enhancing T1 lesion count</w:t>
            </w:r>
          </w:p>
        </w:tc>
        <w:tc>
          <w:tcPr>
            <w:tcW w:w="1843" w:type="dxa"/>
            <w:shd w:val="clear" w:color="auto" w:fill="auto"/>
            <w:vAlign w:val="center"/>
          </w:tcPr>
          <w:p w:rsidR="00E14029" w:rsidRPr="00E14029" w:rsidRDefault="00D67231" w:rsidP="00BD59C2">
            <w:pPr>
              <w:spacing w:before="40" w:after="40"/>
              <w:jc w:val="center"/>
            </w:pPr>
            <w:r>
              <w:t>1.69</w:t>
            </w:r>
          </w:p>
        </w:tc>
        <w:tc>
          <w:tcPr>
            <w:tcW w:w="1559" w:type="dxa"/>
            <w:shd w:val="clear" w:color="auto" w:fill="auto"/>
            <w:vAlign w:val="center"/>
          </w:tcPr>
          <w:p w:rsidR="00E14029" w:rsidRPr="00E14029" w:rsidRDefault="00D67231" w:rsidP="00BD59C2">
            <w:pPr>
              <w:spacing w:before="40" w:after="40"/>
              <w:jc w:val="center"/>
            </w:pPr>
            <w:r>
              <w:t>1.87</w:t>
            </w:r>
          </w:p>
        </w:tc>
        <w:tc>
          <w:tcPr>
            <w:tcW w:w="1843" w:type="dxa"/>
            <w:shd w:val="clear" w:color="auto" w:fill="auto"/>
            <w:vAlign w:val="center"/>
          </w:tcPr>
          <w:p w:rsidR="00E14029" w:rsidRPr="00E14029" w:rsidRDefault="00D67231" w:rsidP="00BD59C2">
            <w:pPr>
              <w:spacing w:before="40" w:after="40"/>
              <w:jc w:val="center"/>
            </w:pPr>
            <w:r>
              <w:t>1.82</w:t>
            </w:r>
          </w:p>
        </w:tc>
        <w:tc>
          <w:tcPr>
            <w:tcW w:w="1666" w:type="dxa"/>
            <w:shd w:val="clear" w:color="auto" w:fill="auto"/>
            <w:vAlign w:val="center"/>
          </w:tcPr>
          <w:p w:rsidR="00E14029" w:rsidRPr="00E14029" w:rsidRDefault="00D67231" w:rsidP="00BD59C2">
            <w:pPr>
              <w:spacing w:before="40" w:after="40"/>
              <w:jc w:val="center"/>
            </w:pPr>
            <w:r>
              <w:t>1.95</w:t>
            </w:r>
          </w:p>
        </w:tc>
      </w:tr>
      <w:tr w:rsidR="00E14029" w:rsidRPr="00E14029" w:rsidTr="00BD59C2">
        <w:tc>
          <w:tcPr>
            <w:tcW w:w="2376" w:type="dxa"/>
            <w:shd w:val="clear" w:color="auto" w:fill="auto"/>
          </w:tcPr>
          <w:p w:rsidR="00E14029" w:rsidRPr="00E14029" w:rsidRDefault="00D67231" w:rsidP="00BD59C2">
            <w:pPr>
              <w:spacing w:before="40" w:after="40"/>
              <w:jc w:val="left"/>
            </w:pPr>
            <w:r>
              <w:t>Mean T2 lesion count</w:t>
            </w:r>
          </w:p>
        </w:tc>
        <w:tc>
          <w:tcPr>
            <w:tcW w:w="1843" w:type="dxa"/>
            <w:shd w:val="clear" w:color="auto" w:fill="auto"/>
            <w:vAlign w:val="center"/>
          </w:tcPr>
          <w:p w:rsidR="00E14029" w:rsidRPr="00E14029" w:rsidRDefault="00D67231" w:rsidP="00BD59C2">
            <w:pPr>
              <w:spacing w:before="40" w:after="40"/>
              <w:jc w:val="center"/>
            </w:pPr>
            <w:r>
              <w:t>51.04</w:t>
            </w:r>
          </w:p>
        </w:tc>
        <w:tc>
          <w:tcPr>
            <w:tcW w:w="1559" w:type="dxa"/>
            <w:shd w:val="clear" w:color="auto" w:fill="auto"/>
            <w:vAlign w:val="center"/>
          </w:tcPr>
          <w:p w:rsidR="00E14029" w:rsidRPr="00E14029" w:rsidRDefault="00D67231" w:rsidP="00BD59C2">
            <w:pPr>
              <w:spacing w:before="40" w:after="40"/>
              <w:jc w:val="center"/>
            </w:pPr>
            <w:r>
              <w:t>51.06</w:t>
            </w:r>
          </w:p>
        </w:tc>
        <w:tc>
          <w:tcPr>
            <w:tcW w:w="1843" w:type="dxa"/>
            <w:shd w:val="clear" w:color="auto" w:fill="auto"/>
            <w:vAlign w:val="center"/>
          </w:tcPr>
          <w:p w:rsidR="00E14029" w:rsidRPr="00E14029" w:rsidRDefault="00D67231" w:rsidP="00BD59C2">
            <w:pPr>
              <w:spacing w:before="40" w:after="40"/>
              <w:jc w:val="center"/>
            </w:pPr>
            <w:r>
              <w:t>49.26</w:t>
            </w:r>
          </w:p>
        </w:tc>
        <w:tc>
          <w:tcPr>
            <w:tcW w:w="1666" w:type="dxa"/>
            <w:shd w:val="clear" w:color="auto" w:fill="auto"/>
            <w:vAlign w:val="center"/>
          </w:tcPr>
          <w:p w:rsidR="00E14029" w:rsidRPr="00E14029" w:rsidRDefault="00D67231" w:rsidP="00BD59C2">
            <w:pPr>
              <w:spacing w:before="40" w:after="40"/>
              <w:jc w:val="center"/>
            </w:pPr>
            <w:r>
              <w:t>51.01</w:t>
            </w:r>
          </w:p>
        </w:tc>
      </w:tr>
    </w:tbl>
    <w:p w:rsidR="008E6C53" w:rsidRDefault="008E6C53" w:rsidP="00260842">
      <w:pPr>
        <w:rPr>
          <w:color w:val="FF0000"/>
        </w:rPr>
      </w:pPr>
    </w:p>
    <w:p w:rsidR="0071433F" w:rsidRPr="00D67231" w:rsidRDefault="0071433F" w:rsidP="00D0271A">
      <w:r w:rsidRPr="00D67231">
        <w:rPr>
          <w:rFonts w:cs="Arial"/>
          <w:b/>
          <w:lang w:eastAsia="ko-KR" w:bidi="he-IL"/>
        </w:rPr>
        <w:t xml:space="preserve">Table </w:t>
      </w:r>
      <w:r w:rsidR="00D42D7B">
        <w:rPr>
          <w:rFonts w:cs="Arial"/>
          <w:b/>
          <w:lang w:eastAsia="ko-KR" w:bidi="he-IL"/>
        </w:rPr>
        <w:t>2</w:t>
      </w:r>
      <w:r w:rsidRPr="00D67231">
        <w:rPr>
          <w:rFonts w:cs="Arial"/>
          <w:b/>
          <w:lang w:eastAsia="ko-KR" w:bidi="he-IL"/>
        </w:rPr>
        <w:t xml:space="preserve"> </w:t>
      </w:r>
      <w:r w:rsidR="00D67231" w:rsidRPr="00D67231">
        <w:rPr>
          <w:rFonts w:cs="Arial"/>
          <w:b/>
          <w:lang w:eastAsia="ko-KR" w:bidi="he-IL"/>
        </w:rPr>
        <w:t xml:space="preserve">Key </w:t>
      </w:r>
      <w:r w:rsidR="00DB5451">
        <w:rPr>
          <w:rFonts w:cs="Arial"/>
          <w:b/>
          <w:lang w:eastAsia="ko-KR" w:bidi="he-IL"/>
        </w:rPr>
        <w:t>c</w:t>
      </w:r>
      <w:r w:rsidR="00D67231" w:rsidRPr="00D67231">
        <w:rPr>
          <w:rFonts w:cs="Arial"/>
          <w:b/>
          <w:lang w:eastAsia="ko-KR" w:bidi="he-IL"/>
        </w:rPr>
        <w:t xml:space="preserve">linical and MRI endpoints from </w:t>
      </w:r>
      <w:r w:rsidR="00DB5451">
        <w:rPr>
          <w:rFonts w:cs="Arial"/>
          <w:b/>
          <w:lang w:eastAsia="ko-KR" w:bidi="he-IL"/>
        </w:rPr>
        <w:t>s</w:t>
      </w:r>
      <w:r w:rsidR="00D67231" w:rsidRPr="00D67231">
        <w:rPr>
          <w:rFonts w:cs="Arial"/>
          <w:b/>
          <w:lang w:eastAsia="ko-KR" w:bidi="he-IL"/>
        </w:rPr>
        <w:t>tudies WA21092 and WA21093</w:t>
      </w:r>
      <w:r w:rsidRPr="00D6723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347"/>
        <w:gridCol w:w="36"/>
        <w:gridCol w:w="140"/>
        <w:gridCol w:w="50"/>
        <w:gridCol w:w="1121"/>
        <w:gridCol w:w="1258"/>
        <w:gridCol w:w="36"/>
        <w:gridCol w:w="70"/>
        <w:gridCol w:w="1152"/>
      </w:tblGrid>
      <w:tr w:rsidR="00D67231" w:rsidRPr="00D67231" w:rsidTr="00F536AF">
        <w:trPr>
          <w:trHeight w:val="353"/>
        </w:trPr>
        <w:tc>
          <w:tcPr>
            <w:tcW w:w="4077" w:type="dxa"/>
            <w:vMerge w:val="restart"/>
            <w:shd w:val="clear" w:color="auto" w:fill="auto"/>
            <w:vAlign w:val="bottom"/>
          </w:tcPr>
          <w:p w:rsidR="00D67231" w:rsidRPr="00D67231" w:rsidRDefault="00D67231" w:rsidP="00D67231">
            <w:pPr>
              <w:spacing w:before="40" w:after="40"/>
              <w:jc w:val="left"/>
              <w:rPr>
                <w:b/>
                <w:szCs w:val="24"/>
                <w:lang w:val="en-US"/>
              </w:rPr>
            </w:pPr>
          </w:p>
        </w:tc>
        <w:tc>
          <w:tcPr>
            <w:tcW w:w="2694" w:type="dxa"/>
            <w:gridSpan w:val="5"/>
            <w:tcBorders>
              <w:bottom w:val="single" w:sz="4" w:space="0" w:color="auto"/>
            </w:tcBorders>
            <w:shd w:val="clear" w:color="auto" w:fill="auto"/>
            <w:vAlign w:val="center"/>
          </w:tcPr>
          <w:p w:rsidR="00D67231" w:rsidRPr="00D67231" w:rsidRDefault="00D67231" w:rsidP="00D67231">
            <w:pPr>
              <w:spacing w:before="40" w:after="40"/>
              <w:jc w:val="center"/>
              <w:rPr>
                <w:b/>
                <w:sz w:val="22"/>
                <w:lang w:val="en-US"/>
              </w:rPr>
            </w:pPr>
            <w:r w:rsidRPr="00D67231">
              <w:rPr>
                <w:b/>
                <w:sz w:val="22"/>
                <w:lang w:val="en-US"/>
              </w:rPr>
              <w:t>Study 1: WA21092 (OPERA I)</w:t>
            </w:r>
          </w:p>
        </w:tc>
        <w:tc>
          <w:tcPr>
            <w:tcW w:w="2516" w:type="dxa"/>
            <w:gridSpan w:val="4"/>
            <w:shd w:val="clear" w:color="auto" w:fill="auto"/>
            <w:vAlign w:val="center"/>
          </w:tcPr>
          <w:p w:rsidR="00D67231" w:rsidRPr="00D67231" w:rsidRDefault="00D67231" w:rsidP="00D67231">
            <w:pPr>
              <w:spacing w:before="40" w:after="40"/>
              <w:jc w:val="center"/>
              <w:rPr>
                <w:b/>
                <w:sz w:val="22"/>
                <w:lang w:val="en-US"/>
              </w:rPr>
            </w:pPr>
            <w:r w:rsidRPr="00D67231">
              <w:rPr>
                <w:b/>
                <w:sz w:val="22"/>
                <w:lang w:val="en-US"/>
              </w:rPr>
              <w:t>Study 2: WA21093 (OPERA II)</w:t>
            </w:r>
          </w:p>
        </w:tc>
      </w:tr>
      <w:tr w:rsidR="00D67231" w:rsidRPr="00D67231" w:rsidTr="00F536AF">
        <w:trPr>
          <w:trHeight w:val="352"/>
        </w:trPr>
        <w:tc>
          <w:tcPr>
            <w:tcW w:w="4077" w:type="dxa"/>
            <w:vMerge/>
            <w:tcBorders>
              <w:bottom w:val="single" w:sz="4" w:space="0" w:color="auto"/>
            </w:tcBorders>
            <w:shd w:val="clear" w:color="auto" w:fill="auto"/>
            <w:vAlign w:val="center"/>
          </w:tcPr>
          <w:p w:rsidR="00D67231" w:rsidRPr="00D67231" w:rsidRDefault="00D67231" w:rsidP="004362B1">
            <w:pPr>
              <w:spacing w:before="40" w:after="40"/>
              <w:jc w:val="center"/>
              <w:rPr>
                <w:sz w:val="22"/>
                <w:lang w:val="en-US"/>
              </w:rPr>
            </w:pPr>
          </w:p>
        </w:tc>
        <w:tc>
          <w:tcPr>
            <w:tcW w:w="1573" w:type="dxa"/>
            <w:gridSpan w:val="4"/>
            <w:tcBorders>
              <w:bottom w:val="single" w:sz="4" w:space="0" w:color="auto"/>
            </w:tcBorders>
            <w:shd w:val="clear" w:color="auto" w:fill="auto"/>
            <w:vAlign w:val="center"/>
          </w:tcPr>
          <w:p w:rsidR="00D67231" w:rsidRPr="00D67231" w:rsidRDefault="00D67231" w:rsidP="00D67231">
            <w:pPr>
              <w:spacing w:before="40" w:after="40"/>
              <w:jc w:val="center"/>
              <w:rPr>
                <w:b/>
                <w:sz w:val="22"/>
                <w:lang w:val="en-US"/>
              </w:rPr>
            </w:pPr>
            <w:r w:rsidRPr="00D67231">
              <w:rPr>
                <w:b/>
                <w:sz w:val="22"/>
                <w:lang w:val="en-US"/>
              </w:rPr>
              <w:t>OCREVUS 600 mg (n=410)</w:t>
            </w:r>
          </w:p>
        </w:tc>
        <w:tc>
          <w:tcPr>
            <w:tcW w:w="1121" w:type="dxa"/>
            <w:tcBorders>
              <w:bottom w:val="single" w:sz="4" w:space="0" w:color="auto"/>
            </w:tcBorders>
            <w:shd w:val="clear" w:color="auto" w:fill="auto"/>
            <w:vAlign w:val="center"/>
          </w:tcPr>
          <w:p w:rsidR="00D67231" w:rsidRPr="00D67231" w:rsidRDefault="00D67231" w:rsidP="00D67231">
            <w:pPr>
              <w:spacing w:before="40" w:after="40"/>
              <w:jc w:val="center"/>
              <w:rPr>
                <w:b/>
                <w:sz w:val="22"/>
                <w:lang w:val="en-US"/>
              </w:rPr>
            </w:pPr>
            <w:r w:rsidRPr="00D67231">
              <w:rPr>
                <w:b/>
                <w:sz w:val="22"/>
                <w:lang w:val="en-US"/>
              </w:rPr>
              <w:t>IFN 44 mcg (n=411)</w:t>
            </w:r>
          </w:p>
        </w:tc>
        <w:tc>
          <w:tcPr>
            <w:tcW w:w="1364" w:type="dxa"/>
            <w:gridSpan w:val="3"/>
            <w:tcBorders>
              <w:bottom w:val="single" w:sz="4" w:space="0" w:color="auto"/>
            </w:tcBorders>
            <w:shd w:val="clear" w:color="auto" w:fill="auto"/>
            <w:vAlign w:val="center"/>
          </w:tcPr>
          <w:p w:rsidR="00D67231" w:rsidRPr="00D67231" w:rsidRDefault="00D67231" w:rsidP="00BD59C2">
            <w:pPr>
              <w:spacing w:before="40" w:after="40"/>
              <w:jc w:val="center"/>
              <w:rPr>
                <w:b/>
                <w:sz w:val="22"/>
                <w:lang w:val="en-US"/>
              </w:rPr>
            </w:pPr>
            <w:r w:rsidRPr="00D67231">
              <w:rPr>
                <w:b/>
                <w:sz w:val="22"/>
                <w:lang w:val="en-US"/>
              </w:rPr>
              <w:t>OCREVUS 600 mg (n=417)</w:t>
            </w:r>
          </w:p>
        </w:tc>
        <w:tc>
          <w:tcPr>
            <w:tcW w:w="1152" w:type="dxa"/>
            <w:tcBorders>
              <w:bottom w:val="single" w:sz="4" w:space="0" w:color="auto"/>
            </w:tcBorders>
            <w:shd w:val="clear" w:color="auto" w:fill="auto"/>
            <w:vAlign w:val="center"/>
          </w:tcPr>
          <w:p w:rsidR="00D67231" w:rsidRPr="00D67231" w:rsidRDefault="00D67231" w:rsidP="00BD59C2">
            <w:pPr>
              <w:spacing w:before="40" w:after="40"/>
              <w:jc w:val="center"/>
              <w:rPr>
                <w:b/>
                <w:sz w:val="22"/>
                <w:lang w:val="en-US"/>
              </w:rPr>
            </w:pPr>
            <w:r w:rsidRPr="00D67231">
              <w:rPr>
                <w:b/>
                <w:sz w:val="22"/>
                <w:lang w:val="en-US"/>
              </w:rPr>
              <w:t>IFN 44 mcg (n=418)</w:t>
            </w:r>
          </w:p>
        </w:tc>
      </w:tr>
      <w:tr w:rsidR="00D67231" w:rsidRPr="00D67231" w:rsidTr="00F536AF">
        <w:tc>
          <w:tcPr>
            <w:tcW w:w="9287" w:type="dxa"/>
            <w:gridSpan w:val="10"/>
            <w:tcBorders>
              <w:bottom w:val="single" w:sz="4" w:space="0" w:color="auto"/>
            </w:tcBorders>
            <w:shd w:val="clear" w:color="auto" w:fill="auto"/>
          </w:tcPr>
          <w:p w:rsidR="00D67231" w:rsidRPr="00D67231" w:rsidRDefault="00D67231" w:rsidP="00D67231">
            <w:pPr>
              <w:spacing w:before="40" w:after="40"/>
              <w:jc w:val="left"/>
              <w:rPr>
                <w:sz w:val="22"/>
                <w:lang w:val="en-US"/>
              </w:rPr>
            </w:pPr>
            <w:r w:rsidRPr="00D67231">
              <w:rPr>
                <w:b/>
                <w:sz w:val="22"/>
                <w:lang w:val="en-US"/>
              </w:rPr>
              <w:t>Clinical Endpoints</w:t>
            </w:r>
          </w:p>
        </w:tc>
      </w:tr>
      <w:tr w:rsidR="00D67231" w:rsidRPr="00D67231" w:rsidTr="00F536AF">
        <w:tc>
          <w:tcPr>
            <w:tcW w:w="4077" w:type="dxa"/>
            <w:tcBorders>
              <w:top w:val="single" w:sz="4" w:space="0" w:color="auto"/>
              <w:bottom w:val="nil"/>
            </w:tcBorders>
            <w:shd w:val="clear" w:color="auto" w:fill="auto"/>
            <w:vAlign w:val="center"/>
          </w:tcPr>
          <w:p w:rsidR="008E6C53" w:rsidRPr="008E6C53" w:rsidRDefault="008E6C53" w:rsidP="008E6C53">
            <w:pPr>
              <w:spacing w:before="40" w:after="40"/>
              <w:jc w:val="left"/>
              <w:rPr>
                <w:b/>
                <w:sz w:val="22"/>
                <w:lang w:val="en-US"/>
              </w:rPr>
            </w:pPr>
            <w:r w:rsidRPr="008E6C53">
              <w:rPr>
                <w:b/>
                <w:sz w:val="22"/>
                <w:lang w:val="en-US"/>
              </w:rPr>
              <w:t>Primary efficacy endpoint</w:t>
            </w:r>
          </w:p>
          <w:p w:rsidR="00D67231" w:rsidRPr="00D67231" w:rsidRDefault="00D67231" w:rsidP="008E6C53">
            <w:pPr>
              <w:spacing w:before="40" w:after="40"/>
              <w:jc w:val="left"/>
              <w:rPr>
                <w:sz w:val="22"/>
                <w:lang w:val="en-US"/>
              </w:rPr>
            </w:pPr>
            <w:proofErr w:type="spellStart"/>
            <w:r w:rsidRPr="00D67231">
              <w:rPr>
                <w:sz w:val="22"/>
                <w:lang w:val="en-US"/>
              </w:rPr>
              <w:t>Annualised</w:t>
            </w:r>
            <w:proofErr w:type="spellEnd"/>
            <w:r w:rsidRPr="00D67231">
              <w:rPr>
                <w:sz w:val="22"/>
                <w:lang w:val="en-US"/>
              </w:rPr>
              <w:t xml:space="preserve"> Relapse Rate </w:t>
            </w:r>
          </w:p>
        </w:tc>
        <w:tc>
          <w:tcPr>
            <w:tcW w:w="1523" w:type="dxa"/>
            <w:gridSpan w:val="3"/>
            <w:tcBorders>
              <w:top w:val="single" w:sz="4" w:space="0" w:color="auto"/>
              <w:bottom w:val="single" w:sz="4" w:space="0" w:color="auto"/>
              <w:right w:val="single" w:sz="4" w:space="0" w:color="auto"/>
            </w:tcBorders>
            <w:shd w:val="clear" w:color="auto" w:fill="auto"/>
            <w:vAlign w:val="center"/>
          </w:tcPr>
          <w:p w:rsidR="00D67231" w:rsidRPr="00D67231" w:rsidRDefault="00D67231" w:rsidP="00D67231">
            <w:pPr>
              <w:spacing w:before="40" w:after="40"/>
              <w:jc w:val="center"/>
              <w:rPr>
                <w:sz w:val="22"/>
                <w:lang w:val="en-US"/>
              </w:rPr>
            </w:pPr>
            <w:r w:rsidRPr="00D67231">
              <w:rPr>
                <w:sz w:val="22"/>
                <w:lang w:val="en-US"/>
              </w:rPr>
              <w:t>0.156</w:t>
            </w:r>
          </w:p>
        </w:tc>
        <w:tc>
          <w:tcPr>
            <w:tcW w:w="1171" w:type="dxa"/>
            <w:gridSpan w:val="2"/>
            <w:tcBorders>
              <w:top w:val="single" w:sz="4" w:space="0" w:color="auto"/>
              <w:bottom w:val="single" w:sz="4" w:space="0" w:color="auto"/>
              <w:right w:val="single" w:sz="4" w:space="0" w:color="auto"/>
            </w:tcBorders>
            <w:shd w:val="clear" w:color="auto" w:fill="auto"/>
            <w:vAlign w:val="center"/>
          </w:tcPr>
          <w:p w:rsidR="00D67231" w:rsidRPr="00D67231" w:rsidRDefault="00D67231" w:rsidP="00D67231">
            <w:pPr>
              <w:spacing w:before="40" w:after="40"/>
              <w:jc w:val="center"/>
              <w:rPr>
                <w:sz w:val="22"/>
                <w:lang w:val="en-US"/>
              </w:rPr>
            </w:pPr>
            <w:r w:rsidRPr="00D67231">
              <w:rPr>
                <w:sz w:val="22"/>
                <w:lang w:val="en-US"/>
              </w:rPr>
              <w:t>0.292</w:t>
            </w:r>
          </w:p>
        </w:tc>
        <w:tc>
          <w:tcPr>
            <w:tcW w:w="1294" w:type="dxa"/>
            <w:gridSpan w:val="2"/>
            <w:tcBorders>
              <w:top w:val="single" w:sz="4" w:space="0" w:color="auto"/>
              <w:left w:val="single" w:sz="4" w:space="0" w:color="auto"/>
              <w:bottom w:val="single" w:sz="4" w:space="0" w:color="auto"/>
            </w:tcBorders>
            <w:shd w:val="clear" w:color="auto" w:fill="auto"/>
            <w:vAlign w:val="center"/>
          </w:tcPr>
          <w:p w:rsidR="00D67231" w:rsidRPr="00D67231" w:rsidRDefault="00D67231" w:rsidP="00D67231">
            <w:pPr>
              <w:spacing w:before="40" w:after="40"/>
              <w:jc w:val="center"/>
              <w:rPr>
                <w:sz w:val="22"/>
                <w:lang w:val="en-US"/>
              </w:rPr>
            </w:pPr>
            <w:r w:rsidRPr="00D67231">
              <w:rPr>
                <w:sz w:val="22"/>
                <w:lang w:val="en-US"/>
              </w:rPr>
              <w:t>0.155</w:t>
            </w:r>
          </w:p>
        </w:tc>
        <w:tc>
          <w:tcPr>
            <w:tcW w:w="1222" w:type="dxa"/>
            <w:gridSpan w:val="2"/>
            <w:tcBorders>
              <w:top w:val="single" w:sz="4" w:space="0" w:color="auto"/>
              <w:left w:val="single" w:sz="4" w:space="0" w:color="auto"/>
              <w:bottom w:val="single" w:sz="4" w:space="0" w:color="auto"/>
            </w:tcBorders>
            <w:shd w:val="clear" w:color="auto" w:fill="auto"/>
            <w:vAlign w:val="center"/>
          </w:tcPr>
          <w:p w:rsidR="00D67231" w:rsidRPr="00D67231" w:rsidRDefault="00D67231" w:rsidP="00D67231">
            <w:pPr>
              <w:spacing w:before="40" w:after="40"/>
              <w:jc w:val="center"/>
              <w:rPr>
                <w:sz w:val="22"/>
                <w:lang w:val="en-US"/>
              </w:rPr>
            </w:pPr>
            <w:r w:rsidRPr="00D67231">
              <w:rPr>
                <w:sz w:val="22"/>
                <w:lang w:val="en-US"/>
              </w:rPr>
              <w:t>0.290</w:t>
            </w:r>
          </w:p>
        </w:tc>
      </w:tr>
      <w:tr w:rsidR="00D67231" w:rsidRPr="00D67231" w:rsidTr="00121CCF">
        <w:trPr>
          <w:trHeight w:val="452"/>
        </w:trPr>
        <w:tc>
          <w:tcPr>
            <w:tcW w:w="4077" w:type="dxa"/>
            <w:tcBorders>
              <w:top w:val="nil"/>
              <w:bottom w:val="single" w:sz="4" w:space="0" w:color="auto"/>
            </w:tcBorders>
            <w:shd w:val="clear" w:color="auto" w:fill="auto"/>
            <w:vAlign w:val="center"/>
          </w:tcPr>
          <w:p w:rsidR="0071433F" w:rsidRPr="00C55365" w:rsidRDefault="00D67231" w:rsidP="00C55365">
            <w:pPr>
              <w:spacing w:before="40" w:after="40"/>
              <w:jc w:val="right"/>
              <w:rPr>
                <w:sz w:val="22"/>
                <w:lang w:val="en-US"/>
              </w:rPr>
            </w:pPr>
            <w:r w:rsidRPr="00C55365">
              <w:rPr>
                <w:sz w:val="22"/>
                <w:lang w:val="en-US"/>
              </w:rPr>
              <w:t>Relative Reduction</w:t>
            </w:r>
          </w:p>
        </w:tc>
        <w:tc>
          <w:tcPr>
            <w:tcW w:w="2694" w:type="dxa"/>
            <w:gridSpan w:val="5"/>
            <w:tcBorders>
              <w:top w:val="single" w:sz="4" w:space="0" w:color="auto"/>
              <w:bottom w:val="single" w:sz="4" w:space="0" w:color="auto"/>
              <w:right w:val="single" w:sz="4" w:space="0" w:color="auto"/>
            </w:tcBorders>
            <w:shd w:val="clear" w:color="auto" w:fill="auto"/>
            <w:vAlign w:val="center"/>
          </w:tcPr>
          <w:p w:rsidR="0071433F" w:rsidRPr="00C55365" w:rsidRDefault="00D67231" w:rsidP="00D67231">
            <w:pPr>
              <w:spacing w:before="40" w:after="40"/>
              <w:jc w:val="center"/>
              <w:rPr>
                <w:sz w:val="22"/>
                <w:lang w:val="en-US"/>
              </w:rPr>
            </w:pPr>
            <w:r w:rsidRPr="00C55365">
              <w:rPr>
                <w:sz w:val="22"/>
                <w:lang w:val="en-US"/>
              </w:rPr>
              <w:t>46%</w:t>
            </w:r>
          </w:p>
          <w:p w:rsidR="00D67231" w:rsidRPr="00C55365" w:rsidRDefault="00D67231" w:rsidP="00D67231">
            <w:pPr>
              <w:spacing w:before="40" w:after="40"/>
              <w:jc w:val="center"/>
              <w:rPr>
                <w:sz w:val="22"/>
                <w:lang w:val="en-US"/>
              </w:rPr>
            </w:pPr>
            <w:r w:rsidRPr="00C55365">
              <w:rPr>
                <w:sz w:val="22"/>
                <w:lang w:val="en-US"/>
              </w:rPr>
              <w:t>(p &lt; 0.0001)</w:t>
            </w:r>
          </w:p>
        </w:tc>
        <w:tc>
          <w:tcPr>
            <w:tcW w:w="2516" w:type="dxa"/>
            <w:gridSpan w:val="4"/>
            <w:tcBorders>
              <w:top w:val="single" w:sz="4" w:space="0" w:color="auto"/>
              <w:left w:val="single" w:sz="4" w:space="0" w:color="auto"/>
              <w:bottom w:val="single" w:sz="4" w:space="0" w:color="auto"/>
            </w:tcBorders>
            <w:shd w:val="clear" w:color="auto" w:fill="auto"/>
            <w:vAlign w:val="center"/>
          </w:tcPr>
          <w:p w:rsidR="00D67231" w:rsidRPr="00C55365" w:rsidRDefault="00D67231" w:rsidP="00D67231">
            <w:pPr>
              <w:spacing w:before="40" w:after="40"/>
              <w:jc w:val="center"/>
              <w:rPr>
                <w:sz w:val="22"/>
                <w:lang w:val="en-US"/>
              </w:rPr>
            </w:pPr>
            <w:r w:rsidRPr="00C55365">
              <w:rPr>
                <w:sz w:val="22"/>
                <w:lang w:val="en-US"/>
              </w:rPr>
              <w:t>47%</w:t>
            </w:r>
          </w:p>
          <w:p w:rsidR="0071433F" w:rsidRPr="00C55365" w:rsidRDefault="00D67231" w:rsidP="00D67231">
            <w:pPr>
              <w:spacing w:before="40" w:after="40"/>
              <w:jc w:val="center"/>
              <w:rPr>
                <w:sz w:val="22"/>
                <w:lang w:val="en-US"/>
              </w:rPr>
            </w:pPr>
            <w:r w:rsidRPr="00C55365">
              <w:rPr>
                <w:sz w:val="22"/>
                <w:lang w:val="en-US"/>
              </w:rPr>
              <w:t>(p &lt; 0.0001)</w:t>
            </w:r>
          </w:p>
        </w:tc>
      </w:tr>
      <w:tr w:rsidR="0071433F" w:rsidRPr="00AE38AC" w:rsidTr="00121CCF">
        <w:trPr>
          <w:trHeight w:val="409"/>
        </w:trPr>
        <w:tc>
          <w:tcPr>
            <w:tcW w:w="4077" w:type="dxa"/>
            <w:tcBorders>
              <w:top w:val="single" w:sz="4" w:space="0" w:color="auto"/>
              <w:bottom w:val="nil"/>
            </w:tcBorders>
            <w:shd w:val="clear" w:color="auto" w:fill="auto"/>
          </w:tcPr>
          <w:p w:rsidR="0071433F" w:rsidRPr="00C55365" w:rsidRDefault="00C55365" w:rsidP="004362B1">
            <w:pPr>
              <w:spacing w:before="40" w:after="40"/>
              <w:jc w:val="left"/>
              <w:rPr>
                <w:sz w:val="22"/>
                <w:lang w:val="en-US"/>
              </w:rPr>
            </w:pPr>
            <w:r w:rsidRPr="00C55365">
              <w:rPr>
                <w:sz w:val="22"/>
                <w:lang w:val="en-US"/>
              </w:rPr>
              <w:t>Proportion of patients with 12-week Confirmed Disability Progression</w:t>
            </w:r>
            <w:r w:rsidRPr="00C55365">
              <w:rPr>
                <w:sz w:val="22"/>
                <w:vertAlign w:val="superscript"/>
                <w:lang w:val="en-US"/>
              </w:rPr>
              <w:t>3</w:t>
            </w:r>
          </w:p>
        </w:tc>
        <w:tc>
          <w:tcPr>
            <w:tcW w:w="5210" w:type="dxa"/>
            <w:gridSpan w:val="9"/>
            <w:tcBorders>
              <w:top w:val="single" w:sz="4" w:space="0" w:color="auto"/>
              <w:bottom w:val="single" w:sz="4" w:space="0" w:color="auto"/>
            </w:tcBorders>
            <w:shd w:val="clear" w:color="auto" w:fill="auto"/>
            <w:vAlign w:val="center"/>
          </w:tcPr>
          <w:p w:rsidR="00E919AF" w:rsidRPr="00C55365" w:rsidRDefault="00C55365" w:rsidP="00C55365">
            <w:pPr>
              <w:spacing w:before="40" w:after="40"/>
              <w:jc w:val="center"/>
              <w:rPr>
                <w:sz w:val="22"/>
                <w:lang w:val="en-US"/>
              </w:rPr>
            </w:pPr>
            <w:r w:rsidRPr="00C55365">
              <w:rPr>
                <w:sz w:val="22"/>
                <w:lang w:val="en-US"/>
              </w:rPr>
              <w:t>9.8% OCREVUS vs 15.2% IFN</w:t>
            </w:r>
          </w:p>
        </w:tc>
      </w:tr>
      <w:tr w:rsidR="00C55365" w:rsidRPr="00AE38AC" w:rsidTr="00121CCF">
        <w:trPr>
          <w:trHeight w:val="243"/>
        </w:trPr>
        <w:tc>
          <w:tcPr>
            <w:tcW w:w="4077" w:type="dxa"/>
            <w:tcBorders>
              <w:top w:val="nil"/>
              <w:bottom w:val="nil"/>
            </w:tcBorders>
            <w:shd w:val="clear" w:color="auto" w:fill="auto"/>
            <w:vAlign w:val="center"/>
          </w:tcPr>
          <w:p w:rsidR="00C55365" w:rsidRPr="00C55365" w:rsidRDefault="00C55365" w:rsidP="00C55365">
            <w:pPr>
              <w:spacing w:before="40" w:after="40"/>
              <w:jc w:val="right"/>
              <w:rPr>
                <w:sz w:val="22"/>
                <w:lang w:val="en-US"/>
              </w:rPr>
            </w:pPr>
            <w:r w:rsidRPr="00C55365">
              <w:rPr>
                <w:sz w:val="22"/>
                <w:lang w:val="en-US"/>
              </w:rPr>
              <w:t>Risk Reduction (Pooled Analysis</w:t>
            </w:r>
            <w:r w:rsidRPr="00C55365">
              <w:rPr>
                <w:sz w:val="22"/>
                <w:vertAlign w:val="superscript"/>
                <w:lang w:val="en-US"/>
              </w:rPr>
              <w:t>1</w:t>
            </w:r>
            <w:r w:rsidRPr="00C55365">
              <w:rPr>
                <w:sz w:val="22"/>
                <w:lang w:val="en-US"/>
              </w:rPr>
              <w:t>)</w:t>
            </w:r>
          </w:p>
        </w:tc>
        <w:tc>
          <w:tcPr>
            <w:tcW w:w="5210" w:type="dxa"/>
            <w:gridSpan w:val="9"/>
            <w:tcBorders>
              <w:top w:val="single" w:sz="4" w:space="0" w:color="auto"/>
              <w:bottom w:val="single" w:sz="4" w:space="0" w:color="auto"/>
            </w:tcBorders>
            <w:shd w:val="clear" w:color="auto" w:fill="auto"/>
            <w:vAlign w:val="center"/>
          </w:tcPr>
          <w:p w:rsidR="00C55365" w:rsidRPr="00C55365" w:rsidRDefault="00C55365" w:rsidP="00121CCF">
            <w:pPr>
              <w:spacing w:before="40" w:after="40"/>
              <w:jc w:val="center"/>
              <w:rPr>
                <w:sz w:val="22"/>
                <w:lang w:val="en-US"/>
              </w:rPr>
            </w:pPr>
            <w:r w:rsidRPr="00C55365">
              <w:rPr>
                <w:sz w:val="22"/>
                <w:lang w:val="en-US"/>
              </w:rPr>
              <w:t>40% (p=0.0006)</w:t>
            </w:r>
          </w:p>
        </w:tc>
      </w:tr>
      <w:tr w:rsidR="0071433F" w:rsidRPr="00AE38AC" w:rsidTr="00121CCF">
        <w:tc>
          <w:tcPr>
            <w:tcW w:w="4077" w:type="dxa"/>
            <w:tcBorders>
              <w:top w:val="nil"/>
              <w:bottom w:val="single" w:sz="4" w:space="0" w:color="auto"/>
            </w:tcBorders>
            <w:shd w:val="clear" w:color="auto" w:fill="auto"/>
            <w:vAlign w:val="center"/>
          </w:tcPr>
          <w:p w:rsidR="0071433F" w:rsidRPr="00C55365" w:rsidRDefault="00C55365" w:rsidP="00C55365">
            <w:pPr>
              <w:spacing w:before="40" w:after="40"/>
              <w:jc w:val="right"/>
              <w:rPr>
                <w:sz w:val="22"/>
                <w:lang w:val="en-US"/>
              </w:rPr>
            </w:pPr>
            <w:r w:rsidRPr="00C55365">
              <w:rPr>
                <w:sz w:val="22"/>
                <w:lang w:val="en-US"/>
              </w:rPr>
              <w:t>Risk Reduction (Individual Studies</w:t>
            </w:r>
            <w:r w:rsidRPr="00C55365">
              <w:rPr>
                <w:sz w:val="22"/>
                <w:vertAlign w:val="superscript"/>
                <w:lang w:val="en-US"/>
              </w:rPr>
              <w:t>2</w:t>
            </w:r>
            <w:r w:rsidRPr="00C55365">
              <w:rPr>
                <w:sz w:val="22"/>
                <w:lang w:val="en-US"/>
              </w:rPr>
              <w:t>)</w:t>
            </w:r>
          </w:p>
        </w:tc>
        <w:tc>
          <w:tcPr>
            <w:tcW w:w="2694" w:type="dxa"/>
            <w:gridSpan w:val="5"/>
            <w:tcBorders>
              <w:top w:val="single" w:sz="4" w:space="0" w:color="auto"/>
              <w:bottom w:val="single" w:sz="4" w:space="0" w:color="auto"/>
              <w:right w:val="single" w:sz="4" w:space="0" w:color="auto"/>
            </w:tcBorders>
            <w:shd w:val="clear" w:color="auto" w:fill="auto"/>
            <w:vAlign w:val="center"/>
          </w:tcPr>
          <w:p w:rsidR="00121CCF" w:rsidRDefault="00C55365" w:rsidP="00121CCF">
            <w:pPr>
              <w:spacing w:before="40" w:after="40"/>
              <w:jc w:val="center"/>
              <w:rPr>
                <w:sz w:val="22"/>
                <w:lang w:val="en-US"/>
              </w:rPr>
            </w:pPr>
            <w:r w:rsidRPr="00C55365">
              <w:rPr>
                <w:sz w:val="22"/>
                <w:lang w:val="en-US"/>
              </w:rPr>
              <w:t xml:space="preserve">43% </w:t>
            </w:r>
          </w:p>
          <w:p w:rsidR="0071433F" w:rsidRPr="00C55365" w:rsidRDefault="00C55365" w:rsidP="00121CCF">
            <w:pPr>
              <w:spacing w:before="40" w:after="40"/>
              <w:jc w:val="center"/>
              <w:rPr>
                <w:sz w:val="22"/>
                <w:lang w:val="en-US"/>
              </w:rPr>
            </w:pPr>
            <w:r w:rsidRPr="00C55365">
              <w:rPr>
                <w:sz w:val="22"/>
                <w:lang w:val="en-US"/>
              </w:rPr>
              <w:t>(p=0.0139)</w:t>
            </w:r>
          </w:p>
        </w:tc>
        <w:tc>
          <w:tcPr>
            <w:tcW w:w="2516" w:type="dxa"/>
            <w:gridSpan w:val="4"/>
            <w:tcBorders>
              <w:top w:val="single" w:sz="4" w:space="0" w:color="auto"/>
              <w:left w:val="single" w:sz="4" w:space="0" w:color="auto"/>
              <w:bottom w:val="single" w:sz="4" w:space="0" w:color="auto"/>
            </w:tcBorders>
            <w:shd w:val="clear" w:color="auto" w:fill="auto"/>
            <w:vAlign w:val="center"/>
          </w:tcPr>
          <w:p w:rsidR="00121CCF" w:rsidRDefault="00C55365" w:rsidP="00121CCF">
            <w:pPr>
              <w:spacing w:before="40" w:after="40"/>
              <w:jc w:val="center"/>
              <w:rPr>
                <w:sz w:val="22"/>
                <w:lang w:val="en-US"/>
              </w:rPr>
            </w:pPr>
            <w:r w:rsidRPr="00C55365">
              <w:rPr>
                <w:sz w:val="22"/>
                <w:lang w:val="en-US"/>
              </w:rPr>
              <w:t xml:space="preserve">37% </w:t>
            </w:r>
          </w:p>
          <w:p w:rsidR="0071433F" w:rsidRPr="00C55365" w:rsidRDefault="00C55365" w:rsidP="00121CCF">
            <w:pPr>
              <w:spacing w:before="40" w:after="40"/>
              <w:jc w:val="center"/>
              <w:rPr>
                <w:sz w:val="22"/>
                <w:lang w:val="en-US"/>
              </w:rPr>
            </w:pPr>
            <w:r w:rsidRPr="00C55365">
              <w:rPr>
                <w:sz w:val="22"/>
                <w:lang w:val="en-US"/>
              </w:rPr>
              <w:t>(p=0.0169)</w:t>
            </w:r>
          </w:p>
        </w:tc>
      </w:tr>
      <w:tr w:rsidR="00C55365" w:rsidRPr="00AE38AC" w:rsidTr="00121CCF">
        <w:trPr>
          <w:trHeight w:val="359"/>
        </w:trPr>
        <w:tc>
          <w:tcPr>
            <w:tcW w:w="4077" w:type="dxa"/>
            <w:tcBorders>
              <w:top w:val="single" w:sz="4" w:space="0" w:color="auto"/>
              <w:bottom w:val="nil"/>
            </w:tcBorders>
            <w:shd w:val="clear" w:color="auto" w:fill="auto"/>
          </w:tcPr>
          <w:p w:rsidR="00C55365" w:rsidRPr="00AE38AC" w:rsidRDefault="00C55365" w:rsidP="00C55365">
            <w:pPr>
              <w:spacing w:before="40" w:after="40"/>
              <w:jc w:val="left"/>
              <w:rPr>
                <w:color w:val="FF0000"/>
                <w:sz w:val="22"/>
                <w:lang w:val="en-US"/>
              </w:rPr>
            </w:pPr>
            <w:r w:rsidRPr="00C55365">
              <w:rPr>
                <w:sz w:val="22"/>
                <w:lang w:val="en-US"/>
              </w:rPr>
              <w:t xml:space="preserve">Proportion of patients with </w:t>
            </w:r>
            <w:r>
              <w:rPr>
                <w:sz w:val="22"/>
                <w:lang w:val="en-US"/>
              </w:rPr>
              <w:t>24</w:t>
            </w:r>
            <w:r w:rsidRPr="00C55365">
              <w:rPr>
                <w:sz w:val="22"/>
                <w:lang w:val="en-US"/>
              </w:rPr>
              <w:t>-week Confirmed Disability Progression</w:t>
            </w:r>
            <w:r w:rsidRPr="00C55365">
              <w:rPr>
                <w:sz w:val="22"/>
                <w:vertAlign w:val="superscript"/>
                <w:lang w:val="en-US"/>
              </w:rPr>
              <w:t>3</w:t>
            </w:r>
          </w:p>
        </w:tc>
        <w:tc>
          <w:tcPr>
            <w:tcW w:w="5210" w:type="dxa"/>
            <w:gridSpan w:val="9"/>
            <w:tcBorders>
              <w:top w:val="single" w:sz="4" w:space="0" w:color="auto"/>
              <w:bottom w:val="single" w:sz="4" w:space="0" w:color="auto"/>
            </w:tcBorders>
            <w:shd w:val="clear" w:color="auto" w:fill="auto"/>
            <w:vAlign w:val="center"/>
          </w:tcPr>
          <w:p w:rsidR="00996089" w:rsidRPr="00C55365" w:rsidRDefault="00C55365" w:rsidP="00C55365">
            <w:pPr>
              <w:spacing w:before="40" w:after="40"/>
              <w:jc w:val="center"/>
              <w:rPr>
                <w:sz w:val="22"/>
                <w:lang w:val="en-US"/>
              </w:rPr>
            </w:pPr>
            <w:r w:rsidRPr="00C55365">
              <w:rPr>
                <w:sz w:val="22"/>
                <w:lang w:val="en-US"/>
              </w:rPr>
              <w:t>7.6% OCREVUS vs 12.0% IFN</w:t>
            </w:r>
          </w:p>
        </w:tc>
      </w:tr>
      <w:tr w:rsidR="0071433F" w:rsidRPr="00AE38AC" w:rsidTr="00121CCF">
        <w:trPr>
          <w:trHeight w:val="247"/>
        </w:trPr>
        <w:tc>
          <w:tcPr>
            <w:tcW w:w="4077" w:type="dxa"/>
            <w:tcBorders>
              <w:top w:val="nil"/>
              <w:bottom w:val="nil"/>
            </w:tcBorders>
            <w:shd w:val="clear" w:color="auto" w:fill="auto"/>
          </w:tcPr>
          <w:p w:rsidR="0071433F" w:rsidRPr="00AE38AC" w:rsidRDefault="00C55365" w:rsidP="00C55365">
            <w:pPr>
              <w:spacing w:before="40" w:after="40"/>
              <w:jc w:val="right"/>
              <w:rPr>
                <w:color w:val="FF0000"/>
                <w:sz w:val="22"/>
                <w:lang w:val="en-US"/>
              </w:rPr>
            </w:pPr>
            <w:r w:rsidRPr="00C55365">
              <w:rPr>
                <w:sz w:val="22"/>
                <w:lang w:val="en-US"/>
              </w:rPr>
              <w:t>Risk Reduction (Pooled Analysis</w:t>
            </w:r>
            <w:r w:rsidRPr="00C55365">
              <w:rPr>
                <w:sz w:val="22"/>
                <w:vertAlign w:val="superscript"/>
                <w:lang w:val="en-US"/>
              </w:rPr>
              <w:t>1</w:t>
            </w:r>
            <w:r w:rsidRPr="00C55365">
              <w:rPr>
                <w:sz w:val="22"/>
                <w:lang w:val="en-US"/>
              </w:rPr>
              <w:t>)</w:t>
            </w:r>
          </w:p>
        </w:tc>
        <w:tc>
          <w:tcPr>
            <w:tcW w:w="5210" w:type="dxa"/>
            <w:gridSpan w:val="9"/>
            <w:tcBorders>
              <w:top w:val="single" w:sz="4" w:space="0" w:color="auto"/>
              <w:bottom w:val="single" w:sz="4" w:space="0" w:color="auto"/>
            </w:tcBorders>
            <w:shd w:val="clear" w:color="auto" w:fill="auto"/>
            <w:vAlign w:val="center"/>
          </w:tcPr>
          <w:p w:rsidR="0071433F" w:rsidRPr="00C55365" w:rsidRDefault="00C55365" w:rsidP="00121CCF">
            <w:pPr>
              <w:spacing w:before="40" w:after="40"/>
              <w:jc w:val="center"/>
              <w:rPr>
                <w:sz w:val="22"/>
                <w:lang w:val="en-US"/>
              </w:rPr>
            </w:pPr>
            <w:r w:rsidRPr="00C55365">
              <w:rPr>
                <w:sz w:val="22"/>
                <w:lang w:val="en-US"/>
              </w:rPr>
              <w:t>40% (p=0.0025)</w:t>
            </w:r>
          </w:p>
        </w:tc>
      </w:tr>
      <w:tr w:rsidR="00C55365" w:rsidRPr="00AE38AC" w:rsidTr="00121CCF">
        <w:trPr>
          <w:trHeight w:val="185"/>
        </w:trPr>
        <w:tc>
          <w:tcPr>
            <w:tcW w:w="4077" w:type="dxa"/>
            <w:tcBorders>
              <w:top w:val="nil"/>
              <w:bottom w:val="single" w:sz="4" w:space="0" w:color="auto"/>
            </w:tcBorders>
            <w:shd w:val="clear" w:color="auto" w:fill="auto"/>
            <w:vAlign w:val="center"/>
          </w:tcPr>
          <w:p w:rsidR="00C55365" w:rsidRPr="00AE38AC" w:rsidRDefault="00C55365" w:rsidP="00121CCF">
            <w:pPr>
              <w:spacing w:before="40" w:after="40"/>
              <w:jc w:val="right"/>
              <w:rPr>
                <w:color w:val="FF0000"/>
                <w:sz w:val="22"/>
                <w:lang w:val="en-US"/>
              </w:rPr>
            </w:pPr>
            <w:r w:rsidRPr="00C55365">
              <w:rPr>
                <w:sz w:val="22"/>
                <w:lang w:val="en-US"/>
              </w:rPr>
              <w:t>Risk Reduction (Individual Studies</w:t>
            </w:r>
            <w:r w:rsidRPr="00C55365">
              <w:rPr>
                <w:sz w:val="22"/>
                <w:vertAlign w:val="superscript"/>
                <w:lang w:val="en-US"/>
              </w:rPr>
              <w:t>2</w:t>
            </w:r>
            <w:r w:rsidRPr="00C55365">
              <w:rPr>
                <w:sz w:val="22"/>
                <w:lang w:val="en-US"/>
              </w:rPr>
              <w:t>)</w:t>
            </w:r>
          </w:p>
        </w:tc>
        <w:tc>
          <w:tcPr>
            <w:tcW w:w="2694" w:type="dxa"/>
            <w:gridSpan w:val="5"/>
            <w:tcBorders>
              <w:top w:val="single" w:sz="4" w:space="0" w:color="auto"/>
              <w:bottom w:val="single" w:sz="4" w:space="0" w:color="auto"/>
              <w:right w:val="single" w:sz="4" w:space="0" w:color="auto"/>
            </w:tcBorders>
            <w:shd w:val="clear" w:color="auto" w:fill="auto"/>
            <w:vAlign w:val="center"/>
          </w:tcPr>
          <w:p w:rsidR="00121CCF" w:rsidRDefault="00C55365" w:rsidP="00121CCF">
            <w:pPr>
              <w:spacing w:before="40" w:after="40"/>
              <w:jc w:val="center"/>
              <w:rPr>
                <w:sz w:val="22"/>
                <w:lang w:val="en-US"/>
              </w:rPr>
            </w:pPr>
            <w:r w:rsidRPr="00C55365">
              <w:rPr>
                <w:sz w:val="22"/>
                <w:lang w:val="en-US"/>
              </w:rPr>
              <w:t xml:space="preserve">43% </w:t>
            </w:r>
          </w:p>
          <w:p w:rsidR="00C55365" w:rsidRPr="00C55365" w:rsidRDefault="00C55365" w:rsidP="00121CCF">
            <w:pPr>
              <w:spacing w:before="40" w:after="40"/>
              <w:jc w:val="center"/>
              <w:rPr>
                <w:sz w:val="22"/>
                <w:lang w:val="en-US"/>
              </w:rPr>
            </w:pPr>
            <w:r w:rsidRPr="00C55365">
              <w:rPr>
                <w:sz w:val="22"/>
                <w:lang w:val="en-US"/>
              </w:rPr>
              <w:t>(p=0.0278)</w:t>
            </w:r>
          </w:p>
        </w:tc>
        <w:tc>
          <w:tcPr>
            <w:tcW w:w="2516" w:type="dxa"/>
            <w:gridSpan w:val="4"/>
            <w:tcBorders>
              <w:top w:val="single" w:sz="4" w:space="0" w:color="auto"/>
              <w:left w:val="single" w:sz="4" w:space="0" w:color="auto"/>
              <w:bottom w:val="single" w:sz="4" w:space="0" w:color="auto"/>
            </w:tcBorders>
            <w:shd w:val="clear" w:color="auto" w:fill="auto"/>
            <w:vAlign w:val="center"/>
          </w:tcPr>
          <w:p w:rsidR="00121CCF" w:rsidRDefault="00C55365" w:rsidP="00121CCF">
            <w:pPr>
              <w:spacing w:before="40" w:after="40"/>
              <w:jc w:val="center"/>
              <w:rPr>
                <w:sz w:val="22"/>
                <w:lang w:val="en-US"/>
              </w:rPr>
            </w:pPr>
            <w:r w:rsidRPr="00C55365">
              <w:rPr>
                <w:sz w:val="22"/>
                <w:lang w:val="en-US"/>
              </w:rPr>
              <w:t xml:space="preserve">37% </w:t>
            </w:r>
          </w:p>
          <w:p w:rsidR="00C55365" w:rsidRPr="00C55365" w:rsidRDefault="00C55365" w:rsidP="00121CCF">
            <w:pPr>
              <w:spacing w:before="40" w:after="40"/>
              <w:jc w:val="center"/>
              <w:rPr>
                <w:sz w:val="22"/>
                <w:lang w:val="en-US"/>
              </w:rPr>
            </w:pPr>
            <w:r w:rsidRPr="00C55365">
              <w:rPr>
                <w:sz w:val="22"/>
                <w:lang w:val="en-US"/>
              </w:rPr>
              <w:t>(p=0.0370)</w:t>
            </w:r>
          </w:p>
        </w:tc>
      </w:tr>
      <w:tr w:rsidR="00121CCF" w:rsidRPr="00AE38AC" w:rsidTr="00121CCF">
        <w:trPr>
          <w:trHeight w:val="417"/>
        </w:trPr>
        <w:tc>
          <w:tcPr>
            <w:tcW w:w="4077" w:type="dxa"/>
            <w:tcBorders>
              <w:bottom w:val="nil"/>
            </w:tcBorders>
            <w:shd w:val="clear" w:color="auto" w:fill="auto"/>
          </w:tcPr>
          <w:p w:rsidR="00121CCF" w:rsidRPr="00121CCF" w:rsidRDefault="00121CCF" w:rsidP="00121CCF">
            <w:pPr>
              <w:spacing w:before="40" w:after="40"/>
              <w:jc w:val="left"/>
              <w:rPr>
                <w:color w:val="FF0000"/>
                <w:sz w:val="22"/>
                <w:lang w:val="en-US"/>
              </w:rPr>
            </w:pPr>
            <w:r w:rsidRPr="00C55365">
              <w:rPr>
                <w:sz w:val="22"/>
                <w:lang w:val="en-US"/>
              </w:rPr>
              <w:t xml:space="preserve">Proportion of patients with </w:t>
            </w:r>
            <w:r>
              <w:rPr>
                <w:sz w:val="22"/>
                <w:lang w:val="en-US"/>
              </w:rPr>
              <w:t>at least 12</w:t>
            </w:r>
            <w:r w:rsidRPr="00C55365">
              <w:rPr>
                <w:sz w:val="22"/>
                <w:lang w:val="en-US"/>
              </w:rPr>
              <w:t xml:space="preserve">-week </w:t>
            </w:r>
            <w:r>
              <w:rPr>
                <w:sz w:val="22"/>
                <w:lang w:val="en-US"/>
              </w:rPr>
              <w:t>Confirmed Disability Improvement</w:t>
            </w:r>
            <w:r>
              <w:rPr>
                <w:sz w:val="22"/>
                <w:vertAlign w:val="superscript"/>
                <w:lang w:val="en-US"/>
              </w:rPr>
              <w:t xml:space="preserve">4 </w:t>
            </w:r>
            <w:r>
              <w:rPr>
                <w:sz w:val="22"/>
                <w:lang w:val="en-US"/>
              </w:rPr>
              <w:t>(Pooled)</w:t>
            </w:r>
          </w:p>
        </w:tc>
        <w:tc>
          <w:tcPr>
            <w:tcW w:w="5210" w:type="dxa"/>
            <w:gridSpan w:val="9"/>
            <w:tcBorders>
              <w:bottom w:val="single" w:sz="4" w:space="0" w:color="auto"/>
            </w:tcBorders>
            <w:shd w:val="clear" w:color="auto" w:fill="auto"/>
            <w:vAlign w:val="center"/>
          </w:tcPr>
          <w:p w:rsidR="00121CCF" w:rsidRPr="00121CCF" w:rsidRDefault="00121CCF" w:rsidP="00121CCF">
            <w:pPr>
              <w:spacing w:before="40" w:after="40"/>
              <w:jc w:val="center"/>
              <w:rPr>
                <w:sz w:val="22"/>
                <w:lang w:val="en-US"/>
              </w:rPr>
            </w:pPr>
            <w:r w:rsidRPr="00121CCF">
              <w:rPr>
                <w:sz w:val="22"/>
                <w:lang w:val="en-US"/>
              </w:rPr>
              <w:t>20.7% OCREVUS vs 15.6% IFN</w:t>
            </w:r>
          </w:p>
        </w:tc>
      </w:tr>
      <w:tr w:rsidR="00121CCF" w:rsidRPr="00AE38AC" w:rsidTr="00121CCF">
        <w:trPr>
          <w:trHeight w:val="245"/>
        </w:trPr>
        <w:tc>
          <w:tcPr>
            <w:tcW w:w="4077" w:type="dxa"/>
            <w:tcBorders>
              <w:top w:val="nil"/>
              <w:bottom w:val="nil"/>
            </w:tcBorders>
            <w:shd w:val="clear" w:color="auto" w:fill="auto"/>
          </w:tcPr>
          <w:p w:rsidR="00121CCF" w:rsidRPr="00121CCF" w:rsidRDefault="00121CCF" w:rsidP="00121CCF">
            <w:pPr>
              <w:spacing w:before="40" w:after="40"/>
              <w:jc w:val="right"/>
              <w:rPr>
                <w:sz w:val="22"/>
                <w:lang w:val="en-US"/>
              </w:rPr>
            </w:pPr>
            <w:r w:rsidRPr="00121CCF">
              <w:rPr>
                <w:sz w:val="22"/>
                <w:lang w:val="en-US"/>
              </w:rPr>
              <w:t>Relative Increase (Pooled Analysis</w:t>
            </w:r>
            <w:r w:rsidRPr="00121CCF">
              <w:rPr>
                <w:sz w:val="22"/>
                <w:vertAlign w:val="superscript"/>
                <w:lang w:val="en-US"/>
              </w:rPr>
              <w:t>1</w:t>
            </w:r>
            <w:r w:rsidRPr="00121CCF">
              <w:rPr>
                <w:sz w:val="22"/>
                <w:lang w:val="en-US"/>
              </w:rPr>
              <w:t>)</w:t>
            </w:r>
          </w:p>
        </w:tc>
        <w:tc>
          <w:tcPr>
            <w:tcW w:w="5210" w:type="dxa"/>
            <w:gridSpan w:val="9"/>
            <w:tcBorders>
              <w:top w:val="single" w:sz="4" w:space="0" w:color="auto"/>
              <w:bottom w:val="single" w:sz="4" w:space="0" w:color="auto"/>
            </w:tcBorders>
            <w:shd w:val="clear" w:color="auto" w:fill="auto"/>
          </w:tcPr>
          <w:p w:rsidR="00121CCF" w:rsidRPr="00121CCF" w:rsidRDefault="00121CCF" w:rsidP="004362B1">
            <w:pPr>
              <w:spacing w:before="40" w:after="40"/>
              <w:jc w:val="center"/>
              <w:rPr>
                <w:sz w:val="22"/>
                <w:lang w:val="en-US"/>
              </w:rPr>
            </w:pPr>
            <w:r w:rsidRPr="00121CCF">
              <w:rPr>
                <w:sz w:val="22"/>
                <w:lang w:val="en-US"/>
              </w:rPr>
              <w:t>33% (p=0.0194)</w:t>
            </w:r>
          </w:p>
        </w:tc>
      </w:tr>
      <w:tr w:rsidR="0071433F" w:rsidRPr="00AE38AC" w:rsidTr="00D94B62">
        <w:tc>
          <w:tcPr>
            <w:tcW w:w="4077" w:type="dxa"/>
            <w:tcBorders>
              <w:top w:val="nil"/>
              <w:bottom w:val="single" w:sz="4" w:space="0" w:color="auto"/>
            </w:tcBorders>
            <w:shd w:val="clear" w:color="auto" w:fill="auto"/>
            <w:vAlign w:val="center"/>
          </w:tcPr>
          <w:p w:rsidR="0071433F" w:rsidRPr="00121CCF" w:rsidRDefault="00121CCF" w:rsidP="00121CCF">
            <w:pPr>
              <w:spacing w:before="40" w:after="40"/>
              <w:jc w:val="right"/>
              <w:rPr>
                <w:sz w:val="22"/>
                <w:lang w:val="en-US"/>
              </w:rPr>
            </w:pPr>
            <w:r w:rsidRPr="00121CCF">
              <w:rPr>
                <w:sz w:val="22"/>
                <w:lang w:val="en-US"/>
              </w:rPr>
              <w:t>Relative Increase (Individual Studies</w:t>
            </w:r>
            <w:r w:rsidRPr="00121CCF">
              <w:rPr>
                <w:sz w:val="22"/>
                <w:vertAlign w:val="superscript"/>
                <w:lang w:val="en-US"/>
              </w:rPr>
              <w:t>2</w:t>
            </w:r>
            <w:r w:rsidRPr="00121CCF">
              <w:rPr>
                <w:sz w:val="22"/>
                <w:lang w:val="en-US"/>
              </w:rPr>
              <w:t>)</w:t>
            </w:r>
          </w:p>
        </w:tc>
        <w:tc>
          <w:tcPr>
            <w:tcW w:w="2694" w:type="dxa"/>
            <w:gridSpan w:val="5"/>
            <w:tcBorders>
              <w:top w:val="single" w:sz="4" w:space="0" w:color="auto"/>
              <w:bottom w:val="single" w:sz="4" w:space="0" w:color="auto"/>
              <w:right w:val="single" w:sz="4" w:space="0" w:color="auto"/>
            </w:tcBorders>
            <w:shd w:val="clear" w:color="auto" w:fill="auto"/>
          </w:tcPr>
          <w:p w:rsidR="00121CCF" w:rsidRDefault="00121CCF" w:rsidP="004362B1">
            <w:pPr>
              <w:spacing w:before="40" w:after="40"/>
              <w:jc w:val="center"/>
              <w:rPr>
                <w:sz w:val="22"/>
                <w:lang w:val="en-US"/>
              </w:rPr>
            </w:pPr>
            <w:r>
              <w:rPr>
                <w:sz w:val="22"/>
                <w:lang w:val="en-US"/>
              </w:rPr>
              <w:t xml:space="preserve">61% </w:t>
            </w:r>
          </w:p>
          <w:p w:rsidR="0071433F" w:rsidRPr="00121CCF" w:rsidRDefault="00121CCF" w:rsidP="004362B1">
            <w:pPr>
              <w:spacing w:before="40" w:after="40"/>
              <w:jc w:val="center"/>
              <w:rPr>
                <w:sz w:val="22"/>
                <w:lang w:val="en-US"/>
              </w:rPr>
            </w:pPr>
            <w:r>
              <w:rPr>
                <w:sz w:val="22"/>
                <w:lang w:val="en-US"/>
              </w:rPr>
              <w:t>(p=0.0106)</w:t>
            </w:r>
          </w:p>
        </w:tc>
        <w:tc>
          <w:tcPr>
            <w:tcW w:w="2516" w:type="dxa"/>
            <w:gridSpan w:val="4"/>
            <w:tcBorders>
              <w:top w:val="single" w:sz="4" w:space="0" w:color="auto"/>
              <w:left w:val="single" w:sz="4" w:space="0" w:color="auto"/>
              <w:bottom w:val="single" w:sz="4" w:space="0" w:color="auto"/>
            </w:tcBorders>
            <w:shd w:val="clear" w:color="auto" w:fill="auto"/>
          </w:tcPr>
          <w:p w:rsidR="00121CCF" w:rsidRDefault="00121CCF" w:rsidP="004362B1">
            <w:pPr>
              <w:spacing w:before="40" w:after="40"/>
              <w:jc w:val="center"/>
              <w:rPr>
                <w:sz w:val="22"/>
                <w:lang w:val="en-US"/>
              </w:rPr>
            </w:pPr>
            <w:r>
              <w:rPr>
                <w:sz w:val="22"/>
                <w:lang w:val="en-US"/>
              </w:rPr>
              <w:t xml:space="preserve">14% </w:t>
            </w:r>
          </w:p>
          <w:p w:rsidR="0071433F" w:rsidRPr="00121CCF" w:rsidRDefault="00121CCF" w:rsidP="004362B1">
            <w:pPr>
              <w:spacing w:before="40" w:after="40"/>
              <w:jc w:val="center"/>
              <w:rPr>
                <w:sz w:val="22"/>
                <w:lang w:val="en-US"/>
              </w:rPr>
            </w:pPr>
            <w:r>
              <w:rPr>
                <w:sz w:val="22"/>
                <w:lang w:val="en-US"/>
              </w:rPr>
              <w:t>(p=0.4019)</w:t>
            </w:r>
          </w:p>
        </w:tc>
      </w:tr>
      <w:tr w:rsidR="00D94B62" w:rsidRPr="00AE38AC" w:rsidTr="00D94B62">
        <w:tc>
          <w:tcPr>
            <w:tcW w:w="4077" w:type="dxa"/>
            <w:tcBorders>
              <w:top w:val="single" w:sz="4" w:space="0" w:color="auto"/>
              <w:bottom w:val="nil"/>
            </w:tcBorders>
            <w:shd w:val="clear" w:color="auto" w:fill="auto"/>
            <w:vAlign w:val="center"/>
          </w:tcPr>
          <w:p w:rsidR="00D94B62" w:rsidRPr="00D94B62" w:rsidRDefault="00D94B62" w:rsidP="00D94B62">
            <w:pPr>
              <w:spacing w:before="40" w:after="40"/>
              <w:jc w:val="left"/>
              <w:rPr>
                <w:sz w:val="22"/>
                <w:lang w:val="en-US"/>
              </w:rPr>
            </w:pPr>
            <w:r w:rsidRPr="00D94B62">
              <w:rPr>
                <w:sz w:val="22"/>
                <w:lang w:val="en-US"/>
              </w:rPr>
              <w:t>Mean change from baseline in Multiple Sclerosis Functional Composite (MSFC)</w:t>
            </w:r>
          </w:p>
        </w:tc>
        <w:tc>
          <w:tcPr>
            <w:tcW w:w="1383" w:type="dxa"/>
            <w:gridSpan w:val="2"/>
            <w:tcBorders>
              <w:top w:val="single" w:sz="4" w:space="0" w:color="auto"/>
              <w:bottom w:val="single" w:sz="4" w:space="0" w:color="auto"/>
              <w:right w:val="nil"/>
            </w:tcBorders>
            <w:shd w:val="clear" w:color="auto" w:fill="auto"/>
            <w:vAlign w:val="center"/>
          </w:tcPr>
          <w:p w:rsidR="00D94B62" w:rsidRPr="00D94B62" w:rsidRDefault="00D94B62" w:rsidP="00D94B62">
            <w:pPr>
              <w:spacing w:before="40" w:after="40"/>
              <w:jc w:val="center"/>
              <w:rPr>
                <w:sz w:val="22"/>
                <w:lang w:val="en-US"/>
              </w:rPr>
            </w:pPr>
            <w:r w:rsidRPr="00D94B62">
              <w:rPr>
                <w:sz w:val="22"/>
                <w:lang w:val="en-US"/>
              </w:rPr>
              <w:t>0.213</w:t>
            </w:r>
          </w:p>
        </w:tc>
        <w:tc>
          <w:tcPr>
            <w:tcW w:w="1311" w:type="dxa"/>
            <w:gridSpan w:val="3"/>
            <w:tcBorders>
              <w:top w:val="single" w:sz="4" w:space="0" w:color="auto"/>
              <w:bottom w:val="single" w:sz="4" w:space="0" w:color="auto"/>
              <w:right w:val="single" w:sz="4" w:space="0" w:color="auto"/>
            </w:tcBorders>
            <w:shd w:val="clear" w:color="auto" w:fill="auto"/>
            <w:vAlign w:val="center"/>
          </w:tcPr>
          <w:p w:rsidR="00D94B62" w:rsidRPr="00D94B62" w:rsidRDefault="00D94B62" w:rsidP="00D94B62">
            <w:pPr>
              <w:spacing w:before="40" w:after="40"/>
              <w:jc w:val="center"/>
              <w:rPr>
                <w:sz w:val="22"/>
                <w:lang w:val="en-US"/>
              </w:rPr>
            </w:pPr>
            <w:r w:rsidRPr="00D94B62">
              <w:rPr>
                <w:sz w:val="22"/>
                <w:lang w:val="en-US"/>
              </w:rPr>
              <w:t>0.174</w:t>
            </w:r>
          </w:p>
        </w:tc>
        <w:tc>
          <w:tcPr>
            <w:tcW w:w="1294" w:type="dxa"/>
            <w:gridSpan w:val="2"/>
            <w:tcBorders>
              <w:top w:val="single" w:sz="4" w:space="0" w:color="auto"/>
              <w:left w:val="single" w:sz="4" w:space="0" w:color="auto"/>
              <w:bottom w:val="single" w:sz="4" w:space="0" w:color="auto"/>
            </w:tcBorders>
            <w:shd w:val="clear" w:color="auto" w:fill="auto"/>
            <w:vAlign w:val="center"/>
          </w:tcPr>
          <w:p w:rsidR="00D94B62" w:rsidRPr="00D94B62" w:rsidRDefault="00D94B62" w:rsidP="00D94B62">
            <w:pPr>
              <w:spacing w:before="40" w:after="40"/>
              <w:jc w:val="center"/>
              <w:rPr>
                <w:sz w:val="22"/>
                <w:lang w:val="en-US"/>
              </w:rPr>
            </w:pPr>
            <w:r w:rsidRPr="00D94B62">
              <w:rPr>
                <w:sz w:val="22"/>
                <w:lang w:val="en-US"/>
              </w:rPr>
              <w:t>0.276</w:t>
            </w:r>
          </w:p>
        </w:tc>
        <w:tc>
          <w:tcPr>
            <w:tcW w:w="1222" w:type="dxa"/>
            <w:gridSpan w:val="2"/>
            <w:tcBorders>
              <w:top w:val="single" w:sz="4" w:space="0" w:color="auto"/>
              <w:left w:val="single" w:sz="4" w:space="0" w:color="auto"/>
              <w:bottom w:val="single" w:sz="4" w:space="0" w:color="auto"/>
            </w:tcBorders>
            <w:shd w:val="clear" w:color="auto" w:fill="auto"/>
            <w:vAlign w:val="center"/>
          </w:tcPr>
          <w:p w:rsidR="00D94B62" w:rsidRPr="00D94B62" w:rsidRDefault="00D94B62" w:rsidP="00D94B62">
            <w:pPr>
              <w:spacing w:before="40" w:after="40"/>
              <w:jc w:val="center"/>
              <w:rPr>
                <w:sz w:val="22"/>
                <w:lang w:val="en-US"/>
              </w:rPr>
            </w:pPr>
            <w:r w:rsidRPr="00D94B62">
              <w:rPr>
                <w:sz w:val="22"/>
                <w:lang w:val="en-US"/>
              </w:rPr>
              <w:t>0.169</w:t>
            </w:r>
          </w:p>
        </w:tc>
      </w:tr>
      <w:tr w:rsidR="00D94B62" w:rsidRPr="00AE38AC" w:rsidTr="00D94B62">
        <w:tc>
          <w:tcPr>
            <w:tcW w:w="4077" w:type="dxa"/>
            <w:tcBorders>
              <w:top w:val="nil"/>
              <w:bottom w:val="single" w:sz="4" w:space="0" w:color="auto"/>
            </w:tcBorders>
            <w:shd w:val="clear" w:color="auto" w:fill="auto"/>
            <w:vAlign w:val="center"/>
          </w:tcPr>
          <w:p w:rsidR="00D94B62" w:rsidRPr="00D94B62" w:rsidRDefault="00D94B62" w:rsidP="00D94B62">
            <w:pPr>
              <w:spacing w:before="40" w:after="40"/>
              <w:jc w:val="right"/>
              <w:rPr>
                <w:sz w:val="22"/>
                <w:lang w:val="en-US"/>
              </w:rPr>
            </w:pPr>
            <w:r w:rsidRPr="00D94B62">
              <w:rPr>
                <w:sz w:val="22"/>
                <w:lang w:val="en-US"/>
              </w:rPr>
              <w:t xml:space="preserve">Difference </w:t>
            </w:r>
          </w:p>
        </w:tc>
        <w:tc>
          <w:tcPr>
            <w:tcW w:w="2694" w:type="dxa"/>
            <w:gridSpan w:val="5"/>
            <w:tcBorders>
              <w:top w:val="single" w:sz="4" w:space="0" w:color="auto"/>
              <w:bottom w:val="single" w:sz="4" w:space="0" w:color="auto"/>
            </w:tcBorders>
            <w:shd w:val="clear" w:color="auto" w:fill="auto"/>
          </w:tcPr>
          <w:p w:rsidR="00D94B62" w:rsidRPr="00D94B62" w:rsidRDefault="00D94B62" w:rsidP="004362B1">
            <w:pPr>
              <w:spacing w:before="40" w:after="40"/>
              <w:jc w:val="center"/>
              <w:rPr>
                <w:sz w:val="22"/>
                <w:lang w:val="en-US"/>
              </w:rPr>
            </w:pPr>
            <w:r w:rsidRPr="00D94B62">
              <w:rPr>
                <w:sz w:val="22"/>
                <w:lang w:val="en-US"/>
              </w:rPr>
              <w:t xml:space="preserve">0.039 </w:t>
            </w:r>
          </w:p>
          <w:p w:rsidR="00D94B62" w:rsidRPr="00D94B62" w:rsidRDefault="00D94B62" w:rsidP="004362B1">
            <w:pPr>
              <w:spacing w:before="40" w:after="40"/>
              <w:jc w:val="center"/>
              <w:rPr>
                <w:sz w:val="22"/>
                <w:lang w:val="en-US"/>
              </w:rPr>
            </w:pPr>
            <w:r w:rsidRPr="00D94B62">
              <w:rPr>
                <w:sz w:val="22"/>
                <w:lang w:val="en-US"/>
              </w:rPr>
              <w:t>(p=0.3261)</w:t>
            </w:r>
          </w:p>
        </w:tc>
        <w:tc>
          <w:tcPr>
            <w:tcW w:w="2516" w:type="dxa"/>
            <w:gridSpan w:val="4"/>
            <w:tcBorders>
              <w:top w:val="single" w:sz="4" w:space="0" w:color="auto"/>
              <w:bottom w:val="single" w:sz="4" w:space="0" w:color="auto"/>
            </w:tcBorders>
            <w:shd w:val="clear" w:color="auto" w:fill="auto"/>
          </w:tcPr>
          <w:p w:rsidR="00D94B62" w:rsidRPr="00D94B62" w:rsidRDefault="00D94B62" w:rsidP="004362B1">
            <w:pPr>
              <w:spacing w:before="40" w:after="40"/>
              <w:jc w:val="center"/>
              <w:rPr>
                <w:sz w:val="22"/>
                <w:lang w:val="en-US"/>
              </w:rPr>
            </w:pPr>
            <w:r w:rsidRPr="00D94B62">
              <w:rPr>
                <w:sz w:val="22"/>
                <w:lang w:val="en-US"/>
              </w:rPr>
              <w:t xml:space="preserve">0.107 </w:t>
            </w:r>
          </w:p>
          <w:p w:rsidR="00D94B62" w:rsidRPr="00D94B62" w:rsidRDefault="00D94B62" w:rsidP="004362B1">
            <w:pPr>
              <w:spacing w:before="40" w:after="40"/>
              <w:jc w:val="center"/>
              <w:rPr>
                <w:sz w:val="22"/>
                <w:lang w:val="en-US"/>
              </w:rPr>
            </w:pPr>
            <w:r w:rsidRPr="00D94B62">
              <w:rPr>
                <w:sz w:val="22"/>
                <w:lang w:val="en-US"/>
              </w:rPr>
              <w:t>(p=0.0040)</w:t>
            </w:r>
          </w:p>
        </w:tc>
      </w:tr>
      <w:tr w:rsidR="006B2198" w:rsidRPr="00AE38AC" w:rsidTr="006B2198">
        <w:tc>
          <w:tcPr>
            <w:tcW w:w="4077" w:type="dxa"/>
            <w:tcBorders>
              <w:top w:val="single" w:sz="4" w:space="0" w:color="auto"/>
              <w:bottom w:val="nil"/>
            </w:tcBorders>
            <w:shd w:val="clear" w:color="auto" w:fill="auto"/>
          </w:tcPr>
          <w:p w:rsidR="006B2198" w:rsidRPr="006B2198" w:rsidRDefault="006B2198" w:rsidP="004362B1">
            <w:pPr>
              <w:spacing w:before="40" w:after="40"/>
              <w:jc w:val="left"/>
              <w:rPr>
                <w:sz w:val="22"/>
                <w:lang w:val="en-US"/>
              </w:rPr>
            </w:pPr>
            <w:r w:rsidRPr="006B2198">
              <w:rPr>
                <w:sz w:val="22"/>
                <w:lang w:val="en-US"/>
              </w:rPr>
              <w:t>Proportion of patients with No Evidence of Disease Activity (NEDA)</w:t>
            </w:r>
            <w:r w:rsidRPr="006B2198">
              <w:rPr>
                <w:sz w:val="22"/>
                <w:vertAlign w:val="superscript"/>
                <w:lang w:val="en-US"/>
              </w:rPr>
              <w:t>5</w:t>
            </w:r>
          </w:p>
        </w:tc>
        <w:tc>
          <w:tcPr>
            <w:tcW w:w="1347" w:type="dxa"/>
            <w:tcBorders>
              <w:top w:val="single" w:sz="4" w:space="0" w:color="auto"/>
              <w:bottom w:val="single" w:sz="4" w:space="0" w:color="auto"/>
            </w:tcBorders>
            <w:shd w:val="clear" w:color="auto" w:fill="auto"/>
            <w:vAlign w:val="center"/>
          </w:tcPr>
          <w:p w:rsidR="006B2198" w:rsidRPr="006B2198" w:rsidRDefault="006B2198" w:rsidP="006B2198">
            <w:pPr>
              <w:spacing w:before="40" w:after="40"/>
              <w:jc w:val="center"/>
              <w:rPr>
                <w:sz w:val="22"/>
                <w:lang w:val="en-US"/>
              </w:rPr>
            </w:pPr>
            <w:r w:rsidRPr="006B2198">
              <w:rPr>
                <w:sz w:val="22"/>
                <w:lang w:val="en-US"/>
              </w:rPr>
              <w:t>48%</w:t>
            </w:r>
          </w:p>
        </w:tc>
        <w:tc>
          <w:tcPr>
            <w:tcW w:w="1347" w:type="dxa"/>
            <w:gridSpan w:val="4"/>
            <w:tcBorders>
              <w:top w:val="single" w:sz="4" w:space="0" w:color="auto"/>
              <w:bottom w:val="single" w:sz="4" w:space="0" w:color="auto"/>
            </w:tcBorders>
            <w:shd w:val="clear" w:color="auto" w:fill="auto"/>
            <w:vAlign w:val="center"/>
          </w:tcPr>
          <w:p w:rsidR="006B2198" w:rsidRPr="006B2198" w:rsidRDefault="006B2198" w:rsidP="006B2198">
            <w:pPr>
              <w:spacing w:before="40" w:after="40"/>
              <w:jc w:val="center"/>
              <w:rPr>
                <w:sz w:val="22"/>
                <w:lang w:val="en-US"/>
              </w:rPr>
            </w:pPr>
            <w:r w:rsidRPr="006B2198">
              <w:rPr>
                <w:sz w:val="22"/>
                <w:lang w:val="en-US"/>
              </w:rPr>
              <w:t>29%</w:t>
            </w:r>
          </w:p>
        </w:tc>
        <w:tc>
          <w:tcPr>
            <w:tcW w:w="1258" w:type="dxa"/>
            <w:tcBorders>
              <w:top w:val="single" w:sz="4" w:space="0" w:color="auto"/>
              <w:bottom w:val="single" w:sz="4" w:space="0" w:color="auto"/>
            </w:tcBorders>
            <w:shd w:val="clear" w:color="auto" w:fill="auto"/>
            <w:vAlign w:val="center"/>
          </w:tcPr>
          <w:p w:rsidR="006B2198" w:rsidRPr="006B2198" w:rsidRDefault="006B2198" w:rsidP="006B2198">
            <w:pPr>
              <w:spacing w:before="40" w:after="40"/>
              <w:jc w:val="center"/>
              <w:rPr>
                <w:sz w:val="22"/>
                <w:lang w:val="en-US"/>
              </w:rPr>
            </w:pPr>
            <w:r w:rsidRPr="006B2198">
              <w:rPr>
                <w:sz w:val="22"/>
                <w:lang w:val="en-US"/>
              </w:rPr>
              <w:t>48%</w:t>
            </w:r>
          </w:p>
        </w:tc>
        <w:tc>
          <w:tcPr>
            <w:tcW w:w="1258" w:type="dxa"/>
            <w:gridSpan w:val="3"/>
            <w:tcBorders>
              <w:top w:val="single" w:sz="4" w:space="0" w:color="auto"/>
              <w:bottom w:val="single" w:sz="4" w:space="0" w:color="auto"/>
            </w:tcBorders>
            <w:shd w:val="clear" w:color="auto" w:fill="auto"/>
            <w:vAlign w:val="center"/>
          </w:tcPr>
          <w:p w:rsidR="006B2198" w:rsidRPr="006B2198" w:rsidRDefault="006B2198" w:rsidP="006B2198">
            <w:pPr>
              <w:spacing w:before="40" w:after="40"/>
              <w:jc w:val="center"/>
              <w:rPr>
                <w:sz w:val="22"/>
                <w:lang w:val="en-US"/>
              </w:rPr>
            </w:pPr>
            <w:r w:rsidRPr="006B2198">
              <w:rPr>
                <w:sz w:val="22"/>
                <w:lang w:val="en-US"/>
              </w:rPr>
              <w:t>25%</w:t>
            </w:r>
          </w:p>
        </w:tc>
      </w:tr>
      <w:tr w:rsidR="0071433F" w:rsidRPr="00AE38AC" w:rsidTr="00CE6E7B">
        <w:trPr>
          <w:trHeight w:val="434"/>
        </w:trPr>
        <w:tc>
          <w:tcPr>
            <w:tcW w:w="4077" w:type="dxa"/>
            <w:tcBorders>
              <w:top w:val="nil"/>
              <w:bottom w:val="single" w:sz="4" w:space="0" w:color="auto"/>
            </w:tcBorders>
            <w:shd w:val="clear" w:color="auto" w:fill="auto"/>
            <w:vAlign w:val="center"/>
          </w:tcPr>
          <w:p w:rsidR="0071433F" w:rsidRPr="006B2198" w:rsidRDefault="006B2198" w:rsidP="006B2198">
            <w:pPr>
              <w:spacing w:before="40" w:after="40"/>
              <w:jc w:val="right"/>
              <w:rPr>
                <w:sz w:val="22"/>
                <w:lang w:val="en-US"/>
              </w:rPr>
            </w:pPr>
            <w:r w:rsidRPr="006B2198">
              <w:rPr>
                <w:sz w:val="22"/>
                <w:lang w:val="en-US"/>
              </w:rPr>
              <w:lastRenderedPageBreak/>
              <w:t>Relative Increase</w:t>
            </w:r>
            <w:r w:rsidRPr="006B2198">
              <w:rPr>
                <w:sz w:val="22"/>
                <w:vertAlign w:val="superscript"/>
                <w:lang w:val="en-US"/>
              </w:rPr>
              <w:t>2</w:t>
            </w:r>
          </w:p>
        </w:tc>
        <w:tc>
          <w:tcPr>
            <w:tcW w:w="2694" w:type="dxa"/>
            <w:gridSpan w:val="5"/>
            <w:tcBorders>
              <w:top w:val="single" w:sz="4" w:space="0" w:color="auto"/>
              <w:bottom w:val="single" w:sz="4" w:space="0" w:color="auto"/>
              <w:right w:val="single" w:sz="4" w:space="0" w:color="auto"/>
            </w:tcBorders>
            <w:shd w:val="clear" w:color="auto" w:fill="auto"/>
            <w:vAlign w:val="center"/>
          </w:tcPr>
          <w:p w:rsidR="006B2198" w:rsidRPr="006B2198" w:rsidRDefault="006B2198" w:rsidP="006B2198">
            <w:pPr>
              <w:spacing w:before="40" w:after="40"/>
              <w:jc w:val="center"/>
              <w:rPr>
                <w:sz w:val="22"/>
                <w:lang w:val="en-US"/>
              </w:rPr>
            </w:pPr>
            <w:r w:rsidRPr="006B2198">
              <w:rPr>
                <w:sz w:val="22"/>
                <w:lang w:val="en-US"/>
              </w:rPr>
              <w:t>64%</w:t>
            </w:r>
          </w:p>
          <w:p w:rsidR="0071433F" w:rsidRPr="006B2198" w:rsidRDefault="006B2198" w:rsidP="006B2198">
            <w:pPr>
              <w:spacing w:before="40" w:after="40"/>
              <w:jc w:val="center"/>
              <w:rPr>
                <w:sz w:val="22"/>
                <w:lang w:val="en-US"/>
              </w:rPr>
            </w:pPr>
            <w:r w:rsidRPr="006B2198">
              <w:rPr>
                <w:sz w:val="22"/>
                <w:lang w:val="en-US"/>
              </w:rPr>
              <w:t>(p&lt;0.0001)</w:t>
            </w:r>
          </w:p>
        </w:tc>
        <w:tc>
          <w:tcPr>
            <w:tcW w:w="2516" w:type="dxa"/>
            <w:gridSpan w:val="4"/>
            <w:tcBorders>
              <w:top w:val="single" w:sz="4" w:space="0" w:color="auto"/>
              <w:left w:val="single" w:sz="4" w:space="0" w:color="auto"/>
              <w:bottom w:val="single" w:sz="4" w:space="0" w:color="auto"/>
            </w:tcBorders>
            <w:shd w:val="clear" w:color="auto" w:fill="auto"/>
            <w:vAlign w:val="center"/>
          </w:tcPr>
          <w:p w:rsidR="006B2198" w:rsidRPr="006B2198" w:rsidRDefault="006B2198" w:rsidP="006B2198">
            <w:pPr>
              <w:spacing w:before="40" w:after="40"/>
              <w:jc w:val="center"/>
              <w:rPr>
                <w:sz w:val="22"/>
                <w:lang w:val="en-US"/>
              </w:rPr>
            </w:pPr>
            <w:r w:rsidRPr="006B2198">
              <w:rPr>
                <w:sz w:val="22"/>
                <w:lang w:val="en-US"/>
              </w:rPr>
              <w:t>89%</w:t>
            </w:r>
          </w:p>
          <w:p w:rsidR="0071433F" w:rsidRPr="006B2198" w:rsidRDefault="006B2198" w:rsidP="006B2198">
            <w:pPr>
              <w:spacing w:before="40" w:after="40"/>
              <w:jc w:val="center"/>
              <w:rPr>
                <w:sz w:val="22"/>
                <w:lang w:val="en-US"/>
              </w:rPr>
            </w:pPr>
            <w:r w:rsidRPr="006B2198">
              <w:rPr>
                <w:sz w:val="22"/>
                <w:lang w:val="en-US"/>
              </w:rPr>
              <w:t>(p&lt;0.0001)</w:t>
            </w:r>
          </w:p>
        </w:tc>
      </w:tr>
      <w:tr w:rsidR="00CE6E7B" w:rsidRPr="00AE38AC" w:rsidTr="00D42D7B">
        <w:tc>
          <w:tcPr>
            <w:tcW w:w="9287" w:type="dxa"/>
            <w:gridSpan w:val="10"/>
            <w:tcBorders>
              <w:bottom w:val="single" w:sz="4" w:space="0" w:color="auto"/>
            </w:tcBorders>
            <w:shd w:val="clear" w:color="auto" w:fill="auto"/>
          </w:tcPr>
          <w:p w:rsidR="00CE6E7B" w:rsidRPr="00AE38AC" w:rsidRDefault="00CE6E7B" w:rsidP="00CE6E7B">
            <w:pPr>
              <w:spacing w:before="40" w:after="40"/>
              <w:jc w:val="left"/>
              <w:rPr>
                <w:color w:val="FF0000"/>
                <w:sz w:val="22"/>
                <w:lang w:val="en-US"/>
              </w:rPr>
            </w:pPr>
            <w:r w:rsidRPr="00CE6E7B">
              <w:rPr>
                <w:b/>
                <w:sz w:val="22"/>
                <w:lang w:val="en-US"/>
              </w:rPr>
              <w:t>MRI Endpoints</w:t>
            </w:r>
          </w:p>
        </w:tc>
      </w:tr>
      <w:tr w:rsidR="00CE6E7B" w:rsidRPr="00AE38AC" w:rsidTr="0065337D">
        <w:trPr>
          <w:trHeight w:val="293"/>
        </w:trPr>
        <w:tc>
          <w:tcPr>
            <w:tcW w:w="4077" w:type="dxa"/>
            <w:tcBorders>
              <w:top w:val="single" w:sz="4" w:space="0" w:color="auto"/>
              <w:bottom w:val="nil"/>
            </w:tcBorders>
            <w:shd w:val="clear" w:color="auto" w:fill="auto"/>
          </w:tcPr>
          <w:p w:rsidR="00CE6E7B" w:rsidRPr="00CE6E7B" w:rsidRDefault="00CE6E7B" w:rsidP="004362B1">
            <w:pPr>
              <w:spacing w:before="40" w:after="40"/>
              <w:jc w:val="left"/>
              <w:rPr>
                <w:sz w:val="22"/>
                <w:lang w:val="en-US"/>
              </w:rPr>
            </w:pPr>
            <w:r w:rsidRPr="00CE6E7B">
              <w:rPr>
                <w:sz w:val="22"/>
                <w:lang w:val="en-US"/>
              </w:rPr>
              <w:t xml:space="preserve">Mean number of T1 </w:t>
            </w:r>
            <w:proofErr w:type="spellStart"/>
            <w:r w:rsidRPr="00CE6E7B">
              <w:rPr>
                <w:sz w:val="22"/>
                <w:lang w:val="en-US"/>
              </w:rPr>
              <w:t>Gd</w:t>
            </w:r>
            <w:proofErr w:type="spellEnd"/>
            <w:r w:rsidRPr="00CE6E7B">
              <w:rPr>
                <w:sz w:val="22"/>
                <w:lang w:val="en-US"/>
              </w:rPr>
              <w:t>-enhancing lesions per MRI scan</w:t>
            </w:r>
          </w:p>
        </w:tc>
        <w:tc>
          <w:tcPr>
            <w:tcW w:w="1347" w:type="dxa"/>
            <w:tcBorders>
              <w:top w:val="single" w:sz="4" w:space="0" w:color="auto"/>
              <w:bottom w:val="single" w:sz="4" w:space="0" w:color="auto"/>
              <w:right w:val="single" w:sz="4" w:space="0" w:color="auto"/>
            </w:tcBorders>
            <w:shd w:val="clear" w:color="auto" w:fill="auto"/>
            <w:vAlign w:val="center"/>
          </w:tcPr>
          <w:p w:rsidR="00CE6E7B" w:rsidRPr="00CE6E7B" w:rsidRDefault="00CE6E7B" w:rsidP="00CE6E7B">
            <w:pPr>
              <w:spacing w:before="40" w:after="40"/>
              <w:jc w:val="center"/>
              <w:rPr>
                <w:sz w:val="22"/>
                <w:lang w:val="en-US"/>
              </w:rPr>
            </w:pPr>
            <w:r w:rsidRPr="00CE6E7B">
              <w:rPr>
                <w:sz w:val="22"/>
                <w:lang w:val="en-US"/>
              </w:rPr>
              <w:t>0.016</w:t>
            </w:r>
          </w:p>
        </w:tc>
        <w:tc>
          <w:tcPr>
            <w:tcW w:w="1347" w:type="dxa"/>
            <w:gridSpan w:val="4"/>
            <w:tcBorders>
              <w:top w:val="single" w:sz="4" w:space="0" w:color="auto"/>
              <w:bottom w:val="single" w:sz="4" w:space="0" w:color="auto"/>
              <w:right w:val="single" w:sz="4" w:space="0" w:color="auto"/>
            </w:tcBorders>
            <w:shd w:val="clear" w:color="auto" w:fill="auto"/>
            <w:vAlign w:val="center"/>
          </w:tcPr>
          <w:p w:rsidR="00CE6E7B" w:rsidRPr="00CE6E7B" w:rsidRDefault="00CE6E7B" w:rsidP="00CE6E7B">
            <w:pPr>
              <w:spacing w:before="40" w:after="40"/>
              <w:jc w:val="center"/>
              <w:rPr>
                <w:sz w:val="22"/>
                <w:lang w:val="en-US"/>
              </w:rPr>
            </w:pPr>
            <w:r w:rsidRPr="00CE6E7B">
              <w:rPr>
                <w:sz w:val="22"/>
                <w:lang w:val="en-US"/>
              </w:rPr>
              <w:t>0.286</w:t>
            </w:r>
          </w:p>
        </w:tc>
        <w:tc>
          <w:tcPr>
            <w:tcW w:w="1258" w:type="dxa"/>
            <w:tcBorders>
              <w:top w:val="single" w:sz="4" w:space="0" w:color="auto"/>
              <w:left w:val="single" w:sz="4" w:space="0" w:color="auto"/>
              <w:bottom w:val="single" w:sz="4" w:space="0" w:color="auto"/>
            </w:tcBorders>
            <w:shd w:val="clear" w:color="auto" w:fill="auto"/>
            <w:vAlign w:val="center"/>
          </w:tcPr>
          <w:p w:rsidR="00CE6E7B" w:rsidRPr="00CE6E7B" w:rsidRDefault="00CE6E7B" w:rsidP="00CE6E7B">
            <w:pPr>
              <w:spacing w:before="40" w:after="40"/>
              <w:jc w:val="center"/>
              <w:rPr>
                <w:sz w:val="22"/>
                <w:lang w:val="en-US"/>
              </w:rPr>
            </w:pPr>
            <w:r w:rsidRPr="00CE6E7B">
              <w:rPr>
                <w:sz w:val="22"/>
                <w:lang w:val="en-US"/>
              </w:rPr>
              <w:t>0.021</w:t>
            </w:r>
          </w:p>
        </w:tc>
        <w:tc>
          <w:tcPr>
            <w:tcW w:w="1258" w:type="dxa"/>
            <w:gridSpan w:val="3"/>
            <w:tcBorders>
              <w:top w:val="single" w:sz="4" w:space="0" w:color="auto"/>
              <w:left w:val="single" w:sz="4" w:space="0" w:color="auto"/>
              <w:bottom w:val="single" w:sz="4" w:space="0" w:color="auto"/>
            </w:tcBorders>
            <w:shd w:val="clear" w:color="auto" w:fill="auto"/>
            <w:vAlign w:val="center"/>
          </w:tcPr>
          <w:p w:rsidR="00CE6E7B" w:rsidRPr="00CE6E7B" w:rsidRDefault="00CE6E7B" w:rsidP="00CE6E7B">
            <w:pPr>
              <w:spacing w:before="40" w:after="40"/>
              <w:jc w:val="center"/>
              <w:rPr>
                <w:sz w:val="22"/>
                <w:lang w:val="en-US"/>
              </w:rPr>
            </w:pPr>
            <w:r w:rsidRPr="00CE6E7B">
              <w:rPr>
                <w:sz w:val="22"/>
                <w:lang w:val="en-US"/>
              </w:rPr>
              <w:t>0.416</w:t>
            </w:r>
          </w:p>
        </w:tc>
      </w:tr>
      <w:tr w:rsidR="0071433F" w:rsidRPr="00AE38AC" w:rsidTr="0065337D">
        <w:trPr>
          <w:trHeight w:val="557"/>
        </w:trPr>
        <w:tc>
          <w:tcPr>
            <w:tcW w:w="4077" w:type="dxa"/>
            <w:tcBorders>
              <w:top w:val="nil"/>
              <w:bottom w:val="nil"/>
            </w:tcBorders>
            <w:shd w:val="clear" w:color="auto" w:fill="auto"/>
            <w:vAlign w:val="center"/>
          </w:tcPr>
          <w:p w:rsidR="0071433F" w:rsidRPr="0065337D" w:rsidRDefault="00CE6E7B" w:rsidP="0065337D">
            <w:pPr>
              <w:spacing w:before="40" w:after="40"/>
              <w:jc w:val="right"/>
              <w:rPr>
                <w:sz w:val="22"/>
                <w:lang w:val="en-US"/>
              </w:rPr>
            </w:pPr>
            <w:r w:rsidRPr="0065337D">
              <w:rPr>
                <w:sz w:val="22"/>
                <w:lang w:val="en-US"/>
              </w:rPr>
              <w:t>Relative Reduction</w:t>
            </w:r>
          </w:p>
        </w:tc>
        <w:tc>
          <w:tcPr>
            <w:tcW w:w="2694" w:type="dxa"/>
            <w:gridSpan w:val="5"/>
            <w:tcBorders>
              <w:top w:val="single" w:sz="4" w:space="0" w:color="auto"/>
              <w:bottom w:val="single" w:sz="4" w:space="0" w:color="auto"/>
              <w:right w:val="single" w:sz="4" w:space="0" w:color="auto"/>
            </w:tcBorders>
            <w:shd w:val="clear" w:color="auto" w:fill="auto"/>
            <w:vAlign w:val="center"/>
          </w:tcPr>
          <w:p w:rsidR="0071433F" w:rsidRPr="0065337D" w:rsidRDefault="0065337D" w:rsidP="0065337D">
            <w:pPr>
              <w:spacing w:before="40" w:after="40"/>
              <w:jc w:val="center"/>
              <w:rPr>
                <w:sz w:val="22"/>
                <w:lang w:val="en-US"/>
              </w:rPr>
            </w:pPr>
            <w:r w:rsidRPr="0065337D">
              <w:rPr>
                <w:sz w:val="22"/>
                <w:lang w:val="en-US"/>
              </w:rPr>
              <w:t>94%</w:t>
            </w:r>
          </w:p>
          <w:p w:rsidR="0065337D" w:rsidRPr="0065337D" w:rsidRDefault="0065337D" w:rsidP="0065337D">
            <w:pPr>
              <w:spacing w:before="40" w:after="40"/>
              <w:jc w:val="center"/>
              <w:rPr>
                <w:sz w:val="22"/>
                <w:lang w:val="en-US"/>
              </w:rPr>
            </w:pPr>
            <w:r w:rsidRPr="0065337D">
              <w:rPr>
                <w:sz w:val="22"/>
                <w:lang w:val="en-US"/>
              </w:rPr>
              <w:t>(p&lt;0.0001)</w:t>
            </w:r>
          </w:p>
        </w:tc>
        <w:tc>
          <w:tcPr>
            <w:tcW w:w="2516" w:type="dxa"/>
            <w:gridSpan w:val="4"/>
            <w:tcBorders>
              <w:top w:val="nil"/>
              <w:left w:val="single" w:sz="4" w:space="0" w:color="auto"/>
              <w:bottom w:val="single" w:sz="4" w:space="0" w:color="auto"/>
            </w:tcBorders>
            <w:shd w:val="clear" w:color="auto" w:fill="auto"/>
            <w:vAlign w:val="center"/>
          </w:tcPr>
          <w:p w:rsidR="0071433F" w:rsidRPr="0065337D" w:rsidRDefault="0065337D" w:rsidP="0065337D">
            <w:pPr>
              <w:spacing w:before="40" w:after="40"/>
              <w:jc w:val="center"/>
              <w:rPr>
                <w:sz w:val="22"/>
                <w:lang w:val="en-US"/>
              </w:rPr>
            </w:pPr>
            <w:r w:rsidRPr="0065337D">
              <w:rPr>
                <w:sz w:val="22"/>
                <w:lang w:val="en-US"/>
              </w:rPr>
              <w:t>95%</w:t>
            </w:r>
          </w:p>
          <w:p w:rsidR="0065337D" w:rsidRPr="0065337D" w:rsidRDefault="0065337D" w:rsidP="0065337D">
            <w:pPr>
              <w:spacing w:before="40" w:after="40"/>
              <w:jc w:val="center"/>
              <w:rPr>
                <w:sz w:val="22"/>
                <w:lang w:val="en-US"/>
              </w:rPr>
            </w:pPr>
            <w:r w:rsidRPr="0065337D">
              <w:rPr>
                <w:sz w:val="22"/>
                <w:lang w:val="en-US"/>
              </w:rPr>
              <w:t>(p&lt;0.0001)</w:t>
            </w:r>
          </w:p>
        </w:tc>
      </w:tr>
      <w:tr w:rsidR="0065337D" w:rsidRPr="00AE38AC" w:rsidTr="0065337D">
        <w:tc>
          <w:tcPr>
            <w:tcW w:w="4077" w:type="dxa"/>
            <w:tcBorders>
              <w:bottom w:val="nil"/>
            </w:tcBorders>
            <w:shd w:val="clear" w:color="auto" w:fill="auto"/>
          </w:tcPr>
          <w:p w:rsidR="0065337D" w:rsidRPr="0065337D" w:rsidRDefault="0065337D" w:rsidP="004362B1">
            <w:pPr>
              <w:spacing w:before="40" w:after="40"/>
              <w:jc w:val="left"/>
              <w:rPr>
                <w:sz w:val="22"/>
                <w:lang w:val="en-US"/>
              </w:rPr>
            </w:pPr>
            <w:r w:rsidRPr="0065337D">
              <w:rPr>
                <w:sz w:val="22"/>
                <w:lang w:val="en-US"/>
              </w:rPr>
              <w:t xml:space="preserve">Mean number of new and/or enlarging T2 </w:t>
            </w:r>
            <w:proofErr w:type="spellStart"/>
            <w:r w:rsidRPr="0065337D">
              <w:rPr>
                <w:sz w:val="22"/>
                <w:lang w:val="en-US"/>
              </w:rPr>
              <w:t>hyperintense</w:t>
            </w:r>
            <w:proofErr w:type="spellEnd"/>
            <w:r w:rsidRPr="0065337D">
              <w:rPr>
                <w:sz w:val="22"/>
                <w:lang w:val="en-US"/>
              </w:rPr>
              <w:t xml:space="preserve"> lesions per MRI scan</w:t>
            </w:r>
          </w:p>
        </w:tc>
        <w:tc>
          <w:tcPr>
            <w:tcW w:w="1347" w:type="dxa"/>
            <w:tcBorders>
              <w:bottom w:val="single" w:sz="4" w:space="0" w:color="auto"/>
              <w:right w:val="single" w:sz="4" w:space="0" w:color="auto"/>
            </w:tcBorders>
            <w:shd w:val="clear" w:color="auto" w:fill="auto"/>
            <w:vAlign w:val="center"/>
          </w:tcPr>
          <w:p w:rsidR="0065337D" w:rsidRPr="0065337D" w:rsidRDefault="0065337D" w:rsidP="0065337D">
            <w:pPr>
              <w:spacing w:before="40" w:after="40"/>
              <w:jc w:val="center"/>
              <w:rPr>
                <w:sz w:val="22"/>
                <w:lang w:val="en-US"/>
              </w:rPr>
            </w:pPr>
            <w:r w:rsidRPr="0065337D">
              <w:rPr>
                <w:sz w:val="22"/>
                <w:lang w:val="en-US"/>
              </w:rPr>
              <w:t>0.323</w:t>
            </w:r>
          </w:p>
        </w:tc>
        <w:tc>
          <w:tcPr>
            <w:tcW w:w="1347" w:type="dxa"/>
            <w:gridSpan w:val="4"/>
            <w:tcBorders>
              <w:bottom w:val="single" w:sz="4" w:space="0" w:color="auto"/>
              <w:right w:val="single" w:sz="4" w:space="0" w:color="auto"/>
            </w:tcBorders>
            <w:shd w:val="clear" w:color="auto" w:fill="auto"/>
            <w:vAlign w:val="center"/>
          </w:tcPr>
          <w:p w:rsidR="0065337D" w:rsidRPr="0065337D" w:rsidRDefault="0065337D" w:rsidP="0065337D">
            <w:pPr>
              <w:spacing w:before="40" w:after="40"/>
              <w:jc w:val="center"/>
              <w:rPr>
                <w:sz w:val="22"/>
                <w:lang w:val="en-US"/>
              </w:rPr>
            </w:pPr>
            <w:r w:rsidRPr="0065337D">
              <w:rPr>
                <w:sz w:val="22"/>
                <w:lang w:val="en-US"/>
              </w:rPr>
              <w:t>1.413</w:t>
            </w:r>
          </w:p>
        </w:tc>
        <w:tc>
          <w:tcPr>
            <w:tcW w:w="1258" w:type="dxa"/>
            <w:tcBorders>
              <w:left w:val="single" w:sz="4" w:space="0" w:color="auto"/>
              <w:bottom w:val="single" w:sz="4" w:space="0" w:color="auto"/>
            </w:tcBorders>
            <w:shd w:val="clear" w:color="auto" w:fill="auto"/>
            <w:vAlign w:val="center"/>
          </w:tcPr>
          <w:p w:rsidR="0065337D" w:rsidRPr="0065337D" w:rsidRDefault="0065337D" w:rsidP="0065337D">
            <w:pPr>
              <w:spacing w:before="40" w:after="40"/>
              <w:jc w:val="center"/>
              <w:rPr>
                <w:sz w:val="22"/>
                <w:lang w:val="en-US"/>
              </w:rPr>
            </w:pPr>
            <w:r w:rsidRPr="0065337D">
              <w:rPr>
                <w:sz w:val="22"/>
                <w:lang w:val="en-US"/>
              </w:rPr>
              <w:t>0.325</w:t>
            </w:r>
          </w:p>
        </w:tc>
        <w:tc>
          <w:tcPr>
            <w:tcW w:w="1258" w:type="dxa"/>
            <w:gridSpan w:val="3"/>
            <w:tcBorders>
              <w:left w:val="single" w:sz="4" w:space="0" w:color="auto"/>
              <w:bottom w:val="single" w:sz="4" w:space="0" w:color="auto"/>
            </w:tcBorders>
            <w:shd w:val="clear" w:color="auto" w:fill="auto"/>
            <w:vAlign w:val="center"/>
          </w:tcPr>
          <w:p w:rsidR="0065337D" w:rsidRPr="0065337D" w:rsidRDefault="0065337D" w:rsidP="0065337D">
            <w:pPr>
              <w:spacing w:before="40" w:after="40"/>
              <w:jc w:val="center"/>
              <w:rPr>
                <w:sz w:val="22"/>
                <w:lang w:val="en-US"/>
              </w:rPr>
            </w:pPr>
            <w:r w:rsidRPr="0065337D">
              <w:rPr>
                <w:sz w:val="22"/>
                <w:lang w:val="en-US"/>
              </w:rPr>
              <w:t>1.904</w:t>
            </w:r>
          </w:p>
        </w:tc>
      </w:tr>
      <w:tr w:rsidR="0071433F" w:rsidRPr="00AE38AC" w:rsidTr="0065337D">
        <w:tc>
          <w:tcPr>
            <w:tcW w:w="4077" w:type="dxa"/>
            <w:tcBorders>
              <w:top w:val="nil"/>
              <w:bottom w:val="single" w:sz="4" w:space="0" w:color="auto"/>
              <w:right w:val="single" w:sz="4" w:space="0" w:color="auto"/>
            </w:tcBorders>
            <w:shd w:val="clear" w:color="auto" w:fill="auto"/>
            <w:vAlign w:val="center"/>
          </w:tcPr>
          <w:p w:rsidR="0071433F" w:rsidRPr="0065337D" w:rsidRDefault="0065337D" w:rsidP="0065337D">
            <w:pPr>
              <w:spacing w:before="40" w:after="40"/>
              <w:jc w:val="right"/>
              <w:rPr>
                <w:sz w:val="22"/>
                <w:lang w:val="en-US"/>
              </w:rPr>
            </w:pPr>
            <w:r w:rsidRPr="0065337D">
              <w:rPr>
                <w:sz w:val="22"/>
                <w:lang w:val="en-US"/>
              </w:rPr>
              <w:t>Relative Reduction</w:t>
            </w:r>
          </w:p>
        </w:tc>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1433F" w:rsidRPr="0065337D" w:rsidRDefault="0065337D" w:rsidP="0065337D">
            <w:pPr>
              <w:spacing w:before="40" w:after="40"/>
              <w:jc w:val="center"/>
              <w:rPr>
                <w:sz w:val="22"/>
                <w:lang w:val="en-US"/>
              </w:rPr>
            </w:pPr>
            <w:r w:rsidRPr="0065337D">
              <w:rPr>
                <w:sz w:val="22"/>
                <w:lang w:val="en-US"/>
              </w:rPr>
              <w:t>77%</w:t>
            </w:r>
          </w:p>
          <w:p w:rsidR="0065337D" w:rsidRPr="0065337D" w:rsidRDefault="0065337D" w:rsidP="0065337D">
            <w:pPr>
              <w:spacing w:before="40" w:after="40"/>
              <w:jc w:val="center"/>
              <w:rPr>
                <w:sz w:val="22"/>
                <w:lang w:val="en-US"/>
              </w:rPr>
            </w:pPr>
            <w:r w:rsidRPr="0065337D">
              <w:rPr>
                <w:sz w:val="22"/>
                <w:lang w:val="en-US"/>
              </w:rPr>
              <w:t>(p&lt;0.0001)</w:t>
            </w:r>
          </w:p>
        </w:tc>
        <w:tc>
          <w:tcPr>
            <w:tcW w:w="2516" w:type="dxa"/>
            <w:gridSpan w:val="4"/>
            <w:tcBorders>
              <w:top w:val="single" w:sz="4" w:space="0" w:color="auto"/>
              <w:left w:val="single" w:sz="4" w:space="0" w:color="auto"/>
              <w:bottom w:val="single" w:sz="4" w:space="0" w:color="auto"/>
            </w:tcBorders>
            <w:shd w:val="clear" w:color="auto" w:fill="auto"/>
            <w:vAlign w:val="center"/>
          </w:tcPr>
          <w:p w:rsidR="0071433F" w:rsidRPr="0065337D" w:rsidRDefault="0065337D" w:rsidP="0065337D">
            <w:pPr>
              <w:spacing w:before="40" w:after="40"/>
              <w:jc w:val="center"/>
              <w:rPr>
                <w:sz w:val="22"/>
                <w:lang w:val="en-US"/>
              </w:rPr>
            </w:pPr>
            <w:r w:rsidRPr="0065337D">
              <w:rPr>
                <w:sz w:val="22"/>
                <w:lang w:val="en-US"/>
              </w:rPr>
              <w:t>83%</w:t>
            </w:r>
          </w:p>
          <w:p w:rsidR="0065337D" w:rsidRPr="0065337D" w:rsidRDefault="0065337D" w:rsidP="0065337D">
            <w:pPr>
              <w:spacing w:before="40" w:after="40"/>
              <w:jc w:val="center"/>
              <w:rPr>
                <w:sz w:val="22"/>
                <w:lang w:val="en-US"/>
              </w:rPr>
            </w:pPr>
            <w:r w:rsidRPr="0065337D">
              <w:rPr>
                <w:sz w:val="22"/>
                <w:lang w:val="en-US"/>
              </w:rPr>
              <w:t>(p&lt;0.0001)</w:t>
            </w:r>
          </w:p>
        </w:tc>
      </w:tr>
      <w:tr w:rsidR="0065337D" w:rsidRPr="00AE38AC" w:rsidTr="0065337D">
        <w:tc>
          <w:tcPr>
            <w:tcW w:w="4077" w:type="dxa"/>
            <w:tcBorders>
              <w:top w:val="single" w:sz="4" w:space="0" w:color="auto"/>
              <w:bottom w:val="nil"/>
            </w:tcBorders>
            <w:shd w:val="clear" w:color="auto" w:fill="auto"/>
          </w:tcPr>
          <w:p w:rsidR="0065337D" w:rsidRPr="00AE38AC" w:rsidRDefault="0065337D" w:rsidP="004362B1">
            <w:pPr>
              <w:spacing w:before="40" w:after="40"/>
              <w:jc w:val="left"/>
              <w:rPr>
                <w:color w:val="FF0000"/>
                <w:sz w:val="22"/>
                <w:lang w:val="en-US"/>
              </w:rPr>
            </w:pPr>
            <w:r w:rsidRPr="0065337D">
              <w:rPr>
                <w:sz w:val="22"/>
                <w:lang w:val="en-US"/>
              </w:rPr>
              <w:t>Mean</w:t>
            </w:r>
            <w:r>
              <w:rPr>
                <w:sz w:val="22"/>
                <w:lang w:val="en-US"/>
              </w:rPr>
              <w:t xml:space="preserve"> number of new T1-hypo-intense lesions (chronic black holes) per MRI scan</w:t>
            </w:r>
          </w:p>
        </w:tc>
        <w:tc>
          <w:tcPr>
            <w:tcW w:w="1347" w:type="dxa"/>
            <w:tcBorders>
              <w:top w:val="single" w:sz="4" w:space="0" w:color="auto"/>
              <w:bottom w:val="single" w:sz="4" w:space="0" w:color="auto"/>
              <w:right w:val="single" w:sz="4" w:space="0" w:color="auto"/>
            </w:tcBorders>
            <w:shd w:val="clear" w:color="auto" w:fill="auto"/>
            <w:vAlign w:val="center"/>
          </w:tcPr>
          <w:p w:rsidR="0065337D" w:rsidRPr="0065337D" w:rsidRDefault="0065337D" w:rsidP="0065337D">
            <w:pPr>
              <w:spacing w:before="40" w:after="40"/>
              <w:jc w:val="center"/>
              <w:rPr>
                <w:sz w:val="22"/>
                <w:lang w:val="en-US"/>
              </w:rPr>
            </w:pPr>
            <w:r w:rsidRPr="0065337D">
              <w:rPr>
                <w:sz w:val="22"/>
                <w:lang w:val="en-US"/>
              </w:rPr>
              <w:t>0.420</w:t>
            </w:r>
          </w:p>
        </w:tc>
        <w:tc>
          <w:tcPr>
            <w:tcW w:w="1347" w:type="dxa"/>
            <w:gridSpan w:val="4"/>
            <w:tcBorders>
              <w:top w:val="single" w:sz="4" w:space="0" w:color="auto"/>
              <w:bottom w:val="single" w:sz="4" w:space="0" w:color="auto"/>
              <w:right w:val="single" w:sz="4" w:space="0" w:color="auto"/>
            </w:tcBorders>
            <w:shd w:val="clear" w:color="auto" w:fill="auto"/>
            <w:vAlign w:val="center"/>
          </w:tcPr>
          <w:p w:rsidR="0065337D" w:rsidRPr="0065337D" w:rsidRDefault="0065337D" w:rsidP="0065337D">
            <w:pPr>
              <w:spacing w:before="40" w:after="40"/>
              <w:jc w:val="center"/>
              <w:rPr>
                <w:sz w:val="22"/>
                <w:lang w:val="en-US"/>
              </w:rPr>
            </w:pPr>
            <w:r w:rsidRPr="0065337D">
              <w:rPr>
                <w:sz w:val="22"/>
                <w:lang w:val="en-US"/>
              </w:rPr>
              <w:t>0.982</w:t>
            </w:r>
          </w:p>
        </w:tc>
        <w:tc>
          <w:tcPr>
            <w:tcW w:w="1258" w:type="dxa"/>
            <w:tcBorders>
              <w:top w:val="single" w:sz="4" w:space="0" w:color="auto"/>
              <w:left w:val="single" w:sz="4" w:space="0" w:color="auto"/>
              <w:bottom w:val="single" w:sz="4" w:space="0" w:color="auto"/>
            </w:tcBorders>
            <w:shd w:val="clear" w:color="auto" w:fill="auto"/>
            <w:vAlign w:val="center"/>
          </w:tcPr>
          <w:p w:rsidR="0065337D" w:rsidRPr="0065337D" w:rsidRDefault="0065337D" w:rsidP="0065337D">
            <w:pPr>
              <w:spacing w:before="40" w:after="40"/>
              <w:jc w:val="center"/>
              <w:rPr>
                <w:sz w:val="22"/>
                <w:lang w:val="en-US"/>
              </w:rPr>
            </w:pPr>
            <w:r w:rsidRPr="0065337D">
              <w:rPr>
                <w:sz w:val="22"/>
                <w:lang w:val="en-US"/>
              </w:rPr>
              <w:t>0.449</w:t>
            </w:r>
          </w:p>
        </w:tc>
        <w:tc>
          <w:tcPr>
            <w:tcW w:w="1258" w:type="dxa"/>
            <w:gridSpan w:val="3"/>
            <w:tcBorders>
              <w:top w:val="single" w:sz="4" w:space="0" w:color="auto"/>
              <w:left w:val="single" w:sz="4" w:space="0" w:color="auto"/>
              <w:bottom w:val="single" w:sz="4" w:space="0" w:color="auto"/>
            </w:tcBorders>
            <w:shd w:val="clear" w:color="auto" w:fill="auto"/>
            <w:vAlign w:val="center"/>
          </w:tcPr>
          <w:p w:rsidR="0065337D" w:rsidRPr="0065337D" w:rsidRDefault="0065337D" w:rsidP="0065337D">
            <w:pPr>
              <w:spacing w:before="40" w:after="40"/>
              <w:jc w:val="center"/>
              <w:rPr>
                <w:sz w:val="22"/>
                <w:lang w:val="en-US"/>
              </w:rPr>
            </w:pPr>
            <w:r w:rsidRPr="0065337D">
              <w:rPr>
                <w:sz w:val="22"/>
                <w:lang w:val="en-US"/>
              </w:rPr>
              <w:t>1.255</w:t>
            </w:r>
          </w:p>
        </w:tc>
      </w:tr>
      <w:tr w:rsidR="0065337D" w:rsidRPr="00AE38AC" w:rsidTr="00FA7629">
        <w:tc>
          <w:tcPr>
            <w:tcW w:w="4077" w:type="dxa"/>
            <w:tcBorders>
              <w:top w:val="nil"/>
              <w:bottom w:val="single" w:sz="4" w:space="0" w:color="auto"/>
            </w:tcBorders>
            <w:shd w:val="clear" w:color="auto" w:fill="auto"/>
            <w:vAlign w:val="center"/>
          </w:tcPr>
          <w:p w:rsidR="0065337D" w:rsidRPr="0065337D" w:rsidRDefault="0065337D" w:rsidP="0065337D">
            <w:pPr>
              <w:spacing w:before="40" w:after="40"/>
              <w:jc w:val="right"/>
              <w:rPr>
                <w:sz w:val="22"/>
                <w:lang w:val="en-US"/>
              </w:rPr>
            </w:pPr>
            <w:r w:rsidRPr="0065337D">
              <w:rPr>
                <w:sz w:val="22"/>
                <w:lang w:val="en-US"/>
              </w:rPr>
              <w:t>Relative reduction</w:t>
            </w:r>
          </w:p>
        </w:tc>
        <w:tc>
          <w:tcPr>
            <w:tcW w:w="2694" w:type="dxa"/>
            <w:gridSpan w:val="5"/>
            <w:tcBorders>
              <w:top w:val="single" w:sz="4" w:space="0" w:color="auto"/>
              <w:bottom w:val="single" w:sz="4" w:space="0" w:color="auto"/>
            </w:tcBorders>
            <w:shd w:val="clear" w:color="auto" w:fill="auto"/>
            <w:vAlign w:val="center"/>
          </w:tcPr>
          <w:p w:rsidR="0065337D" w:rsidRPr="0065337D" w:rsidRDefault="0065337D" w:rsidP="0065337D">
            <w:pPr>
              <w:spacing w:before="40" w:after="40"/>
              <w:jc w:val="center"/>
              <w:rPr>
                <w:sz w:val="22"/>
                <w:lang w:val="en-US"/>
              </w:rPr>
            </w:pPr>
            <w:r w:rsidRPr="0065337D">
              <w:rPr>
                <w:sz w:val="22"/>
                <w:lang w:val="en-US"/>
              </w:rPr>
              <w:t>57%</w:t>
            </w:r>
          </w:p>
          <w:p w:rsidR="0065337D" w:rsidRPr="0065337D" w:rsidRDefault="0065337D" w:rsidP="0065337D">
            <w:pPr>
              <w:spacing w:before="40" w:after="40"/>
              <w:jc w:val="center"/>
              <w:rPr>
                <w:sz w:val="22"/>
                <w:lang w:val="en-US"/>
              </w:rPr>
            </w:pPr>
            <w:r w:rsidRPr="0065337D">
              <w:rPr>
                <w:sz w:val="22"/>
                <w:lang w:val="en-US"/>
              </w:rPr>
              <w:t>(p&lt;0.0001)</w:t>
            </w:r>
          </w:p>
        </w:tc>
        <w:tc>
          <w:tcPr>
            <w:tcW w:w="2516" w:type="dxa"/>
            <w:gridSpan w:val="4"/>
            <w:tcBorders>
              <w:top w:val="single" w:sz="4" w:space="0" w:color="auto"/>
              <w:bottom w:val="single" w:sz="4" w:space="0" w:color="auto"/>
            </w:tcBorders>
            <w:shd w:val="clear" w:color="auto" w:fill="auto"/>
            <w:vAlign w:val="center"/>
          </w:tcPr>
          <w:p w:rsidR="0065337D" w:rsidRPr="0065337D" w:rsidRDefault="0065337D" w:rsidP="0065337D">
            <w:pPr>
              <w:spacing w:before="40" w:after="40"/>
              <w:jc w:val="center"/>
              <w:rPr>
                <w:sz w:val="22"/>
                <w:lang w:val="en-US"/>
              </w:rPr>
            </w:pPr>
            <w:r w:rsidRPr="0065337D">
              <w:rPr>
                <w:sz w:val="22"/>
                <w:lang w:val="en-US"/>
              </w:rPr>
              <w:t>64%</w:t>
            </w:r>
          </w:p>
          <w:p w:rsidR="0065337D" w:rsidRPr="0065337D" w:rsidRDefault="0065337D" w:rsidP="0065337D">
            <w:pPr>
              <w:spacing w:before="40" w:after="40"/>
              <w:jc w:val="center"/>
              <w:rPr>
                <w:sz w:val="22"/>
                <w:lang w:val="en-US"/>
              </w:rPr>
            </w:pPr>
            <w:r w:rsidRPr="0065337D">
              <w:rPr>
                <w:sz w:val="22"/>
                <w:lang w:val="en-US"/>
              </w:rPr>
              <w:t>(p&lt;0.0001)</w:t>
            </w:r>
          </w:p>
        </w:tc>
      </w:tr>
      <w:tr w:rsidR="00FA7629" w:rsidRPr="00AE38AC" w:rsidTr="00FA7629">
        <w:trPr>
          <w:trHeight w:val="430"/>
        </w:trPr>
        <w:tc>
          <w:tcPr>
            <w:tcW w:w="4077" w:type="dxa"/>
            <w:tcBorders>
              <w:top w:val="single" w:sz="4" w:space="0" w:color="auto"/>
              <w:bottom w:val="nil"/>
            </w:tcBorders>
            <w:shd w:val="clear" w:color="auto" w:fill="auto"/>
          </w:tcPr>
          <w:p w:rsidR="00FA7629" w:rsidRPr="00FA7629" w:rsidRDefault="00FA7629" w:rsidP="008E6C53">
            <w:pPr>
              <w:spacing w:before="40" w:after="40"/>
              <w:jc w:val="left"/>
              <w:rPr>
                <w:sz w:val="22"/>
                <w:lang w:val="en-US"/>
              </w:rPr>
            </w:pPr>
            <w:r w:rsidRPr="00FA7629">
              <w:rPr>
                <w:sz w:val="22"/>
                <w:lang w:val="en-US"/>
              </w:rPr>
              <w:t xml:space="preserve">Percentage change in brain volume from </w:t>
            </w:r>
            <w:r w:rsidR="008E6C53">
              <w:rPr>
                <w:sz w:val="22"/>
                <w:lang w:val="en-US"/>
              </w:rPr>
              <w:t>w</w:t>
            </w:r>
            <w:r w:rsidRPr="00FA7629">
              <w:rPr>
                <w:sz w:val="22"/>
                <w:lang w:val="en-US"/>
              </w:rPr>
              <w:t xml:space="preserve">eek 24 to </w:t>
            </w:r>
            <w:r w:rsidR="008E6C53">
              <w:rPr>
                <w:sz w:val="22"/>
                <w:lang w:val="en-US"/>
              </w:rPr>
              <w:t>w</w:t>
            </w:r>
            <w:r w:rsidRPr="00FA7629">
              <w:rPr>
                <w:sz w:val="22"/>
                <w:lang w:val="en-US"/>
              </w:rPr>
              <w:t>eek 96</w:t>
            </w:r>
          </w:p>
        </w:tc>
        <w:tc>
          <w:tcPr>
            <w:tcW w:w="1347" w:type="dxa"/>
            <w:tcBorders>
              <w:top w:val="single" w:sz="4" w:space="0" w:color="auto"/>
              <w:bottom w:val="single" w:sz="4" w:space="0" w:color="auto"/>
            </w:tcBorders>
            <w:shd w:val="clear" w:color="auto" w:fill="auto"/>
            <w:vAlign w:val="center"/>
          </w:tcPr>
          <w:p w:rsidR="00FA7629" w:rsidRPr="00FA7629" w:rsidRDefault="00FA7629" w:rsidP="00FA7629">
            <w:pPr>
              <w:spacing w:before="40" w:after="40"/>
              <w:jc w:val="center"/>
              <w:rPr>
                <w:sz w:val="22"/>
                <w:lang w:val="en-US"/>
              </w:rPr>
            </w:pPr>
            <w:r w:rsidRPr="00FA7629">
              <w:rPr>
                <w:sz w:val="22"/>
                <w:lang w:val="en-US"/>
              </w:rPr>
              <w:t>-0.572</w:t>
            </w:r>
          </w:p>
        </w:tc>
        <w:tc>
          <w:tcPr>
            <w:tcW w:w="1347" w:type="dxa"/>
            <w:gridSpan w:val="4"/>
            <w:tcBorders>
              <w:top w:val="single" w:sz="4" w:space="0" w:color="auto"/>
              <w:bottom w:val="single" w:sz="4" w:space="0" w:color="auto"/>
            </w:tcBorders>
            <w:shd w:val="clear" w:color="auto" w:fill="auto"/>
            <w:vAlign w:val="center"/>
          </w:tcPr>
          <w:p w:rsidR="00FA7629" w:rsidRPr="00FA7629" w:rsidRDefault="00FA7629" w:rsidP="00FA7629">
            <w:pPr>
              <w:spacing w:before="40" w:after="40"/>
              <w:jc w:val="center"/>
              <w:rPr>
                <w:sz w:val="22"/>
                <w:lang w:val="en-US"/>
              </w:rPr>
            </w:pPr>
            <w:r w:rsidRPr="00FA7629">
              <w:rPr>
                <w:sz w:val="22"/>
                <w:lang w:val="en-US"/>
              </w:rPr>
              <w:t>-0.741</w:t>
            </w:r>
          </w:p>
        </w:tc>
        <w:tc>
          <w:tcPr>
            <w:tcW w:w="1258" w:type="dxa"/>
            <w:tcBorders>
              <w:top w:val="single" w:sz="4" w:space="0" w:color="auto"/>
              <w:bottom w:val="single" w:sz="4" w:space="0" w:color="auto"/>
            </w:tcBorders>
            <w:shd w:val="clear" w:color="auto" w:fill="auto"/>
            <w:vAlign w:val="center"/>
          </w:tcPr>
          <w:p w:rsidR="00FA7629" w:rsidRPr="00FA7629" w:rsidRDefault="00FA7629" w:rsidP="00FA7629">
            <w:pPr>
              <w:spacing w:before="40" w:after="40"/>
              <w:jc w:val="center"/>
              <w:rPr>
                <w:sz w:val="22"/>
                <w:lang w:val="en-US"/>
              </w:rPr>
            </w:pPr>
            <w:r w:rsidRPr="00FA7629">
              <w:rPr>
                <w:sz w:val="22"/>
                <w:lang w:val="en-US"/>
              </w:rPr>
              <w:t>-0.638</w:t>
            </w:r>
          </w:p>
        </w:tc>
        <w:tc>
          <w:tcPr>
            <w:tcW w:w="1258" w:type="dxa"/>
            <w:gridSpan w:val="3"/>
            <w:tcBorders>
              <w:top w:val="single" w:sz="4" w:space="0" w:color="auto"/>
              <w:bottom w:val="single" w:sz="4" w:space="0" w:color="auto"/>
            </w:tcBorders>
            <w:shd w:val="clear" w:color="auto" w:fill="auto"/>
            <w:vAlign w:val="center"/>
          </w:tcPr>
          <w:p w:rsidR="00FA7629" w:rsidRPr="00FA7629" w:rsidRDefault="00FA7629" w:rsidP="00FA7629">
            <w:pPr>
              <w:spacing w:before="40" w:after="40"/>
              <w:jc w:val="center"/>
              <w:rPr>
                <w:sz w:val="22"/>
                <w:lang w:val="en-US"/>
              </w:rPr>
            </w:pPr>
            <w:r w:rsidRPr="00FA7629">
              <w:rPr>
                <w:sz w:val="22"/>
                <w:lang w:val="en-US"/>
              </w:rPr>
              <w:t>-0.750</w:t>
            </w:r>
          </w:p>
        </w:tc>
      </w:tr>
      <w:tr w:rsidR="0071433F" w:rsidRPr="00AE38AC" w:rsidTr="00FA7629">
        <w:trPr>
          <w:trHeight w:val="539"/>
        </w:trPr>
        <w:tc>
          <w:tcPr>
            <w:tcW w:w="4077" w:type="dxa"/>
            <w:tcBorders>
              <w:top w:val="nil"/>
              <w:bottom w:val="single" w:sz="4" w:space="0" w:color="auto"/>
            </w:tcBorders>
            <w:shd w:val="clear" w:color="auto" w:fill="auto"/>
            <w:vAlign w:val="center"/>
          </w:tcPr>
          <w:p w:rsidR="0071433F" w:rsidRPr="00FA7629" w:rsidRDefault="00FA7629" w:rsidP="00FA7629">
            <w:pPr>
              <w:spacing w:before="40" w:after="40"/>
              <w:jc w:val="right"/>
              <w:rPr>
                <w:sz w:val="22"/>
                <w:lang w:val="en-US"/>
              </w:rPr>
            </w:pPr>
            <w:r w:rsidRPr="00FA7629">
              <w:rPr>
                <w:sz w:val="22"/>
                <w:lang w:val="en-US"/>
              </w:rPr>
              <w:t>Relative reduction in brain volume loss</w:t>
            </w:r>
          </w:p>
        </w:tc>
        <w:tc>
          <w:tcPr>
            <w:tcW w:w="2694" w:type="dxa"/>
            <w:gridSpan w:val="5"/>
            <w:tcBorders>
              <w:bottom w:val="single" w:sz="4" w:space="0" w:color="auto"/>
              <w:right w:val="single" w:sz="4" w:space="0" w:color="auto"/>
            </w:tcBorders>
            <w:shd w:val="clear" w:color="auto" w:fill="auto"/>
          </w:tcPr>
          <w:p w:rsidR="0071433F" w:rsidRPr="00FA7629" w:rsidRDefault="00FA7629" w:rsidP="004362B1">
            <w:pPr>
              <w:spacing w:before="40" w:after="40"/>
              <w:jc w:val="center"/>
              <w:rPr>
                <w:sz w:val="22"/>
                <w:lang w:val="en-US"/>
              </w:rPr>
            </w:pPr>
            <w:r w:rsidRPr="00FA7629">
              <w:rPr>
                <w:sz w:val="22"/>
                <w:lang w:val="en-US"/>
              </w:rPr>
              <w:t>22.8%</w:t>
            </w:r>
          </w:p>
          <w:p w:rsidR="00FA7629" w:rsidRPr="00FA7629" w:rsidRDefault="00FA7629" w:rsidP="004362B1">
            <w:pPr>
              <w:spacing w:before="40" w:after="40"/>
              <w:jc w:val="center"/>
              <w:rPr>
                <w:sz w:val="22"/>
                <w:lang w:val="en-US"/>
              </w:rPr>
            </w:pPr>
            <w:r w:rsidRPr="00FA7629">
              <w:rPr>
                <w:sz w:val="22"/>
                <w:lang w:val="en-US"/>
              </w:rPr>
              <w:t>(p=0.0042)</w:t>
            </w:r>
            <w:r w:rsidRPr="00FA7629">
              <w:rPr>
                <w:sz w:val="22"/>
                <w:vertAlign w:val="superscript"/>
                <w:lang w:val="en-US"/>
              </w:rPr>
              <w:t>6</w:t>
            </w:r>
          </w:p>
        </w:tc>
        <w:tc>
          <w:tcPr>
            <w:tcW w:w="2516" w:type="dxa"/>
            <w:gridSpan w:val="4"/>
            <w:tcBorders>
              <w:left w:val="single" w:sz="4" w:space="0" w:color="auto"/>
              <w:bottom w:val="single" w:sz="4" w:space="0" w:color="auto"/>
            </w:tcBorders>
            <w:shd w:val="clear" w:color="auto" w:fill="auto"/>
          </w:tcPr>
          <w:p w:rsidR="0071433F" w:rsidRPr="00FA7629" w:rsidRDefault="00FA7629" w:rsidP="004362B1">
            <w:pPr>
              <w:spacing w:before="40" w:after="40"/>
              <w:jc w:val="center"/>
              <w:rPr>
                <w:sz w:val="22"/>
                <w:lang w:val="en-US"/>
              </w:rPr>
            </w:pPr>
            <w:r w:rsidRPr="00FA7629">
              <w:rPr>
                <w:sz w:val="22"/>
                <w:lang w:val="en-US"/>
              </w:rPr>
              <w:t>14.9%</w:t>
            </w:r>
          </w:p>
          <w:p w:rsidR="00FA7629" w:rsidRPr="00FA7629" w:rsidRDefault="00FA7629" w:rsidP="004362B1">
            <w:pPr>
              <w:spacing w:before="40" w:after="40"/>
              <w:jc w:val="center"/>
              <w:rPr>
                <w:sz w:val="22"/>
                <w:lang w:val="en-US"/>
              </w:rPr>
            </w:pPr>
            <w:r w:rsidRPr="00FA7629">
              <w:rPr>
                <w:sz w:val="22"/>
                <w:lang w:val="en-US"/>
              </w:rPr>
              <w:t>(p=0.0900)</w:t>
            </w:r>
          </w:p>
        </w:tc>
      </w:tr>
      <w:tr w:rsidR="00FA7629" w:rsidRPr="00AE38AC" w:rsidTr="00FA7629">
        <w:tc>
          <w:tcPr>
            <w:tcW w:w="9287" w:type="dxa"/>
            <w:gridSpan w:val="10"/>
            <w:tcBorders>
              <w:top w:val="single" w:sz="4" w:space="0" w:color="auto"/>
              <w:bottom w:val="single" w:sz="4" w:space="0" w:color="auto"/>
            </w:tcBorders>
            <w:shd w:val="clear" w:color="auto" w:fill="auto"/>
            <w:vAlign w:val="center"/>
          </w:tcPr>
          <w:p w:rsidR="00FA7629" w:rsidRPr="00AE38AC" w:rsidRDefault="00FA7629" w:rsidP="00FA7629">
            <w:pPr>
              <w:spacing w:before="40" w:after="40"/>
              <w:jc w:val="left"/>
              <w:rPr>
                <w:color w:val="FF0000"/>
                <w:sz w:val="22"/>
                <w:lang w:val="en-US"/>
              </w:rPr>
            </w:pPr>
            <w:r w:rsidRPr="00FA7629">
              <w:rPr>
                <w:b/>
                <w:sz w:val="22"/>
                <w:lang w:val="en-US"/>
              </w:rPr>
              <w:t>Quality of Life</w:t>
            </w:r>
          </w:p>
        </w:tc>
      </w:tr>
      <w:tr w:rsidR="00FA7629" w:rsidRPr="00AE38AC" w:rsidTr="00FA7629">
        <w:tc>
          <w:tcPr>
            <w:tcW w:w="4077" w:type="dxa"/>
            <w:tcBorders>
              <w:top w:val="single" w:sz="4" w:space="0" w:color="auto"/>
              <w:bottom w:val="nil"/>
            </w:tcBorders>
            <w:shd w:val="clear" w:color="auto" w:fill="auto"/>
          </w:tcPr>
          <w:p w:rsidR="00FA7629" w:rsidRPr="00FA7629" w:rsidRDefault="00FA7629" w:rsidP="004362B1">
            <w:pPr>
              <w:spacing w:before="40" w:after="40"/>
              <w:jc w:val="left"/>
              <w:rPr>
                <w:sz w:val="22"/>
                <w:lang w:val="en-US"/>
              </w:rPr>
            </w:pPr>
            <w:r w:rsidRPr="00FA7629">
              <w:rPr>
                <w:sz w:val="22"/>
                <w:lang w:val="en-US"/>
              </w:rPr>
              <w:t>Mean change from baseline in SF-36 Physical Component Summary</w:t>
            </w:r>
          </w:p>
        </w:tc>
        <w:tc>
          <w:tcPr>
            <w:tcW w:w="1347" w:type="dxa"/>
            <w:tcBorders>
              <w:top w:val="single" w:sz="4" w:space="0" w:color="auto"/>
              <w:bottom w:val="single" w:sz="4" w:space="0" w:color="auto"/>
              <w:right w:val="single" w:sz="4" w:space="0" w:color="auto"/>
            </w:tcBorders>
            <w:shd w:val="clear" w:color="auto" w:fill="auto"/>
            <w:vAlign w:val="center"/>
          </w:tcPr>
          <w:p w:rsidR="00FA7629" w:rsidRPr="00FA7629" w:rsidRDefault="00FA7629" w:rsidP="00FA7629">
            <w:pPr>
              <w:spacing w:before="40" w:after="40"/>
              <w:jc w:val="center"/>
              <w:rPr>
                <w:sz w:val="22"/>
                <w:lang w:val="en-US"/>
              </w:rPr>
            </w:pPr>
            <w:r w:rsidRPr="00FA7629">
              <w:rPr>
                <w:sz w:val="22"/>
                <w:lang w:val="en-US"/>
              </w:rPr>
              <w:t>0.036</w:t>
            </w:r>
          </w:p>
        </w:tc>
        <w:tc>
          <w:tcPr>
            <w:tcW w:w="1347" w:type="dxa"/>
            <w:gridSpan w:val="4"/>
            <w:tcBorders>
              <w:top w:val="single" w:sz="4" w:space="0" w:color="auto"/>
              <w:bottom w:val="single" w:sz="4" w:space="0" w:color="auto"/>
              <w:right w:val="single" w:sz="4" w:space="0" w:color="auto"/>
            </w:tcBorders>
            <w:shd w:val="clear" w:color="auto" w:fill="auto"/>
            <w:vAlign w:val="center"/>
          </w:tcPr>
          <w:p w:rsidR="00FA7629" w:rsidRPr="00FA7629" w:rsidRDefault="00FA7629" w:rsidP="00FA7629">
            <w:pPr>
              <w:spacing w:before="40" w:after="40"/>
              <w:jc w:val="center"/>
              <w:rPr>
                <w:sz w:val="22"/>
                <w:lang w:val="en-US"/>
              </w:rPr>
            </w:pPr>
            <w:r w:rsidRPr="00FA7629">
              <w:rPr>
                <w:sz w:val="22"/>
                <w:lang w:val="en-US"/>
              </w:rPr>
              <w:t>-0.657</w:t>
            </w:r>
          </w:p>
        </w:tc>
        <w:tc>
          <w:tcPr>
            <w:tcW w:w="1258" w:type="dxa"/>
            <w:tcBorders>
              <w:top w:val="single" w:sz="4" w:space="0" w:color="auto"/>
              <w:left w:val="single" w:sz="4" w:space="0" w:color="auto"/>
              <w:bottom w:val="single" w:sz="4" w:space="0" w:color="auto"/>
            </w:tcBorders>
            <w:shd w:val="clear" w:color="auto" w:fill="auto"/>
            <w:vAlign w:val="center"/>
          </w:tcPr>
          <w:p w:rsidR="00FA7629" w:rsidRPr="00FA7629" w:rsidRDefault="00FA7629" w:rsidP="00FA7629">
            <w:pPr>
              <w:spacing w:before="40" w:after="40"/>
              <w:jc w:val="center"/>
              <w:rPr>
                <w:sz w:val="22"/>
                <w:lang w:val="en-US"/>
              </w:rPr>
            </w:pPr>
            <w:r w:rsidRPr="00FA7629">
              <w:rPr>
                <w:sz w:val="22"/>
                <w:lang w:val="en-US"/>
              </w:rPr>
              <w:t>0.326</w:t>
            </w:r>
          </w:p>
        </w:tc>
        <w:tc>
          <w:tcPr>
            <w:tcW w:w="1258" w:type="dxa"/>
            <w:gridSpan w:val="3"/>
            <w:tcBorders>
              <w:top w:val="single" w:sz="4" w:space="0" w:color="auto"/>
              <w:left w:val="single" w:sz="4" w:space="0" w:color="auto"/>
              <w:bottom w:val="single" w:sz="4" w:space="0" w:color="auto"/>
            </w:tcBorders>
            <w:shd w:val="clear" w:color="auto" w:fill="auto"/>
            <w:vAlign w:val="center"/>
          </w:tcPr>
          <w:p w:rsidR="00FA7629" w:rsidRPr="00FA7629" w:rsidRDefault="00FA7629" w:rsidP="00FA7629">
            <w:pPr>
              <w:spacing w:before="40" w:after="40"/>
              <w:jc w:val="center"/>
              <w:rPr>
                <w:sz w:val="22"/>
                <w:lang w:val="en-US"/>
              </w:rPr>
            </w:pPr>
            <w:r w:rsidRPr="00FA7629">
              <w:rPr>
                <w:sz w:val="22"/>
                <w:lang w:val="en-US"/>
              </w:rPr>
              <w:t>-0.833</w:t>
            </w:r>
          </w:p>
        </w:tc>
      </w:tr>
      <w:tr w:rsidR="00FA7629" w:rsidRPr="00FA7629" w:rsidTr="00FA7629">
        <w:tc>
          <w:tcPr>
            <w:tcW w:w="4077" w:type="dxa"/>
            <w:tcBorders>
              <w:top w:val="nil"/>
              <w:bottom w:val="single" w:sz="4" w:space="0" w:color="auto"/>
            </w:tcBorders>
            <w:shd w:val="clear" w:color="auto" w:fill="auto"/>
            <w:vAlign w:val="center"/>
          </w:tcPr>
          <w:p w:rsidR="00FA7629" w:rsidRPr="00FA7629" w:rsidRDefault="00FA7629" w:rsidP="00FA7629">
            <w:pPr>
              <w:spacing w:before="40" w:after="40"/>
              <w:jc w:val="right"/>
              <w:rPr>
                <w:sz w:val="22"/>
                <w:lang w:val="en-US"/>
              </w:rPr>
            </w:pPr>
            <w:r w:rsidRPr="00FA7629">
              <w:rPr>
                <w:sz w:val="22"/>
                <w:lang w:val="en-US"/>
              </w:rPr>
              <w:t>Difference</w:t>
            </w:r>
          </w:p>
        </w:tc>
        <w:tc>
          <w:tcPr>
            <w:tcW w:w="2694" w:type="dxa"/>
            <w:gridSpan w:val="5"/>
            <w:tcBorders>
              <w:top w:val="single" w:sz="4" w:space="0" w:color="auto"/>
              <w:bottom w:val="single" w:sz="4" w:space="0" w:color="auto"/>
            </w:tcBorders>
            <w:shd w:val="clear" w:color="auto" w:fill="auto"/>
            <w:vAlign w:val="center"/>
          </w:tcPr>
          <w:p w:rsidR="00FA7629" w:rsidRDefault="00FA7629" w:rsidP="00FA7629">
            <w:pPr>
              <w:spacing w:before="40" w:after="40"/>
              <w:jc w:val="center"/>
              <w:rPr>
                <w:sz w:val="22"/>
                <w:lang w:val="en-US"/>
              </w:rPr>
            </w:pPr>
            <w:r w:rsidRPr="00FA7629">
              <w:rPr>
                <w:sz w:val="22"/>
                <w:lang w:val="en-US"/>
              </w:rPr>
              <w:t xml:space="preserve">0.693 </w:t>
            </w:r>
          </w:p>
          <w:p w:rsidR="00FA7629" w:rsidRPr="00FA7629" w:rsidRDefault="00FA7629" w:rsidP="00FA7629">
            <w:pPr>
              <w:spacing w:before="40" w:after="40"/>
              <w:jc w:val="center"/>
              <w:rPr>
                <w:sz w:val="22"/>
                <w:lang w:val="en-US"/>
              </w:rPr>
            </w:pPr>
            <w:r w:rsidRPr="00FA7629">
              <w:rPr>
                <w:sz w:val="22"/>
                <w:lang w:val="en-US"/>
              </w:rPr>
              <w:t>(p=0.2193)</w:t>
            </w:r>
          </w:p>
        </w:tc>
        <w:tc>
          <w:tcPr>
            <w:tcW w:w="2516" w:type="dxa"/>
            <w:gridSpan w:val="4"/>
            <w:tcBorders>
              <w:top w:val="single" w:sz="4" w:space="0" w:color="auto"/>
              <w:bottom w:val="single" w:sz="4" w:space="0" w:color="auto"/>
            </w:tcBorders>
            <w:shd w:val="clear" w:color="auto" w:fill="auto"/>
            <w:vAlign w:val="center"/>
          </w:tcPr>
          <w:p w:rsidR="00FA7629" w:rsidRDefault="00FA7629" w:rsidP="00FA7629">
            <w:pPr>
              <w:spacing w:before="40" w:after="40"/>
              <w:jc w:val="center"/>
              <w:rPr>
                <w:sz w:val="22"/>
                <w:lang w:val="en-US"/>
              </w:rPr>
            </w:pPr>
            <w:r w:rsidRPr="00FA7629">
              <w:rPr>
                <w:sz w:val="22"/>
                <w:lang w:val="en-US"/>
              </w:rPr>
              <w:t xml:space="preserve">1.159 </w:t>
            </w:r>
          </w:p>
          <w:p w:rsidR="00FA7629" w:rsidRPr="00FA7629" w:rsidRDefault="00FA7629" w:rsidP="00FA7629">
            <w:pPr>
              <w:spacing w:before="40" w:after="40"/>
              <w:jc w:val="center"/>
              <w:rPr>
                <w:sz w:val="22"/>
                <w:lang w:val="en-US"/>
              </w:rPr>
            </w:pPr>
            <w:r w:rsidRPr="00FA7629">
              <w:rPr>
                <w:sz w:val="22"/>
                <w:lang w:val="en-US"/>
              </w:rPr>
              <w:t>(p=0.0404)</w:t>
            </w:r>
            <w:r w:rsidRPr="00FA7629">
              <w:rPr>
                <w:sz w:val="22"/>
                <w:vertAlign w:val="superscript"/>
                <w:lang w:val="en-US"/>
              </w:rPr>
              <w:t>6</w:t>
            </w:r>
          </w:p>
        </w:tc>
      </w:tr>
    </w:tbl>
    <w:p w:rsidR="00FA7629" w:rsidRPr="00DB5451" w:rsidRDefault="00FA7629" w:rsidP="00D0271A">
      <w:pPr>
        <w:rPr>
          <w:szCs w:val="24"/>
        </w:rPr>
      </w:pPr>
      <w:r w:rsidRPr="00DB5451">
        <w:rPr>
          <w:szCs w:val="24"/>
          <w:vertAlign w:val="superscript"/>
        </w:rPr>
        <w:t>1</w:t>
      </w:r>
      <w:r w:rsidRPr="00DB5451">
        <w:rPr>
          <w:szCs w:val="24"/>
        </w:rPr>
        <w:t xml:space="preserve"> Data prospectively pooled from Study 1 &amp; 2</w:t>
      </w:r>
    </w:p>
    <w:p w:rsidR="00FA7629" w:rsidRPr="00DB5451" w:rsidRDefault="00FA7629" w:rsidP="00D0271A">
      <w:pPr>
        <w:rPr>
          <w:szCs w:val="24"/>
        </w:rPr>
      </w:pPr>
      <w:r w:rsidRPr="00DB5451">
        <w:rPr>
          <w:szCs w:val="24"/>
          <w:vertAlign w:val="superscript"/>
        </w:rPr>
        <w:t>2</w:t>
      </w:r>
      <w:r w:rsidRPr="00DB5451">
        <w:rPr>
          <w:szCs w:val="24"/>
        </w:rPr>
        <w:t xml:space="preserve"> Non-confirmatory p-value; analysis not part of the pre-specified testing hierarchy</w:t>
      </w:r>
    </w:p>
    <w:p w:rsidR="00DB5451" w:rsidRPr="00DB5451" w:rsidRDefault="00FA7629" w:rsidP="00D0271A">
      <w:pPr>
        <w:rPr>
          <w:szCs w:val="24"/>
        </w:rPr>
      </w:pPr>
      <w:r w:rsidRPr="00DB5451">
        <w:rPr>
          <w:szCs w:val="24"/>
          <w:vertAlign w:val="superscript"/>
        </w:rPr>
        <w:t>3</w:t>
      </w:r>
      <w:r w:rsidRPr="00DB5451">
        <w:rPr>
          <w:szCs w:val="24"/>
        </w:rPr>
        <w:t xml:space="preserve"> Defined as an increase of ≥ 1.0 point from the baseline Expanded Disability Status Scale (EDSS) score for patients with baseline </w:t>
      </w:r>
      <w:r w:rsidR="00DB5451" w:rsidRPr="00DB5451">
        <w:rPr>
          <w:szCs w:val="24"/>
        </w:rPr>
        <w:t xml:space="preserve">EDSS </w:t>
      </w:r>
      <w:r w:rsidRPr="00DB5451">
        <w:rPr>
          <w:szCs w:val="24"/>
        </w:rPr>
        <w:t xml:space="preserve">score of 5.5 or less, or </w:t>
      </w:r>
      <w:r w:rsidR="00DB5451" w:rsidRPr="00DB5451">
        <w:rPr>
          <w:szCs w:val="24"/>
        </w:rPr>
        <w:t>≥ 0.5 when the baseline score is &gt; 5.5; Kaplan-Meier estimates at Week 96</w:t>
      </w:r>
    </w:p>
    <w:p w:rsidR="00DB5451" w:rsidRPr="00DB5451" w:rsidRDefault="00DB5451" w:rsidP="00D0271A">
      <w:pPr>
        <w:rPr>
          <w:szCs w:val="24"/>
        </w:rPr>
      </w:pPr>
      <w:r w:rsidRPr="00DB5451">
        <w:rPr>
          <w:szCs w:val="24"/>
          <w:vertAlign w:val="superscript"/>
        </w:rPr>
        <w:t>4</w:t>
      </w:r>
      <w:r w:rsidRPr="00DB5451">
        <w:rPr>
          <w:szCs w:val="24"/>
        </w:rPr>
        <w:t xml:space="preserve"> Defined as decrease of ≥ 1.0 point from the baseline EDSS score for patients with baseline EDSS score of ≥ 2 and ≤ 5.5, or ≥ 0.5 when the baseline score is &gt; 5.5. Patients with baseline score &lt; 2 were not included in analysis</w:t>
      </w:r>
    </w:p>
    <w:p w:rsidR="0071433F" w:rsidRPr="00DB5451" w:rsidRDefault="00DB5451" w:rsidP="00DB5451">
      <w:pPr>
        <w:rPr>
          <w:szCs w:val="24"/>
        </w:rPr>
      </w:pPr>
      <w:proofErr w:type="gramStart"/>
      <w:r w:rsidRPr="00DB5451">
        <w:rPr>
          <w:szCs w:val="24"/>
          <w:vertAlign w:val="superscript"/>
        </w:rPr>
        <w:t>5</w:t>
      </w:r>
      <w:r w:rsidRPr="00DB5451">
        <w:rPr>
          <w:szCs w:val="24"/>
        </w:rPr>
        <w:t xml:space="preserve">  NEDA</w:t>
      </w:r>
      <w:proofErr w:type="gramEnd"/>
      <w:r w:rsidRPr="00DB5451">
        <w:rPr>
          <w:szCs w:val="24"/>
        </w:rPr>
        <w:t xml:space="preserve"> defined as absence of protocol defined relapses, Confirmed Disability Progression and any MRI activity (either </w:t>
      </w:r>
      <w:proofErr w:type="spellStart"/>
      <w:r w:rsidRPr="00DB5451">
        <w:rPr>
          <w:szCs w:val="24"/>
        </w:rPr>
        <w:t>Gd</w:t>
      </w:r>
      <w:proofErr w:type="spellEnd"/>
      <w:r w:rsidRPr="00DB5451">
        <w:rPr>
          <w:szCs w:val="24"/>
        </w:rPr>
        <w:t>-enhancing T1 lesions, or new or enlarging T2 lesions) during the whole 96 week treatment period. Exploratory result based on complete ITT population</w:t>
      </w:r>
    </w:p>
    <w:p w:rsidR="00DB5451" w:rsidRPr="00DB5451" w:rsidRDefault="00DB5451" w:rsidP="00DB5451">
      <w:pPr>
        <w:rPr>
          <w:szCs w:val="24"/>
          <w:lang w:val="en-US"/>
        </w:rPr>
      </w:pPr>
      <w:r w:rsidRPr="00DB5451">
        <w:rPr>
          <w:szCs w:val="24"/>
          <w:vertAlign w:val="superscript"/>
          <w:lang w:val="en-US"/>
        </w:rPr>
        <w:t>6</w:t>
      </w:r>
      <w:r w:rsidRPr="00DB5451">
        <w:rPr>
          <w:szCs w:val="24"/>
          <w:lang w:val="en-US"/>
        </w:rPr>
        <w:t xml:space="preserve"> Non-confirmatory p-value; hierarchical testing procedure terminated before reaching endpoint</w:t>
      </w:r>
    </w:p>
    <w:p w:rsidR="00D42D7B" w:rsidRDefault="00D42D7B" w:rsidP="00DB5451">
      <w:pPr>
        <w:rPr>
          <w:szCs w:val="24"/>
          <w:lang w:val="en-US"/>
        </w:rPr>
      </w:pPr>
    </w:p>
    <w:p w:rsidR="00D42D7B" w:rsidRDefault="00D42D7B" w:rsidP="00DB5451">
      <w:pPr>
        <w:rPr>
          <w:szCs w:val="24"/>
          <w:lang w:val="en-US"/>
        </w:rPr>
      </w:pPr>
    </w:p>
    <w:p w:rsidR="00D42D7B" w:rsidRDefault="00D42D7B" w:rsidP="00DB5451">
      <w:pPr>
        <w:rPr>
          <w:szCs w:val="24"/>
          <w:lang w:val="en-US"/>
        </w:rPr>
      </w:pPr>
    </w:p>
    <w:p w:rsidR="00D42D7B" w:rsidRDefault="00D42D7B" w:rsidP="00DB5451">
      <w:pPr>
        <w:rPr>
          <w:szCs w:val="24"/>
          <w:lang w:val="en-US"/>
        </w:rPr>
      </w:pPr>
    </w:p>
    <w:p w:rsidR="00D42D7B" w:rsidRDefault="00D42D7B" w:rsidP="00DB5451">
      <w:pPr>
        <w:rPr>
          <w:szCs w:val="24"/>
          <w:lang w:val="en-US"/>
        </w:rPr>
      </w:pPr>
    </w:p>
    <w:p w:rsidR="00525B4D" w:rsidRPr="005452A1" w:rsidRDefault="00525B4D" w:rsidP="005452A1">
      <w:pPr>
        <w:rPr>
          <w:b/>
        </w:rPr>
      </w:pPr>
      <w:r w:rsidRPr="005452A1">
        <w:rPr>
          <w:b/>
        </w:rPr>
        <w:t xml:space="preserve">Figure 1 Kaplan-Meier </w:t>
      </w:r>
      <w:r w:rsidR="00DB5451" w:rsidRPr="005452A1">
        <w:rPr>
          <w:b/>
        </w:rPr>
        <w:t>plot of time to onset of confirmed disability progression sustained for at least 12 weeks with the initial event</w:t>
      </w:r>
      <w:r w:rsidR="00393213" w:rsidRPr="005452A1">
        <w:rPr>
          <w:b/>
        </w:rPr>
        <w:t xml:space="preserve"> of neurological worsening occurring during the double-blind treatment period (pooled ITT population)*</w:t>
      </w:r>
    </w:p>
    <w:p w:rsidR="005452A1" w:rsidRDefault="005452A1" w:rsidP="005452A1">
      <w:pPr>
        <w:rPr>
          <w:b/>
        </w:rPr>
      </w:pPr>
    </w:p>
    <w:p w:rsidR="009F4734" w:rsidRPr="005452A1" w:rsidRDefault="00C14E82" w:rsidP="005452A1">
      <w:pPr>
        <w:rPr>
          <w:b/>
        </w:rPr>
      </w:pPr>
      <w:r>
        <w:rPr>
          <w:noProof/>
          <w:sz w:val="22"/>
          <w:lang w:eastAsia="en-AU"/>
        </w:rPr>
        <mc:AlternateContent>
          <mc:Choice Requires="wps">
            <w:drawing>
              <wp:anchor distT="0" distB="0" distL="114300" distR="114300" simplePos="0" relativeHeight="251656704" behindDoc="0" locked="0" layoutInCell="1" allowOverlap="1">
                <wp:simplePos x="0" y="0"/>
                <wp:positionH relativeFrom="column">
                  <wp:posOffset>1838325</wp:posOffset>
                </wp:positionH>
                <wp:positionV relativeFrom="paragraph">
                  <wp:posOffset>408305</wp:posOffset>
                </wp:positionV>
                <wp:extent cx="1833245" cy="600075"/>
                <wp:effectExtent l="0" t="0" r="0" b="0"/>
                <wp:wrapNone/>
                <wp:docPr id="3"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3245" cy="600075"/>
                        </a:xfrm>
                        <a:prstGeom prst="roundRect">
                          <a:avLst/>
                        </a:prstGeom>
                        <a:noFill/>
                        <a:ln w="25400" cap="flat" cmpd="sng" algn="ctr">
                          <a:noFill/>
                          <a:prstDash val="solid"/>
                        </a:ln>
                        <a:effectLst/>
                      </wps:spPr>
                      <wps:txbx>
                        <w:txbxContent>
                          <w:p w:rsidR="009F4734" w:rsidRPr="00626363" w:rsidRDefault="009F4734" w:rsidP="009F4734">
                            <w:pPr>
                              <w:pStyle w:val="NormalWeb"/>
                              <w:spacing w:before="0" w:beforeAutospacing="0" w:after="0"/>
                              <w:jc w:val="center"/>
                              <w:rPr>
                                <w:b/>
                                <w:color w:val="auto"/>
                                <w:sz w:val="16"/>
                                <w:szCs w:val="16"/>
                              </w:rPr>
                            </w:pPr>
                            <w:r w:rsidRPr="00626363">
                              <w:rPr>
                                <w:rFonts w:ascii="Century Gothic" w:eastAsia="+mn-ea" w:hAnsi="Century Gothic" w:cs="+mn-cs"/>
                                <w:b/>
                                <w:bCs/>
                                <w:color w:val="auto"/>
                                <w:kern w:val="24"/>
                                <w:sz w:val="16"/>
                                <w:szCs w:val="16"/>
                                <w:lang w:val="en-US"/>
                              </w:rPr>
                              <w:t>40% reduction in risk of CDP</w:t>
                            </w:r>
                          </w:p>
                          <w:p w:rsidR="009F4734" w:rsidRPr="00626363" w:rsidRDefault="009F4734" w:rsidP="009F4734">
                            <w:pPr>
                              <w:pStyle w:val="NormalWeb"/>
                              <w:spacing w:before="0" w:beforeAutospacing="0" w:after="0"/>
                              <w:jc w:val="center"/>
                              <w:rPr>
                                <w:rFonts w:ascii="Century Gothic" w:hAnsi="Century Gothic" w:cs="Arial"/>
                                <w:b/>
                                <w:color w:val="auto"/>
                                <w:sz w:val="16"/>
                                <w:szCs w:val="16"/>
                              </w:rPr>
                            </w:pPr>
                            <w:r w:rsidRPr="00626363">
                              <w:rPr>
                                <w:rFonts w:ascii="Century Gothic" w:eastAsia="+mn-ea" w:hAnsi="Century Gothic" w:cs="+mn-cs"/>
                                <w:b/>
                                <w:bCs/>
                                <w:color w:val="auto"/>
                                <w:kern w:val="24"/>
                                <w:sz w:val="16"/>
                                <w:szCs w:val="16"/>
                                <w:lang w:val="en-US"/>
                              </w:rPr>
                              <w:t xml:space="preserve">HR (95% CI): </w:t>
                            </w:r>
                            <w:r w:rsidRPr="00626363">
                              <w:rPr>
                                <w:rFonts w:ascii="Century Gothic" w:hAnsi="Century Gothic" w:cs="Arial"/>
                                <w:b/>
                                <w:color w:val="auto"/>
                                <w:sz w:val="16"/>
                                <w:szCs w:val="16"/>
                              </w:rPr>
                              <w:t xml:space="preserve">0.60 (0.45, 0.81); </w:t>
                            </w:r>
                          </w:p>
                          <w:p w:rsidR="009F4734" w:rsidRPr="00626363" w:rsidRDefault="009F4734" w:rsidP="009F4734">
                            <w:pPr>
                              <w:pStyle w:val="NormalWeb"/>
                              <w:spacing w:before="0" w:beforeAutospacing="0" w:after="0"/>
                              <w:jc w:val="center"/>
                              <w:rPr>
                                <w:b/>
                                <w:color w:val="auto"/>
                              </w:rPr>
                            </w:pPr>
                            <w:r w:rsidRPr="00626363">
                              <w:rPr>
                                <w:rFonts w:ascii="Century Gothic" w:hAnsi="Century Gothic" w:cs="Arial"/>
                                <w:b/>
                                <w:color w:val="auto"/>
                                <w:sz w:val="16"/>
                                <w:szCs w:val="16"/>
                              </w:rPr>
                              <w:t>p =0.0006</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51" style="position:absolute;left:0;text-align:left;margin-left:144.75pt;margin-top:32.15pt;width:144.35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" filled="f" stroked="f" strokeweight="2pt">
                <v:path arrowok="t"/>
                <v:textbox>
                  <w:txbxContent>
                    <w:p w:rsidR="009F4734" w:rsidRPr="00626363" w:rsidRDefault="009F4734" w:rsidP="009F4734">
                      <w:pPr>
                        <w:pStyle w:val="NormalWeb"/>
                        <w:spacing w:before="0" w:beforeAutospacing="0" w:after="0"/>
                        <w:jc w:val="center"/>
                        <w:rPr>
                          <w:b/>
                          <w:color w:val="auto"/>
                          <w:sz w:val="16"/>
                          <w:szCs w:val="16"/>
                        </w:rPr>
                      </w:pPr>
                      <w:r w:rsidRPr="00626363">
                        <w:rPr>
                          <w:rFonts w:ascii="Century Gothic" w:eastAsia="+mn-ea" w:hAnsi="Century Gothic" w:cs="+mn-cs"/>
                          <w:b/>
                          <w:bCs/>
                          <w:color w:val="auto"/>
                          <w:kern w:val="24"/>
                          <w:sz w:val="16"/>
                          <w:szCs w:val="16"/>
                          <w:lang w:val="en-US"/>
                        </w:rPr>
                        <w:t>40% reduction in risk of CDP</w:t>
                      </w:r>
                    </w:p>
                    <w:p w:rsidR="009F4734" w:rsidRPr="00626363" w:rsidRDefault="009F4734" w:rsidP="009F4734">
                      <w:pPr>
                        <w:pStyle w:val="NormalWeb"/>
                        <w:spacing w:before="0" w:beforeAutospacing="0" w:after="0"/>
                        <w:jc w:val="center"/>
                        <w:rPr>
                          <w:rFonts w:ascii="Century Gothic" w:hAnsi="Century Gothic" w:cs="Arial"/>
                          <w:b/>
                          <w:color w:val="auto"/>
                          <w:sz w:val="16"/>
                          <w:szCs w:val="16"/>
                        </w:rPr>
                      </w:pPr>
                      <w:r w:rsidRPr="00626363">
                        <w:rPr>
                          <w:rFonts w:ascii="Century Gothic" w:eastAsia="+mn-ea" w:hAnsi="Century Gothic" w:cs="+mn-cs"/>
                          <w:b/>
                          <w:bCs/>
                          <w:color w:val="auto"/>
                          <w:kern w:val="24"/>
                          <w:sz w:val="16"/>
                          <w:szCs w:val="16"/>
                          <w:lang w:val="en-US"/>
                        </w:rPr>
                        <w:t xml:space="preserve">HR (95% CI): </w:t>
                      </w:r>
                      <w:r w:rsidRPr="00626363">
                        <w:rPr>
                          <w:rFonts w:ascii="Century Gothic" w:hAnsi="Century Gothic" w:cs="Arial"/>
                          <w:b/>
                          <w:color w:val="auto"/>
                          <w:sz w:val="16"/>
                          <w:szCs w:val="16"/>
                        </w:rPr>
                        <w:t xml:space="preserve">0.60 (0.45, 0.81); </w:t>
                      </w:r>
                    </w:p>
                    <w:p w:rsidR="009F4734" w:rsidRPr="00626363" w:rsidRDefault="009F4734" w:rsidP="009F4734">
                      <w:pPr>
                        <w:pStyle w:val="NormalWeb"/>
                        <w:spacing w:before="0" w:beforeAutospacing="0" w:after="0"/>
                        <w:jc w:val="center"/>
                        <w:rPr>
                          <w:b/>
                          <w:color w:val="auto"/>
                        </w:rPr>
                      </w:pPr>
                      <w:r w:rsidRPr="00626363">
                        <w:rPr>
                          <w:rFonts w:ascii="Century Gothic" w:hAnsi="Century Gothic" w:cs="Arial"/>
                          <w:b/>
                          <w:color w:val="auto"/>
                          <w:sz w:val="16"/>
                          <w:szCs w:val="16"/>
                        </w:rPr>
                        <w:t>p =0.0006</w:t>
                      </w:r>
                    </w:p>
                  </w:txbxContent>
                </v:textbox>
              </v:roundrect>
            </w:pict>
          </mc:Fallback>
        </mc:AlternateContent>
      </w:r>
      <w:r>
        <w:rPr>
          <w:noProof/>
          <w:sz w:val="22"/>
          <w:lang w:eastAsia="en-AU"/>
        </w:rPr>
        <w:drawing>
          <wp:inline distT="0" distB="0" distL="0" distR="0">
            <wp:extent cx="5737860" cy="3208020"/>
            <wp:effectExtent l="0" t="0" r="0" b="0"/>
            <wp:docPr id="2" name="Picture 2" descr="RMS 12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S 12w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7860" cy="3208020"/>
                    </a:xfrm>
                    <a:prstGeom prst="rect">
                      <a:avLst/>
                    </a:prstGeom>
                    <a:noFill/>
                    <a:ln>
                      <a:noFill/>
                    </a:ln>
                  </pic:spPr>
                </pic:pic>
              </a:graphicData>
            </a:graphic>
          </wp:inline>
        </w:drawing>
      </w:r>
    </w:p>
    <w:p w:rsidR="005452A1" w:rsidRPr="005452A1" w:rsidRDefault="005452A1" w:rsidP="009F4734">
      <w:pPr>
        <w:jc w:val="center"/>
      </w:pPr>
    </w:p>
    <w:p w:rsidR="00393213" w:rsidRPr="005452A1" w:rsidRDefault="005452A1" w:rsidP="00525B4D">
      <w:r w:rsidRPr="005452A1">
        <w:t>*Pre-specified pooled analysis of OPERA I &amp; II</w:t>
      </w:r>
    </w:p>
    <w:p w:rsidR="00393213" w:rsidRPr="00FC494D" w:rsidRDefault="00393213" w:rsidP="00525B4D"/>
    <w:p w:rsidR="00393213" w:rsidRPr="00171AA8" w:rsidRDefault="00FC494D" w:rsidP="00525B4D">
      <w:r w:rsidRPr="00FC494D">
        <w:t>Results of the pre-specified pooled analyses of time to CDP sustained for at least 12 weeks (40% risk reduction for OCREVUS compared to interferon beta-1a, p=0.0006) were highly consistent with the results sustained for at least 24 weeks (40% risk reduction for OCREVUS compared to interferon beta-1a, p=0.0025).</w:t>
      </w:r>
    </w:p>
    <w:p w:rsidR="00525B4D" w:rsidRPr="00171AA8" w:rsidRDefault="00FC494D" w:rsidP="009313C0">
      <w:pPr>
        <w:pStyle w:val="Heading2"/>
        <w:numPr>
          <w:ilvl w:val="0"/>
          <w:numId w:val="0"/>
        </w:numPr>
      </w:pPr>
      <w:r w:rsidRPr="00171AA8">
        <w:t>Primary Progressive MS</w:t>
      </w:r>
      <w:r w:rsidR="00D42D7B">
        <w:t xml:space="preserve"> (PPMS)</w:t>
      </w:r>
    </w:p>
    <w:p w:rsidR="00FC494D" w:rsidRPr="00171AA8" w:rsidRDefault="00FC494D" w:rsidP="009C2282">
      <w:r w:rsidRPr="00171AA8">
        <w:t xml:space="preserve">The efficacy and safety of OCREVUS were evaluated in a randomised, double-blind, placebo-controlled clinical trial in patients with </w:t>
      </w:r>
      <w:r w:rsidR="00D42D7B">
        <w:t>PP</w:t>
      </w:r>
      <w:r w:rsidRPr="00171AA8">
        <w:t xml:space="preserve">MS (Study WA25046). Study design and baseline characteristics of the study population are presented in Table </w:t>
      </w:r>
      <w:r w:rsidR="00D42D7B">
        <w:t>3</w:t>
      </w:r>
      <w:r w:rsidRPr="00171AA8">
        <w:t>. Demographic and baseline characteristics were well balanced across the two treatment groups.</w:t>
      </w:r>
    </w:p>
    <w:p w:rsidR="00FC494D" w:rsidRPr="00171AA8" w:rsidRDefault="00FC494D" w:rsidP="009C2282"/>
    <w:p w:rsidR="00FC494D" w:rsidRDefault="00171AA8" w:rsidP="009C2282">
      <w:r w:rsidRPr="00171AA8">
        <w:t>Throughout the treatment period p</w:t>
      </w:r>
      <w:r w:rsidR="00FC494D" w:rsidRPr="00171AA8">
        <w:t xml:space="preserve">atients receiving OCREVUS (Group A) were given 600 mg every 6 months (as </w:t>
      </w:r>
      <w:r w:rsidRPr="00171AA8">
        <w:t>two</w:t>
      </w:r>
      <w:r w:rsidR="00FC494D" w:rsidRPr="00171AA8">
        <w:t xml:space="preserve"> x 300 mg IV infusions, administered two weeks apart)</w:t>
      </w:r>
      <w:r w:rsidR="008A14B6">
        <w:t xml:space="preserve"> (see DOSAGE AND ADMINISTRATION for OCREVUS dosing instructions)</w:t>
      </w:r>
      <w:r w:rsidR="00FC494D" w:rsidRPr="00171AA8">
        <w:t xml:space="preserve">. Patients in Group B were administered placebo. </w:t>
      </w:r>
      <w:r w:rsidRPr="00171AA8">
        <w:t>The two x 300 mg infusions in PPMS demonstrated consistent PK/PD profiles</w:t>
      </w:r>
      <w:r w:rsidR="00ED29CC">
        <w:t xml:space="preserve"> to the 600 mg infusions in RMS</w:t>
      </w:r>
      <w:r w:rsidRPr="00171AA8">
        <w:t xml:space="preserve">. </w:t>
      </w:r>
    </w:p>
    <w:p w:rsidR="00F47000" w:rsidRDefault="00F47000" w:rsidP="009C2282"/>
    <w:p w:rsidR="00626363" w:rsidRDefault="00626363" w:rsidP="009C2282"/>
    <w:p w:rsidR="00171AA8" w:rsidRPr="00171AA8" w:rsidRDefault="00171AA8" w:rsidP="009C2282">
      <w:r w:rsidRPr="00E14029">
        <w:rPr>
          <w:rFonts w:cs="Arial"/>
          <w:b/>
          <w:lang w:eastAsia="ko-KR" w:bidi="he-IL"/>
        </w:rPr>
        <w:t xml:space="preserve">Table </w:t>
      </w:r>
      <w:r w:rsidR="00D42D7B">
        <w:rPr>
          <w:rFonts w:cs="Arial"/>
          <w:b/>
          <w:lang w:eastAsia="ko-KR" w:bidi="he-IL"/>
        </w:rPr>
        <w:t>3</w:t>
      </w:r>
      <w:r w:rsidRPr="00E14029">
        <w:rPr>
          <w:rFonts w:cs="Arial"/>
          <w:b/>
          <w:lang w:eastAsia="ko-KR" w:bidi="he-IL"/>
        </w:rPr>
        <w:t xml:space="preserve"> </w:t>
      </w:r>
      <w:r>
        <w:rPr>
          <w:rFonts w:cs="Arial"/>
          <w:b/>
          <w:lang w:eastAsia="ko-KR" w:bidi="he-IL"/>
        </w:rPr>
        <w:t>Study design and baseline characteristics for study WA25046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942"/>
      </w:tblGrid>
      <w:tr w:rsidR="00171AA8" w:rsidRPr="00E14029" w:rsidTr="00A7399C">
        <w:tc>
          <w:tcPr>
            <w:tcW w:w="3227" w:type="dxa"/>
            <w:shd w:val="clear" w:color="auto" w:fill="auto"/>
          </w:tcPr>
          <w:p w:rsidR="00171AA8" w:rsidRPr="0089716C" w:rsidRDefault="00171AA8" w:rsidP="00D42D7B">
            <w:pPr>
              <w:spacing w:before="40" w:after="40"/>
              <w:rPr>
                <w:b/>
              </w:rPr>
            </w:pPr>
            <w:r w:rsidRPr="0089716C">
              <w:rPr>
                <w:b/>
              </w:rPr>
              <w:t>Study name</w:t>
            </w:r>
          </w:p>
        </w:tc>
        <w:tc>
          <w:tcPr>
            <w:tcW w:w="6060" w:type="dxa"/>
            <w:gridSpan w:val="2"/>
            <w:shd w:val="clear" w:color="auto" w:fill="auto"/>
          </w:tcPr>
          <w:p w:rsidR="00171AA8" w:rsidRPr="0089716C" w:rsidRDefault="00171AA8" w:rsidP="00171AA8">
            <w:pPr>
              <w:spacing w:before="40" w:after="40"/>
              <w:jc w:val="center"/>
              <w:rPr>
                <w:b/>
              </w:rPr>
            </w:pPr>
            <w:r w:rsidRPr="0089716C">
              <w:rPr>
                <w:b/>
              </w:rPr>
              <w:t>WA25046 (ORATORIO) (n=732)</w:t>
            </w:r>
          </w:p>
        </w:tc>
      </w:tr>
      <w:tr w:rsidR="00171AA8" w:rsidRPr="00E14029" w:rsidTr="00D42D7B">
        <w:tc>
          <w:tcPr>
            <w:tcW w:w="9287" w:type="dxa"/>
            <w:gridSpan w:val="3"/>
            <w:shd w:val="clear" w:color="auto" w:fill="auto"/>
          </w:tcPr>
          <w:p w:rsidR="00171AA8" w:rsidRPr="0089716C" w:rsidRDefault="00171AA8" w:rsidP="00D42D7B">
            <w:pPr>
              <w:spacing w:before="40" w:after="40"/>
              <w:jc w:val="center"/>
              <w:rPr>
                <w:b/>
              </w:rPr>
            </w:pPr>
            <w:r w:rsidRPr="0089716C">
              <w:rPr>
                <w:b/>
              </w:rPr>
              <w:t>Study Design</w:t>
            </w:r>
          </w:p>
        </w:tc>
      </w:tr>
      <w:tr w:rsidR="00171AA8" w:rsidRPr="00E14029" w:rsidTr="0089716C">
        <w:tc>
          <w:tcPr>
            <w:tcW w:w="3227" w:type="dxa"/>
            <w:shd w:val="clear" w:color="auto" w:fill="auto"/>
          </w:tcPr>
          <w:p w:rsidR="00171AA8" w:rsidRPr="0089716C" w:rsidRDefault="00171AA8" w:rsidP="00D42D7B">
            <w:pPr>
              <w:spacing w:before="40" w:after="40"/>
              <w:jc w:val="left"/>
              <w:rPr>
                <w:b/>
              </w:rPr>
            </w:pPr>
            <w:r w:rsidRPr="0089716C">
              <w:rPr>
                <w:b/>
              </w:rPr>
              <w:t>Population</w:t>
            </w:r>
          </w:p>
        </w:tc>
        <w:tc>
          <w:tcPr>
            <w:tcW w:w="6060" w:type="dxa"/>
            <w:gridSpan w:val="2"/>
            <w:shd w:val="clear" w:color="auto" w:fill="auto"/>
          </w:tcPr>
          <w:p w:rsidR="00171AA8" w:rsidRPr="0089716C" w:rsidRDefault="00171AA8" w:rsidP="0089716C">
            <w:pPr>
              <w:numPr>
                <w:ilvl w:val="0"/>
                <w:numId w:val="34"/>
              </w:numPr>
              <w:spacing w:before="40" w:after="40"/>
              <w:ind w:left="470" w:hanging="357"/>
              <w:jc w:val="left"/>
            </w:pPr>
            <w:r w:rsidRPr="0089716C">
              <w:t xml:space="preserve">Patients with </w:t>
            </w:r>
            <w:r w:rsidR="0089716C" w:rsidRPr="0089716C">
              <w:t>primary progressive MS</w:t>
            </w:r>
          </w:p>
        </w:tc>
      </w:tr>
      <w:tr w:rsidR="00171AA8" w:rsidRPr="00E14029" w:rsidTr="0089716C">
        <w:tc>
          <w:tcPr>
            <w:tcW w:w="3227" w:type="dxa"/>
            <w:shd w:val="clear" w:color="auto" w:fill="auto"/>
            <w:vAlign w:val="center"/>
          </w:tcPr>
          <w:p w:rsidR="00171AA8" w:rsidRPr="0089716C" w:rsidRDefault="00171AA8" w:rsidP="00D42D7B">
            <w:pPr>
              <w:spacing w:before="40" w:after="40"/>
              <w:jc w:val="left"/>
              <w:rPr>
                <w:b/>
              </w:rPr>
            </w:pPr>
            <w:r w:rsidRPr="0089716C">
              <w:rPr>
                <w:b/>
              </w:rPr>
              <w:t>Disease history at screening</w:t>
            </w:r>
          </w:p>
        </w:tc>
        <w:tc>
          <w:tcPr>
            <w:tcW w:w="6060" w:type="dxa"/>
            <w:gridSpan w:val="2"/>
            <w:shd w:val="clear" w:color="auto" w:fill="auto"/>
          </w:tcPr>
          <w:p w:rsidR="00171AA8" w:rsidRPr="0089716C" w:rsidRDefault="0089716C" w:rsidP="00D42D7B">
            <w:pPr>
              <w:numPr>
                <w:ilvl w:val="0"/>
                <w:numId w:val="33"/>
              </w:numPr>
              <w:spacing w:before="40" w:after="40"/>
              <w:ind w:left="470" w:hanging="357"/>
            </w:pPr>
            <w:r w:rsidRPr="0089716C">
              <w:t>Age 18 – 55 years</w:t>
            </w:r>
          </w:p>
          <w:p w:rsidR="00171AA8" w:rsidRPr="0089716C" w:rsidRDefault="00171AA8" w:rsidP="00D42D7B">
            <w:pPr>
              <w:numPr>
                <w:ilvl w:val="0"/>
                <w:numId w:val="33"/>
              </w:numPr>
              <w:spacing w:before="40" w:after="40"/>
              <w:ind w:left="470" w:hanging="357"/>
            </w:pPr>
            <w:r w:rsidRPr="0089716C">
              <w:t xml:space="preserve">EDSS between </w:t>
            </w:r>
            <w:r w:rsidR="0089716C" w:rsidRPr="0089716C">
              <w:t>3.0 and 6.5</w:t>
            </w:r>
          </w:p>
        </w:tc>
      </w:tr>
      <w:tr w:rsidR="00171AA8" w:rsidRPr="00E14029" w:rsidTr="0089716C">
        <w:tc>
          <w:tcPr>
            <w:tcW w:w="3227" w:type="dxa"/>
            <w:shd w:val="clear" w:color="auto" w:fill="auto"/>
          </w:tcPr>
          <w:p w:rsidR="00171AA8" w:rsidRPr="0089716C" w:rsidRDefault="00171AA8" w:rsidP="00D42D7B">
            <w:pPr>
              <w:spacing w:before="40" w:after="40"/>
              <w:jc w:val="left"/>
              <w:rPr>
                <w:b/>
              </w:rPr>
            </w:pPr>
            <w:r w:rsidRPr="0089716C">
              <w:rPr>
                <w:b/>
              </w:rPr>
              <w:lastRenderedPageBreak/>
              <w:t>Study duration</w:t>
            </w:r>
          </w:p>
        </w:tc>
        <w:tc>
          <w:tcPr>
            <w:tcW w:w="6060" w:type="dxa"/>
            <w:gridSpan w:val="2"/>
            <w:shd w:val="clear" w:color="auto" w:fill="auto"/>
          </w:tcPr>
          <w:p w:rsidR="00171AA8" w:rsidRPr="0089716C" w:rsidRDefault="0089716C" w:rsidP="0089716C">
            <w:pPr>
              <w:numPr>
                <w:ilvl w:val="0"/>
                <w:numId w:val="35"/>
              </w:numPr>
              <w:spacing w:before="40" w:after="40"/>
              <w:ind w:left="470" w:hanging="357"/>
              <w:jc w:val="left"/>
            </w:pPr>
            <w:r w:rsidRPr="0089716C">
              <w:t>Event-driven (minimum 120 weeks and 253 confirmed disability progression events)</w:t>
            </w:r>
          </w:p>
          <w:p w:rsidR="0089716C" w:rsidRPr="0089716C" w:rsidRDefault="0089716C" w:rsidP="0089716C">
            <w:pPr>
              <w:numPr>
                <w:ilvl w:val="0"/>
                <w:numId w:val="35"/>
              </w:numPr>
              <w:spacing w:before="40" w:after="40"/>
              <w:ind w:left="470" w:hanging="357"/>
              <w:jc w:val="left"/>
            </w:pPr>
            <w:r w:rsidRPr="0089716C">
              <w:t>Median follow-up time – OCREVUS 3.0 years, placebo 2.8 years</w:t>
            </w:r>
          </w:p>
        </w:tc>
      </w:tr>
      <w:tr w:rsidR="00171AA8" w:rsidRPr="00E14029" w:rsidTr="0089716C">
        <w:tc>
          <w:tcPr>
            <w:tcW w:w="3227" w:type="dxa"/>
            <w:shd w:val="clear" w:color="auto" w:fill="auto"/>
            <w:vAlign w:val="center"/>
          </w:tcPr>
          <w:p w:rsidR="00171AA8" w:rsidRPr="0089716C" w:rsidRDefault="00171AA8" w:rsidP="00D42D7B">
            <w:pPr>
              <w:spacing w:before="40" w:after="40"/>
              <w:jc w:val="left"/>
              <w:rPr>
                <w:b/>
              </w:rPr>
            </w:pPr>
            <w:r w:rsidRPr="0089716C">
              <w:rPr>
                <w:b/>
              </w:rPr>
              <w:t>Treatment groups</w:t>
            </w:r>
          </w:p>
        </w:tc>
        <w:tc>
          <w:tcPr>
            <w:tcW w:w="6060" w:type="dxa"/>
            <w:gridSpan w:val="2"/>
            <w:shd w:val="clear" w:color="auto" w:fill="auto"/>
          </w:tcPr>
          <w:p w:rsidR="00171AA8" w:rsidRPr="0089716C" w:rsidRDefault="00171AA8" w:rsidP="00D42D7B">
            <w:pPr>
              <w:numPr>
                <w:ilvl w:val="0"/>
                <w:numId w:val="35"/>
              </w:numPr>
              <w:spacing w:before="40" w:after="40"/>
              <w:ind w:left="470" w:hanging="357"/>
            </w:pPr>
            <w:r w:rsidRPr="0089716C">
              <w:t>Group A: OCREVUS 600 mg</w:t>
            </w:r>
          </w:p>
          <w:p w:rsidR="00171AA8" w:rsidRPr="0089716C" w:rsidRDefault="00171AA8" w:rsidP="0089716C">
            <w:pPr>
              <w:numPr>
                <w:ilvl w:val="0"/>
                <w:numId w:val="35"/>
              </w:numPr>
              <w:spacing w:before="40" w:after="40"/>
              <w:ind w:left="470" w:hanging="357"/>
            </w:pPr>
            <w:r w:rsidRPr="0089716C">
              <w:t xml:space="preserve">Group B: </w:t>
            </w:r>
            <w:r w:rsidR="0089716C" w:rsidRPr="0089716C">
              <w:t>placebo, 2:1 randomisation</w:t>
            </w:r>
          </w:p>
        </w:tc>
      </w:tr>
      <w:tr w:rsidR="0089716C" w:rsidRPr="00E14029" w:rsidTr="0089716C">
        <w:tc>
          <w:tcPr>
            <w:tcW w:w="3227" w:type="dxa"/>
            <w:shd w:val="clear" w:color="auto" w:fill="auto"/>
            <w:vAlign w:val="center"/>
          </w:tcPr>
          <w:p w:rsidR="0089716C" w:rsidRPr="0089716C" w:rsidRDefault="0089716C" w:rsidP="00D42D7B">
            <w:pPr>
              <w:spacing w:before="40" w:after="40"/>
              <w:jc w:val="left"/>
              <w:rPr>
                <w:b/>
              </w:rPr>
            </w:pPr>
            <w:r w:rsidRPr="0089716C">
              <w:rPr>
                <w:b/>
              </w:rPr>
              <w:t>Baseline Characteristics</w:t>
            </w:r>
          </w:p>
        </w:tc>
        <w:tc>
          <w:tcPr>
            <w:tcW w:w="3118" w:type="dxa"/>
            <w:shd w:val="clear" w:color="auto" w:fill="auto"/>
            <w:vAlign w:val="center"/>
          </w:tcPr>
          <w:p w:rsidR="0089716C" w:rsidRPr="0089716C" w:rsidRDefault="0089716C" w:rsidP="00D42D7B">
            <w:pPr>
              <w:spacing w:before="40" w:after="40"/>
              <w:jc w:val="center"/>
            </w:pPr>
            <w:r w:rsidRPr="0089716C">
              <w:t>OCREVUS</w:t>
            </w:r>
          </w:p>
          <w:p w:rsidR="0089716C" w:rsidRPr="0089716C" w:rsidRDefault="0089716C" w:rsidP="00D42D7B">
            <w:pPr>
              <w:spacing w:before="40" w:after="40"/>
              <w:jc w:val="center"/>
            </w:pPr>
            <w:r w:rsidRPr="0089716C">
              <w:t>600 mg (n=488)</w:t>
            </w:r>
          </w:p>
        </w:tc>
        <w:tc>
          <w:tcPr>
            <w:tcW w:w="2942" w:type="dxa"/>
            <w:shd w:val="clear" w:color="auto" w:fill="auto"/>
            <w:vAlign w:val="center"/>
          </w:tcPr>
          <w:p w:rsidR="0089716C" w:rsidRPr="0089716C" w:rsidRDefault="0089716C" w:rsidP="00D42D7B">
            <w:pPr>
              <w:spacing w:before="40" w:after="40"/>
              <w:jc w:val="center"/>
            </w:pPr>
            <w:r w:rsidRPr="0089716C">
              <w:t>Placebo</w:t>
            </w:r>
          </w:p>
          <w:p w:rsidR="0089716C" w:rsidRPr="0089716C" w:rsidRDefault="0089716C" w:rsidP="00D42D7B">
            <w:pPr>
              <w:spacing w:before="40" w:after="40"/>
              <w:jc w:val="center"/>
            </w:pPr>
            <w:r w:rsidRPr="0089716C">
              <w:t xml:space="preserve"> (n=244)</w:t>
            </w:r>
          </w:p>
        </w:tc>
      </w:tr>
      <w:tr w:rsidR="0089716C" w:rsidRPr="00E14029" w:rsidTr="0089716C">
        <w:tc>
          <w:tcPr>
            <w:tcW w:w="3227" w:type="dxa"/>
            <w:shd w:val="clear" w:color="auto" w:fill="auto"/>
          </w:tcPr>
          <w:p w:rsidR="0089716C" w:rsidRPr="0089716C" w:rsidRDefault="0089716C" w:rsidP="00D42D7B">
            <w:pPr>
              <w:spacing w:before="40" w:after="40"/>
              <w:jc w:val="left"/>
            </w:pPr>
            <w:r w:rsidRPr="0089716C">
              <w:t>Mean age (years)</w:t>
            </w:r>
          </w:p>
        </w:tc>
        <w:tc>
          <w:tcPr>
            <w:tcW w:w="3118" w:type="dxa"/>
            <w:shd w:val="clear" w:color="auto" w:fill="auto"/>
          </w:tcPr>
          <w:p w:rsidR="0089716C" w:rsidRPr="0089716C" w:rsidRDefault="0089716C" w:rsidP="00D42D7B">
            <w:pPr>
              <w:spacing w:before="40" w:after="40"/>
              <w:jc w:val="center"/>
            </w:pPr>
            <w:r w:rsidRPr="0089716C">
              <w:t>44.7</w:t>
            </w:r>
          </w:p>
        </w:tc>
        <w:tc>
          <w:tcPr>
            <w:tcW w:w="2942" w:type="dxa"/>
            <w:shd w:val="clear" w:color="auto" w:fill="auto"/>
          </w:tcPr>
          <w:p w:rsidR="0089716C" w:rsidRPr="0089716C" w:rsidRDefault="0089716C" w:rsidP="00D42D7B">
            <w:pPr>
              <w:spacing w:before="40" w:after="40"/>
              <w:jc w:val="center"/>
            </w:pPr>
            <w:r w:rsidRPr="0089716C">
              <w:t>44.4</w:t>
            </w:r>
          </w:p>
        </w:tc>
      </w:tr>
      <w:tr w:rsidR="0089716C" w:rsidRPr="00E14029" w:rsidTr="0089716C">
        <w:tc>
          <w:tcPr>
            <w:tcW w:w="3227" w:type="dxa"/>
            <w:shd w:val="clear" w:color="auto" w:fill="auto"/>
          </w:tcPr>
          <w:p w:rsidR="0089716C" w:rsidRPr="0089716C" w:rsidRDefault="0089716C" w:rsidP="00D42D7B">
            <w:pPr>
              <w:spacing w:before="40" w:after="40"/>
              <w:jc w:val="left"/>
            </w:pPr>
            <w:r w:rsidRPr="0089716C">
              <w:t>Gender distribution (% male/% female)</w:t>
            </w:r>
          </w:p>
        </w:tc>
        <w:tc>
          <w:tcPr>
            <w:tcW w:w="3118" w:type="dxa"/>
            <w:shd w:val="clear" w:color="auto" w:fill="auto"/>
            <w:vAlign w:val="center"/>
          </w:tcPr>
          <w:p w:rsidR="0089716C" w:rsidRPr="0089716C" w:rsidRDefault="0089716C" w:rsidP="00D42D7B">
            <w:pPr>
              <w:spacing w:before="40" w:after="40"/>
              <w:jc w:val="center"/>
            </w:pPr>
            <w:r w:rsidRPr="0089716C">
              <w:t>51.4 / 48.6</w:t>
            </w:r>
          </w:p>
        </w:tc>
        <w:tc>
          <w:tcPr>
            <w:tcW w:w="2942" w:type="dxa"/>
            <w:shd w:val="clear" w:color="auto" w:fill="auto"/>
            <w:vAlign w:val="center"/>
          </w:tcPr>
          <w:p w:rsidR="0089716C" w:rsidRPr="0089716C" w:rsidRDefault="0089716C" w:rsidP="0089716C">
            <w:pPr>
              <w:spacing w:before="40" w:after="40"/>
              <w:jc w:val="center"/>
            </w:pPr>
            <w:r w:rsidRPr="0089716C">
              <w:t>49.2 / 50.8</w:t>
            </w:r>
          </w:p>
        </w:tc>
      </w:tr>
      <w:tr w:rsidR="0089716C" w:rsidRPr="00E14029" w:rsidTr="0089716C">
        <w:tc>
          <w:tcPr>
            <w:tcW w:w="3227" w:type="dxa"/>
            <w:shd w:val="clear" w:color="auto" w:fill="auto"/>
          </w:tcPr>
          <w:p w:rsidR="0089716C" w:rsidRPr="0089716C" w:rsidRDefault="0089716C" w:rsidP="00D42D7B">
            <w:pPr>
              <w:spacing w:before="40" w:after="40"/>
              <w:jc w:val="left"/>
            </w:pPr>
            <w:r w:rsidRPr="0089716C">
              <w:t>Mean/Median duration since onset of MS symptoms (years)</w:t>
            </w:r>
          </w:p>
        </w:tc>
        <w:tc>
          <w:tcPr>
            <w:tcW w:w="3118" w:type="dxa"/>
            <w:shd w:val="clear" w:color="auto" w:fill="auto"/>
            <w:vAlign w:val="center"/>
          </w:tcPr>
          <w:p w:rsidR="0089716C" w:rsidRPr="0089716C" w:rsidRDefault="0089716C" w:rsidP="0089716C">
            <w:pPr>
              <w:spacing w:before="40" w:after="40"/>
              <w:jc w:val="center"/>
            </w:pPr>
            <w:r w:rsidRPr="0089716C">
              <w:t>6.7 / 6.0</w:t>
            </w:r>
          </w:p>
        </w:tc>
        <w:tc>
          <w:tcPr>
            <w:tcW w:w="2942" w:type="dxa"/>
            <w:shd w:val="clear" w:color="auto" w:fill="auto"/>
            <w:vAlign w:val="center"/>
          </w:tcPr>
          <w:p w:rsidR="0089716C" w:rsidRPr="0089716C" w:rsidRDefault="0089716C" w:rsidP="0089716C">
            <w:pPr>
              <w:spacing w:before="40" w:after="40"/>
              <w:jc w:val="center"/>
            </w:pPr>
            <w:r w:rsidRPr="0089716C">
              <w:t>6.1 / 5.5</w:t>
            </w:r>
          </w:p>
        </w:tc>
      </w:tr>
      <w:tr w:rsidR="0089716C" w:rsidRPr="00E14029" w:rsidTr="00D42D7B">
        <w:tc>
          <w:tcPr>
            <w:tcW w:w="3227" w:type="dxa"/>
            <w:shd w:val="clear" w:color="auto" w:fill="auto"/>
          </w:tcPr>
          <w:p w:rsidR="0089716C" w:rsidRPr="0089716C" w:rsidRDefault="0089716C" w:rsidP="00D42D7B">
            <w:pPr>
              <w:spacing w:before="40" w:after="40"/>
              <w:jc w:val="left"/>
            </w:pPr>
            <w:r w:rsidRPr="0089716C">
              <w:t>Mean/Median disease duration since diagnosis (years)</w:t>
            </w:r>
          </w:p>
        </w:tc>
        <w:tc>
          <w:tcPr>
            <w:tcW w:w="3118" w:type="dxa"/>
            <w:shd w:val="clear" w:color="auto" w:fill="auto"/>
            <w:vAlign w:val="center"/>
          </w:tcPr>
          <w:p w:rsidR="0089716C" w:rsidRPr="0089716C" w:rsidRDefault="0089716C" w:rsidP="00D42D7B">
            <w:pPr>
              <w:spacing w:before="40" w:after="40"/>
              <w:jc w:val="center"/>
            </w:pPr>
            <w:r w:rsidRPr="0089716C">
              <w:t>2.9 / 1.6</w:t>
            </w:r>
          </w:p>
        </w:tc>
        <w:tc>
          <w:tcPr>
            <w:tcW w:w="2942" w:type="dxa"/>
            <w:shd w:val="clear" w:color="auto" w:fill="auto"/>
            <w:vAlign w:val="center"/>
          </w:tcPr>
          <w:p w:rsidR="0089716C" w:rsidRPr="0089716C" w:rsidRDefault="0089716C" w:rsidP="00D42D7B">
            <w:pPr>
              <w:spacing w:before="40" w:after="40"/>
              <w:jc w:val="center"/>
            </w:pPr>
            <w:r w:rsidRPr="0089716C">
              <w:t>2.8 / 1.3</w:t>
            </w:r>
          </w:p>
        </w:tc>
      </w:tr>
      <w:tr w:rsidR="0089716C" w:rsidRPr="00E14029" w:rsidTr="00D42D7B">
        <w:tc>
          <w:tcPr>
            <w:tcW w:w="3227" w:type="dxa"/>
            <w:shd w:val="clear" w:color="auto" w:fill="auto"/>
          </w:tcPr>
          <w:p w:rsidR="0089716C" w:rsidRPr="0089716C" w:rsidRDefault="0089716C" w:rsidP="0089716C">
            <w:pPr>
              <w:spacing w:before="40" w:after="40"/>
              <w:jc w:val="left"/>
            </w:pPr>
            <w:r w:rsidRPr="0089716C">
              <w:t>Mean EDSS</w:t>
            </w:r>
          </w:p>
        </w:tc>
        <w:tc>
          <w:tcPr>
            <w:tcW w:w="3118" w:type="dxa"/>
            <w:shd w:val="clear" w:color="auto" w:fill="auto"/>
            <w:vAlign w:val="center"/>
          </w:tcPr>
          <w:p w:rsidR="0089716C" w:rsidRPr="0089716C" w:rsidRDefault="0089716C" w:rsidP="00D42D7B">
            <w:pPr>
              <w:spacing w:before="40" w:after="40"/>
              <w:jc w:val="center"/>
            </w:pPr>
            <w:r w:rsidRPr="0089716C">
              <w:t>4.7</w:t>
            </w:r>
          </w:p>
        </w:tc>
        <w:tc>
          <w:tcPr>
            <w:tcW w:w="2942" w:type="dxa"/>
            <w:shd w:val="clear" w:color="auto" w:fill="auto"/>
            <w:vAlign w:val="center"/>
          </w:tcPr>
          <w:p w:rsidR="0089716C" w:rsidRPr="0089716C" w:rsidRDefault="0089716C" w:rsidP="00D42D7B">
            <w:pPr>
              <w:spacing w:before="40" w:after="40"/>
              <w:jc w:val="center"/>
            </w:pPr>
            <w:r w:rsidRPr="0089716C">
              <w:t>4.7</w:t>
            </w:r>
          </w:p>
        </w:tc>
      </w:tr>
      <w:tr w:rsidR="00A7399C" w:rsidRPr="00E14029" w:rsidTr="00FC11F3">
        <w:tc>
          <w:tcPr>
            <w:tcW w:w="3227" w:type="dxa"/>
            <w:tcBorders>
              <w:bottom w:val="nil"/>
            </w:tcBorders>
            <w:shd w:val="clear" w:color="auto" w:fill="auto"/>
          </w:tcPr>
          <w:p w:rsidR="00A7399C" w:rsidRPr="0089716C" w:rsidRDefault="00FC11F3" w:rsidP="0089716C">
            <w:pPr>
              <w:spacing w:before="40" w:after="40"/>
              <w:jc w:val="left"/>
            </w:pPr>
            <w:r>
              <w:t>N</w:t>
            </w:r>
            <w:r w:rsidR="00A7399C">
              <w:t xml:space="preserve">umber of </w:t>
            </w:r>
            <w:proofErr w:type="spellStart"/>
            <w:r w:rsidR="00A7399C">
              <w:t>Gd</w:t>
            </w:r>
            <w:proofErr w:type="spellEnd"/>
            <w:r w:rsidR="00A7399C">
              <w:t>-enhancing T1 lesions</w:t>
            </w:r>
            <w:r>
              <w:t xml:space="preserve"> (%)</w:t>
            </w:r>
          </w:p>
        </w:tc>
        <w:tc>
          <w:tcPr>
            <w:tcW w:w="3118" w:type="dxa"/>
            <w:tcBorders>
              <w:bottom w:val="nil"/>
            </w:tcBorders>
            <w:shd w:val="clear" w:color="auto" w:fill="auto"/>
            <w:vAlign w:val="center"/>
          </w:tcPr>
          <w:p w:rsidR="00A7399C" w:rsidRPr="0089716C" w:rsidRDefault="00A7399C" w:rsidP="00D42D7B">
            <w:pPr>
              <w:spacing w:before="40" w:after="40"/>
              <w:jc w:val="center"/>
            </w:pPr>
          </w:p>
        </w:tc>
        <w:tc>
          <w:tcPr>
            <w:tcW w:w="2942" w:type="dxa"/>
            <w:tcBorders>
              <w:bottom w:val="nil"/>
            </w:tcBorders>
            <w:shd w:val="clear" w:color="auto" w:fill="auto"/>
            <w:vAlign w:val="center"/>
          </w:tcPr>
          <w:p w:rsidR="00A7399C" w:rsidRPr="0089716C" w:rsidRDefault="00A7399C" w:rsidP="00D42D7B">
            <w:pPr>
              <w:spacing w:before="40" w:after="40"/>
              <w:jc w:val="center"/>
            </w:pPr>
          </w:p>
        </w:tc>
      </w:tr>
      <w:tr w:rsidR="00FC11F3" w:rsidRPr="00E14029" w:rsidTr="00FC11F3">
        <w:tc>
          <w:tcPr>
            <w:tcW w:w="3227" w:type="dxa"/>
            <w:tcBorders>
              <w:top w:val="nil"/>
              <w:bottom w:val="nil"/>
            </w:tcBorders>
            <w:shd w:val="clear" w:color="auto" w:fill="auto"/>
          </w:tcPr>
          <w:p w:rsidR="00FC11F3" w:rsidRDefault="00FC11F3" w:rsidP="00FC11F3">
            <w:pPr>
              <w:spacing w:before="40" w:after="40"/>
              <w:jc w:val="center"/>
            </w:pPr>
            <w:r>
              <w:t>0</w:t>
            </w:r>
          </w:p>
        </w:tc>
        <w:tc>
          <w:tcPr>
            <w:tcW w:w="3118" w:type="dxa"/>
            <w:tcBorders>
              <w:top w:val="nil"/>
              <w:bottom w:val="nil"/>
            </w:tcBorders>
            <w:shd w:val="clear" w:color="auto" w:fill="auto"/>
            <w:vAlign w:val="center"/>
          </w:tcPr>
          <w:p w:rsidR="00FC11F3" w:rsidRDefault="00FC11F3" w:rsidP="00D42D7B">
            <w:pPr>
              <w:spacing w:before="40" w:after="40"/>
              <w:jc w:val="center"/>
            </w:pPr>
            <w:r>
              <w:t>72.5</w:t>
            </w:r>
          </w:p>
        </w:tc>
        <w:tc>
          <w:tcPr>
            <w:tcW w:w="2942" w:type="dxa"/>
            <w:tcBorders>
              <w:top w:val="nil"/>
              <w:bottom w:val="nil"/>
            </w:tcBorders>
            <w:shd w:val="clear" w:color="auto" w:fill="auto"/>
            <w:vAlign w:val="center"/>
          </w:tcPr>
          <w:p w:rsidR="00FC11F3" w:rsidRDefault="00FC11F3" w:rsidP="00D42D7B">
            <w:pPr>
              <w:spacing w:before="40" w:after="40"/>
              <w:jc w:val="center"/>
            </w:pPr>
            <w:r>
              <w:t>75.3</w:t>
            </w:r>
          </w:p>
        </w:tc>
      </w:tr>
      <w:tr w:rsidR="00FC11F3" w:rsidRPr="00E14029" w:rsidTr="00FC11F3">
        <w:tc>
          <w:tcPr>
            <w:tcW w:w="3227" w:type="dxa"/>
            <w:tcBorders>
              <w:top w:val="nil"/>
              <w:bottom w:val="nil"/>
            </w:tcBorders>
            <w:shd w:val="clear" w:color="auto" w:fill="auto"/>
          </w:tcPr>
          <w:p w:rsidR="00FC11F3" w:rsidRDefault="00FC11F3" w:rsidP="00FC11F3">
            <w:pPr>
              <w:spacing w:before="40" w:after="40"/>
              <w:jc w:val="center"/>
            </w:pPr>
            <w:r>
              <w:t>1</w:t>
            </w:r>
          </w:p>
        </w:tc>
        <w:tc>
          <w:tcPr>
            <w:tcW w:w="3118" w:type="dxa"/>
            <w:tcBorders>
              <w:top w:val="nil"/>
              <w:bottom w:val="nil"/>
            </w:tcBorders>
            <w:shd w:val="clear" w:color="auto" w:fill="auto"/>
            <w:vAlign w:val="center"/>
          </w:tcPr>
          <w:p w:rsidR="00FC11F3" w:rsidRDefault="00FC11F3" w:rsidP="00D42D7B">
            <w:pPr>
              <w:spacing w:before="40" w:after="40"/>
              <w:jc w:val="center"/>
            </w:pPr>
            <w:r>
              <w:t>12.8</w:t>
            </w:r>
          </w:p>
        </w:tc>
        <w:tc>
          <w:tcPr>
            <w:tcW w:w="2942" w:type="dxa"/>
            <w:tcBorders>
              <w:top w:val="nil"/>
              <w:bottom w:val="nil"/>
            </w:tcBorders>
            <w:shd w:val="clear" w:color="auto" w:fill="auto"/>
            <w:vAlign w:val="center"/>
          </w:tcPr>
          <w:p w:rsidR="00FC11F3" w:rsidRDefault="00FC11F3" w:rsidP="00D42D7B">
            <w:pPr>
              <w:spacing w:before="40" w:after="40"/>
              <w:jc w:val="center"/>
            </w:pPr>
            <w:r>
              <w:t>11.9</w:t>
            </w:r>
          </w:p>
        </w:tc>
      </w:tr>
      <w:tr w:rsidR="00FC11F3" w:rsidRPr="00E14029" w:rsidTr="00FC11F3">
        <w:tc>
          <w:tcPr>
            <w:tcW w:w="3227" w:type="dxa"/>
            <w:tcBorders>
              <w:top w:val="nil"/>
            </w:tcBorders>
            <w:shd w:val="clear" w:color="auto" w:fill="auto"/>
          </w:tcPr>
          <w:p w:rsidR="00FC11F3" w:rsidRDefault="003D1D42" w:rsidP="00FC11F3">
            <w:pPr>
              <w:spacing w:before="40" w:after="40"/>
              <w:jc w:val="center"/>
            </w:pPr>
            <w:r>
              <w:t xml:space="preserve">≥ </w:t>
            </w:r>
            <w:r w:rsidR="00FC11F3">
              <w:t>2</w:t>
            </w:r>
          </w:p>
        </w:tc>
        <w:tc>
          <w:tcPr>
            <w:tcW w:w="3118" w:type="dxa"/>
            <w:tcBorders>
              <w:top w:val="nil"/>
            </w:tcBorders>
            <w:shd w:val="clear" w:color="auto" w:fill="auto"/>
            <w:vAlign w:val="center"/>
          </w:tcPr>
          <w:p w:rsidR="00FC11F3" w:rsidRDefault="003D1D42" w:rsidP="00D42D7B">
            <w:pPr>
              <w:spacing w:before="40" w:after="40"/>
              <w:jc w:val="center"/>
            </w:pPr>
            <w:r>
              <w:t>14.</w:t>
            </w:r>
            <w:r w:rsidR="008A14B6">
              <w:t>7</w:t>
            </w:r>
          </w:p>
        </w:tc>
        <w:tc>
          <w:tcPr>
            <w:tcW w:w="2942" w:type="dxa"/>
            <w:tcBorders>
              <w:top w:val="nil"/>
            </w:tcBorders>
            <w:shd w:val="clear" w:color="auto" w:fill="auto"/>
            <w:vAlign w:val="center"/>
          </w:tcPr>
          <w:p w:rsidR="00FC11F3" w:rsidRDefault="003D1D42" w:rsidP="00D42D7B">
            <w:pPr>
              <w:spacing w:before="40" w:after="40"/>
              <w:jc w:val="center"/>
            </w:pPr>
            <w:r>
              <w:t>12.8</w:t>
            </w:r>
          </w:p>
        </w:tc>
      </w:tr>
    </w:tbl>
    <w:p w:rsidR="00171AA8" w:rsidRPr="00C7726E" w:rsidRDefault="00171AA8" w:rsidP="009C2282"/>
    <w:p w:rsidR="00AB28B3" w:rsidRDefault="00C7726E" w:rsidP="009C2282">
      <w:r w:rsidRPr="00C7726E">
        <w:t xml:space="preserve">Key clinical and MRI efficacy results are presented in Table </w:t>
      </w:r>
      <w:r w:rsidR="00D42D7B">
        <w:t>4</w:t>
      </w:r>
      <w:r w:rsidRPr="00C7726E">
        <w:t xml:space="preserve"> and Figure </w:t>
      </w:r>
      <w:r w:rsidR="00D42D7B">
        <w:t>2</w:t>
      </w:r>
      <w:r w:rsidRPr="00C7726E">
        <w:t>.</w:t>
      </w:r>
      <w:r w:rsidR="004E6975">
        <w:t xml:space="preserve"> </w:t>
      </w:r>
    </w:p>
    <w:p w:rsidR="00626363" w:rsidRPr="00C7726E" w:rsidRDefault="00626363" w:rsidP="009C2282"/>
    <w:p w:rsidR="00C7726E" w:rsidRDefault="008E6C53" w:rsidP="00170234">
      <w:pPr>
        <w:pageBreakBefore/>
      </w:pPr>
      <w:r w:rsidRPr="00D67231">
        <w:rPr>
          <w:rFonts w:cs="Arial"/>
          <w:b/>
          <w:lang w:eastAsia="ko-KR" w:bidi="he-IL"/>
        </w:rPr>
        <w:lastRenderedPageBreak/>
        <w:t xml:space="preserve">Table </w:t>
      </w:r>
      <w:r w:rsidR="00D42D7B">
        <w:rPr>
          <w:rFonts w:cs="Arial"/>
          <w:b/>
          <w:lang w:eastAsia="ko-KR" w:bidi="he-IL"/>
        </w:rPr>
        <w:t>4</w:t>
      </w:r>
      <w:r w:rsidRPr="00D67231">
        <w:rPr>
          <w:rFonts w:cs="Arial"/>
          <w:b/>
          <w:lang w:eastAsia="ko-KR" w:bidi="he-IL"/>
        </w:rPr>
        <w:t xml:space="preserve"> Key </w:t>
      </w:r>
      <w:r>
        <w:rPr>
          <w:rFonts w:cs="Arial"/>
          <w:b/>
          <w:lang w:eastAsia="ko-KR" w:bidi="he-IL"/>
        </w:rPr>
        <w:t>c</w:t>
      </w:r>
      <w:r w:rsidRPr="00D67231">
        <w:rPr>
          <w:rFonts w:cs="Arial"/>
          <w:b/>
          <w:lang w:eastAsia="ko-KR" w:bidi="he-IL"/>
        </w:rPr>
        <w:t xml:space="preserve">linical and MRI endpoints from </w:t>
      </w:r>
      <w:r>
        <w:rPr>
          <w:rFonts w:cs="Arial"/>
          <w:b/>
          <w:lang w:eastAsia="ko-KR" w:bidi="he-IL"/>
        </w:rPr>
        <w:t>study</w:t>
      </w:r>
      <w:r w:rsidRPr="00D67231">
        <w:rPr>
          <w:rFonts w:cs="Arial"/>
          <w:b/>
          <w:lang w:eastAsia="ko-KR" w:bidi="he-IL"/>
        </w:rPr>
        <w:t xml:space="preserve"> </w:t>
      </w:r>
      <w:r>
        <w:rPr>
          <w:rFonts w:cs="Arial"/>
          <w:b/>
          <w:lang w:eastAsia="ko-KR" w:bidi="he-IL"/>
        </w:rPr>
        <w:t>WA25046 (PPMS)</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694"/>
        <w:gridCol w:w="2516"/>
      </w:tblGrid>
      <w:tr w:rsidR="008E6C53" w:rsidRPr="00D67231" w:rsidTr="00D42D7B">
        <w:trPr>
          <w:trHeight w:val="353"/>
        </w:trPr>
        <w:tc>
          <w:tcPr>
            <w:tcW w:w="4077" w:type="dxa"/>
            <w:vMerge w:val="restart"/>
            <w:shd w:val="clear" w:color="auto" w:fill="auto"/>
            <w:vAlign w:val="bottom"/>
          </w:tcPr>
          <w:p w:rsidR="008E6C53" w:rsidRPr="00D67231" w:rsidRDefault="008E6C53" w:rsidP="00D42D7B">
            <w:pPr>
              <w:spacing w:before="40" w:after="40"/>
              <w:jc w:val="left"/>
              <w:rPr>
                <w:b/>
                <w:szCs w:val="24"/>
                <w:lang w:val="en-US"/>
              </w:rPr>
            </w:pPr>
          </w:p>
        </w:tc>
        <w:tc>
          <w:tcPr>
            <w:tcW w:w="5210" w:type="dxa"/>
            <w:gridSpan w:val="2"/>
            <w:tcBorders>
              <w:bottom w:val="single" w:sz="4" w:space="0" w:color="auto"/>
            </w:tcBorders>
            <w:shd w:val="clear" w:color="auto" w:fill="auto"/>
            <w:vAlign w:val="center"/>
          </w:tcPr>
          <w:p w:rsidR="008E6C53" w:rsidRPr="00D67231" w:rsidRDefault="008E6C53" w:rsidP="008E6C53">
            <w:pPr>
              <w:spacing w:before="40" w:after="40"/>
              <w:jc w:val="center"/>
              <w:rPr>
                <w:b/>
                <w:sz w:val="22"/>
                <w:lang w:val="en-US"/>
              </w:rPr>
            </w:pPr>
            <w:r w:rsidRPr="00D67231">
              <w:rPr>
                <w:b/>
                <w:sz w:val="22"/>
                <w:lang w:val="en-US"/>
              </w:rPr>
              <w:t xml:space="preserve">Study </w:t>
            </w:r>
            <w:r>
              <w:rPr>
                <w:b/>
                <w:sz w:val="22"/>
                <w:lang w:val="en-US"/>
              </w:rPr>
              <w:t>3</w:t>
            </w:r>
            <w:r w:rsidRPr="00D67231">
              <w:rPr>
                <w:b/>
                <w:sz w:val="22"/>
                <w:lang w:val="en-US"/>
              </w:rPr>
              <w:t>: WA</w:t>
            </w:r>
            <w:r>
              <w:rPr>
                <w:b/>
                <w:sz w:val="22"/>
                <w:lang w:val="en-US"/>
              </w:rPr>
              <w:t xml:space="preserve">25046 </w:t>
            </w:r>
            <w:r w:rsidRPr="00D67231">
              <w:rPr>
                <w:b/>
                <w:sz w:val="22"/>
                <w:lang w:val="en-US"/>
              </w:rPr>
              <w:t>(O</w:t>
            </w:r>
            <w:r>
              <w:rPr>
                <w:b/>
                <w:sz w:val="22"/>
                <w:lang w:val="en-US"/>
              </w:rPr>
              <w:t>RATORIO</w:t>
            </w:r>
            <w:r w:rsidRPr="00D67231">
              <w:rPr>
                <w:b/>
                <w:sz w:val="22"/>
                <w:lang w:val="en-US"/>
              </w:rPr>
              <w:t>)</w:t>
            </w:r>
          </w:p>
        </w:tc>
      </w:tr>
      <w:tr w:rsidR="008E6C53" w:rsidRPr="00D67231" w:rsidTr="00D42D7B">
        <w:trPr>
          <w:trHeight w:val="352"/>
        </w:trPr>
        <w:tc>
          <w:tcPr>
            <w:tcW w:w="4077" w:type="dxa"/>
            <w:vMerge/>
            <w:tcBorders>
              <w:bottom w:val="single" w:sz="4" w:space="0" w:color="auto"/>
            </w:tcBorders>
            <w:shd w:val="clear" w:color="auto" w:fill="auto"/>
            <w:vAlign w:val="center"/>
          </w:tcPr>
          <w:p w:rsidR="008E6C53" w:rsidRPr="00D67231" w:rsidRDefault="008E6C53" w:rsidP="00D42D7B">
            <w:pPr>
              <w:spacing w:before="40" w:after="40"/>
              <w:jc w:val="center"/>
              <w:rPr>
                <w:sz w:val="22"/>
                <w:lang w:val="en-US"/>
              </w:rPr>
            </w:pPr>
          </w:p>
        </w:tc>
        <w:tc>
          <w:tcPr>
            <w:tcW w:w="2694" w:type="dxa"/>
            <w:tcBorders>
              <w:bottom w:val="single" w:sz="4" w:space="0" w:color="auto"/>
            </w:tcBorders>
            <w:shd w:val="clear" w:color="auto" w:fill="auto"/>
            <w:vAlign w:val="center"/>
          </w:tcPr>
          <w:p w:rsidR="008E6C53" w:rsidRPr="00D67231" w:rsidRDefault="008E6C53" w:rsidP="008E6C53">
            <w:pPr>
              <w:spacing w:before="40" w:after="40"/>
              <w:jc w:val="center"/>
              <w:rPr>
                <w:b/>
                <w:sz w:val="22"/>
                <w:lang w:val="en-US"/>
              </w:rPr>
            </w:pPr>
            <w:r w:rsidRPr="00D67231">
              <w:rPr>
                <w:b/>
                <w:sz w:val="22"/>
                <w:lang w:val="en-US"/>
              </w:rPr>
              <w:t>OCREVUS 600 mg (n=4</w:t>
            </w:r>
            <w:r>
              <w:rPr>
                <w:b/>
                <w:sz w:val="22"/>
                <w:lang w:val="en-US"/>
              </w:rPr>
              <w:t>88</w:t>
            </w:r>
            <w:r w:rsidRPr="00D67231">
              <w:rPr>
                <w:b/>
                <w:sz w:val="22"/>
                <w:lang w:val="en-US"/>
              </w:rPr>
              <w:t>)</w:t>
            </w:r>
          </w:p>
        </w:tc>
        <w:tc>
          <w:tcPr>
            <w:tcW w:w="2516" w:type="dxa"/>
            <w:tcBorders>
              <w:bottom w:val="single" w:sz="4" w:space="0" w:color="auto"/>
            </w:tcBorders>
            <w:shd w:val="clear" w:color="auto" w:fill="auto"/>
            <w:vAlign w:val="center"/>
          </w:tcPr>
          <w:p w:rsidR="008E6C53" w:rsidRDefault="008E6C53" w:rsidP="008E6C53">
            <w:pPr>
              <w:spacing w:before="40" w:after="40"/>
              <w:jc w:val="center"/>
              <w:rPr>
                <w:b/>
                <w:sz w:val="22"/>
                <w:lang w:val="en-US"/>
              </w:rPr>
            </w:pPr>
            <w:r>
              <w:rPr>
                <w:b/>
                <w:sz w:val="22"/>
                <w:lang w:val="en-US"/>
              </w:rPr>
              <w:t>Placebo</w:t>
            </w:r>
            <w:r w:rsidRPr="00D67231">
              <w:rPr>
                <w:b/>
                <w:sz w:val="22"/>
                <w:lang w:val="en-US"/>
              </w:rPr>
              <w:t xml:space="preserve"> </w:t>
            </w:r>
          </w:p>
          <w:p w:rsidR="008E6C53" w:rsidRPr="00D67231" w:rsidRDefault="008E6C53" w:rsidP="008E6C53">
            <w:pPr>
              <w:spacing w:before="40" w:after="40"/>
              <w:jc w:val="center"/>
              <w:rPr>
                <w:b/>
                <w:sz w:val="22"/>
                <w:lang w:val="en-US"/>
              </w:rPr>
            </w:pPr>
            <w:r w:rsidRPr="00D67231">
              <w:rPr>
                <w:b/>
                <w:sz w:val="22"/>
                <w:lang w:val="en-US"/>
              </w:rPr>
              <w:t>(n=</w:t>
            </w:r>
            <w:r>
              <w:rPr>
                <w:b/>
                <w:sz w:val="22"/>
                <w:lang w:val="en-US"/>
              </w:rPr>
              <w:t>244</w:t>
            </w:r>
            <w:r w:rsidRPr="00D67231">
              <w:rPr>
                <w:b/>
                <w:sz w:val="22"/>
                <w:lang w:val="en-US"/>
              </w:rPr>
              <w:t>)</w:t>
            </w:r>
          </w:p>
        </w:tc>
      </w:tr>
      <w:tr w:rsidR="008E6C53" w:rsidRPr="00D67231" w:rsidTr="00D42D7B">
        <w:tc>
          <w:tcPr>
            <w:tcW w:w="9287" w:type="dxa"/>
            <w:gridSpan w:val="3"/>
            <w:tcBorders>
              <w:bottom w:val="single" w:sz="4" w:space="0" w:color="auto"/>
            </w:tcBorders>
            <w:shd w:val="clear" w:color="auto" w:fill="auto"/>
          </w:tcPr>
          <w:p w:rsidR="008E6C53" w:rsidRPr="00D67231" w:rsidRDefault="008E6C53" w:rsidP="00D42D7B">
            <w:pPr>
              <w:spacing w:before="40" w:after="40"/>
              <w:jc w:val="left"/>
              <w:rPr>
                <w:sz w:val="22"/>
                <w:lang w:val="en-US"/>
              </w:rPr>
            </w:pPr>
            <w:r w:rsidRPr="00D67231">
              <w:rPr>
                <w:b/>
                <w:sz w:val="22"/>
                <w:lang w:val="en-US"/>
              </w:rPr>
              <w:t>Clinical Endpoints</w:t>
            </w:r>
          </w:p>
        </w:tc>
      </w:tr>
      <w:tr w:rsidR="00F3498D" w:rsidRPr="00D67231" w:rsidTr="008B1F29">
        <w:trPr>
          <w:trHeight w:val="503"/>
        </w:trPr>
        <w:tc>
          <w:tcPr>
            <w:tcW w:w="4077" w:type="dxa"/>
            <w:tcBorders>
              <w:top w:val="single" w:sz="4" w:space="0" w:color="auto"/>
            </w:tcBorders>
            <w:shd w:val="clear" w:color="auto" w:fill="auto"/>
            <w:vAlign w:val="center"/>
          </w:tcPr>
          <w:p w:rsidR="00F3498D" w:rsidRPr="008E6C53" w:rsidRDefault="00F3498D" w:rsidP="00D42D7B">
            <w:pPr>
              <w:spacing w:before="40" w:after="40"/>
              <w:jc w:val="left"/>
              <w:rPr>
                <w:b/>
                <w:sz w:val="22"/>
                <w:lang w:val="en-US"/>
              </w:rPr>
            </w:pPr>
            <w:r w:rsidRPr="008E6C53">
              <w:rPr>
                <w:b/>
                <w:sz w:val="22"/>
                <w:lang w:val="en-US"/>
              </w:rPr>
              <w:t>Primary efficacy endpoint</w:t>
            </w:r>
          </w:p>
          <w:p w:rsidR="00F3498D" w:rsidRPr="00D67231" w:rsidRDefault="00F3498D" w:rsidP="00D42D7B">
            <w:pPr>
              <w:spacing w:before="40" w:after="40"/>
              <w:jc w:val="left"/>
              <w:rPr>
                <w:sz w:val="22"/>
                <w:lang w:val="en-US"/>
              </w:rPr>
            </w:pPr>
            <w:r>
              <w:rPr>
                <w:sz w:val="22"/>
                <w:lang w:val="en-US"/>
              </w:rPr>
              <w:t>Proportion of patients with 12 weeks Confirmed Disability Progression</w:t>
            </w:r>
            <w:r w:rsidRPr="008E6C53">
              <w:rPr>
                <w:sz w:val="22"/>
                <w:vertAlign w:val="superscript"/>
                <w:lang w:val="en-US"/>
              </w:rPr>
              <w:t>1</w:t>
            </w:r>
          </w:p>
        </w:tc>
        <w:tc>
          <w:tcPr>
            <w:tcW w:w="2694" w:type="dxa"/>
            <w:tcBorders>
              <w:top w:val="single" w:sz="4" w:space="0" w:color="auto"/>
              <w:bottom w:val="nil"/>
              <w:right w:val="nil"/>
            </w:tcBorders>
            <w:shd w:val="clear" w:color="auto" w:fill="auto"/>
            <w:vAlign w:val="center"/>
          </w:tcPr>
          <w:p w:rsidR="00F3498D" w:rsidRPr="00D67231" w:rsidRDefault="00F3498D" w:rsidP="00F3498D">
            <w:pPr>
              <w:spacing w:before="120"/>
              <w:jc w:val="center"/>
              <w:rPr>
                <w:sz w:val="22"/>
                <w:lang w:val="en-US"/>
              </w:rPr>
            </w:pPr>
            <w:r>
              <w:rPr>
                <w:sz w:val="22"/>
                <w:lang w:val="en-US"/>
              </w:rPr>
              <w:t>30.2%</w:t>
            </w:r>
          </w:p>
        </w:tc>
        <w:tc>
          <w:tcPr>
            <w:tcW w:w="2516" w:type="dxa"/>
            <w:tcBorders>
              <w:top w:val="single" w:sz="4" w:space="0" w:color="auto"/>
              <w:left w:val="nil"/>
              <w:bottom w:val="nil"/>
            </w:tcBorders>
            <w:shd w:val="clear" w:color="auto" w:fill="auto"/>
            <w:vAlign w:val="center"/>
          </w:tcPr>
          <w:p w:rsidR="00F3498D" w:rsidRPr="00D67231" w:rsidRDefault="00F3498D" w:rsidP="00F3498D">
            <w:pPr>
              <w:spacing w:before="120"/>
              <w:jc w:val="center"/>
              <w:rPr>
                <w:sz w:val="22"/>
                <w:lang w:val="en-US"/>
              </w:rPr>
            </w:pPr>
            <w:r>
              <w:rPr>
                <w:sz w:val="22"/>
                <w:lang w:val="en-US"/>
              </w:rPr>
              <w:t>34.0%</w:t>
            </w:r>
          </w:p>
        </w:tc>
      </w:tr>
      <w:tr w:rsidR="008E6C53" w:rsidRPr="00D67231" w:rsidTr="00FD32AD">
        <w:trPr>
          <w:trHeight w:val="235"/>
        </w:trPr>
        <w:tc>
          <w:tcPr>
            <w:tcW w:w="4077" w:type="dxa"/>
            <w:tcBorders>
              <w:top w:val="nil"/>
              <w:bottom w:val="single" w:sz="4" w:space="0" w:color="auto"/>
            </w:tcBorders>
            <w:shd w:val="clear" w:color="auto" w:fill="auto"/>
            <w:vAlign w:val="center"/>
          </w:tcPr>
          <w:p w:rsidR="008E6C53" w:rsidRPr="00C55365" w:rsidRDefault="008E6C53" w:rsidP="008E6C53">
            <w:pPr>
              <w:spacing w:before="40" w:after="40"/>
              <w:jc w:val="right"/>
              <w:rPr>
                <w:sz w:val="22"/>
                <w:lang w:val="en-US"/>
              </w:rPr>
            </w:pPr>
            <w:r w:rsidRPr="00C55365">
              <w:rPr>
                <w:sz w:val="22"/>
                <w:lang w:val="en-US"/>
              </w:rPr>
              <w:t>R</w:t>
            </w:r>
            <w:r>
              <w:rPr>
                <w:sz w:val="22"/>
                <w:lang w:val="en-US"/>
              </w:rPr>
              <w:t>isk</w:t>
            </w:r>
            <w:r w:rsidRPr="00C55365">
              <w:rPr>
                <w:sz w:val="22"/>
                <w:lang w:val="en-US"/>
              </w:rPr>
              <w:t xml:space="preserve"> Reduction</w:t>
            </w:r>
          </w:p>
        </w:tc>
        <w:tc>
          <w:tcPr>
            <w:tcW w:w="5210" w:type="dxa"/>
            <w:gridSpan w:val="2"/>
            <w:tcBorders>
              <w:top w:val="single" w:sz="4" w:space="0" w:color="auto"/>
              <w:bottom w:val="single" w:sz="4" w:space="0" w:color="auto"/>
            </w:tcBorders>
            <w:shd w:val="clear" w:color="auto" w:fill="auto"/>
            <w:vAlign w:val="center"/>
          </w:tcPr>
          <w:p w:rsidR="008E6C53" w:rsidRPr="00C55365" w:rsidRDefault="008E6C53" w:rsidP="00D42D7B">
            <w:pPr>
              <w:spacing w:before="40" w:after="40"/>
              <w:jc w:val="center"/>
              <w:rPr>
                <w:sz w:val="22"/>
                <w:lang w:val="en-US"/>
              </w:rPr>
            </w:pPr>
            <w:r>
              <w:rPr>
                <w:sz w:val="22"/>
                <w:lang w:val="en-US"/>
              </w:rPr>
              <w:t>24</w:t>
            </w:r>
            <w:r w:rsidRPr="00C55365">
              <w:rPr>
                <w:sz w:val="22"/>
                <w:lang w:val="en-US"/>
              </w:rPr>
              <w:t>%</w:t>
            </w:r>
          </w:p>
          <w:p w:rsidR="008E6C53" w:rsidRPr="00C55365" w:rsidRDefault="008E6C53" w:rsidP="00D42D7B">
            <w:pPr>
              <w:spacing w:before="40" w:after="40"/>
              <w:jc w:val="center"/>
              <w:rPr>
                <w:sz w:val="22"/>
                <w:lang w:val="en-US"/>
              </w:rPr>
            </w:pPr>
            <w:r>
              <w:rPr>
                <w:sz w:val="22"/>
                <w:lang w:val="en-US"/>
              </w:rPr>
              <w:t>(p=0.0321</w:t>
            </w:r>
            <w:r w:rsidRPr="00C55365">
              <w:rPr>
                <w:sz w:val="22"/>
                <w:lang w:val="en-US"/>
              </w:rPr>
              <w:t>)</w:t>
            </w:r>
          </w:p>
        </w:tc>
      </w:tr>
      <w:tr w:rsidR="00FC11F3" w:rsidRPr="00D67231" w:rsidTr="00FC11F3">
        <w:trPr>
          <w:trHeight w:val="235"/>
        </w:trPr>
        <w:tc>
          <w:tcPr>
            <w:tcW w:w="4077" w:type="dxa"/>
            <w:tcBorders>
              <w:top w:val="nil"/>
              <w:bottom w:val="single" w:sz="4" w:space="0" w:color="auto"/>
            </w:tcBorders>
            <w:shd w:val="clear" w:color="auto" w:fill="auto"/>
            <w:vAlign w:val="center"/>
          </w:tcPr>
          <w:p w:rsidR="00FC11F3" w:rsidRPr="00FC11F3" w:rsidRDefault="00FC11F3" w:rsidP="008E6C53">
            <w:pPr>
              <w:spacing w:before="40" w:after="40"/>
              <w:jc w:val="right"/>
              <w:rPr>
                <w:sz w:val="22"/>
                <w:vertAlign w:val="superscript"/>
                <w:lang w:val="en-US"/>
              </w:rPr>
            </w:pPr>
            <w:r>
              <w:rPr>
                <w:sz w:val="22"/>
                <w:lang w:val="en-US"/>
              </w:rPr>
              <w:t>Time for 30% of patients to reach 12 weeks Confirmed Disability Progression (weeks)</w:t>
            </w:r>
            <w:r>
              <w:rPr>
                <w:sz w:val="22"/>
                <w:vertAlign w:val="superscript"/>
                <w:lang w:val="en-US"/>
              </w:rPr>
              <w:t>2</w:t>
            </w:r>
          </w:p>
        </w:tc>
        <w:tc>
          <w:tcPr>
            <w:tcW w:w="2694" w:type="dxa"/>
            <w:tcBorders>
              <w:top w:val="single" w:sz="4" w:space="0" w:color="auto"/>
              <w:bottom w:val="single" w:sz="4" w:space="0" w:color="auto"/>
            </w:tcBorders>
            <w:shd w:val="clear" w:color="auto" w:fill="auto"/>
            <w:vAlign w:val="center"/>
          </w:tcPr>
          <w:p w:rsidR="00FC11F3" w:rsidRDefault="00FC11F3" w:rsidP="00D42D7B">
            <w:pPr>
              <w:spacing w:before="40" w:after="40"/>
              <w:jc w:val="center"/>
              <w:rPr>
                <w:sz w:val="22"/>
                <w:lang w:val="en-US"/>
              </w:rPr>
            </w:pPr>
            <w:r>
              <w:rPr>
                <w:sz w:val="22"/>
                <w:lang w:val="en-US"/>
              </w:rPr>
              <w:t>120.0</w:t>
            </w:r>
          </w:p>
        </w:tc>
        <w:tc>
          <w:tcPr>
            <w:tcW w:w="2516" w:type="dxa"/>
            <w:tcBorders>
              <w:top w:val="single" w:sz="4" w:space="0" w:color="auto"/>
              <w:bottom w:val="single" w:sz="4" w:space="0" w:color="auto"/>
            </w:tcBorders>
            <w:shd w:val="clear" w:color="auto" w:fill="auto"/>
            <w:vAlign w:val="center"/>
          </w:tcPr>
          <w:p w:rsidR="00FC11F3" w:rsidRDefault="00FC11F3" w:rsidP="00D42D7B">
            <w:pPr>
              <w:spacing w:before="40" w:after="40"/>
              <w:jc w:val="center"/>
              <w:rPr>
                <w:sz w:val="22"/>
                <w:lang w:val="en-US"/>
              </w:rPr>
            </w:pPr>
            <w:r>
              <w:rPr>
                <w:sz w:val="22"/>
                <w:lang w:val="en-US"/>
              </w:rPr>
              <w:t>100.1</w:t>
            </w:r>
          </w:p>
        </w:tc>
      </w:tr>
      <w:tr w:rsidR="00FD32AD" w:rsidRPr="00AE38AC" w:rsidTr="00FD32AD">
        <w:trPr>
          <w:trHeight w:val="293"/>
        </w:trPr>
        <w:tc>
          <w:tcPr>
            <w:tcW w:w="4077" w:type="dxa"/>
            <w:tcBorders>
              <w:top w:val="single" w:sz="4" w:space="0" w:color="auto"/>
            </w:tcBorders>
            <w:shd w:val="clear" w:color="auto" w:fill="auto"/>
          </w:tcPr>
          <w:p w:rsidR="00FD32AD" w:rsidRPr="008E6C53" w:rsidRDefault="00FD32AD" w:rsidP="008E6C53">
            <w:pPr>
              <w:spacing w:before="40" w:after="40"/>
              <w:jc w:val="left"/>
              <w:rPr>
                <w:color w:val="FF0000"/>
                <w:sz w:val="22"/>
                <w:lang w:val="en-US"/>
              </w:rPr>
            </w:pPr>
            <w:r>
              <w:rPr>
                <w:sz w:val="22"/>
                <w:lang w:val="en-US"/>
              </w:rPr>
              <w:t>Proportion of patients with 24 weeks Confirmed Disability Progression</w:t>
            </w:r>
            <w:r w:rsidRPr="008E6C53">
              <w:rPr>
                <w:sz w:val="22"/>
                <w:vertAlign w:val="superscript"/>
                <w:lang w:val="en-US"/>
              </w:rPr>
              <w:t>1</w:t>
            </w:r>
          </w:p>
        </w:tc>
        <w:tc>
          <w:tcPr>
            <w:tcW w:w="2694" w:type="dxa"/>
            <w:tcBorders>
              <w:top w:val="single" w:sz="4" w:space="0" w:color="auto"/>
              <w:bottom w:val="nil"/>
              <w:right w:val="nil"/>
            </w:tcBorders>
            <w:shd w:val="clear" w:color="auto" w:fill="auto"/>
            <w:vAlign w:val="center"/>
          </w:tcPr>
          <w:p w:rsidR="00FD32AD" w:rsidRPr="008E6C53" w:rsidRDefault="00FD32AD" w:rsidP="00FD32AD">
            <w:pPr>
              <w:spacing w:before="120"/>
              <w:jc w:val="center"/>
              <w:rPr>
                <w:sz w:val="22"/>
                <w:lang w:val="en-US"/>
              </w:rPr>
            </w:pPr>
            <w:r w:rsidRPr="008E6C53">
              <w:rPr>
                <w:sz w:val="22"/>
                <w:lang w:val="en-US"/>
              </w:rPr>
              <w:t>28.3%</w:t>
            </w:r>
          </w:p>
        </w:tc>
        <w:tc>
          <w:tcPr>
            <w:tcW w:w="2516" w:type="dxa"/>
            <w:tcBorders>
              <w:top w:val="single" w:sz="4" w:space="0" w:color="auto"/>
              <w:left w:val="nil"/>
              <w:bottom w:val="nil"/>
            </w:tcBorders>
            <w:shd w:val="clear" w:color="auto" w:fill="auto"/>
            <w:vAlign w:val="center"/>
          </w:tcPr>
          <w:p w:rsidR="00FD32AD" w:rsidRPr="008E6C53" w:rsidRDefault="00FD32AD" w:rsidP="00FD32AD">
            <w:pPr>
              <w:spacing w:before="120"/>
              <w:jc w:val="center"/>
              <w:rPr>
                <w:sz w:val="22"/>
                <w:lang w:val="en-US"/>
              </w:rPr>
            </w:pPr>
            <w:r w:rsidRPr="008E6C53">
              <w:rPr>
                <w:sz w:val="22"/>
                <w:lang w:val="en-US"/>
              </w:rPr>
              <w:t>32.7%</w:t>
            </w:r>
          </w:p>
        </w:tc>
      </w:tr>
      <w:tr w:rsidR="008E6C53" w:rsidRPr="00AE38AC" w:rsidTr="008E6C53">
        <w:trPr>
          <w:trHeight w:val="243"/>
        </w:trPr>
        <w:tc>
          <w:tcPr>
            <w:tcW w:w="4077" w:type="dxa"/>
            <w:tcBorders>
              <w:top w:val="nil"/>
              <w:bottom w:val="single" w:sz="4" w:space="0" w:color="auto"/>
            </w:tcBorders>
            <w:shd w:val="clear" w:color="auto" w:fill="auto"/>
            <w:vAlign w:val="center"/>
          </w:tcPr>
          <w:p w:rsidR="008E6C53" w:rsidRPr="008E6C53" w:rsidRDefault="008E6C53" w:rsidP="008E6C53">
            <w:pPr>
              <w:spacing w:before="40" w:after="40"/>
              <w:jc w:val="right"/>
              <w:rPr>
                <w:sz w:val="22"/>
                <w:lang w:val="en-US"/>
              </w:rPr>
            </w:pPr>
            <w:r w:rsidRPr="008E6C53">
              <w:rPr>
                <w:sz w:val="22"/>
                <w:lang w:val="en-US"/>
              </w:rPr>
              <w:t>Risk Reduction</w:t>
            </w:r>
          </w:p>
        </w:tc>
        <w:tc>
          <w:tcPr>
            <w:tcW w:w="5210" w:type="dxa"/>
            <w:gridSpan w:val="2"/>
            <w:tcBorders>
              <w:top w:val="single" w:sz="4" w:space="0" w:color="auto"/>
              <w:bottom w:val="single" w:sz="4" w:space="0" w:color="auto"/>
            </w:tcBorders>
            <w:shd w:val="clear" w:color="auto" w:fill="auto"/>
            <w:vAlign w:val="center"/>
          </w:tcPr>
          <w:p w:rsidR="008E6C53" w:rsidRPr="008E6C53" w:rsidRDefault="008E6C53" w:rsidP="00D42D7B">
            <w:pPr>
              <w:spacing w:before="40" w:after="40"/>
              <w:jc w:val="center"/>
              <w:rPr>
                <w:sz w:val="22"/>
                <w:lang w:val="en-US"/>
              </w:rPr>
            </w:pPr>
            <w:r w:rsidRPr="008E6C53">
              <w:rPr>
                <w:sz w:val="22"/>
                <w:lang w:val="en-US"/>
              </w:rPr>
              <w:t xml:space="preserve">25% </w:t>
            </w:r>
          </w:p>
          <w:p w:rsidR="008E6C53" w:rsidRPr="008E6C53" w:rsidRDefault="008E6C53" w:rsidP="00D42D7B">
            <w:pPr>
              <w:spacing w:before="40" w:after="40"/>
              <w:jc w:val="center"/>
              <w:rPr>
                <w:sz w:val="22"/>
                <w:lang w:val="en-US"/>
              </w:rPr>
            </w:pPr>
            <w:r w:rsidRPr="008E6C53">
              <w:rPr>
                <w:sz w:val="22"/>
                <w:lang w:val="en-US"/>
              </w:rPr>
              <w:t>(p=0.0365)</w:t>
            </w:r>
          </w:p>
        </w:tc>
      </w:tr>
      <w:tr w:rsidR="00FC11F3" w:rsidRPr="00AE38AC" w:rsidTr="00FC11F3">
        <w:trPr>
          <w:trHeight w:val="243"/>
        </w:trPr>
        <w:tc>
          <w:tcPr>
            <w:tcW w:w="4077" w:type="dxa"/>
            <w:tcBorders>
              <w:top w:val="nil"/>
              <w:bottom w:val="single" w:sz="4" w:space="0" w:color="auto"/>
            </w:tcBorders>
            <w:shd w:val="clear" w:color="auto" w:fill="auto"/>
            <w:vAlign w:val="center"/>
          </w:tcPr>
          <w:p w:rsidR="00FC11F3" w:rsidRPr="008E6C53" w:rsidRDefault="00FC11F3" w:rsidP="008E6C53">
            <w:pPr>
              <w:spacing w:before="40" w:after="40"/>
              <w:jc w:val="right"/>
              <w:rPr>
                <w:sz w:val="22"/>
                <w:lang w:val="en-US"/>
              </w:rPr>
            </w:pPr>
            <w:r>
              <w:rPr>
                <w:sz w:val="22"/>
                <w:lang w:val="en-US"/>
              </w:rPr>
              <w:t>Time for 30% of patients to reach 24 weeks Confirmed Disability Progression (weeks)</w:t>
            </w:r>
            <w:r w:rsidRPr="00FC11F3">
              <w:rPr>
                <w:sz w:val="22"/>
                <w:vertAlign w:val="superscript"/>
                <w:lang w:val="en-US"/>
              </w:rPr>
              <w:t>2</w:t>
            </w:r>
          </w:p>
        </w:tc>
        <w:tc>
          <w:tcPr>
            <w:tcW w:w="2694" w:type="dxa"/>
            <w:tcBorders>
              <w:top w:val="single" w:sz="4" w:space="0" w:color="auto"/>
              <w:bottom w:val="single" w:sz="4" w:space="0" w:color="auto"/>
            </w:tcBorders>
            <w:shd w:val="clear" w:color="auto" w:fill="auto"/>
            <w:vAlign w:val="center"/>
          </w:tcPr>
          <w:p w:rsidR="00FC11F3" w:rsidRPr="008E6C53" w:rsidRDefault="00FC11F3" w:rsidP="00D42D7B">
            <w:pPr>
              <w:spacing w:before="40" w:after="40"/>
              <w:jc w:val="center"/>
              <w:rPr>
                <w:sz w:val="22"/>
                <w:lang w:val="en-US"/>
              </w:rPr>
            </w:pPr>
            <w:r>
              <w:rPr>
                <w:sz w:val="22"/>
                <w:lang w:val="en-US"/>
              </w:rPr>
              <w:t>134.4</w:t>
            </w:r>
          </w:p>
        </w:tc>
        <w:tc>
          <w:tcPr>
            <w:tcW w:w="2516" w:type="dxa"/>
            <w:tcBorders>
              <w:top w:val="single" w:sz="4" w:space="0" w:color="auto"/>
              <w:bottom w:val="single" w:sz="4" w:space="0" w:color="auto"/>
            </w:tcBorders>
            <w:shd w:val="clear" w:color="auto" w:fill="auto"/>
            <w:vAlign w:val="center"/>
          </w:tcPr>
          <w:p w:rsidR="00FC11F3" w:rsidRPr="008E6C53" w:rsidRDefault="00FC11F3" w:rsidP="00D42D7B">
            <w:pPr>
              <w:spacing w:before="40" w:after="40"/>
              <w:jc w:val="center"/>
              <w:rPr>
                <w:sz w:val="22"/>
                <w:lang w:val="en-US"/>
              </w:rPr>
            </w:pPr>
            <w:r>
              <w:rPr>
                <w:sz w:val="22"/>
                <w:lang w:val="en-US"/>
              </w:rPr>
              <w:t>108.1</w:t>
            </w:r>
          </w:p>
        </w:tc>
      </w:tr>
      <w:tr w:rsidR="008E6C53" w:rsidRPr="00AE38AC" w:rsidTr="008E6C53">
        <w:tc>
          <w:tcPr>
            <w:tcW w:w="4077" w:type="dxa"/>
            <w:tcBorders>
              <w:top w:val="single" w:sz="4" w:space="0" w:color="auto"/>
              <w:bottom w:val="nil"/>
            </w:tcBorders>
            <w:shd w:val="clear" w:color="auto" w:fill="auto"/>
            <w:vAlign w:val="center"/>
          </w:tcPr>
          <w:p w:rsidR="008E6C53" w:rsidRPr="008E6C53" w:rsidRDefault="008E6C53" w:rsidP="008E6C53">
            <w:pPr>
              <w:spacing w:before="40" w:after="40"/>
              <w:jc w:val="left"/>
              <w:rPr>
                <w:sz w:val="22"/>
                <w:lang w:val="en-US"/>
              </w:rPr>
            </w:pPr>
            <w:r w:rsidRPr="008E6C53">
              <w:rPr>
                <w:sz w:val="22"/>
                <w:lang w:val="en-US"/>
              </w:rPr>
              <w:t>Percentage change in timed 25-foot walk from baseline to week 120</w:t>
            </w:r>
          </w:p>
        </w:tc>
        <w:tc>
          <w:tcPr>
            <w:tcW w:w="2694" w:type="dxa"/>
            <w:tcBorders>
              <w:top w:val="single" w:sz="4" w:space="0" w:color="auto"/>
              <w:bottom w:val="single" w:sz="4" w:space="0" w:color="auto"/>
              <w:right w:val="single" w:sz="4" w:space="0" w:color="auto"/>
            </w:tcBorders>
            <w:shd w:val="clear" w:color="auto" w:fill="auto"/>
            <w:vAlign w:val="center"/>
          </w:tcPr>
          <w:p w:rsidR="008E6C53" w:rsidRPr="008E6C53" w:rsidRDefault="008E6C53" w:rsidP="00D42D7B">
            <w:pPr>
              <w:spacing w:before="40" w:after="40"/>
              <w:jc w:val="center"/>
              <w:rPr>
                <w:sz w:val="22"/>
                <w:lang w:val="en-US"/>
              </w:rPr>
            </w:pPr>
            <w:r w:rsidRPr="008E6C53">
              <w:rPr>
                <w:sz w:val="22"/>
                <w:lang w:val="en-US"/>
              </w:rPr>
              <w:t>38.9</w:t>
            </w:r>
          </w:p>
        </w:tc>
        <w:tc>
          <w:tcPr>
            <w:tcW w:w="2516" w:type="dxa"/>
            <w:tcBorders>
              <w:top w:val="single" w:sz="4" w:space="0" w:color="auto"/>
              <w:left w:val="single" w:sz="4" w:space="0" w:color="auto"/>
              <w:bottom w:val="single" w:sz="4" w:space="0" w:color="auto"/>
            </w:tcBorders>
            <w:shd w:val="clear" w:color="auto" w:fill="auto"/>
            <w:vAlign w:val="center"/>
          </w:tcPr>
          <w:p w:rsidR="008E6C53" w:rsidRPr="008E6C53" w:rsidRDefault="008E6C53" w:rsidP="00D42D7B">
            <w:pPr>
              <w:spacing w:before="40" w:after="40"/>
              <w:jc w:val="center"/>
              <w:rPr>
                <w:sz w:val="22"/>
                <w:lang w:val="en-US"/>
              </w:rPr>
            </w:pPr>
            <w:r w:rsidRPr="008E6C53">
              <w:rPr>
                <w:sz w:val="22"/>
                <w:lang w:val="en-US"/>
              </w:rPr>
              <w:t>55.1</w:t>
            </w:r>
          </w:p>
        </w:tc>
      </w:tr>
      <w:tr w:rsidR="008E6C53" w:rsidRPr="00AE38AC" w:rsidTr="008E6C53">
        <w:trPr>
          <w:trHeight w:val="359"/>
        </w:trPr>
        <w:tc>
          <w:tcPr>
            <w:tcW w:w="4077" w:type="dxa"/>
            <w:tcBorders>
              <w:top w:val="nil"/>
              <w:bottom w:val="single" w:sz="4" w:space="0" w:color="auto"/>
            </w:tcBorders>
            <w:shd w:val="clear" w:color="auto" w:fill="auto"/>
            <w:vAlign w:val="center"/>
          </w:tcPr>
          <w:p w:rsidR="008E6C53" w:rsidRPr="008E6C53" w:rsidRDefault="008E6C53" w:rsidP="008E6C53">
            <w:pPr>
              <w:spacing w:before="40" w:after="40"/>
              <w:jc w:val="right"/>
              <w:rPr>
                <w:sz w:val="22"/>
                <w:lang w:val="en-US"/>
              </w:rPr>
            </w:pPr>
            <w:r w:rsidRPr="008E6C53">
              <w:rPr>
                <w:sz w:val="22"/>
                <w:lang w:val="en-US"/>
              </w:rPr>
              <w:t>Relative reduction in progression rate of walking time</w:t>
            </w:r>
          </w:p>
        </w:tc>
        <w:tc>
          <w:tcPr>
            <w:tcW w:w="5210" w:type="dxa"/>
            <w:gridSpan w:val="2"/>
            <w:tcBorders>
              <w:top w:val="single" w:sz="4" w:space="0" w:color="auto"/>
              <w:bottom w:val="single" w:sz="4" w:space="0" w:color="auto"/>
            </w:tcBorders>
            <w:shd w:val="clear" w:color="auto" w:fill="auto"/>
            <w:vAlign w:val="center"/>
          </w:tcPr>
          <w:p w:rsidR="008E6C53" w:rsidRPr="008E6C53" w:rsidRDefault="008E6C53" w:rsidP="00D42D7B">
            <w:pPr>
              <w:spacing w:before="40" w:after="40"/>
              <w:jc w:val="center"/>
              <w:rPr>
                <w:sz w:val="22"/>
                <w:lang w:val="en-US"/>
              </w:rPr>
            </w:pPr>
            <w:r w:rsidRPr="008E6C53">
              <w:rPr>
                <w:sz w:val="22"/>
                <w:lang w:val="en-US"/>
              </w:rPr>
              <w:t xml:space="preserve">29.4% </w:t>
            </w:r>
          </w:p>
          <w:p w:rsidR="008E6C53" w:rsidRPr="008E6C53" w:rsidRDefault="008E6C53" w:rsidP="00D42D7B">
            <w:pPr>
              <w:spacing w:before="40" w:after="40"/>
              <w:jc w:val="center"/>
              <w:rPr>
                <w:sz w:val="22"/>
                <w:lang w:val="en-US"/>
              </w:rPr>
            </w:pPr>
            <w:r w:rsidRPr="008E6C53">
              <w:rPr>
                <w:sz w:val="22"/>
                <w:lang w:val="en-US"/>
              </w:rPr>
              <w:t>(p=0.0404)</w:t>
            </w:r>
          </w:p>
        </w:tc>
      </w:tr>
      <w:tr w:rsidR="008E6C53" w:rsidRPr="00AE38AC" w:rsidTr="00D42D7B">
        <w:tc>
          <w:tcPr>
            <w:tcW w:w="9287" w:type="dxa"/>
            <w:gridSpan w:val="3"/>
            <w:tcBorders>
              <w:bottom w:val="single" w:sz="4" w:space="0" w:color="auto"/>
            </w:tcBorders>
            <w:shd w:val="clear" w:color="auto" w:fill="auto"/>
          </w:tcPr>
          <w:p w:rsidR="008E6C53" w:rsidRPr="00AB28B3" w:rsidRDefault="008E6C53" w:rsidP="00D42D7B">
            <w:pPr>
              <w:spacing w:before="40" w:after="40"/>
              <w:jc w:val="left"/>
              <w:rPr>
                <w:sz w:val="22"/>
                <w:lang w:val="en-US"/>
              </w:rPr>
            </w:pPr>
            <w:r w:rsidRPr="00AB28B3">
              <w:rPr>
                <w:b/>
                <w:sz w:val="22"/>
                <w:lang w:val="en-US"/>
              </w:rPr>
              <w:t>MRI Endpoints</w:t>
            </w:r>
          </w:p>
        </w:tc>
      </w:tr>
      <w:tr w:rsidR="00AB28B3" w:rsidRPr="00AE38AC" w:rsidTr="00D42D7B">
        <w:trPr>
          <w:trHeight w:val="293"/>
        </w:trPr>
        <w:tc>
          <w:tcPr>
            <w:tcW w:w="4077" w:type="dxa"/>
            <w:vMerge w:val="restart"/>
            <w:tcBorders>
              <w:top w:val="single" w:sz="4" w:space="0" w:color="auto"/>
            </w:tcBorders>
            <w:shd w:val="clear" w:color="auto" w:fill="auto"/>
          </w:tcPr>
          <w:p w:rsidR="00AB28B3" w:rsidRPr="00AB28B3" w:rsidRDefault="00AB28B3" w:rsidP="008E6C53">
            <w:pPr>
              <w:spacing w:before="40" w:after="40"/>
              <w:jc w:val="left"/>
              <w:rPr>
                <w:sz w:val="22"/>
                <w:lang w:val="en-US"/>
              </w:rPr>
            </w:pPr>
            <w:r w:rsidRPr="00AB28B3">
              <w:rPr>
                <w:sz w:val="22"/>
                <w:lang w:val="en-US"/>
              </w:rPr>
              <w:t xml:space="preserve">Percentage change in T2 </w:t>
            </w:r>
            <w:proofErr w:type="spellStart"/>
            <w:r w:rsidRPr="00AB28B3">
              <w:rPr>
                <w:sz w:val="22"/>
                <w:lang w:val="en-US"/>
              </w:rPr>
              <w:t>hyperintense</w:t>
            </w:r>
            <w:proofErr w:type="spellEnd"/>
            <w:r w:rsidRPr="00AB28B3">
              <w:rPr>
                <w:sz w:val="22"/>
                <w:lang w:val="en-US"/>
              </w:rPr>
              <w:t xml:space="preserve"> lesion volume, from baseline to week 120 </w:t>
            </w:r>
          </w:p>
        </w:tc>
        <w:tc>
          <w:tcPr>
            <w:tcW w:w="2694" w:type="dxa"/>
            <w:tcBorders>
              <w:top w:val="single" w:sz="4" w:space="0" w:color="auto"/>
              <w:bottom w:val="single" w:sz="4" w:space="0" w:color="auto"/>
              <w:right w:val="single" w:sz="4" w:space="0" w:color="auto"/>
            </w:tcBorders>
            <w:shd w:val="clear" w:color="auto" w:fill="auto"/>
            <w:vAlign w:val="center"/>
          </w:tcPr>
          <w:p w:rsidR="00AB28B3" w:rsidRPr="00AB28B3" w:rsidRDefault="00AB28B3" w:rsidP="00D42D7B">
            <w:pPr>
              <w:spacing w:before="40" w:after="40"/>
              <w:jc w:val="center"/>
              <w:rPr>
                <w:sz w:val="22"/>
                <w:lang w:val="en-US"/>
              </w:rPr>
            </w:pPr>
            <w:r w:rsidRPr="00AB28B3">
              <w:rPr>
                <w:sz w:val="22"/>
                <w:lang w:val="en-US"/>
              </w:rPr>
              <w:t>-3.4</w:t>
            </w:r>
          </w:p>
        </w:tc>
        <w:tc>
          <w:tcPr>
            <w:tcW w:w="2516" w:type="dxa"/>
            <w:tcBorders>
              <w:top w:val="single" w:sz="4" w:space="0" w:color="auto"/>
              <w:left w:val="single" w:sz="4" w:space="0" w:color="auto"/>
              <w:bottom w:val="single" w:sz="4" w:space="0" w:color="auto"/>
            </w:tcBorders>
            <w:shd w:val="clear" w:color="auto" w:fill="auto"/>
            <w:vAlign w:val="center"/>
          </w:tcPr>
          <w:p w:rsidR="00AB28B3" w:rsidRPr="00AB28B3" w:rsidRDefault="00AB28B3" w:rsidP="00AB28B3">
            <w:pPr>
              <w:spacing w:before="40" w:after="40"/>
              <w:jc w:val="center"/>
              <w:rPr>
                <w:sz w:val="22"/>
                <w:lang w:val="en-US"/>
              </w:rPr>
            </w:pPr>
            <w:r w:rsidRPr="00AB28B3">
              <w:rPr>
                <w:sz w:val="22"/>
                <w:lang w:val="en-US"/>
              </w:rPr>
              <w:t>7.4</w:t>
            </w:r>
          </w:p>
        </w:tc>
      </w:tr>
      <w:tr w:rsidR="00AB28B3" w:rsidRPr="00AE38AC" w:rsidTr="00D42D7B">
        <w:trPr>
          <w:trHeight w:val="324"/>
        </w:trPr>
        <w:tc>
          <w:tcPr>
            <w:tcW w:w="4077" w:type="dxa"/>
            <w:vMerge/>
            <w:tcBorders>
              <w:bottom w:val="nil"/>
            </w:tcBorders>
            <w:shd w:val="clear" w:color="auto" w:fill="auto"/>
            <w:vAlign w:val="center"/>
          </w:tcPr>
          <w:p w:rsidR="00AB28B3" w:rsidRPr="00AB28B3" w:rsidRDefault="00AB28B3" w:rsidP="00D42D7B">
            <w:pPr>
              <w:spacing w:before="40" w:after="40"/>
              <w:jc w:val="right"/>
              <w:rPr>
                <w:sz w:val="22"/>
                <w:lang w:val="en-US"/>
              </w:rPr>
            </w:pPr>
          </w:p>
        </w:tc>
        <w:tc>
          <w:tcPr>
            <w:tcW w:w="5210" w:type="dxa"/>
            <w:gridSpan w:val="2"/>
            <w:tcBorders>
              <w:top w:val="single" w:sz="4" w:space="0" w:color="auto"/>
              <w:bottom w:val="single" w:sz="4" w:space="0" w:color="auto"/>
            </w:tcBorders>
            <w:shd w:val="clear" w:color="auto" w:fill="auto"/>
            <w:vAlign w:val="center"/>
          </w:tcPr>
          <w:p w:rsidR="00AB28B3" w:rsidRPr="00AB28B3" w:rsidRDefault="00AB28B3" w:rsidP="00D42D7B">
            <w:pPr>
              <w:spacing w:before="40" w:after="40"/>
              <w:jc w:val="center"/>
              <w:rPr>
                <w:sz w:val="22"/>
                <w:lang w:val="en-US"/>
              </w:rPr>
            </w:pPr>
            <w:r w:rsidRPr="00AB28B3">
              <w:rPr>
                <w:sz w:val="22"/>
                <w:lang w:val="en-US"/>
              </w:rPr>
              <w:t>p&lt;0.0001</w:t>
            </w:r>
          </w:p>
        </w:tc>
      </w:tr>
      <w:tr w:rsidR="00AB28B3" w:rsidRPr="00AE38AC" w:rsidTr="00D42D7B">
        <w:tc>
          <w:tcPr>
            <w:tcW w:w="4077" w:type="dxa"/>
            <w:tcBorders>
              <w:bottom w:val="nil"/>
            </w:tcBorders>
            <w:shd w:val="clear" w:color="auto" w:fill="auto"/>
          </w:tcPr>
          <w:p w:rsidR="00AB28B3" w:rsidRPr="00AB28B3" w:rsidRDefault="00AB28B3" w:rsidP="00AB28B3">
            <w:pPr>
              <w:spacing w:before="40" w:after="40"/>
              <w:jc w:val="left"/>
              <w:rPr>
                <w:sz w:val="22"/>
                <w:lang w:val="en-US"/>
              </w:rPr>
            </w:pPr>
            <w:r w:rsidRPr="00AB28B3">
              <w:rPr>
                <w:sz w:val="22"/>
                <w:lang w:val="en-US"/>
              </w:rPr>
              <w:t>Percentage change brain volume from week 24 to week 120</w:t>
            </w:r>
          </w:p>
        </w:tc>
        <w:tc>
          <w:tcPr>
            <w:tcW w:w="2694" w:type="dxa"/>
            <w:tcBorders>
              <w:bottom w:val="single" w:sz="4" w:space="0" w:color="auto"/>
              <w:right w:val="single" w:sz="4" w:space="0" w:color="auto"/>
            </w:tcBorders>
            <w:shd w:val="clear" w:color="auto" w:fill="auto"/>
            <w:vAlign w:val="center"/>
          </w:tcPr>
          <w:p w:rsidR="00AB28B3" w:rsidRPr="00AB28B3" w:rsidRDefault="00AB28B3" w:rsidP="00D42D7B">
            <w:pPr>
              <w:spacing w:before="40" w:after="40"/>
              <w:jc w:val="center"/>
              <w:rPr>
                <w:sz w:val="22"/>
                <w:lang w:val="en-US"/>
              </w:rPr>
            </w:pPr>
            <w:r w:rsidRPr="00AB28B3">
              <w:rPr>
                <w:sz w:val="22"/>
                <w:lang w:val="en-US"/>
              </w:rPr>
              <w:t>-0.902</w:t>
            </w:r>
          </w:p>
        </w:tc>
        <w:tc>
          <w:tcPr>
            <w:tcW w:w="2516" w:type="dxa"/>
            <w:tcBorders>
              <w:left w:val="single" w:sz="4" w:space="0" w:color="auto"/>
              <w:bottom w:val="single" w:sz="4" w:space="0" w:color="auto"/>
            </w:tcBorders>
            <w:shd w:val="clear" w:color="auto" w:fill="auto"/>
            <w:vAlign w:val="center"/>
          </w:tcPr>
          <w:p w:rsidR="00AB28B3" w:rsidRPr="00AB28B3" w:rsidRDefault="00AB28B3" w:rsidP="00D42D7B">
            <w:pPr>
              <w:spacing w:before="40" w:after="40"/>
              <w:jc w:val="center"/>
              <w:rPr>
                <w:sz w:val="22"/>
                <w:lang w:val="en-US"/>
              </w:rPr>
            </w:pPr>
            <w:r w:rsidRPr="00AB28B3">
              <w:rPr>
                <w:sz w:val="22"/>
                <w:lang w:val="en-US"/>
              </w:rPr>
              <w:t>-1.093</w:t>
            </w:r>
          </w:p>
        </w:tc>
      </w:tr>
      <w:tr w:rsidR="00AB28B3" w:rsidRPr="00AE38AC" w:rsidTr="00D42D7B">
        <w:tc>
          <w:tcPr>
            <w:tcW w:w="4077" w:type="dxa"/>
            <w:tcBorders>
              <w:top w:val="nil"/>
              <w:bottom w:val="single" w:sz="4" w:space="0" w:color="auto"/>
              <w:right w:val="single" w:sz="4" w:space="0" w:color="auto"/>
            </w:tcBorders>
            <w:shd w:val="clear" w:color="auto" w:fill="auto"/>
            <w:vAlign w:val="center"/>
          </w:tcPr>
          <w:p w:rsidR="00AB28B3" w:rsidRPr="00AB28B3" w:rsidRDefault="00AB28B3" w:rsidP="00AB28B3">
            <w:pPr>
              <w:spacing w:before="40" w:after="40"/>
              <w:jc w:val="right"/>
              <w:rPr>
                <w:sz w:val="22"/>
                <w:lang w:val="en-US"/>
              </w:rPr>
            </w:pPr>
            <w:r w:rsidRPr="00AB28B3">
              <w:rPr>
                <w:sz w:val="22"/>
                <w:lang w:val="en-US"/>
              </w:rPr>
              <w:t>Relative reduction in rate of brain volume loss</w:t>
            </w:r>
          </w:p>
        </w:tc>
        <w:tc>
          <w:tcPr>
            <w:tcW w:w="5210" w:type="dxa"/>
            <w:gridSpan w:val="2"/>
            <w:tcBorders>
              <w:top w:val="single" w:sz="4" w:space="0" w:color="auto"/>
              <w:left w:val="single" w:sz="4" w:space="0" w:color="auto"/>
              <w:bottom w:val="single" w:sz="4" w:space="0" w:color="auto"/>
            </w:tcBorders>
            <w:shd w:val="clear" w:color="auto" w:fill="auto"/>
            <w:vAlign w:val="center"/>
          </w:tcPr>
          <w:p w:rsidR="00AB28B3" w:rsidRPr="00AB28B3" w:rsidRDefault="00AB28B3" w:rsidP="00D42D7B">
            <w:pPr>
              <w:spacing w:before="40" w:after="40"/>
              <w:jc w:val="center"/>
              <w:rPr>
                <w:sz w:val="22"/>
                <w:lang w:val="en-US"/>
              </w:rPr>
            </w:pPr>
            <w:r w:rsidRPr="00AB28B3">
              <w:rPr>
                <w:sz w:val="22"/>
                <w:lang w:val="en-US"/>
              </w:rPr>
              <w:t>17.5%</w:t>
            </w:r>
          </w:p>
          <w:p w:rsidR="00AB28B3" w:rsidRPr="00AB28B3" w:rsidRDefault="00AB28B3" w:rsidP="00AB28B3">
            <w:pPr>
              <w:spacing w:before="40" w:after="40"/>
              <w:jc w:val="center"/>
              <w:rPr>
                <w:sz w:val="22"/>
                <w:lang w:val="en-US"/>
              </w:rPr>
            </w:pPr>
            <w:r w:rsidRPr="00AB28B3">
              <w:rPr>
                <w:sz w:val="22"/>
                <w:lang w:val="en-US"/>
              </w:rPr>
              <w:t>(p=0.0206)</w:t>
            </w:r>
          </w:p>
        </w:tc>
      </w:tr>
      <w:tr w:rsidR="008E6C53" w:rsidRPr="00AE38AC" w:rsidTr="00D42D7B">
        <w:tc>
          <w:tcPr>
            <w:tcW w:w="9287" w:type="dxa"/>
            <w:gridSpan w:val="3"/>
            <w:tcBorders>
              <w:top w:val="single" w:sz="4" w:space="0" w:color="auto"/>
              <w:bottom w:val="single" w:sz="4" w:space="0" w:color="auto"/>
            </w:tcBorders>
            <w:shd w:val="clear" w:color="auto" w:fill="auto"/>
            <w:vAlign w:val="center"/>
          </w:tcPr>
          <w:p w:rsidR="008E6C53" w:rsidRPr="00AB28B3" w:rsidRDefault="008E6C53" w:rsidP="00D42D7B">
            <w:pPr>
              <w:spacing w:before="40" w:after="40"/>
              <w:jc w:val="left"/>
              <w:rPr>
                <w:sz w:val="22"/>
                <w:lang w:val="en-US"/>
              </w:rPr>
            </w:pPr>
            <w:r w:rsidRPr="00AB28B3">
              <w:rPr>
                <w:b/>
                <w:sz w:val="22"/>
                <w:lang w:val="en-US"/>
              </w:rPr>
              <w:t>Quality of Life</w:t>
            </w:r>
          </w:p>
        </w:tc>
      </w:tr>
      <w:tr w:rsidR="00AB28B3" w:rsidRPr="00AE38AC" w:rsidTr="00AB28B3">
        <w:trPr>
          <w:trHeight w:val="503"/>
        </w:trPr>
        <w:tc>
          <w:tcPr>
            <w:tcW w:w="4077" w:type="dxa"/>
            <w:tcBorders>
              <w:top w:val="single" w:sz="4" w:space="0" w:color="auto"/>
              <w:bottom w:val="nil"/>
            </w:tcBorders>
            <w:shd w:val="clear" w:color="auto" w:fill="auto"/>
          </w:tcPr>
          <w:p w:rsidR="00AB28B3" w:rsidRPr="00AB28B3" w:rsidRDefault="00AB28B3" w:rsidP="00D42D7B">
            <w:pPr>
              <w:spacing w:before="40" w:after="40"/>
              <w:jc w:val="left"/>
              <w:rPr>
                <w:sz w:val="22"/>
                <w:lang w:val="en-US"/>
              </w:rPr>
            </w:pPr>
            <w:r w:rsidRPr="00AB28B3">
              <w:rPr>
                <w:sz w:val="22"/>
                <w:lang w:val="en-US"/>
              </w:rPr>
              <w:t>Mean change from baseline in SF-36 Physical Component Summary</w:t>
            </w:r>
          </w:p>
        </w:tc>
        <w:tc>
          <w:tcPr>
            <w:tcW w:w="2694" w:type="dxa"/>
            <w:tcBorders>
              <w:top w:val="single" w:sz="4" w:space="0" w:color="auto"/>
              <w:bottom w:val="single" w:sz="4" w:space="0" w:color="auto"/>
              <w:right w:val="single" w:sz="4" w:space="0" w:color="auto"/>
            </w:tcBorders>
            <w:shd w:val="clear" w:color="auto" w:fill="auto"/>
            <w:vAlign w:val="center"/>
          </w:tcPr>
          <w:p w:rsidR="00AB28B3" w:rsidRPr="00AB28B3" w:rsidRDefault="00AB28B3" w:rsidP="00D42D7B">
            <w:pPr>
              <w:spacing w:before="40" w:after="40"/>
              <w:jc w:val="center"/>
              <w:rPr>
                <w:sz w:val="22"/>
                <w:lang w:val="en-US"/>
              </w:rPr>
            </w:pPr>
            <w:r w:rsidRPr="00AB28B3">
              <w:rPr>
                <w:sz w:val="22"/>
                <w:lang w:val="en-US"/>
              </w:rPr>
              <w:t>-0.731</w:t>
            </w:r>
          </w:p>
        </w:tc>
        <w:tc>
          <w:tcPr>
            <w:tcW w:w="2516" w:type="dxa"/>
            <w:tcBorders>
              <w:top w:val="single" w:sz="4" w:space="0" w:color="auto"/>
              <w:left w:val="single" w:sz="4" w:space="0" w:color="auto"/>
              <w:bottom w:val="single" w:sz="4" w:space="0" w:color="auto"/>
            </w:tcBorders>
            <w:shd w:val="clear" w:color="auto" w:fill="auto"/>
            <w:vAlign w:val="center"/>
          </w:tcPr>
          <w:p w:rsidR="00AB28B3" w:rsidRPr="00AB28B3" w:rsidRDefault="00AB28B3" w:rsidP="00D42D7B">
            <w:pPr>
              <w:spacing w:before="40" w:after="40"/>
              <w:jc w:val="center"/>
              <w:rPr>
                <w:sz w:val="22"/>
                <w:lang w:val="en-US"/>
              </w:rPr>
            </w:pPr>
            <w:r w:rsidRPr="00AB28B3">
              <w:rPr>
                <w:sz w:val="22"/>
                <w:lang w:val="en-US"/>
              </w:rPr>
              <w:t>-1.108</w:t>
            </w:r>
          </w:p>
        </w:tc>
      </w:tr>
      <w:tr w:rsidR="00AB28B3" w:rsidRPr="00FA7629" w:rsidTr="00AB28B3">
        <w:trPr>
          <w:trHeight w:val="469"/>
        </w:trPr>
        <w:tc>
          <w:tcPr>
            <w:tcW w:w="4077" w:type="dxa"/>
            <w:tcBorders>
              <w:top w:val="nil"/>
              <w:bottom w:val="single" w:sz="4" w:space="0" w:color="auto"/>
            </w:tcBorders>
            <w:shd w:val="clear" w:color="auto" w:fill="auto"/>
            <w:vAlign w:val="center"/>
          </w:tcPr>
          <w:p w:rsidR="00AB28B3" w:rsidRPr="00AB28B3" w:rsidRDefault="00AB28B3" w:rsidP="00D42D7B">
            <w:pPr>
              <w:spacing w:before="40" w:after="40"/>
              <w:jc w:val="right"/>
              <w:rPr>
                <w:sz w:val="22"/>
                <w:lang w:val="en-US"/>
              </w:rPr>
            </w:pPr>
            <w:r w:rsidRPr="00AB28B3">
              <w:rPr>
                <w:sz w:val="22"/>
                <w:lang w:val="en-US"/>
              </w:rPr>
              <w:t>Difference</w:t>
            </w:r>
          </w:p>
        </w:tc>
        <w:tc>
          <w:tcPr>
            <w:tcW w:w="5210" w:type="dxa"/>
            <w:gridSpan w:val="2"/>
            <w:tcBorders>
              <w:top w:val="single" w:sz="4" w:space="0" w:color="auto"/>
              <w:bottom w:val="single" w:sz="4" w:space="0" w:color="auto"/>
            </w:tcBorders>
            <w:shd w:val="clear" w:color="auto" w:fill="auto"/>
            <w:vAlign w:val="center"/>
          </w:tcPr>
          <w:p w:rsidR="00AB28B3" w:rsidRPr="00AB28B3" w:rsidRDefault="00AB28B3" w:rsidP="00D42D7B">
            <w:pPr>
              <w:spacing w:before="40" w:after="40"/>
              <w:jc w:val="center"/>
              <w:rPr>
                <w:sz w:val="22"/>
                <w:lang w:val="en-US"/>
              </w:rPr>
            </w:pPr>
            <w:r w:rsidRPr="00AB28B3">
              <w:rPr>
                <w:sz w:val="22"/>
                <w:lang w:val="en-US"/>
              </w:rPr>
              <w:t xml:space="preserve">0.377 </w:t>
            </w:r>
          </w:p>
          <w:p w:rsidR="00AB28B3" w:rsidRPr="00AB28B3" w:rsidRDefault="00AB28B3" w:rsidP="00D42D7B">
            <w:pPr>
              <w:spacing w:before="40" w:after="40"/>
              <w:jc w:val="center"/>
              <w:rPr>
                <w:sz w:val="22"/>
                <w:lang w:val="en-US"/>
              </w:rPr>
            </w:pPr>
            <w:r w:rsidRPr="00AB28B3">
              <w:rPr>
                <w:sz w:val="22"/>
                <w:lang w:val="en-US"/>
              </w:rPr>
              <w:t>(p=0.6034)</w:t>
            </w:r>
          </w:p>
        </w:tc>
      </w:tr>
    </w:tbl>
    <w:p w:rsidR="00C7726E" w:rsidRDefault="00AB28B3" w:rsidP="009C2282">
      <w:r w:rsidRPr="00AB28B3">
        <w:rPr>
          <w:vertAlign w:val="superscript"/>
        </w:rPr>
        <w:t>1</w:t>
      </w:r>
      <w:r>
        <w:t>Defined as an increase of ≥ 1.0 point from the baseline EDSS score for patients with baseline score of ≤ 5.5, or ≥ 0.5 when the baseline score is &gt; 5.5; Kaplan-Meier estimates at week 120</w:t>
      </w:r>
    </w:p>
    <w:p w:rsidR="00FC11F3" w:rsidRDefault="00FC11F3" w:rsidP="009C2282">
      <w:r w:rsidRPr="00FC11F3">
        <w:rPr>
          <w:vertAlign w:val="superscript"/>
        </w:rPr>
        <w:t>2</w:t>
      </w:r>
      <w:r>
        <w:t xml:space="preserve"> As the proportion of patients experiencing a CDP event remained below 50% until the end of the controlled treatment period in study WA25046, median times are not estimable</w:t>
      </w:r>
    </w:p>
    <w:p w:rsidR="007E7451" w:rsidRDefault="007E7451" w:rsidP="009C2282"/>
    <w:p w:rsidR="007E7451" w:rsidRDefault="007E7451" w:rsidP="00170234">
      <w:pPr>
        <w:pageBreakBefore/>
      </w:pPr>
      <w:r w:rsidRPr="005452A1">
        <w:rPr>
          <w:b/>
        </w:rPr>
        <w:lastRenderedPageBreak/>
        <w:t xml:space="preserve">Figure </w:t>
      </w:r>
      <w:r>
        <w:rPr>
          <w:b/>
        </w:rPr>
        <w:t>2</w:t>
      </w:r>
      <w:r w:rsidRPr="005452A1">
        <w:rPr>
          <w:b/>
        </w:rPr>
        <w:t xml:space="preserve"> Kaplan-Meier plot of time to onset of confirmed disability progression sustained for at least 12 weeks with the initial event of neurological worsening occurring during the double</w:t>
      </w:r>
      <w:r>
        <w:rPr>
          <w:b/>
        </w:rPr>
        <w:t>-blind treatment period (</w:t>
      </w:r>
      <w:r w:rsidRPr="005452A1">
        <w:rPr>
          <w:b/>
        </w:rPr>
        <w:t>ITT population)*</w:t>
      </w:r>
    </w:p>
    <w:p w:rsidR="007E7451" w:rsidRPr="007E7451" w:rsidRDefault="00C14E82" w:rsidP="007E7451">
      <w:pPr>
        <w:jc w:val="left"/>
        <w:rPr>
          <w:rFonts w:eastAsia="MS Mincho" w:cs="Arial"/>
          <w:szCs w:val="24"/>
          <w:lang w:eastAsia="en-US"/>
        </w:rPr>
      </w:pPr>
      <w:r>
        <w:rPr>
          <w:rFonts w:eastAsia="MS Mincho" w:cs="Arial"/>
          <w:noProof/>
          <w:sz w:val="22"/>
          <w:lang w:eastAsia="en-AU"/>
        </w:rPr>
        <mc:AlternateContent>
          <mc:Choice Requires="wps">
            <w:drawing>
              <wp:anchor distT="0" distB="0" distL="114300" distR="114300" simplePos="0" relativeHeight="251657728" behindDoc="0" locked="0" layoutInCell="1" allowOverlap="1">
                <wp:simplePos x="0" y="0"/>
                <wp:positionH relativeFrom="column">
                  <wp:posOffset>3277870</wp:posOffset>
                </wp:positionH>
                <wp:positionV relativeFrom="paragraph">
                  <wp:posOffset>1880235</wp:posOffset>
                </wp:positionV>
                <wp:extent cx="2152650" cy="558800"/>
                <wp:effectExtent l="0" t="0" r="0" b="0"/>
                <wp:wrapNone/>
                <wp:docPr id="7"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558800"/>
                        </a:xfrm>
                        <a:prstGeom prst="roundRect">
                          <a:avLst/>
                        </a:prstGeom>
                        <a:noFill/>
                        <a:ln w="25400" cap="flat" cmpd="sng" algn="ctr">
                          <a:noFill/>
                          <a:prstDash val="solid"/>
                        </a:ln>
                        <a:effectLst/>
                      </wps:spPr>
                      <wps:txbx>
                        <w:txbxContent>
                          <w:p w:rsidR="0019352B" w:rsidRPr="00626363" w:rsidRDefault="0019352B" w:rsidP="0019352B">
                            <w:pPr>
                              <w:pStyle w:val="NormalWeb"/>
                              <w:spacing w:before="0" w:beforeAutospacing="0" w:after="0"/>
                              <w:jc w:val="center"/>
                              <w:rPr>
                                <w:color w:val="auto"/>
                                <w:sz w:val="16"/>
                                <w:szCs w:val="16"/>
                              </w:rPr>
                            </w:pPr>
                            <w:r w:rsidRPr="00626363">
                              <w:rPr>
                                <w:rFonts w:ascii="Century Gothic" w:eastAsia="+mn-ea" w:hAnsi="Century Gothic" w:cs="+mn-cs"/>
                                <w:b/>
                                <w:bCs/>
                                <w:color w:val="auto"/>
                                <w:kern w:val="24"/>
                                <w:sz w:val="16"/>
                                <w:szCs w:val="16"/>
                                <w:lang w:val="en-US"/>
                              </w:rPr>
                              <w:t>24% reduction in risk of CDP</w:t>
                            </w:r>
                          </w:p>
                          <w:p w:rsidR="0019352B" w:rsidRPr="00626363" w:rsidRDefault="0019352B" w:rsidP="0019352B">
                            <w:pPr>
                              <w:pStyle w:val="NormalWeb"/>
                              <w:spacing w:before="0" w:beforeAutospacing="0" w:after="0"/>
                              <w:jc w:val="center"/>
                              <w:rPr>
                                <w:rFonts w:ascii="Century Gothic" w:eastAsia="+mn-ea" w:hAnsi="Century Gothic" w:cs="+mn-cs"/>
                                <w:b/>
                                <w:bCs/>
                                <w:color w:val="auto"/>
                                <w:kern w:val="24"/>
                                <w:lang w:val="en-US"/>
                              </w:rPr>
                            </w:pPr>
                            <w:r w:rsidRPr="00626363">
                              <w:rPr>
                                <w:rFonts w:ascii="Century Gothic" w:eastAsia="+mn-ea" w:hAnsi="Century Gothic" w:cs="+mn-cs"/>
                                <w:b/>
                                <w:bCs/>
                                <w:color w:val="auto"/>
                                <w:kern w:val="24"/>
                                <w:sz w:val="16"/>
                                <w:szCs w:val="16"/>
                                <w:lang w:val="en-US"/>
                              </w:rPr>
                              <w:t>HR (95% CI): 0.76 (0.59, 0.98);</w:t>
                            </w:r>
                            <w:r w:rsidRPr="00626363">
                              <w:rPr>
                                <w:rFonts w:ascii="Century Gothic" w:eastAsia="+mn-ea" w:hAnsi="Century Gothic" w:cs="+mn-cs"/>
                                <w:b/>
                                <w:bCs/>
                                <w:color w:val="auto"/>
                                <w:kern w:val="24"/>
                                <w:lang w:val="en-US"/>
                              </w:rPr>
                              <w:t xml:space="preserve"> </w:t>
                            </w:r>
                          </w:p>
                          <w:p w:rsidR="0019352B" w:rsidRPr="00626363" w:rsidRDefault="0019352B" w:rsidP="0019352B">
                            <w:pPr>
                              <w:pStyle w:val="NormalWeb"/>
                              <w:spacing w:before="0" w:beforeAutospacing="0" w:after="0"/>
                              <w:jc w:val="center"/>
                              <w:rPr>
                                <w:color w:val="auto"/>
                              </w:rPr>
                            </w:pPr>
                            <w:r w:rsidRPr="00626363">
                              <w:rPr>
                                <w:rFonts w:ascii="Century Gothic" w:eastAsia="+mn-ea" w:hAnsi="Century Gothic" w:cs="+mn-cs"/>
                                <w:b/>
                                <w:bCs/>
                                <w:color w:val="auto"/>
                                <w:kern w:val="24"/>
                                <w:sz w:val="16"/>
                                <w:szCs w:val="16"/>
                                <w:lang w:val="en-US"/>
                              </w:rPr>
                              <w:t>p=0.0321</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_x0000_s1052" style="position:absolute;margin-left:258.1pt;margin-top:148.05pt;width:169.5pt;height: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" filled="f" stroked="f" strokeweight="2pt">
                <v:path arrowok="t"/>
                <v:textbox>
                  <w:txbxContent>
                    <w:p w:rsidR="0019352B" w:rsidRPr="00626363" w:rsidRDefault="0019352B" w:rsidP="0019352B">
                      <w:pPr>
                        <w:pStyle w:val="NormalWeb"/>
                        <w:spacing w:before="0" w:beforeAutospacing="0" w:after="0"/>
                        <w:jc w:val="center"/>
                        <w:rPr>
                          <w:color w:val="auto"/>
                          <w:sz w:val="16"/>
                          <w:szCs w:val="16"/>
                        </w:rPr>
                      </w:pPr>
                      <w:r w:rsidRPr="00626363">
                        <w:rPr>
                          <w:rFonts w:ascii="Century Gothic" w:eastAsia="+mn-ea" w:hAnsi="Century Gothic" w:cs="+mn-cs"/>
                          <w:b/>
                          <w:bCs/>
                          <w:color w:val="auto"/>
                          <w:kern w:val="24"/>
                          <w:sz w:val="16"/>
                          <w:szCs w:val="16"/>
                          <w:lang w:val="en-US"/>
                        </w:rPr>
                        <w:t>24% reduction in risk of CDP</w:t>
                      </w:r>
                    </w:p>
                    <w:p w:rsidR="0019352B" w:rsidRPr="00626363" w:rsidRDefault="0019352B" w:rsidP="0019352B">
                      <w:pPr>
                        <w:pStyle w:val="NormalWeb"/>
                        <w:spacing w:before="0" w:beforeAutospacing="0" w:after="0"/>
                        <w:jc w:val="center"/>
                        <w:rPr>
                          <w:rFonts w:ascii="Century Gothic" w:eastAsia="+mn-ea" w:hAnsi="Century Gothic" w:cs="+mn-cs"/>
                          <w:b/>
                          <w:bCs/>
                          <w:color w:val="auto"/>
                          <w:kern w:val="24"/>
                          <w:lang w:val="en-US"/>
                        </w:rPr>
                      </w:pPr>
                      <w:r w:rsidRPr="00626363">
                        <w:rPr>
                          <w:rFonts w:ascii="Century Gothic" w:eastAsia="+mn-ea" w:hAnsi="Century Gothic" w:cs="+mn-cs"/>
                          <w:b/>
                          <w:bCs/>
                          <w:color w:val="auto"/>
                          <w:kern w:val="24"/>
                          <w:sz w:val="16"/>
                          <w:szCs w:val="16"/>
                          <w:lang w:val="en-US"/>
                        </w:rPr>
                        <w:t>HR (95% CI): 0.76 (0.59, 0.98);</w:t>
                      </w:r>
                      <w:r w:rsidRPr="00626363">
                        <w:rPr>
                          <w:rFonts w:ascii="Century Gothic" w:eastAsia="+mn-ea" w:hAnsi="Century Gothic" w:cs="+mn-cs"/>
                          <w:b/>
                          <w:bCs/>
                          <w:color w:val="auto"/>
                          <w:kern w:val="24"/>
                          <w:lang w:val="en-US"/>
                        </w:rPr>
                        <w:t xml:space="preserve"> </w:t>
                      </w:r>
                    </w:p>
                    <w:p w:rsidR="0019352B" w:rsidRPr="00626363" w:rsidRDefault="0019352B" w:rsidP="0019352B">
                      <w:pPr>
                        <w:pStyle w:val="NormalWeb"/>
                        <w:spacing w:before="0" w:beforeAutospacing="0" w:after="0"/>
                        <w:jc w:val="center"/>
                        <w:rPr>
                          <w:color w:val="auto"/>
                        </w:rPr>
                      </w:pPr>
                      <w:r w:rsidRPr="00626363">
                        <w:rPr>
                          <w:rFonts w:ascii="Century Gothic" w:eastAsia="+mn-ea" w:hAnsi="Century Gothic" w:cs="+mn-cs"/>
                          <w:b/>
                          <w:bCs/>
                          <w:color w:val="auto"/>
                          <w:kern w:val="24"/>
                          <w:sz w:val="16"/>
                          <w:szCs w:val="16"/>
                          <w:lang w:val="en-US"/>
                        </w:rPr>
                        <w:t>p=0.0321</w:t>
                      </w:r>
                    </w:p>
                  </w:txbxContent>
                </v:textbox>
              </v:roundrect>
            </w:pict>
          </mc:Fallback>
        </mc:AlternateContent>
      </w:r>
      <w:r w:rsidR="007E7451" w:rsidRPr="008B0C90">
        <w:rPr>
          <w:rFonts w:eastAsia="MS Mincho" w:cs="Arial"/>
          <w:sz w:val="22"/>
          <w:lang w:eastAsia="en-US"/>
        </w:rPr>
        <w:object w:dxaOrig="1992"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92.75pt" o:ole="">
            <v:imagedata r:id="rId13" o:title=""/>
          </v:shape>
          <o:OLEObject Type="Embed" ProgID="PBrush" ShapeID="_x0000_i1025" DrawAspect="Content" ObjectID="_1597732388" r:id="rId14"/>
        </w:object>
      </w:r>
    </w:p>
    <w:p w:rsidR="006365ED" w:rsidRDefault="007E7451" w:rsidP="007E7451">
      <w:r w:rsidRPr="005452A1">
        <w:t>*</w:t>
      </w:r>
      <w:r>
        <w:t xml:space="preserve">All patients in this </w:t>
      </w:r>
      <w:r w:rsidRPr="005452A1">
        <w:t>analysis</w:t>
      </w:r>
      <w:r>
        <w:t xml:space="preserve"> had a minimum of 120 weeks of follow-up. The primary analysis is based on all events </w:t>
      </w:r>
      <w:proofErr w:type="spellStart"/>
      <w:r>
        <w:t>accurred</w:t>
      </w:r>
      <w:proofErr w:type="spellEnd"/>
    </w:p>
    <w:p w:rsidR="00440EF9" w:rsidRDefault="00440EF9" w:rsidP="007E7451"/>
    <w:p w:rsidR="00440EF9" w:rsidRDefault="00440EF9" w:rsidP="007E7451">
      <w:r>
        <w:t xml:space="preserve">A post-hoc analysis suggested that patients who are 50 years of age or </w:t>
      </w:r>
      <w:proofErr w:type="gramStart"/>
      <w:r>
        <w:t>below,</w:t>
      </w:r>
      <w:proofErr w:type="gramEnd"/>
      <w:r>
        <w:t xml:space="preserve"> or patients who have inflammation determined by MRI (</w:t>
      </w:r>
      <w:proofErr w:type="spellStart"/>
      <w:r>
        <w:t>Gd</w:t>
      </w:r>
      <w:proofErr w:type="spellEnd"/>
      <w:r>
        <w:t xml:space="preserve"> </w:t>
      </w:r>
      <w:proofErr w:type="spellStart"/>
      <w:r>
        <w:t>enchancing</w:t>
      </w:r>
      <w:proofErr w:type="spellEnd"/>
      <w:r>
        <w:t xml:space="preserve"> or T2 lesion) may receive a greater treatment benefit than patients who are over 50 years of age or patients who do not have inflammation by MRI.</w:t>
      </w:r>
    </w:p>
    <w:p w:rsidR="006365ED" w:rsidRDefault="006365ED" w:rsidP="009313C0">
      <w:pPr>
        <w:pStyle w:val="Heading2"/>
        <w:numPr>
          <w:ilvl w:val="0"/>
          <w:numId w:val="0"/>
        </w:numPr>
      </w:pPr>
      <w:r>
        <w:t>Immunogenicity</w:t>
      </w:r>
    </w:p>
    <w:p w:rsidR="006365ED" w:rsidRDefault="006365ED" w:rsidP="006365ED">
      <w:r>
        <w:t xml:space="preserve">Patients in the MS trials (WA21092, WA21093 and WA25046) were tested at multiple time points (baseline and every 6 months post treatment for the duration of the trial) for anti-drug antibodies (ADAs). Out of 1311 patients treated with </w:t>
      </w:r>
      <w:proofErr w:type="spellStart"/>
      <w:r w:rsidRPr="004D18F3">
        <w:t>ocrelizumab</w:t>
      </w:r>
      <w:proofErr w:type="spellEnd"/>
      <w:r>
        <w:t>, 12 (~1%) tested positive for treatment-emergent ADAs, of which two patients tested positive for neutralising antibodies. The impact of treatment-emergent ADAs on safety and efficacy cannot be assessed given the low incidence of ADA associated with OCREVUS.</w:t>
      </w:r>
    </w:p>
    <w:p w:rsidR="006365ED" w:rsidRDefault="006365ED" w:rsidP="006365ED"/>
    <w:p w:rsidR="006365ED" w:rsidRPr="006365ED" w:rsidRDefault="006365ED" w:rsidP="006365ED">
      <w:r w:rsidRPr="006365ED">
        <w:t>Immunogenicity data are highly dependent on the sensitivity and specificity of the test methods used. Additionally, the observed incidence of a positive result in a test method may be influenced by several factors, including sample handling, timing of sample collection, drug interference, concomitant medication and th</w:t>
      </w:r>
      <w:r w:rsidR="00E61C46">
        <w:t>e underlying disease. Therefore</w:t>
      </w:r>
      <w:r w:rsidRPr="006365ED">
        <w:t xml:space="preserve"> comparison of the incidence of antibodies to OCREVUS with the incidence of antibodies to other products may be misleading.</w:t>
      </w:r>
    </w:p>
    <w:p w:rsidR="00D844B2" w:rsidRPr="002E6328" w:rsidRDefault="00D844B2" w:rsidP="00170234">
      <w:pPr>
        <w:pStyle w:val="Heading1"/>
        <w:pageBreakBefore/>
        <w:numPr>
          <w:ilvl w:val="0"/>
          <w:numId w:val="0"/>
        </w:numPr>
        <w:jc w:val="both"/>
      </w:pPr>
      <w:r w:rsidRPr="002E6328">
        <w:lastRenderedPageBreak/>
        <w:t>Indications</w:t>
      </w:r>
    </w:p>
    <w:p w:rsidR="000E4C61" w:rsidRPr="002E6328" w:rsidRDefault="002E6328" w:rsidP="003B57FD">
      <w:r w:rsidRPr="002E6328">
        <w:t xml:space="preserve">OCREVUS is indicated for the treatment of </w:t>
      </w:r>
      <w:r w:rsidR="001264B9">
        <w:t xml:space="preserve">patients with </w:t>
      </w:r>
      <w:r w:rsidRPr="002E6328">
        <w:t xml:space="preserve">relapsing forms of multiple sclerosis (RMS) to </w:t>
      </w:r>
      <w:r w:rsidR="00BB540B">
        <w:t xml:space="preserve">delay the progression of physical disability and to reduce the </w:t>
      </w:r>
      <w:r w:rsidR="00745B7F">
        <w:t>frequency of relapse</w:t>
      </w:r>
      <w:r w:rsidRPr="002E6328">
        <w:t>.</w:t>
      </w:r>
    </w:p>
    <w:p w:rsidR="002E6328" w:rsidRPr="002E6328" w:rsidRDefault="002E6328" w:rsidP="003B57FD"/>
    <w:p w:rsidR="002E6328" w:rsidRPr="00AA1835" w:rsidRDefault="002E6328" w:rsidP="003B57FD">
      <w:r w:rsidRPr="002E6328">
        <w:t xml:space="preserve">OCREVUS is indicated for the treatment of patients with primary progressive multiple sclerosis (PPMS) to delay </w:t>
      </w:r>
      <w:r w:rsidR="00745B7F">
        <w:t>the progression of physical disability</w:t>
      </w:r>
      <w:r w:rsidRPr="00AA1835">
        <w:t xml:space="preserve">. </w:t>
      </w:r>
    </w:p>
    <w:p w:rsidR="00D844B2" w:rsidRPr="00AA1835" w:rsidRDefault="00D844B2" w:rsidP="009313C0">
      <w:pPr>
        <w:pStyle w:val="Heading1"/>
        <w:numPr>
          <w:ilvl w:val="0"/>
          <w:numId w:val="0"/>
        </w:numPr>
        <w:jc w:val="both"/>
      </w:pPr>
      <w:r w:rsidRPr="00AA1835">
        <w:t>Contraindications</w:t>
      </w:r>
    </w:p>
    <w:p w:rsidR="000B64CB" w:rsidRPr="00AA1835" w:rsidRDefault="00AA1835" w:rsidP="000B64CB">
      <w:pPr>
        <w:pStyle w:val="TextTi12"/>
        <w:rPr>
          <w:rFonts w:cs="Arial"/>
          <w:lang w:eastAsia="ko-KR" w:bidi="he-IL"/>
        </w:rPr>
      </w:pPr>
      <w:r w:rsidRPr="00AA1835">
        <w:rPr>
          <w:rFonts w:cs="Arial"/>
          <w:iCs/>
        </w:rPr>
        <w:t>OCREVUS</w:t>
      </w:r>
      <w:r w:rsidR="000B64CB" w:rsidRPr="00AA1835">
        <w:rPr>
          <w:rFonts w:cs="Arial"/>
          <w:iCs/>
        </w:rPr>
        <w:t xml:space="preserve"> </w:t>
      </w:r>
      <w:r w:rsidR="000B64CB" w:rsidRPr="00AA1835">
        <w:rPr>
          <w:rFonts w:cs="Arial"/>
          <w:lang w:eastAsia="ko-KR" w:bidi="he-IL"/>
        </w:rPr>
        <w:t xml:space="preserve">is contraindicated in patients with a known hypersensitivity to </w:t>
      </w:r>
      <w:proofErr w:type="spellStart"/>
      <w:r w:rsidR="000B64CB" w:rsidRPr="004D18F3">
        <w:rPr>
          <w:rFonts w:cs="Arial"/>
          <w:lang w:eastAsia="ko-KR" w:bidi="he-IL"/>
        </w:rPr>
        <w:t>o</w:t>
      </w:r>
      <w:r w:rsidRPr="004D18F3">
        <w:rPr>
          <w:rFonts w:cs="Arial"/>
          <w:lang w:eastAsia="ko-KR" w:bidi="he-IL"/>
        </w:rPr>
        <w:t>crelizumab</w:t>
      </w:r>
      <w:proofErr w:type="spellEnd"/>
      <w:r w:rsidRPr="00AA1835">
        <w:rPr>
          <w:rFonts w:cs="Arial"/>
          <w:i/>
          <w:lang w:eastAsia="ko-KR" w:bidi="he-IL"/>
        </w:rPr>
        <w:t xml:space="preserve"> </w:t>
      </w:r>
      <w:r w:rsidR="000B64CB" w:rsidRPr="00AA1835">
        <w:rPr>
          <w:rFonts w:cs="Arial"/>
          <w:lang w:eastAsia="ko-KR" w:bidi="he-IL"/>
        </w:rPr>
        <w:t>or any of the excipients</w:t>
      </w:r>
      <w:r w:rsidR="000B64CB" w:rsidRPr="00AA1835">
        <w:rPr>
          <w:rStyle w:val="NormalArialChar"/>
          <w:rFonts w:cs="Arial"/>
        </w:rPr>
        <w:t>.</w:t>
      </w:r>
    </w:p>
    <w:p w:rsidR="00D844B2" w:rsidRPr="00AA1835" w:rsidRDefault="00D844B2" w:rsidP="009313C0">
      <w:pPr>
        <w:pStyle w:val="Heading1"/>
        <w:numPr>
          <w:ilvl w:val="0"/>
          <w:numId w:val="0"/>
        </w:numPr>
        <w:jc w:val="both"/>
      </w:pPr>
      <w:r w:rsidRPr="00AA1835">
        <w:t>Precautions</w:t>
      </w:r>
    </w:p>
    <w:p w:rsidR="00A72BEF" w:rsidRPr="006A3D7F" w:rsidRDefault="00A72BEF" w:rsidP="00A72BEF">
      <w:r w:rsidRPr="00AA1835">
        <w:t xml:space="preserve">In order to improve traceability of biological medicinal products, the trade name </w:t>
      </w:r>
      <w:r w:rsidR="00AA1835" w:rsidRPr="00AA1835">
        <w:t xml:space="preserve">and the batch number </w:t>
      </w:r>
      <w:r w:rsidRPr="00AA1835">
        <w:t>of the administered product should be clearly recorded</w:t>
      </w:r>
      <w:r w:rsidR="006A3D7F">
        <w:t xml:space="preserve"> or stated</w:t>
      </w:r>
      <w:r w:rsidRPr="00AA1835">
        <w:t xml:space="preserve"> in the patient medical record.</w:t>
      </w:r>
    </w:p>
    <w:p w:rsidR="00016089" w:rsidRPr="004A52A0" w:rsidRDefault="00022B28" w:rsidP="009313C0">
      <w:pPr>
        <w:pStyle w:val="Heading2"/>
        <w:numPr>
          <w:ilvl w:val="0"/>
          <w:numId w:val="0"/>
        </w:numPr>
        <w:rPr>
          <w:lang w:val="en-GB"/>
        </w:rPr>
      </w:pPr>
      <w:r w:rsidRPr="004A52A0">
        <w:rPr>
          <w:lang w:val="en-GB"/>
        </w:rPr>
        <w:t>Infusion Related Reactions (IRR</w:t>
      </w:r>
      <w:r w:rsidR="006A3D7F" w:rsidRPr="004A52A0">
        <w:rPr>
          <w:lang w:val="en-GB"/>
        </w:rPr>
        <w:t>s</w:t>
      </w:r>
      <w:r w:rsidRPr="004A52A0">
        <w:rPr>
          <w:lang w:val="en-GB"/>
        </w:rPr>
        <w:t>)</w:t>
      </w:r>
    </w:p>
    <w:p w:rsidR="006A3D7F" w:rsidRPr="004A52A0" w:rsidRDefault="006A3D7F" w:rsidP="00A72BEF">
      <w:pPr>
        <w:rPr>
          <w:lang w:val="en-GB"/>
        </w:rPr>
      </w:pPr>
      <w:r w:rsidRPr="004A52A0">
        <w:rPr>
          <w:lang w:val="en-GB"/>
        </w:rPr>
        <w:t>OCREVUS is associated with IRRs, which may be related to cytokine release and/or other chemical mediators.</w:t>
      </w:r>
    </w:p>
    <w:p w:rsidR="006A3D7F" w:rsidRPr="004A52A0" w:rsidRDefault="006A3D7F" w:rsidP="00A72BEF">
      <w:pPr>
        <w:rPr>
          <w:lang w:val="en-GB"/>
        </w:rPr>
      </w:pPr>
    </w:p>
    <w:p w:rsidR="004A52A0" w:rsidRPr="004A52A0" w:rsidRDefault="004A52A0" w:rsidP="00A72BEF">
      <w:pPr>
        <w:rPr>
          <w:lang w:val="en-GB"/>
        </w:rPr>
      </w:pPr>
      <w:r w:rsidRPr="004A52A0">
        <w:rPr>
          <w:lang w:val="en-GB"/>
        </w:rPr>
        <w:t xml:space="preserve">Symptoms of IRRs may occur during any infusion, but have been more frequently reported during the first infusion. IRRs can occur within 24 hours of the infusion. These reactions may present as pruritus, rash, </w:t>
      </w:r>
      <w:proofErr w:type="spellStart"/>
      <w:r w:rsidRPr="004A52A0">
        <w:rPr>
          <w:lang w:val="en-GB"/>
        </w:rPr>
        <w:t>urticaria</w:t>
      </w:r>
      <w:proofErr w:type="spellEnd"/>
      <w:r w:rsidRPr="004A52A0">
        <w:rPr>
          <w:lang w:val="en-GB"/>
        </w:rPr>
        <w:t>, erythema, throat irritation, oropharyngeal pain, dyspnoea, pharyngeal or laryngeal oedema, flushing, hypotension, pyrexia, fatigue, headache, dizziness, nausea and tachycardia (see ADVERSE EFFECTS). Patients treated with OCREVUS should be observed for at least one hour after the completion of the infusion for any symptom of IRR. Physicians should alert patients that IRRs can occur within 24 hours of infusion.</w:t>
      </w:r>
    </w:p>
    <w:p w:rsidR="004A52A0" w:rsidRPr="004A52A0" w:rsidRDefault="004A52A0" w:rsidP="00A72BEF">
      <w:pPr>
        <w:rPr>
          <w:lang w:val="en-GB"/>
        </w:rPr>
      </w:pPr>
    </w:p>
    <w:p w:rsidR="004A52A0" w:rsidRPr="004A52A0" w:rsidRDefault="004A52A0" w:rsidP="00A72BEF">
      <w:pPr>
        <w:rPr>
          <w:lang w:val="en-GB"/>
        </w:rPr>
      </w:pPr>
      <w:r w:rsidRPr="004A52A0">
        <w:rPr>
          <w:lang w:val="en-GB"/>
        </w:rPr>
        <w:t>A hypersensitivity reaction could also occur (acute allergic reaction to drug). IRRs may be clinically indistinguishable from Type 1 (</w:t>
      </w:r>
      <w:proofErr w:type="spellStart"/>
      <w:r w:rsidRPr="004A52A0">
        <w:rPr>
          <w:lang w:val="en-GB"/>
        </w:rPr>
        <w:t>IgE</w:t>
      </w:r>
      <w:proofErr w:type="spellEnd"/>
      <w:r w:rsidRPr="004A52A0">
        <w:rPr>
          <w:lang w:val="en-GB"/>
        </w:rPr>
        <w:t xml:space="preserve">-mediated) acute hypersensitivity reactions (see </w:t>
      </w:r>
      <w:r w:rsidRPr="004A52A0">
        <w:rPr>
          <w:i/>
          <w:lang w:val="en-GB"/>
        </w:rPr>
        <w:t>Hypersensitivity Reactions</w:t>
      </w:r>
      <w:r w:rsidRPr="004A52A0">
        <w:rPr>
          <w:lang w:val="en-GB"/>
        </w:rPr>
        <w:t>).</w:t>
      </w:r>
    </w:p>
    <w:p w:rsidR="004A52A0" w:rsidRPr="004A52A0" w:rsidRDefault="004A52A0" w:rsidP="00A72BEF">
      <w:pPr>
        <w:rPr>
          <w:lang w:val="en-GB"/>
        </w:rPr>
      </w:pPr>
    </w:p>
    <w:p w:rsidR="004A52A0" w:rsidRDefault="004A52A0" w:rsidP="00A72BEF">
      <w:pPr>
        <w:rPr>
          <w:lang w:val="en-GB"/>
        </w:rPr>
      </w:pPr>
      <w:r w:rsidRPr="004A52A0">
        <w:rPr>
          <w:lang w:val="en-GB"/>
        </w:rPr>
        <w:t>For premedication to reduce the frequency and severity of IRRs see DOSAGE AND ADMINISTRATION.</w:t>
      </w:r>
    </w:p>
    <w:p w:rsidR="004A52A0" w:rsidRDefault="004A52A0" w:rsidP="00A72BEF">
      <w:pPr>
        <w:rPr>
          <w:lang w:val="en-GB"/>
        </w:rPr>
      </w:pPr>
    </w:p>
    <w:p w:rsidR="004A52A0" w:rsidRPr="005A6745" w:rsidRDefault="004A52A0" w:rsidP="00A72BEF">
      <w:pPr>
        <w:rPr>
          <w:i/>
          <w:lang w:val="en-GB"/>
        </w:rPr>
      </w:pPr>
      <w:r w:rsidRPr="005A6745">
        <w:rPr>
          <w:i/>
          <w:lang w:val="en-GB"/>
        </w:rPr>
        <w:t>Managing IRRs</w:t>
      </w:r>
    </w:p>
    <w:p w:rsidR="004A52A0" w:rsidRDefault="004A52A0" w:rsidP="00A72BEF">
      <w:pPr>
        <w:rPr>
          <w:lang w:val="en-GB"/>
        </w:rPr>
      </w:pPr>
      <w:r>
        <w:rPr>
          <w:lang w:val="en-GB"/>
        </w:rPr>
        <w:t xml:space="preserve">For patients experiencing life-threatening, severe or mild to moderate IRR symptoms see </w:t>
      </w:r>
      <w:r w:rsidRPr="004A52A0">
        <w:rPr>
          <w:lang w:val="en-GB"/>
        </w:rPr>
        <w:t>DOSAGE AND ADMINISTRATION</w:t>
      </w:r>
      <w:r>
        <w:rPr>
          <w:lang w:val="en-GB"/>
        </w:rPr>
        <w:t xml:space="preserve"> - </w:t>
      </w:r>
      <w:r w:rsidRPr="004A52A0">
        <w:rPr>
          <w:i/>
          <w:lang w:val="en-GB"/>
        </w:rPr>
        <w:t>Infusion Adjustments during Treatment</w:t>
      </w:r>
      <w:r>
        <w:rPr>
          <w:lang w:val="en-GB"/>
        </w:rPr>
        <w:t>.</w:t>
      </w:r>
    </w:p>
    <w:p w:rsidR="004763E9" w:rsidRDefault="004763E9" w:rsidP="00A72BEF">
      <w:pPr>
        <w:rPr>
          <w:lang w:val="en-GB"/>
        </w:rPr>
      </w:pPr>
    </w:p>
    <w:p w:rsidR="005A6745" w:rsidRDefault="005A6745" w:rsidP="00A72BEF">
      <w:pPr>
        <w:rPr>
          <w:lang w:val="en-GB"/>
        </w:rPr>
      </w:pPr>
      <w:r>
        <w:rPr>
          <w:lang w:val="en-GB"/>
        </w:rPr>
        <w:t>Patients who experience severe pulmonary symptoms, such as bronchospasm or asthma exacerbation, must have their infusion interrupted immediately and permanently. After administering symptomatic treatment, monitor the patient until the pulmonary symptoms have resolved because initial improvement of clinical symptoms could be followed by deterioration.</w:t>
      </w:r>
    </w:p>
    <w:p w:rsidR="005A6745" w:rsidRDefault="005A6745" w:rsidP="00A72BEF">
      <w:pPr>
        <w:rPr>
          <w:lang w:val="en-GB"/>
        </w:rPr>
      </w:pPr>
    </w:p>
    <w:p w:rsidR="005A6745" w:rsidRPr="00537BA9" w:rsidRDefault="00F47000" w:rsidP="00A72BEF">
      <w:pPr>
        <w:rPr>
          <w:lang w:val="en-GB"/>
        </w:rPr>
      </w:pPr>
      <w:r>
        <w:rPr>
          <w:lang w:val="en-GB"/>
        </w:rPr>
        <w:lastRenderedPageBreak/>
        <w:t>Hypotension as a symptom of IRR</w:t>
      </w:r>
      <w:r w:rsidR="005A6745">
        <w:rPr>
          <w:lang w:val="en-GB"/>
        </w:rPr>
        <w:t xml:space="preserve"> may </w:t>
      </w:r>
      <w:r>
        <w:rPr>
          <w:lang w:val="en-GB"/>
        </w:rPr>
        <w:t xml:space="preserve">occur during OCREVUS infusions. </w:t>
      </w:r>
      <w:r w:rsidR="005A6745">
        <w:rPr>
          <w:lang w:val="en-GB"/>
        </w:rPr>
        <w:t>Therefore withholding of antihypertensive treatments should be considered for 12 hours prior to and throughout each OCREVUS infusion. Patients with a history of congestive heart failure (New York Heart Association III &amp; IV) were not studied</w:t>
      </w:r>
      <w:r w:rsidR="009326FD">
        <w:rPr>
          <w:lang w:val="en-GB"/>
        </w:rPr>
        <w:t xml:space="preserve"> in the controlled clinical trials</w:t>
      </w:r>
      <w:r w:rsidR="005A6745">
        <w:rPr>
          <w:lang w:val="en-GB"/>
        </w:rPr>
        <w:t>.</w:t>
      </w:r>
    </w:p>
    <w:p w:rsidR="00022B28" w:rsidRPr="00537BA9" w:rsidRDefault="00022B28" w:rsidP="009313C0">
      <w:pPr>
        <w:pStyle w:val="Heading2"/>
        <w:numPr>
          <w:ilvl w:val="0"/>
          <w:numId w:val="0"/>
        </w:numPr>
        <w:rPr>
          <w:lang w:val="en-GB"/>
        </w:rPr>
      </w:pPr>
      <w:r w:rsidRPr="00537BA9">
        <w:rPr>
          <w:lang w:val="en-GB"/>
        </w:rPr>
        <w:t xml:space="preserve">Hypersensitivity </w:t>
      </w:r>
      <w:r w:rsidR="005A6745" w:rsidRPr="00537BA9">
        <w:rPr>
          <w:lang w:val="en-GB"/>
        </w:rPr>
        <w:t>Reactions</w:t>
      </w:r>
    </w:p>
    <w:p w:rsidR="005A6745" w:rsidRPr="00537BA9" w:rsidRDefault="005A6745" w:rsidP="00022B28">
      <w:pPr>
        <w:rPr>
          <w:lang w:val="en-GB"/>
        </w:rPr>
      </w:pPr>
      <w:r w:rsidRPr="00537BA9">
        <w:rPr>
          <w:lang w:val="en-GB"/>
        </w:rPr>
        <w:t>No h</w:t>
      </w:r>
      <w:r w:rsidR="00E21CD1" w:rsidRPr="00537BA9">
        <w:rPr>
          <w:lang w:val="en-GB"/>
        </w:rPr>
        <w:t xml:space="preserve">ypersensitivity </w:t>
      </w:r>
      <w:r w:rsidRPr="00537BA9">
        <w:rPr>
          <w:lang w:val="en-GB"/>
        </w:rPr>
        <w:t>reactions to OCREVUS were reported in the controlled clinical trials.</w:t>
      </w:r>
    </w:p>
    <w:p w:rsidR="005A6745" w:rsidRPr="00537BA9" w:rsidRDefault="005A6745" w:rsidP="00022B28">
      <w:pPr>
        <w:rPr>
          <w:lang w:val="en-GB"/>
        </w:rPr>
      </w:pPr>
    </w:p>
    <w:p w:rsidR="008E64DB" w:rsidRPr="00537BA9" w:rsidRDefault="00537BA9" w:rsidP="00022B28">
      <w:pPr>
        <w:rPr>
          <w:lang w:val="en-GB"/>
        </w:rPr>
      </w:pPr>
      <w:r w:rsidRPr="00537BA9">
        <w:rPr>
          <w:lang w:val="en-GB"/>
        </w:rPr>
        <w:t xml:space="preserve">Symptoms of a hypersensitivity reaction may be difficult to distinguish from IRRs. A hypersensitivity reaction may present during any infusion, although typically would not present during the first infusion. For subsequent infusions, more severe symptoms than previously experienced, or new severe symptoms, should prompt consideration of a potential </w:t>
      </w:r>
      <w:proofErr w:type="spellStart"/>
      <w:r w:rsidRPr="00537BA9">
        <w:rPr>
          <w:lang w:val="en-GB"/>
        </w:rPr>
        <w:t>hypersensivity</w:t>
      </w:r>
      <w:proofErr w:type="spellEnd"/>
      <w:r w:rsidRPr="00537BA9">
        <w:rPr>
          <w:lang w:val="en-GB"/>
        </w:rPr>
        <w:t xml:space="preserve"> reaction. If a hypersensitivity reaction is suspected during infusion, the infusion must be stopped immediately and permanently. Patients with known </w:t>
      </w:r>
      <w:proofErr w:type="spellStart"/>
      <w:r w:rsidRPr="00537BA9">
        <w:rPr>
          <w:lang w:val="en-GB"/>
        </w:rPr>
        <w:t>IgE</w:t>
      </w:r>
      <w:proofErr w:type="spellEnd"/>
      <w:r w:rsidRPr="00537BA9">
        <w:rPr>
          <w:lang w:val="en-GB"/>
        </w:rPr>
        <w:t xml:space="preserve">-mediated hypersensitivity to </w:t>
      </w:r>
      <w:r w:rsidR="00F47000" w:rsidRPr="00537BA9">
        <w:rPr>
          <w:lang w:val="en-GB"/>
        </w:rPr>
        <w:t>OCREVUS</w:t>
      </w:r>
      <w:r w:rsidRPr="00537BA9">
        <w:rPr>
          <w:lang w:val="en-GB"/>
        </w:rPr>
        <w:t xml:space="preserve"> must not be treated (see CONTRAINDICATIONS).</w:t>
      </w:r>
    </w:p>
    <w:p w:rsidR="00414BFC" w:rsidRPr="00A930E1" w:rsidRDefault="00414BFC" w:rsidP="009313C0">
      <w:pPr>
        <w:pStyle w:val="Heading2"/>
        <w:numPr>
          <w:ilvl w:val="0"/>
          <w:numId w:val="0"/>
        </w:numPr>
        <w:rPr>
          <w:lang w:val="en-GB"/>
        </w:rPr>
      </w:pPr>
      <w:r w:rsidRPr="00A930E1">
        <w:rPr>
          <w:lang w:val="en-GB"/>
        </w:rPr>
        <w:t>Infections</w:t>
      </w:r>
    </w:p>
    <w:p w:rsidR="00414BFC" w:rsidRPr="00A930E1" w:rsidRDefault="00537BA9" w:rsidP="00016089">
      <w:pPr>
        <w:rPr>
          <w:lang w:val="en-GB"/>
        </w:rPr>
      </w:pPr>
      <w:r w:rsidRPr="00A930E1">
        <w:rPr>
          <w:lang w:val="en-GB"/>
        </w:rPr>
        <w:t>Delay OCREVUS administration in patients with an active infection until the infection is resolved.</w:t>
      </w:r>
    </w:p>
    <w:p w:rsidR="00537BA9" w:rsidRPr="00A930E1" w:rsidRDefault="00537BA9" w:rsidP="00016089">
      <w:pPr>
        <w:rPr>
          <w:lang w:val="en-GB"/>
        </w:rPr>
      </w:pPr>
    </w:p>
    <w:p w:rsidR="00537BA9" w:rsidRPr="00A930E1" w:rsidRDefault="00537BA9" w:rsidP="00016089">
      <w:pPr>
        <w:rPr>
          <w:i/>
          <w:lang w:val="en-GB"/>
        </w:rPr>
      </w:pPr>
      <w:r w:rsidRPr="00A930E1">
        <w:rPr>
          <w:i/>
          <w:lang w:val="en-GB"/>
        </w:rPr>
        <w:t>Progressive Multifocal Leukoencephalopathy (PML)</w:t>
      </w:r>
    </w:p>
    <w:p w:rsidR="00745B7F" w:rsidRDefault="00537BA9" w:rsidP="00016089">
      <w:pPr>
        <w:rPr>
          <w:lang w:val="en-GB"/>
        </w:rPr>
      </w:pPr>
      <w:r w:rsidRPr="00A930E1">
        <w:rPr>
          <w:lang w:val="en-GB"/>
        </w:rPr>
        <w:t>No cases of PML were identified in the OCREVUS clinical trials. John Cunningham (JC) virus infection resulting in PML has been observed in patients treated with anti-CD20 antibodies and other MS therapies</w:t>
      </w:r>
      <w:r w:rsidR="004763E9">
        <w:rPr>
          <w:lang w:val="en-GB"/>
        </w:rPr>
        <w:t>, and is</w:t>
      </w:r>
      <w:r w:rsidRPr="00A930E1">
        <w:rPr>
          <w:lang w:val="en-GB"/>
        </w:rPr>
        <w:t xml:space="preserve"> associated with risk factors (e.g. patient population, </w:t>
      </w:r>
      <w:proofErr w:type="spellStart"/>
      <w:r w:rsidRPr="00A930E1">
        <w:rPr>
          <w:lang w:val="en-GB"/>
        </w:rPr>
        <w:t>polytherapy</w:t>
      </w:r>
      <w:proofErr w:type="spellEnd"/>
      <w:r w:rsidRPr="00A930E1">
        <w:rPr>
          <w:lang w:val="en-GB"/>
        </w:rPr>
        <w:t xml:space="preserve"> with </w:t>
      </w:r>
      <w:proofErr w:type="spellStart"/>
      <w:r w:rsidRPr="00A930E1">
        <w:rPr>
          <w:lang w:val="en-GB"/>
        </w:rPr>
        <w:t>immunosuppressants</w:t>
      </w:r>
      <w:proofErr w:type="spellEnd"/>
      <w:r w:rsidRPr="00A930E1">
        <w:rPr>
          <w:lang w:val="en-GB"/>
        </w:rPr>
        <w:t xml:space="preserve">). However </w:t>
      </w:r>
      <w:r w:rsidR="00584AFC">
        <w:rPr>
          <w:lang w:val="en-GB"/>
        </w:rPr>
        <w:t>a</w:t>
      </w:r>
      <w:r w:rsidRPr="00A930E1">
        <w:rPr>
          <w:lang w:val="en-GB"/>
        </w:rPr>
        <w:t xml:space="preserve"> risk of PML cannot be </w:t>
      </w:r>
      <w:r w:rsidR="00AC4D70">
        <w:rPr>
          <w:lang w:val="en-GB"/>
        </w:rPr>
        <w:t xml:space="preserve">ruled out. </w:t>
      </w:r>
    </w:p>
    <w:p w:rsidR="00745B7F" w:rsidRDefault="00745B7F" w:rsidP="00016089">
      <w:pPr>
        <w:rPr>
          <w:lang w:val="en-GB"/>
        </w:rPr>
      </w:pPr>
    </w:p>
    <w:p w:rsidR="00381E78" w:rsidRDefault="00AC4D70" w:rsidP="00016089">
      <w:pPr>
        <w:rPr>
          <w:lang w:val="en-GB"/>
        </w:rPr>
      </w:pPr>
      <w:r>
        <w:rPr>
          <w:lang w:val="en-GB"/>
        </w:rPr>
        <w:t>Physicians should be vigilant</w:t>
      </w:r>
      <w:r w:rsidR="00537BA9" w:rsidRPr="00A930E1">
        <w:rPr>
          <w:lang w:val="en-GB"/>
        </w:rPr>
        <w:t xml:space="preserve"> for </w:t>
      </w:r>
      <w:r w:rsidR="00CD3E74">
        <w:rPr>
          <w:lang w:val="en-GB"/>
        </w:rPr>
        <w:t xml:space="preserve">any new or worsening neurological symptoms or signs suggestive of PML </w:t>
      </w:r>
      <w:r w:rsidR="00A930E1" w:rsidRPr="00A930E1">
        <w:rPr>
          <w:lang w:val="en-GB"/>
        </w:rPr>
        <w:t>as these can be similar to an MS relapse.</w:t>
      </w:r>
      <w:r w:rsidR="00745B7F">
        <w:rPr>
          <w:lang w:val="en-GB"/>
        </w:rPr>
        <w:t xml:space="preserve"> Physicians treating patients should consider PML in the differential diagnosis of patients reporting neurological symptoms and consultation with a neurologist should be considered as clinically indicated.</w:t>
      </w:r>
    </w:p>
    <w:p w:rsidR="00EF64DA" w:rsidRDefault="00EF64DA" w:rsidP="00016089">
      <w:pPr>
        <w:rPr>
          <w:lang w:val="en-GB"/>
        </w:rPr>
      </w:pPr>
    </w:p>
    <w:p w:rsidR="00EF64DA" w:rsidRDefault="00EF64DA" w:rsidP="00016089">
      <w:pPr>
        <w:rPr>
          <w:lang w:val="en-GB"/>
        </w:rPr>
      </w:pPr>
      <w:r>
        <w:rPr>
          <w:lang w:val="en-GB"/>
        </w:rPr>
        <w:t>Physicians should be particularly alert to symptoms suggestive of PML that the patient may not notice (e.g. cognitive, neurological or psychiatric symptoms). If such symptoms occur, further administration of OCREVUS should be immediately suspended until a diagnosis of PML has been excluded. To establish or exclude a diagnosis of PML evaluation including MRI scan, CSF testing for JC viral DNA and repeat neurological assessments, should be considered. Once PML has been excluded, the administration of OCREVUS may resume.</w:t>
      </w:r>
    </w:p>
    <w:p w:rsidR="00EF64DA" w:rsidRDefault="00EF64DA" w:rsidP="00016089">
      <w:pPr>
        <w:rPr>
          <w:lang w:val="en-GB"/>
        </w:rPr>
      </w:pPr>
    </w:p>
    <w:p w:rsidR="00EF64DA" w:rsidRPr="00A930E1" w:rsidRDefault="00EF64DA" w:rsidP="00016089">
      <w:pPr>
        <w:rPr>
          <w:lang w:val="en-GB"/>
        </w:rPr>
      </w:pPr>
      <w:r>
        <w:rPr>
          <w:lang w:val="en-GB"/>
        </w:rPr>
        <w:t>If a diagnosis of PML is confirmed OCREVUS must be permanently discontinued. Patients should also be advised to inform their partner or caregivers about their treatment, since they may notice symptoms that the patient is not aware of.</w:t>
      </w:r>
    </w:p>
    <w:p w:rsidR="00A930E1" w:rsidRPr="00A930E1" w:rsidRDefault="00A930E1" w:rsidP="00016089">
      <w:pPr>
        <w:rPr>
          <w:lang w:val="en-GB"/>
        </w:rPr>
      </w:pPr>
    </w:p>
    <w:p w:rsidR="00A930E1" w:rsidRPr="00A930E1" w:rsidRDefault="00A930E1" w:rsidP="00016089">
      <w:pPr>
        <w:rPr>
          <w:i/>
          <w:lang w:val="en-GB"/>
        </w:rPr>
      </w:pPr>
      <w:r w:rsidRPr="00A930E1">
        <w:rPr>
          <w:i/>
          <w:lang w:val="en-GB"/>
        </w:rPr>
        <w:t>Hepatitis B reactivation</w:t>
      </w:r>
    </w:p>
    <w:p w:rsidR="00A930E1" w:rsidRPr="00B221F8" w:rsidRDefault="00A930E1" w:rsidP="00016089">
      <w:pPr>
        <w:rPr>
          <w:lang w:val="en-GB"/>
        </w:rPr>
      </w:pPr>
      <w:r w:rsidRPr="00B221F8">
        <w:rPr>
          <w:lang w:val="en-GB"/>
        </w:rPr>
        <w:t>There were no reports of Hepatitis B reactivation in MS patients treated with OCREVUS. Hepatitis B virus (HBV) reactivation, in some cases resulting in fulminant hepatitis, hepatic failure and death, has been reported in patients treated with anti-CD20 antibodies.</w:t>
      </w:r>
    </w:p>
    <w:p w:rsidR="00A930E1" w:rsidRPr="00B221F8" w:rsidRDefault="00A930E1" w:rsidP="00537BA9">
      <w:pPr>
        <w:rPr>
          <w:lang w:val="en-GB"/>
        </w:rPr>
      </w:pPr>
    </w:p>
    <w:p w:rsidR="00537BA9" w:rsidRPr="00B221F8" w:rsidRDefault="00A930E1" w:rsidP="00016089">
      <w:pPr>
        <w:rPr>
          <w:lang w:val="en-GB"/>
        </w:rPr>
      </w:pPr>
      <w:r w:rsidRPr="00B221F8">
        <w:rPr>
          <w:lang w:val="en-GB"/>
        </w:rPr>
        <w:lastRenderedPageBreak/>
        <w:t>HBV</w:t>
      </w:r>
      <w:r w:rsidR="00537BA9" w:rsidRPr="00B221F8">
        <w:rPr>
          <w:lang w:val="en-GB"/>
        </w:rPr>
        <w:t xml:space="preserve"> screening should be performed </w:t>
      </w:r>
      <w:r w:rsidRPr="00B221F8">
        <w:rPr>
          <w:lang w:val="en-GB"/>
        </w:rPr>
        <w:t xml:space="preserve">in all patients </w:t>
      </w:r>
      <w:r w:rsidR="00537BA9" w:rsidRPr="00B221F8">
        <w:rPr>
          <w:lang w:val="en-GB"/>
        </w:rPr>
        <w:t xml:space="preserve">before initiation of treatment with </w:t>
      </w:r>
      <w:r w:rsidRPr="00B221F8">
        <w:rPr>
          <w:lang w:val="en-GB"/>
        </w:rPr>
        <w:t>OCREVUS</w:t>
      </w:r>
      <w:r w:rsidR="00537BA9" w:rsidRPr="00B221F8">
        <w:rPr>
          <w:lang w:val="en-GB"/>
        </w:rPr>
        <w:t xml:space="preserve"> as per institutional guidelines. P</w:t>
      </w:r>
      <w:r w:rsidRPr="00B221F8">
        <w:rPr>
          <w:lang w:val="en-GB"/>
        </w:rPr>
        <w:t xml:space="preserve">atients with active HBV (i.e. an active infection confirmed by positive results for </w:t>
      </w:r>
      <w:r w:rsidR="00B221F8">
        <w:rPr>
          <w:lang w:val="en-GB"/>
        </w:rPr>
        <w:t>Hepatitis B surface antigen (</w:t>
      </w:r>
      <w:proofErr w:type="spellStart"/>
      <w:r w:rsidRPr="00B221F8">
        <w:rPr>
          <w:lang w:val="en-GB"/>
        </w:rPr>
        <w:t>HBsAg</w:t>
      </w:r>
      <w:proofErr w:type="spellEnd"/>
      <w:r w:rsidR="00B221F8">
        <w:rPr>
          <w:lang w:val="en-GB"/>
        </w:rPr>
        <w:t>)</w:t>
      </w:r>
      <w:r w:rsidRPr="00B221F8">
        <w:rPr>
          <w:lang w:val="en-GB"/>
        </w:rPr>
        <w:t xml:space="preserve"> and anti-HB testing) </w:t>
      </w:r>
      <w:r w:rsidR="00537BA9" w:rsidRPr="00B221F8">
        <w:rPr>
          <w:lang w:val="en-GB"/>
        </w:rPr>
        <w:t xml:space="preserve">should not be treated with </w:t>
      </w:r>
      <w:r w:rsidRPr="00B221F8">
        <w:rPr>
          <w:lang w:val="en-GB"/>
        </w:rPr>
        <w:t>OCREVUS</w:t>
      </w:r>
      <w:r w:rsidR="00537BA9" w:rsidRPr="00B221F8">
        <w:rPr>
          <w:lang w:val="en-GB"/>
        </w:rPr>
        <w:t xml:space="preserve">. Patients with positive serology </w:t>
      </w:r>
      <w:r w:rsidRPr="00B221F8">
        <w:rPr>
          <w:lang w:val="en-GB"/>
        </w:rPr>
        <w:t xml:space="preserve">(i.e. negative for </w:t>
      </w:r>
      <w:proofErr w:type="spellStart"/>
      <w:r w:rsidRPr="00B221F8">
        <w:rPr>
          <w:lang w:val="en-GB"/>
        </w:rPr>
        <w:t>HBsAg</w:t>
      </w:r>
      <w:proofErr w:type="spellEnd"/>
      <w:r w:rsidRPr="00B221F8">
        <w:rPr>
          <w:lang w:val="en-GB"/>
        </w:rPr>
        <w:t xml:space="preserve"> and positive for HB core antibody (</w:t>
      </w:r>
      <w:proofErr w:type="spellStart"/>
      <w:r w:rsidRPr="00B221F8">
        <w:rPr>
          <w:lang w:val="en-GB"/>
        </w:rPr>
        <w:t>HBcAb</w:t>
      </w:r>
      <w:proofErr w:type="spellEnd"/>
      <w:r w:rsidRPr="00B221F8">
        <w:rPr>
          <w:lang w:val="en-GB"/>
        </w:rPr>
        <w:t>+)</w:t>
      </w:r>
      <w:r w:rsidR="00B221F8">
        <w:rPr>
          <w:lang w:val="en-GB"/>
        </w:rPr>
        <w:t xml:space="preserve">) and </w:t>
      </w:r>
      <w:r w:rsidRPr="00B221F8">
        <w:rPr>
          <w:lang w:val="en-GB"/>
        </w:rPr>
        <w:t>carriers of HBV (positive for surface antigen (</w:t>
      </w:r>
      <w:proofErr w:type="spellStart"/>
      <w:r w:rsidRPr="00B221F8">
        <w:rPr>
          <w:lang w:val="en-GB"/>
        </w:rPr>
        <w:t>HBsAg</w:t>
      </w:r>
      <w:proofErr w:type="spellEnd"/>
      <w:r w:rsidRPr="00B221F8">
        <w:rPr>
          <w:lang w:val="en-GB"/>
        </w:rPr>
        <w:t>+)</w:t>
      </w:r>
      <w:r w:rsidR="00B221F8">
        <w:rPr>
          <w:lang w:val="en-GB"/>
        </w:rPr>
        <w:t>)</w:t>
      </w:r>
      <w:r w:rsidRPr="00B221F8">
        <w:rPr>
          <w:lang w:val="en-GB"/>
        </w:rPr>
        <w:t xml:space="preserve"> shoul</w:t>
      </w:r>
      <w:r w:rsidR="00B221F8" w:rsidRPr="00B221F8">
        <w:rPr>
          <w:lang w:val="en-GB"/>
        </w:rPr>
        <w:t xml:space="preserve">d consult liver disease experts </w:t>
      </w:r>
      <w:r w:rsidR="00537BA9" w:rsidRPr="00B221F8">
        <w:rPr>
          <w:lang w:val="en-GB"/>
        </w:rPr>
        <w:t>before start of treatment and should be monitored and managed according to current clinical practice.</w:t>
      </w:r>
    </w:p>
    <w:p w:rsidR="00385F31" w:rsidRPr="00B221F8" w:rsidRDefault="00B221F8" w:rsidP="009313C0">
      <w:pPr>
        <w:pStyle w:val="Heading2"/>
        <w:numPr>
          <w:ilvl w:val="0"/>
          <w:numId w:val="0"/>
        </w:numPr>
      </w:pPr>
      <w:r w:rsidRPr="00B221F8">
        <w:t xml:space="preserve">Treatment with </w:t>
      </w:r>
      <w:proofErr w:type="spellStart"/>
      <w:r w:rsidRPr="00B221F8">
        <w:t>immunosuppressants</w:t>
      </w:r>
      <w:proofErr w:type="spellEnd"/>
      <w:r w:rsidRPr="00B221F8">
        <w:t xml:space="preserve"> before, during or after OCREVUS</w:t>
      </w:r>
    </w:p>
    <w:p w:rsidR="00CD3E74" w:rsidRPr="004B2412" w:rsidRDefault="00CD3E74" w:rsidP="00CD3E74">
      <w:pPr>
        <w:spacing w:after="120"/>
      </w:pPr>
      <w:r>
        <w:t xml:space="preserve">In other auto-immune conditions, use of OCREVUS concomitantly with immunosuppressive medications (e.g. chronic corticosteroids, non-biologic and biologic disease-modifying </w:t>
      </w:r>
      <w:proofErr w:type="spellStart"/>
      <w:r>
        <w:t>antirheumatic</w:t>
      </w:r>
      <w:proofErr w:type="spellEnd"/>
      <w:r>
        <w:t xml:space="preserve"> drugs [DMARDS], mycophenolate </w:t>
      </w:r>
      <w:proofErr w:type="spellStart"/>
      <w:r>
        <w:t>mofetil</w:t>
      </w:r>
      <w:proofErr w:type="spellEnd"/>
      <w:r>
        <w:t xml:space="preserve">, cyclophosphamide, </w:t>
      </w:r>
      <w:proofErr w:type="gramStart"/>
      <w:r>
        <w:t>azathioprine</w:t>
      </w:r>
      <w:proofErr w:type="gramEnd"/>
      <w:r>
        <w:t xml:space="preserve">) resulted in an increase of serious infections, including opportunistic infections. Infections included and were not limited to atypical pneumonia and pneumocystis </w:t>
      </w:r>
      <w:proofErr w:type="spellStart"/>
      <w:r>
        <w:t>jirovecii</w:t>
      </w:r>
      <w:proofErr w:type="spellEnd"/>
      <w:r>
        <w:t xml:space="preserve"> pneumonia, varicella pneumonia, tuberculosis, histoplasmosis. In rare cases, some of these infections were fatal. Risk factors for serious infections included higher doses of OCREVUS than recommended in MS, other comorbidities, chronic use of </w:t>
      </w:r>
      <w:proofErr w:type="spellStart"/>
      <w:r>
        <w:t>immunosuppressants</w:t>
      </w:r>
      <w:proofErr w:type="spellEnd"/>
      <w:r>
        <w:t>/corticosteroids, and patients from Asia.</w:t>
      </w:r>
    </w:p>
    <w:p w:rsidR="00CD3E74" w:rsidRDefault="00CD3E74" w:rsidP="008A5C8F">
      <w:pPr>
        <w:spacing w:after="120"/>
      </w:pPr>
      <w:r>
        <w:t xml:space="preserve">OCREVUS should not be co-administered with other disease-modifying MS therapies. It is not recommended to use other </w:t>
      </w:r>
      <w:proofErr w:type="spellStart"/>
      <w:r>
        <w:t>immunosuppressives</w:t>
      </w:r>
      <w:proofErr w:type="spellEnd"/>
      <w:r>
        <w:t xml:space="preserve"> concomitantly with OCREVUS except corticosteroids for symptomatic treatment of relapses.</w:t>
      </w:r>
    </w:p>
    <w:p w:rsidR="003B57B4" w:rsidRDefault="00B221F8" w:rsidP="008A5C8F">
      <w:pPr>
        <w:spacing w:after="120"/>
      </w:pPr>
      <w:proofErr w:type="gramStart"/>
      <w:r w:rsidRPr="00B221F8">
        <w:t xml:space="preserve">When initiating OCREVUS after an immunosuppressive therapy or initiating an immunosuppressive therapy after OCREVUS, the potential for overlapping </w:t>
      </w:r>
      <w:proofErr w:type="spellStart"/>
      <w:r w:rsidRPr="00B221F8">
        <w:t>pharmacodynamic</w:t>
      </w:r>
      <w:proofErr w:type="spellEnd"/>
      <w:r w:rsidRPr="00B221F8">
        <w:t xml:space="preserve"> effects should be taken into consideration (see PHARMACOLOGY – </w:t>
      </w:r>
      <w:r w:rsidRPr="00B221F8">
        <w:rPr>
          <w:i/>
        </w:rPr>
        <w:t>Pharmacodynamics</w:t>
      </w:r>
      <w:r w:rsidRPr="00B221F8">
        <w:t>).</w:t>
      </w:r>
      <w:proofErr w:type="gramEnd"/>
      <w:r w:rsidRPr="00B221F8">
        <w:t xml:space="preserve"> Exercise caution when prescribing OCREVUS taking into consideration the pharmacodynamics of other disease-modifying MS therapies. </w:t>
      </w:r>
    </w:p>
    <w:p w:rsidR="00B221F8" w:rsidRPr="004B2412" w:rsidRDefault="004B2412" w:rsidP="009313C0">
      <w:pPr>
        <w:pStyle w:val="Heading2"/>
        <w:numPr>
          <w:ilvl w:val="0"/>
          <w:numId w:val="0"/>
        </w:numPr>
        <w:rPr>
          <w:lang w:val="en-GB"/>
        </w:rPr>
      </w:pPr>
      <w:r w:rsidRPr="004B2412">
        <w:rPr>
          <w:lang w:val="en-GB"/>
        </w:rPr>
        <w:t>Vaccinations</w:t>
      </w:r>
    </w:p>
    <w:p w:rsidR="00B221F8" w:rsidRPr="004B2412" w:rsidRDefault="004B2412" w:rsidP="00B221F8">
      <w:r w:rsidRPr="004B2412">
        <w:rPr>
          <w:lang w:val="en-GB"/>
        </w:rPr>
        <w:t xml:space="preserve">The </w:t>
      </w:r>
      <w:r w:rsidR="00B221F8" w:rsidRPr="004B2412">
        <w:rPr>
          <w:lang w:val="en-GB"/>
        </w:rPr>
        <w:t xml:space="preserve">safety of immunisation with live or </w:t>
      </w:r>
      <w:r w:rsidRPr="004B2412">
        <w:rPr>
          <w:lang w:val="en-GB"/>
        </w:rPr>
        <w:t>live-attenuated viral vaccines following OCREVUS</w:t>
      </w:r>
      <w:r w:rsidR="00B221F8" w:rsidRPr="004B2412">
        <w:rPr>
          <w:lang w:val="en-GB"/>
        </w:rPr>
        <w:t xml:space="preserve"> therapy has not been studied and vaccination with live</w:t>
      </w:r>
      <w:r w:rsidRPr="004B2412">
        <w:rPr>
          <w:lang w:val="en-GB"/>
        </w:rPr>
        <w:t xml:space="preserve"> or live-</w:t>
      </w:r>
      <w:proofErr w:type="spellStart"/>
      <w:r w:rsidRPr="004B2412">
        <w:rPr>
          <w:lang w:val="en-GB"/>
        </w:rPr>
        <w:t>attentuated</w:t>
      </w:r>
      <w:proofErr w:type="spellEnd"/>
      <w:r w:rsidRPr="004B2412">
        <w:rPr>
          <w:lang w:val="en-GB"/>
        </w:rPr>
        <w:t xml:space="preserve"> viral</w:t>
      </w:r>
      <w:r w:rsidR="00B221F8" w:rsidRPr="004B2412">
        <w:rPr>
          <w:lang w:val="en-GB"/>
        </w:rPr>
        <w:t xml:space="preserve"> vaccines is not recommended during tre</w:t>
      </w:r>
      <w:r w:rsidRPr="004B2412">
        <w:rPr>
          <w:lang w:val="en-GB"/>
        </w:rPr>
        <w:t xml:space="preserve">atment and until B-cell repletion </w:t>
      </w:r>
      <w:r w:rsidRPr="004B2412">
        <w:t xml:space="preserve">(see PHARMACOLOGY – </w:t>
      </w:r>
      <w:r w:rsidRPr="004B2412">
        <w:rPr>
          <w:i/>
        </w:rPr>
        <w:t>Pharmacodynamics</w:t>
      </w:r>
      <w:r w:rsidRPr="004B2412">
        <w:t>).</w:t>
      </w:r>
    </w:p>
    <w:p w:rsidR="004B2412" w:rsidRPr="004B2412" w:rsidRDefault="004B2412" w:rsidP="00B221F8"/>
    <w:p w:rsidR="00B221F8" w:rsidRDefault="004B2412" w:rsidP="004B2412">
      <w:r w:rsidRPr="004B2412">
        <w:t xml:space="preserve">After treatment with OCREVUS over 2 years, the proportion of patients with positive antibody titres against </w:t>
      </w:r>
      <w:proofErr w:type="spellStart"/>
      <w:r w:rsidRPr="004B2412">
        <w:rPr>
          <w:i/>
        </w:rPr>
        <w:t>S.pneumoniae</w:t>
      </w:r>
      <w:proofErr w:type="spellEnd"/>
      <w:r w:rsidRPr="004B2412">
        <w:t>, mumps, rubella and varicella were generally similar to the proportions at baseline.</w:t>
      </w:r>
    </w:p>
    <w:p w:rsidR="0005319B" w:rsidRDefault="0005319B" w:rsidP="004B2412"/>
    <w:p w:rsidR="0005319B" w:rsidRPr="007D7AA1" w:rsidRDefault="0005319B" w:rsidP="004B2412">
      <w:r>
        <w:t>No data are available on the effects of vaccination in patients receiving OCREVUS. Physicians should review the immunisation status of patients being considered for treatment with OCREVUS. Patients should complete vaccinations at least 6 weeks prior to initiation of OCREVUS.</w:t>
      </w:r>
    </w:p>
    <w:p w:rsidR="003B57B4" w:rsidRDefault="003B57B4" w:rsidP="009313C0">
      <w:pPr>
        <w:pStyle w:val="Heading2"/>
        <w:numPr>
          <w:ilvl w:val="0"/>
          <w:numId w:val="0"/>
        </w:numPr>
      </w:pPr>
      <w:r>
        <w:t>Malignancy</w:t>
      </w:r>
      <w:r w:rsidRPr="007D7AA1">
        <w:t xml:space="preserve"> </w:t>
      </w:r>
    </w:p>
    <w:p w:rsidR="003B57B4" w:rsidRDefault="003B57B4" w:rsidP="003B57B4">
      <w:r>
        <w:t xml:space="preserve">Immunomodulatory drugs may increase the risk of malignancy. </w:t>
      </w:r>
      <w:r w:rsidR="00CD3E74">
        <w:t xml:space="preserve">In controlled trials, malignancies, including breast cancer, occurred more frequently in OCREVUS-treated patients although the incidence was within the background rate expected for an MS </w:t>
      </w:r>
      <w:r w:rsidR="00CD3E74">
        <w:lastRenderedPageBreak/>
        <w:t xml:space="preserve">population. However, </w:t>
      </w:r>
      <w:r>
        <w:t xml:space="preserve">a possible </w:t>
      </w:r>
      <w:r w:rsidR="00CD3E74">
        <w:t xml:space="preserve">increased </w:t>
      </w:r>
      <w:r>
        <w:t>risk</w:t>
      </w:r>
      <w:r w:rsidR="00CD3E74">
        <w:t xml:space="preserve"> of malignancy cannot be excluded. Patients should follow standard cancer screening guidelines.</w:t>
      </w:r>
    </w:p>
    <w:p w:rsidR="00385F31" w:rsidRPr="007D7AA1" w:rsidRDefault="00385F31" w:rsidP="00170234">
      <w:pPr>
        <w:pStyle w:val="Heading2"/>
        <w:pageBreakBefore/>
        <w:numPr>
          <w:ilvl w:val="0"/>
          <w:numId w:val="0"/>
        </w:numPr>
      </w:pPr>
      <w:r w:rsidRPr="007D7AA1">
        <w:lastRenderedPageBreak/>
        <w:t xml:space="preserve">Use in </w:t>
      </w:r>
      <w:r w:rsidR="007D7AA1" w:rsidRPr="007D7AA1">
        <w:t>renal</w:t>
      </w:r>
      <w:r w:rsidRPr="007D7AA1">
        <w:t xml:space="preserve"> impairment</w:t>
      </w:r>
    </w:p>
    <w:p w:rsidR="005657AA" w:rsidRPr="007D7AA1" w:rsidRDefault="00995C08" w:rsidP="00385F31">
      <w:pPr>
        <w:spacing w:after="120"/>
      </w:pPr>
      <w:r w:rsidRPr="007D7AA1">
        <w:t xml:space="preserve">The safety and efficacy of </w:t>
      </w:r>
      <w:r w:rsidR="007D7AA1" w:rsidRPr="007D7AA1">
        <w:t>OCREVUS</w:t>
      </w:r>
      <w:r w:rsidRPr="007D7AA1">
        <w:t xml:space="preserve"> in patients with </w:t>
      </w:r>
      <w:r w:rsidR="007D7AA1" w:rsidRPr="007D7AA1">
        <w:t xml:space="preserve">renal </w:t>
      </w:r>
      <w:r w:rsidRPr="007D7AA1">
        <w:t>impairment have not been</w:t>
      </w:r>
      <w:r w:rsidR="007D7AA1" w:rsidRPr="007D7AA1">
        <w:t xml:space="preserve"> formally studied</w:t>
      </w:r>
      <w:r w:rsidRPr="007D7AA1">
        <w:t>.</w:t>
      </w:r>
      <w:r w:rsidR="007D7AA1" w:rsidRPr="007D7AA1">
        <w:t xml:space="preserve"> Patients with mild renal impairment were included in clinical trials. OCREVUS is a monoclonal antibody and cleared via catabolism rather than renal excretion, and a change in dose is not expected to be required for patients with renal impairment (see PHARMACOLOGY – Pharmacokinetics in Special Populations).</w:t>
      </w:r>
    </w:p>
    <w:p w:rsidR="007D7AA1" w:rsidRPr="007D7AA1" w:rsidRDefault="007D7AA1" w:rsidP="009313C0">
      <w:pPr>
        <w:pStyle w:val="Heading2"/>
        <w:numPr>
          <w:ilvl w:val="0"/>
          <w:numId w:val="0"/>
        </w:numPr>
      </w:pPr>
      <w:r w:rsidRPr="007D7AA1">
        <w:t>Use in hepatic impairment</w:t>
      </w:r>
    </w:p>
    <w:p w:rsidR="007D7AA1" w:rsidRPr="00AE38AC" w:rsidRDefault="007D7AA1" w:rsidP="00385F31">
      <w:pPr>
        <w:spacing w:after="120"/>
        <w:rPr>
          <w:rFonts w:eastAsia="Times New Roman"/>
          <w:color w:val="FF0000"/>
          <w:szCs w:val="24"/>
          <w:lang w:val="en" w:eastAsia="en-AU"/>
        </w:rPr>
      </w:pPr>
      <w:r w:rsidRPr="007D7AA1">
        <w:t>The safety and efficacy of OCREVUS in patients with hepatic impairment have not been formally studied. Patients with mild hepatic impairment were included</w:t>
      </w:r>
      <w:r>
        <w:t xml:space="preserve"> in clinical trials. </w:t>
      </w:r>
      <w:r w:rsidRPr="007D7AA1">
        <w:t xml:space="preserve">OCREVUS is a monoclonal antibody and cleared via catabolism rather than </w:t>
      </w:r>
      <w:r>
        <w:t>hepatic metabolism</w:t>
      </w:r>
      <w:r w:rsidRPr="007D7AA1">
        <w:t xml:space="preserve">, and a change in dose is not expected to be required for patients with </w:t>
      </w:r>
      <w:r>
        <w:t>hepatic</w:t>
      </w:r>
      <w:r w:rsidRPr="007D7AA1">
        <w:t xml:space="preserve"> impairment (see PHARMACOLOGY – Pharmacokinetics in Special Populations).</w:t>
      </w:r>
    </w:p>
    <w:p w:rsidR="00D844B2" w:rsidRPr="00F24C33" w:rsidRDefault="00F13C7E" w:rsidP="009313C0">
      <w:pPr>
        <w:pStyle w:val="Heading2"/>
        <w:numPr>
          <w:ilvl w:val="0"/>
          <w:numId w:val="0"/>
        </w:numPr>
      </w:pPr>
      <w:r w:rsidRPr="00F24C33">
        <w:t>Effects on fertility</w:t>
      </w:r>
    </w:p>
    <w:p w:rsidR="00385F31" w:rsidRPr="00F24C33" w:rsidRDefault="00F24C33" w:rsidP="008A6DAC">
      <w:pPr>
        <w:spacing w:after="120"/>
      </w:pPr>
      <w:r w:rsidRPr="00F24C33">
        <w:t xml:space="preserve">Preclinical data reveal no special hazards for humans based on studies of male and female fertility in </w:t>
      </w:r>
      <w:proofErr w:type="spellStart"/>
      <w:r w:rsidR="008A6DAC" w:rsidRPr="00F24C33">
        <w:t>cynomolgus</w:t>
      </w:r>
      <w:proofErr w:type="spellEnd"/>
      <w:r w:rsidR="008A6DAC" w:rsidRPr="00F24C33">
        <w:t xml:space="preserve"> monkeys.</w:t>
      </w:r>
      <w:r w:rsidR="00781F03">
        <w:t xml:space="preserve"> </w:t>
      </w:r>
      <w:r w:rsidR="00781F03" w:rsidRPr="00781F03">
        <w:t xml:space="preserve">No impact on male or female fertility as assessed by fertility indices was detected in male and female </w:t>
      </w:r>
      <w:proofErr w:type="spellStart"/>
      <w:r w:rsidR="00781F03" w:rsidRPr="00781F03">
        <w:t>cynomolgus</w:t>
      </w:r>
      <w:proofErr w:type="spellEnd"/>
      <w:r w:rsidR="00781F03" w:rsidRPr="00781F03">
        <w:t xml:space="preserve"> monkeys in which </w:t>
      </w:r>
      <w:r w:rsidR="00781F03">
        <w:t>OCREVUS</w:t>
      </w:r>
      <w:r w:rsidR="00781F03" w:rsidRPr="00781F03">
        <w:t xml:space="preserve"> was administered intravenously at weekly doses of up to 100 mg/kg. Exposure (based on serum AUC) in these studies was up to at least 150 times that expected in patients at the recommended clinical dose.</w:t>
      </w:r>
    </w:p>
    <w:p w:rsidR="00D844B2" w:rsidRPr="00F24C33" w:rsidRDefault="00385F31" w:rsidP="009313C0">
      <w:pPr>
        <w:pStyle w:val="Heading2"/>
        <w:numPr>
          <w:ilvl w:val="0"/>
          <w:numId w:val="0"/>
        </w:numPr>
      </w:pPr>
      <w:r w:rsidRPr="00F24C33">
        <w:t>Use in p</w:t>
      </w:r>
      <w:r w:rsidR="00D844B2" w:rsidRPr="00F24C33">
        <w:t>regnancy</w:t>
      </w:r>
      <w:r w:rsidR="00AF3B7A" w:rsidRPr="00F24C33">
        <w:t xml:space="preserve"> – Category C</w:t>
      </w:r>
    </w:p>
    <w:p w:rsidR="00882E30" w:rsidRDefault="00F24C33" w:rsidP="00ED68A3">
      <w:r w:rsidRPr="00F24C33">
        <w:t>OCREVUS</w:t>
      </w:r>
      <w:r w:rsidR="00882E30" w:rsidRPr="00F24C33">
        <w:t xml:space="preserve"> should be avoided during pregnancy unless the potential benefit to the mother outweighs the potential risk to the foetus. </w:t>
      </w:r>
      <w:r>
        <w:t xml:space="preserve">OCREVUS is a humanised monoclonal antibody and immunoglobulins are known to cross the placental barrier. </w:t>
      </w:r>
      <w:r w:rsidR="00882E30" w:rsidRPr="00F24C33">
        <w:t xml:space="preserve">Women of child bearing potential should use effective contraception while receiving </w:t>
      </w:r>
      <w:r w:rsidRPr="00F24C33">
        <w:t>OCREVUS</w:t>
      </w:r>
      <w:r w:rsidR="00882E30" w:rsidRPr="00F24C33">
        <w:t xml:space="preserve"> and for </w:t>
      </w:r>
      <w:r w:rsidRPr="00F24C33">
        <w:t>6 months after the last infusion (see PHARMACOLOG</w:t>
      </w:r>
      <w:r w:rsidR="0014724E">
        <w:t xml:space="preserve">Y - </w:t>
      </w:r>
      <w:r w:rsidR="00882E30" w:rsidRPr="00F24C33">
        <w:t>Excretion).</w:t>
      </w:r>
    </w:p>
    <w:p w:rsidR="00C81404" w:rsidRDefault="00C81404" w:rsidP="00ED68A3"/>
    <w:p w:rsidR="00C81404" w:rsidRPr="00047222" w:rsidRDefault="00C81404" w:rsidP="00ED68A3">
      <w:r>
        <w:t xml:space="preserve">B-cell levels in human neonates following maternal exposure to OCREVUS have not been studied in clinical trials. There are no adequate and well-controlled data from studies in pregnant </w:t>
      </w:r>
      <w:proofErr w:type="gramStart"/>
      <w:r>
        <w:t>women,</w:t>
      </w:r>
      <w:proofErr w:type="gramEnd"/>
      <w:r>
        <w:t xml:space="preserve"> however transient peripheral B-cell depletion and </w:t>
      </w:r>
      <w:proofErr w:type="spellStart"/>
      <w:r>
        <w:t>lymphocytopenia</w:t>
      </w:r>
      <w:proofErr w:type="spellEnd"/>
      <w:r>
        <w:t xml:space="preserve"> have been reported in infants born to mothers exposed to other anti-CD20 antibodies during pregnancy.</w:t>
      </w:r>
    </w:p>
    <w:p w:rsidR="00514921" w:rsidRPr="00047222" w:rsidRDefault="00514921" w:rsidP="00ED68A3"/>
    <w:p w:rsidR="00C3680E" w:rsidRDefault="00C81404" w:rsidP="00C3680E">
      <w:r w:rsidRPr="00047222">
        <w:t xml:space="preserve">It is not known whether OCREVUS can cause harm to the foetus when administered to pregnant women or whether it affects reproductive capacity. In an embryo-foetal developmental study in </w:t>
      </w:r>
      <w:proofErr w:type="spellStart"/>
      <w:r w:rsidRPr="00047222">
        <w:t>cynomolgus</w:t>
      </w:r>
      <w:proofErr w:type="spellEnd"/>
      <w:r w:rsidRPr="00047222">
        <w:t xml:space="preserve"> monkeys, there was no evidence of maternal toxicity, teratogenicity or </w:t>
      </w:r>
      <w:proofErr w:type="spellStart"/>
      <w:r w:rsidRPr="00047222">
        <w:t>embryotoxicity</w:t>
      </w:r>
      <w:proofErr w:type="spellEnd"/>
      <w:r w:rsidRPr="00047222">
        <w:t xml:space="preserve"> following </w:t>
      </w:r>
      <w:r w:rsidR="00806D39">
        <w:t xml:space="preserve">weekly intravenous </w:t>
      </w:r>
      <w:proofErr w:type="spellStart"/>
      <w:r w:rsidR="00806D39">
        <w:t>ocrelizumab</w:t>
      </w:r>
      <w:proofErr w:type="spellEnd"/>
      <w:r w:rsidR="00806D39">
        <w:t xml:space="preserve"> </w:t>
      </w:r>
      <w:r w:rsidRPr="00047222">
        <w:t>administration at</w:t>
      </w:r>
      <w:r w:rsidR="00806D39">
        <w:t xml:space="preserve"> doses up to</w:t>
      </w:r>
      <w:r w:rsidRPr="00047222">
        <w:t xml:space="preserve"> </w:t>
      </w:r>
      <w:r w:rsidR="00047222" w:rsidRPr="00047222">
        <w:t>100 mg/kg (</w:t>
      </w:r>
      <w:r w:rsidR="00806D39">
        <w:t>at least 200 times the anticipated exposure, based on serum AUC, than in patients at the recommended clinical dose</w:t>
      </w:r>
      <w:r w:rsidRPr="00047222">
        <w:t xml:space="preserve">). IgG molecules are known to cross the placental barrier </w:t>
      </w:r>
      <w:r w:rsidR="00806D39">
        <w:t xml:space="preserve">and </w:t>
      </w:r>
      <w:proofErr w:type="spellStart"/>
      <w:r w:rsidR="00806D39">
        <w:t>ocrelizumab</w:t>
      </w:r>
      <w:proofErr w:type="spellEnd"/>
      <w:r w:rsidRPr="00047222">
        <w:t xml:space="preserve"> causes depletion of B-cells in the foetuses of treated </w:t>
      </w:r>
      <w:proofErr w:type="spellStart"/>
      <w:r w:rsidRPr="00047222">
        <w:t>cynomolgus</w:t>
      </w:r>
      <w:proofErr w:type="spellEnd"/>
      <w:r w:rsidRPr="00047222">
        <w:t xml:space="preserve"> monkeys.</w:t>
      </w:r>
    </w:p>
    <w:p w:rsidR="00C3680E" w:rsidRDefault="00C3680E" w:rsidP="00C3680E"/>
    <w:p w:rsidR="00385F31" w:rsidRPr="0014724E" w:rsidRDefault="00047222" w:rsidP="00385F31">
      <w:pPr>
        <w:spacing w:after="120"/>
      </w:pPr>
      <w:r w:rsidRPr="0014724E">
        <w:t xml:space="preserve">In a pre- and post-natal development study in </w:t>
      </w:r>
      <w:proofErr w:type="spellStart"/>
      <w:r w:rsidRPr="0014724E">
        <w:t>cynomolgus</w:t>
      </w:r>
      <w:proofErr w:type="spellEnd"/>
      <w:r w:rsidRPr="0014724E">
        <w:t xml:space="preserve"> monkeys, </w:t>
      </w:r>
      <w:r w:rsidR="00806D39">
        <w:t xml:space="preserve">weekly intravenous </w:t>
      </w:r>
      <w:r w:rsidRPr="0014724E">
        <w:t xml:space="preserve">administration of </w:t>
      </w:r>
      <w:proofErr w:type="spellStart"/>
      <w:r w:rsidR="00806D39">
        <w:t>ocrelizumab</w:t>
      </w:r>
      <w:proofErr w:type="spellEnd"/>
      <w:r w:rsidR="00806D39">
        <w:t xml:space="preserve"> at </w:t>
      </w:r>
      <w:r w:rsidRPr="0014724E">
        <w:t>20 and 100 mg/kg</w:t>
      </w:r>
      <w:r w:rsidR="00806D39">
        <w:t xml:space="preserve"> (associated with respective exposures at </w:t>
      </w:r>
      <w:r w:rsidR="00806D39">
        <w:lastRenderedPageBreak/>
        <w:t>least 40 and 175 times the clinical exposure, based on serum AUC)</w:t>
      </w:r>
      <w:r w:rsidRPr="0014724E">
        <w:t xml:space="preserve"> </w:t>
      </w:r>
      <w:r w:rsidR="00806D39">
        <w:t>was</w:t>
      </w:r>
      <w:r w:rsidRPr="0014724E">
        <w:t xml:space="preserve"> associated with </w:t>
      </w:r>
      <w:proofErr w:type="spellStart"/>
      <w:r w:rsidRPr="0014724E">
        <w:t>glomerulopathy</w:t>
      </w:r>
      <w:proofErr w:type="spellEnd"/>
      <w:r w:rsidRPr="0014724E">
        <w:t xml:space="preserve"> (7/24 </w:t>
      </w:r>
      <w:r w:rsidR="00806D39">
        <w:t>neonates</w:t>
      </w:r>
      <w:r w:rsidRPr="0014724E">
        <w:t xml:space="preserve">), and </w:t>
      </w:r>
      <w:proofErr w:type="spellStart"/>
      <w:r w:rsidRPr="0014724E">
        <w:t>lymphoplasmacytic</w:t>
      </w:r>
      <w:proofErr w:type="spellEnd"/>
      <w:r w:rsidRPr="0014724E">
        <w:t xml:space="preserve"> inflammation in the kidney (2/24 </w:t>
      </w:r>
      <w:r w:rsidR="00806D39">
        <w:t>neonates</w:t>
      </w:r>
      <w:r w:rsidRPr="0014724E">
        <w:t xml:space="preserve">). Testicular weights of the neonates were significantly reduced in the 100 mg/kg group compared </w:t>
      </w:r>
      <w:r w:rsidR="00C3680E">
        <w:t>with controls</w:t>
      </w:r>
      <w:r w:rsidR="00806D39">
        <w:t>, although relationship to treatment is uncertain</w:t>
      </w:r>
      <w:r w:rsidR="00C3680E">
        <w:t>. There were two cas</w:t>
      </w:r>
      <w:r w:rsidRPr="0014724E">
        <w:t xml:space="preserve">es of </w:t>
      </w:r>
      <w:proofErr w:type="spellStart"/>
      <w:r w:rsidRPr="0014724E">
        <w:t>moribundity</w:t>
      </w:r>
      <w:proofErr w:type="spellEnd"/>
      <w:r w:rsidRPr="0014724E">
        <w:t xml:space="preserve"> (2/24)</w:t>
      </w:r>
      <w:r w:rsidR="00806D39">
        <w:t xml:space="preserve"> at 100 mg/kg</w:t>
      </w:r>
      <w:r w:rsidRPr="0014724E">
        <w:t xml:space="preserve">, one attributed to weakness due to premature birth accompanied by opportunistic infection and the other to an infective meningoencephalitis involving the cerebellum of the offspring from a maternal dam with an active infection (mastitis). The course of both neonatal infections could have potentially been impacted by B-cell depletion. Newborn offspring of maternal animals exposed to OCREVUS were noted to have depleted B-cell populations during the post-natal phase. </w:t>
      </w:r>
    </w:p>
    <w:p w:rsidR="00D844B2" w:rsidRPr="0014724E" w:rsidRDefault="00D844B2" w:rsidP="009313C0">
      <w:pPr>
        <w:pStyle w:val="Heading2"/>
        <w:numPr>
          <w:ilvl w:val="0"/>
          <w:numId w:val="0"/>
        </w:numPr>
      </w:pPr>
      <w:r w:rsidRPr="0014724E">
        <w:t>Use in lactation</w:t>
      </w:r>
    </w:p>
    <w:p w:rsidR="00385F31" w:rsidRDefault="00C11534" w:rsidP="00C3680E">
      <w:r w:rsidRPr="0014724E">
        <w:t xml:space="preserve">As human IgG is excreted in human milk and the potential for </w:t>
      </w:r>
      <w:r w:rsidR="00C3680E" w:rsidRPr="00C3680E">
        <w:t>OCREVUS</w:t>
      </w:r>
      <w:r w:rsidR="0014724E" w:rsidRPr="00C3680E">
        <w:t xml:space="preserve"> </w:t>
      </w:r>
      <w:r w:rsidRPr="0014724E">
        <w:t xml:space="preserve">absorption </w:t>
      </w:r>
      <w:r w:rsidR="0014724E" w:rsidRPr="0014724E">
        <w:t>leading to B-cell depletion is unknown</w:t>
      </w:r>
      <w:r w:rsidRPr="0014724E">
        <w:t xml:space="preserve">, women should be advised to discontinue breast-feeding during </w:t>
      </w:r>
      <w:r w:rsidR="0014724E" w:rsidRPr="0014724E">
        <w:t>OCREVUS</w:t>
      </w:r>
      <w:r w:rsidRPr="0014724E">
        <w:t xml:space="preserve"> therap</w:t>
      </w:r>
      <w:r w:rsidR="0014724E" w:rsidRPr="0014724E">
        <w:t xml:space="preserve">y. </w:t>
      </w:r>
      <w:r w:rsidRPr="0014724E">
        <w:t xml:space="preserve">Animal studies have shown excretion of </w:t>
      </w:r>
      <w:r w:rsidR="00C3680E" w:rsidRPr="00C3680E">
        <w:t>OCREVUS</w:t>
      </w:r>
      <w:r w:rsidRPr="00C3680E">
        <w:t xml:space="preserve"> i</w:t>
      </w:r>
      <w:r w:rsidRPr="0014724E">
        <w:t>n breast milk.</w:t>
      </w:r>
      <w:r w:rsidR="00FE30E8">
        <w:t xml:space="preserve"> Measurable levels of </w:t>
      </w:r>
      <w:proofErr w:type="spellStart"/>
      <w:r w:rsidR="00FE30E8">
        <w:t>ocrelizumab</w:t>
      </w:r>
      <w:proofErr w:type="spellEnd"/>
      <w:r w:rsidR="00FE30E8">
        <w:t xml:space="preserve"> were detected in the milk of monkeys (approximately 0.2% of steady state trough serum levels) during the lactation period.</w:t>
      </w:r>
    </w:p>
    <w:p w:rsidR="00C3680E" w:rsidRPr="0014724E" w:rsidRDefault="00C3680E" w:rsidP="00C3680E"/>
    <w:p w:rsidR="00626363" w:rsidRPr="007D7AA1" w:rsidRDefault="0014724E" w:rsidP="00385F31">
      <w:pPr>
        <w:spacing w:after="120"/>
      </w:pPr>
      <w:r w:rsidRPr="0014724E">
        <w:t>It is unknown whether OCREVUS is excreted in human breast milk or has any effect on the breast-fed child and on milk production.</w:t>
      </w:r>
    </w:p>
    <w:p w:rsidR="00D844B2" w:rsidRPr="007D7AA1" w:rsidRDefault="00D844B2" w:rsidP="009313C0">
      <w:pPr>
        <w:pStyle w:val="Heading2"/>
        <w:numPr>
          <w:ilvl w:val="0"/>
          <w:numId w:val="0"/>
        </w:numPr>
      </w:pPr>
      <w:r w:rsidRPr="007D7AA1">
        <w:t>Paediatric use</w:t>
      </w:r>
    </w:p>
    <w:p w:rsidR="00385F31" w:rsidRPr="007D7AA1" w:rsidRDefault="00C11534" w:rsidP="00385F31">
      <w:pPr>
        <w:spacing w:after="120"/>
      </w:pPr>
      <w:r w:rsidRPr="007D7AA1">
        <w:t xml:space="preserve">The safety and efficacy of </w:t>
      </w:r>
      <w:r w:rsidR="007D7AA1" w:rsidRPr="007D7AA1">
        <w:t>OCREVUS</w:t>
      </w:r>
      <w:r w:rsidRPr="007D7AA1">
        <w:t xml:space="preserve"> in children </w:t>
      </w:r>
      <w:r w:rsidR="007D7AA1" w:rsidRPr="007D7AA1">
        <w:t>and adolescents (&lt;</w:t>
      </w:r>
      <w:r w:rsidRPr="007D7AA1">
        <w:t xml:space="preserve"> 18 years of age</w:t>
      </w:r>
      <w:r w:rsidR="007D7AA1" w:rsidRPr="007D7AA1">
        <w:t>)</w:t>
      </w:r>
      <w:r w:rsidRPr="007D7AA1">
        <w:t xml:space="preserve"> have not been </w:t>
      </w:r>
      <w:r w:rsidR="007D7AA1" w:rsidRPr="007D7AA1">
        <w:t>studied</w:t>
      </w:r>
      <w:r w:rsidRPr="007D7AA1">
        <w:t>.</w:t>
      </w:r>
    </w:p>
    <w:p w:rsidR="00D844B2" w:rsidRPr="007D7AA1" w:rsidRDefault="00D844B2" w:rsidP="009313C0">
      <w:pPr>
        <w:pStyle w:val="Heading2"/>
        <w:numPr>
          <w:ilvl w:val="0"/>
          <w:numId w:val="0"/>
        </w:numPr>
      </w:pPr>
      <w:r w:rsidRPr="007D7AA1">
        <w:t>Use in the elderly</w:t>
      </w:r>
    </w:p>
    <w:p w:rsidR="00385F31" w:rsidRPr="007D7AA1" w:rsidRDefault="007D7AA1" w:rsidP="00385F31">
      <w:pPr>
        <w:spacing w:after="120"/>
      </w:pPr>
      <w:r w:rsidRPr="007D7AA1">
        <w:t xml:space="preserve">The safety and efficacy of OCREVUS in patients </w:t>
      </w:r>
      <w:r w:rsidR="00CD3E74">
        <w:t>&gt; 55</w:t>
      </w:r>
      <w:r w:rsidR="00C11534" w:rsidRPr="007D7AA1">
        <w:t xml:space="preserve"> years of age </w:t>
      </w:r>
      <w:r w:rsidRPr="007D7AA1">
        <w:t xml:space="preserve">have not been </w:t>
      </w:r>
      <w:r w:rsidR="00CD3E74">
        <w:t>established</w:t>
      </w:r>
      <w:r w:rsidRPr="007D7AA1">
        <w:t>.</w:t>
      </w:r>
    </w:p>
    <w:p w:rsidR="00D844B2" w:rsidRPr="00EE5A09" w:rsidRDefault="00D844B2" w:rsidP="009313C0">
      <w:pPr>
        <w:pStyle w:val="Heading2"/>
        <w:numPr>
          <w:ilvl w:val="0"/>
          <w:numId w:val="0"/>
        </w:numPr>
      </w:pPr>
      <w:r w:rsidRPr="00EE5A09">
        <w:t>Genotoxicity</w:t>
      </w:r>
    </w:p>
    <w:p w:rsidR="00385F31" w:rsidRPr="00EE5A09" w:rsidRDefault="00BA034B" w:rsidP="00385F31">
      <w:pPr>
        <w:spacing w:after="120"/>
      </w:pPr>
      <w:r w:rsidRPr="00BA034B">
        <w:t xml:space="preserve">Genotoxicity studies have not been conducted with </w:t>
      </w:r>
      <w:r>
        <w:t>OCREVUS</w:t>
      </w:r>
      <w:r w:rsidRPr="00BA034B">
        <w:t xml:space="preserve">. As </w:t>
      </w:r>
      <w:proofErr w:type="spellStart"/>
      <w:r w:rsidRPr="00BA034B">
        <w:t>ocrelizumab</w:t>
      </w:r>
      <w:proofErr w:type="spellEnd"/>
      <w:r w:rsidRPr="00BA034B">
        <w:t xml:space="preserve"> is a monoclonal antibody it would not be expected to have genotoxic potential.</w:t>
      </w:r>
    </w:p>
    <w:p w:rsidR="00D844B2" w:rsidRPr="00EE5A09" w:rsidRDefault="00D844B2" w:rsidP="009313C0">
      <w:pPr>
        <w:pStyle w:val="Heading2"/>
        <w:numPr>
          <w:ilvl w:val="0"/>
          <w:numId w:val="0"/>
        </w:numPr>
      </w:pPr>
      <w:r w:rsidRPr="00EE5A09">
        <w:t>Carcinogenicity</w:t>
      </w:r>
    </w:p>
    <w:p w:rsidR="00385F31" w:rsidRPr="00EE5A09" w:rsidRDefault="00BA034B" w:rsidP="00F951E5">
      <w:pPr>
        <w:spacing w:after="120"/>
      </w:pPr>
      <w:r>
        <w:t>Carcinogenicity studies with OCREVUS have not been conducted.</w:t>
      </w:r>
    </w:p>
    <w:p w:rsidR="00D844B2" w:rsidRPr="005641EF" w:rsidRDefault="00D844B2" w:rsidP="009313C0">
      <w:pPr>
        <w:pStyle w:val="Heading2"/>
        <w:numPr>
          <w:ilvl w:val="0"/>
          <w:numId w:val="0"/>
        </w:numPr>
      </w:pPr>
      <w:r w:rsidRPr="005641EF">
        <w:t>Effect on laboratory tests</w:t>
      </w:r>
    </w:p>
    <w:p w:rsidR="00385F31" w:rsidRPr="005641EF" w:rsidRDefault="005641EF" w:rsidP="00385F31">
      <w:pPr>
        <w:spacing w:after="120"/>
      </w:pPr>
      <w:r w:rsidRPr="005641EF">
        <w:t>See ADVERSE EFFECTS.</w:t>
      </w:r>
    </w:p>
    <w:p w:rsidR="00C11534" w:rsidRPr="005641EF" w:rsidRDefault="00C11534" w:rsidP="009313C0">
      <w:pPr>
        <w:pStyle w:val="Heading2"/>
        <w:numPr>
          <w:ilvl w:val="0"/>
          <w:numId w:val="0"/>
        </w:numPr>
      </w:pPr>
      <w:r w:rsidRPr="005641EF">
        <w:t>Ability to Drive and Use Machines</w:t>
      </w:r>
    </w:p>
    <w:p w:rsidR="00C11534" w:rsidRDefault="00C11534" w:rsidP="00C11534">
      <w:pPr>
        <w:spacing w:after="120"/>
      </w:pPr>
      <w:r w:rsidRPr="0005319B">
        <w:t xml:space="preserve">No studies on the effects of </w:t>
      </w:r>
      <w:r w:rsidR="0005319B" w:rsidRPr="0005319B">
        <w:t>OCREVUS</w:t>
      </w:r>
      <w:r w:rsidRPr="0005319B">
        <w:t xml:space="preserve"> on the ability to drive and to use machines have been performed. </w:t>
      </w:r>
      <w:r w:rsidR="0005319B" w:rsidRPr="0005319B">
        <w:t>The pharmacological activity and adverse events reported to date do not indicate such an effect is likely</w:t>
      </w:r>
      <w:r w:rsidRPr="0005319B">
        <w:t>.</w:t>
      </w:r>
    </w:p>
    <w:p w:rsidR="00EE5A09" w:rsidRPr="005641EF" w:rsidRDefault="00EE5A09" w:rsidP="009313C0">
      <w:pPr>
        <w:pStyle w:val="Heading2"/>
        <w:numPr>
          <w:ilvl w:val="0"/>
          <w:numId w:val="0"/>
        </w:numPr>
      </w:pPr>
      <w:r>
        <w:t>Other</w:t>
      </w:r>
    </w:p>
    <w:p w:rsidR="00EE5A09" w:rsidRPr="00F24C33" w:rsidRDefault="00EE5A09" w:rsidP="00EE5A09">
      <w:pPr>
        <w:spacing w:after="120"/>
      </w:pPr>
      <w:r>
        <w:t>Preclinical data reveal no special hazards for humans based on conventional studies of safety pharmacology, acute and repeated dose toxicity.</w:t>
      </w:r>
    </w:p>
    <w:p w:rsidR="00D844B2" w:rsidRPr="00F24C33" w:rsidRDefault="00D844B2" w:rsidP="00170234">
      <w:pPr>
        <w:pStyle w:val="Heading1"/>
        <w:pageBreakBefore/>
        <w:numPr>
          <w:ilvl w:val="0"/>
          <w:numId w:val="0"/>
        </w:numPr>
      </w:pPr>
      <w:r w:rsidRPr="00F24C33">
        <w:lastRenderedPageBreak/>
        <w:t>Interactions with other medicines</w:t>
      </w:r>
    </w:p>
    <w:p w:rsidR="007577C1" w:rsidRPr="007D7AA1" w:rsidRDefault="00C11534" w:rsidP="007577C1">
      <w:pPr>
        <w:rPr>
          <w:i/>
        </w:rPr>
      </w:pPr>
      <w:r w:rsidRPr="00F24C33">
        <w:t xml:space="preserve">No </w:t>
      </w:r>
      <w:r w:rsidR="00F24C33" w:rsidRPr="00F24C33">
        <w:t xml:space="preserve">formal </w:t>
      </w:r>
      <w:r w:rsidRPr="00F24C33">
        <w:t>drug interaction studies have been performed</w:t>
      </w:r>
      <w:r w:rsidR="00F24C33" w:rsidRPr="00F24C33">
        <w:t xml:space="preserve"> as </w:t>
      </w:r>
      <w:proofErr w:type="gramStart"/>
      <w:r w:rsidR="00F24C33" w:rsidRPr="00F24C33">
        <w:t>no</w:t>
      </w:r>
      <w:proofErr w:type="gramEnd"/>
      <w:r w:rsidR="00F24C33" w:rsidRPr="00F24C33">
        <w:t xml:space="preserve"> drug interactions are expected via CYP and other metabolising enzymes or transporters.</w:t>
      </w:r>
    </w:p>
    <w:p w:rsidR="00D844B2" w:rsidRPr="007D7AA1" w:rsidRDefault="00D844B2" w:rsidP="009313C0">
      <w:pPr>
        <w:pStyle w:val="Heading1"/>
        <w:numPr>
          <w:ilvl w:val="0"/>
          <w:numId w:val="0"/>
        </w:numPr>
      </w:pPr>
      <w:r w:rsidRPr="007D7AA1">
        <w:t>Adverse effects</w:t>
      </w:r>
    </w:p>
    <w:p w:rsidR="007D7AA1" w:rsidRDefault="004A4A8E" w:rsidP="00760A93">
      <w:r w:rsidRPr="007D7AA1">
        <w:t xml:space="preserve">The </w:t>
      </w:r>
      <w:r w:rsidR="007D7AA1" w:rsidRPr="007D7AA1">
        <w:t xml:space="preserve">safety of OCREVUS has been established in 1311 patients across MS clinical studies, which includes 825 patients in active-controlled </w:t>
      </w:r>
      <w:r w:rsidR="007D7AA1">
        <w:t xml:space="preserve">RMS </w:t>
      </w:r>
      <w:r w:rsidR="007D7AA1" w:rsidRPr="007D7AA1">
        <w:t xml:space="preserve">clinical trials and 486 patients in a placebo-controlled </w:t>
      </w:r>
      <w:r w:rsidR="00363216">
        <w:t xml:space="preserve">PPMS </w:t>
      </w:r>
      <w:r w:rsidR="007D7AA1" w:rsidRPr="007D7AA1">
        <w:t xml:space="preserve">trial. Table </w:t>
      </w:r>
      <w:r w:rsidR="001536A3">
        <w:t>5</w:t>
      </w:r>
      <w:r w:rsidR="007D7AA1" w:rsidRPr="007D7AA1">
        <w:t xml:space="preserve"> summarises </w:t>
      </w:r>
      <w:proofErr w:type="gramStart"/>
      <w:r w:rsidR="007D7AA1" w:rsidRPr="007D7AA1">
        <w:t xml:space="preserve">the  </w:t>
      </w:r>
      <w:r w:rsidRPr="007D7AA1">
        <w:t>adverse</w:t>
      </w:r>
      <w:proofErr w:type="gramEnd"/>
      <w:r w:rsidRPr="007D7AA1">
        <w:t xml:space="preserve"> drug reactions (ADRs) </w:t>
      </w:r>
      <w:r w:rsidR="007D7AA1" w:rsidRPr="007D7AA1">
        <w:t>that have been reported in association with the use of OCREVUS in clinical trials. The most frequently reported ADRs were IRRs and respiratory tract infections.</w:t>
      </w:r>
    </w:p>
    <w:p w:rsidR="00363216" w:rsidRDefault="00363216" w:rsidP="00760A93"/>
    <w:p w:rsidR="00363216" w:rsidRPr="00363216" w:rsidRDefault="001536A3" w:rsidP="00760A93">
      <w:pPr>
        <w:rPr>
          <w:i/>
        </w:rPr>
      </w:pPr>
      <w:r>
        <w:rPr>
          <w:i/>
        </w:rPr>
        <w:t>R</w:t>
      </w:r>
      <w:r w:rsidR="00363216" w:rsidRPr="00363216">
        <w:rPr>
          <w:i/>
        </w:rPr>
        <w:t>MS</w:t>
      </w:r>
    </w:p>
    <w:p w:rsidR="00626363" w:rsidRPr="007D7AA1" w:rsidRDefault="00363216" w:rsidP="00760A93">
      <w:r>
        <w:t xml:space="preserve">The ADRs described in this section were identified based on data from two identical active-controlled studies (WA21092 and WA21093) evaluating the efficacy and safety of OCREVUS in adults with </w:t>
      </w:r>
      <w:r w:rsidR="001536A3">
        <w:t>R</w:t>
      </w:r>
      <w:r>
        <w:t xml:space="preserve">MS. In the two studies, patients (n=825) were given OCREVUS 600 mg, every 6 months (with the first dose administered as two 300 mg IV infusions separated by two weeks and all subsequent doses as a single, 600 mg infusion), or interferon beta-1a (IFN) 44 mcg (n=826) </w:t>
      </w:r>
      <w:proofErr w:type="spellStart"/>
      <w:r>
        <w:t>s</w:t>
      </w:r>
      <w:r w:rsidR="004D18F3">
        <w:t>.c.</w:t>
      </w:r>
      <w:proofErr w:type="spellEnd"/>
      <w:r w:rsidR="004D18F3">
        <w:t xml:space="preserve"> </w:t>
      </w:r>
      <w:r>
        <w:t>three times per week. The controlled period of the study was 96</w:t>
      </w:r>
      <w:r w:rsidR="00D7164F">
        <w:t xml:space="preserve"> weeks (four doses of OCREVUS).</w:t>
      </w:r>
    </w:p>
    <w:p w:rsidR="007D7AA1" w:rsidRDefault="007D7AA1" w:rsidP="00760A93">
      <w:pPr>
        <w:rPr>
          <w:color w:val="FF0000"/>
        </w:rPr>
      </w:pPr>
    </w:p>
    <w:p w:rsidR="00363216" w:rsidRDefault="001536A3" w:rsidP="00760A93">
      <w:pPr>
        <w:rPr>
          <w:color w:val="FF0000"/>
        </w:rPr>
      </w:pPr>
      <w:r>
        <w:rPr>
          <w:i/>
        </w:rPr>
        <w:t>PP</w:t>
      </w:r>
      <w:r w:rsidR="00363216" w:rsidRPr="00363216">
        <w:rPr>
          <w:i/>
        </w:rPr>
        <w:t>MS</w:t>
      </w:r>
    </w:p>
    <w:p w:rsidR="00363216" w:rsidRPr="00136852" w:rsidRDefault="00363216" w:rsidP="00760A93">
      <w:r>
        <w:t>The ADRs described in this section were identified based on data from a placebo-controlled study (WA25046) evaluating the efficacy and safety of OCREVUS in adults with PPMS. Patients were given OCREVUS 600 mg (n=486) or placebo (n=239) every 6 months (administered as two 300 mg infusions separated by two weeks during the entire study).</w:t>
      </w:r>
    </w:p>
    <w:p w:rsidR="00363216" w:rsidRPr="00136852" w:rsidRDefault="00363216" w:rsidP="00760A93"/>
    <w:p w:rsidR="001C077E" w:rsidRDefault="00363216" w:rsidP="00760A93">
      <w:r w:rsidRPr="00136852">
        <w:t>Frequencies are defined as very common (</w:t>
      </w:r>
      <w:r w:rsidR="00760A93" w:rsidRPr="00136852">
        <w:t>≥</w:t>
      </w:r>
      <w:r w:rsidRPr="00136852">
        <w:t xml:space="preserve"> 1/10), common (≥ 1/10</w:t>
      </w:r>
      <w:r w:rsidR="00136852" w:rsidRPr="00136852">
        <w:t>0 to &lt; 1/10</w:t>
      </w:r>
      <w:r w:rsidRPr="00136852">
        <w:t>)</w:t>
      </w:r>
      <w:r w:rsidR="00136852" w:rsidRPr="00136852">
        <w:t>, uncommon (≥ 1/1000 to &lt; 1/100), rare (≥ 1/10,000 to &lt; 1/1000) and very rare (&lt; 1/10,000). Adverse reactions are presented in order of decreasing frequency.</w:t>
      </w:r>
    </w:p>
    <w:p w:rsidR="00DD0369" w:rsidRDefault="00DD0369" w:rsidP="00760A93"/>
    <w:p w:rsidR="00DD5C01" w:rsidRPr="00F9462C" w:rsidRDefault="003C47FC" w:rsidP="007577C1">
      <w:pPr>
        <w:rPr>
          <w:rFonts w:cs="Arial"/>
          <w:b/>
          <w:lang w:eastAsia="ko-KR" w:bidi="he-IL"/>
        </w:rPr>
      </w:pPr>
      <w:r w:rsidRPr="00F9462C">
        <w:rPr>
          <w:rFonts w:cs="Arial"/>
          <w:b/>
          <w:lang w:eastAsia="ko-KR" w:bidi="he-IL"/>
        </w:rPr>
        <w:t xml:space="preserve">Table </w:t>
      </w:r>
      <w:r w:rsidR="001536A3">
        <w:rPr>
          <w:rFonts w:cs="Arial"/>
          <w:b/>
          <w:lang w:eastAsia="ko-KR" w:bidi="he-IL"/>
        </w:rPr>
        <w:t xml:space="preserve">5 </w:t>
      </w:r>
      <w:r w:rsidRPr="00F9462C">
        <w:rPr>
          <w:rFonts w:cs="Arial"/>
          <w:b/>
          <w:lang w:eastAsia="ko-KR" w:bidi="he-IL"/>
        </w:rPr>
        <w:t xml:space="preserve">Summary of ADRs </w:t>
      </w:r>
      <w:r w:rsidR="001536A3">
        <w:rPr>
          <w:rFonts w:cs="Arial"/>
          <w:b/>
          <w:lang w:eastAsia="ko-KR" w:bidi="he-IL"/>
        </w:rPr>
        <w:t>associated with OCREVUS (</w:t>
      </w:r>
      <w:r w:rsidR="00DD5C01" w:rsidRPr="00F9462C">
        <w:rPr>
          <w:rFonts w:cs="Arial"/>
          <w:b/>
          <w:lang w:eastAsia="ko-KR" w:bidi="he-IL"/>
        </w:rPr>
        <w:t xml:space="preserve">RMS or PPMS) with an incidence of </w:t>
      </w:r>
      <w:r w:rsidRPr="00F9462C">
        <w:rPr>
          <w:b/>
          <w:lang w:eastAsia="ko-KR" w:bidi="he-IL"/>
        </w:rPr>
        <w:t>≥</w:t>
      </w:r>
      <w:r w:rsidR="00DD5C01" w:rsidRPr="00F9462C">
        <w:rPr>
          <w:rFonts w:cs="Arial"/>
          <w:b/>
          <w:lang w:eastAsia="ko-KR" w:bidi="he-IL"/>
        </w:rPr>
        <w:t xml:space="preserve"> 2% and higher than the comparator</w:t>
      </w:r>
      <w:r w:rsidR="00334F45" w:rsidRPr="00F9462C">
        <w:rPr>
          <w:rFonts w:cs="Arial"/>
          <w:b/>
          <w:vertAlign w:val="superscript"/>
          <w:lang w:eastAsia="ko-KR" w:bidi="he-I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27"/>
        <w:gridCol w:w="1548"/>
        <w:gridCol w:w="1548"/>
        <w:gridCol w:w="1548"/>
        <w:gridCol w:w="1548"/>
      </w:tblGrid>
      <w:tr w:rsidR="00DD5C01" w:rsidRPr="00BD59C2" w:rsidTr="00BD59C2">
        <w:tc>
          <w:tcPr>
            <w:tcW w:w="1668" w:type="dxa"/>
            <w:vMerge w:val="restart"/>
            <w:shd w:val="clear" w:color="auto" w:fill="auto"/>
            <w:vAlign w:val="center"/>
          </w:tcPr>
          <w:p w:rsidR="00DD5C01" w:rsidRPr="00BD59C2" w:rsidRDefault="00DD5C01" w:rsidP="00BD59C2">
            <w:pPr>
              <w:spacing w:before="40" w:after="40"/>
              <w:jc w:val="center"/>
              <w:rPr>
                <w:rFonts w:cs="Arial"/>
                <w:b/>
                <w:sz w:val="22"/>
                <w:lang w:eastAsia="ko-KR" w:bidi="he-IL"/>
              </w:rPr>
            </w:pPr>
            <w:r w:rsidRPr="00BD59C2">
              <w:rPr>
                <w:rFonts w:cs="Arial"/>
                <w:b/>
                <w:sz w:val="22"/>
                <w:lang w:eastAsia="ko-KR" w:bidi="he-IL"/>
              </w:rPr>
              <w:t>ADR (</w:t>
            </w:r>
            <w:proofErr w:type="spellStart"/>
            <w:r w:rsidRPr="00BD59C2">
              <w:rPr>
                <w:rFonts w:cs="Arial"/>
                <w:b/>
                <w:sz w:val="22"/>
                <w:lang w:eastAsia="ko-KR" w:bidi="he-IL"/>
              </w:rPr>
              <w:t>MedDRA</w:t>
            </w:r>
            <w:proofErr w:type="spellEnd"/>
            <w:r w:rsidRPr="00BD59C2">
              <w:rPr>
                <w:rFonts w:cs="Arial"/>
                <w:b/>
                <w:sz w:val="22"/>
                <w:lang w:eastAsia="ko-KR" w:bidi="he-IL"/>
              </w:rPr>
              <w:t>)</w:t>
            </w:r>
          </w:p>
        </w:tc>
        <w:tc>
          <w:tcPr>
            <w:tcW w:w="2975" w:type="dxa"/>
            <w:gridSpan w:val="2"/>
            <w:shd w:val="clear" w:color="auto" w:fill="auto"/>
            <w:vAlign w:val="center"/>
          </w:tcPr>
          <w:p w:rsidR="00DD5C01" w:rsidRPr="00BD59C2" w:rsidRDefault="00DD5C01" w:rsidP="00BD59C2">
            <w:pPr>
              <w:spacing w:before="40" w:after="40"/>
              <w:jc w:val="center"/>
              <w:rPr>
                <w:rFonts w:cs="Arial"/>
                <w:b/>
                <w:sz w:val="22"/>
                <w:lang w:eastAsia="ko-KR" w:bidi="he-IL"/>
              </w:rPr>
            </w:pPr>
            <w:r w:rsidRPr="00BD59C2">
              <w:rPr>
                <w:rFonts w:cs="Arial"/>
                <w:b/>
                <w:sz w:val="22"/>
                <w:lang w:eastAsia="ko-KR" w:bidi="he-IL"/>
              </w:rPr>
              <w:t>RMS Pooled</w:t>
            </w:r>
          </w:p>
          <w:p w:rsidR="00DD5C01" w:rsidRPr="00BD59C2" w:rsidRDefault="00DD5C01" w:rsidP="00BD59C2">
            <w:pPr>
              <w:spacing w:before="40" w:after="40"/>
              <w:jc w:val="center"/>
              <w:rPr>
                <w:rFonts w:cs="Arial"/>
                <w:b/>
                <w:sz w:val="22"/>
                <w:lang w:eastAsia="ko-KR" w:bidi="he-IL"/>
              </w:rPr>
            </w:pPr>
            <w:r w:rsidRPr="00BD59C2">
              <w:rPr>
                <w:rFonts w:cs="Arial"/>
                <w:b/>
                <w:sz w:val="22"/>
                <w:lang w:eastAsia="ko-KR" w:bidi="he-IL"/>
              </w:rPr>
              <w:t>WA21092 &amp; WA21093</w:t>
            </w:r>
          </w:p>
        </w:tc>
        <w:tc>
          <w:tcPr>
            <w:tcW w:w="3096" w:type="dxa"/>
            <w:gridSpan w:val="2"/>
            <w:shd w:val="clear" w:color="auto" w:fill="auto"/>
            <w:vAlign w:val="center"/>
          </w:tcPr>
          <w:p w:rsidR="00334F45" w:rsidRPr="00BD59C2" w:rsidRDefault="00DD5C01" w:rsidP="00BD59C2">
            <w:pPr>
              <w:spacing w:before="40" w:after="40"/>
              <w:jc w:val="center"/>
              <w:rPr>
                <w:rFonts w:cs="Arial"/>
                <w:b/>
                <w:sz w:val="22"/>
                <w:lang w:eastAsia="ko-KR" w:bidi="he-IL"/>
              </w:rPr>
            </w:pPr>
            <w:r w:rsidRPr="00BD59C2">
              <w:rPr>
                <w:rFonts w:cs="Arial"/>
                <w:b/>
                <w:sz w:val="22"/>
                <w:lang w:eastAsia="ko-KR" w:bidi="he-IL"/>
              </w:rPr>
              <w:t xml:space="preserve">PPMS </w:t>
            </w:r>
          </w:p>
          <w:p w:rsidR="00DD5C01" w:rsidRPr="00BD59C2" w:rsidRDefault="00DD5C01" w:rsidP="00BD59C2">
            <w:pPr>
              <w:spacing w:before="40" w:after="40"/>
              <w:jc w:val="center"/>
              <w:rPr>
                <w:rFonts w:cs="Arial"/>
                <w:b/>
                <w:sz w:val="22"/>
                <w:lang w:eastAsia="ko-KR" w:bidi="he-IL"/>
              </w:rPr>
            </w:pPr>
            <w:r w:rsidRPr="00BD59C2">
              <w:rPr>
                <w:rFonts w:cs="Arial"/>
                <w:b/>
                <w:sz w:val="22"/>
                <w:lang w:eastAsia="ko-KR" w:bidi="he-IL"/>
              </w:rPr>
              <w:t>WA25046</w:t>
            </w:r>
            <w:r w:rsidR="00334F45" w:rsidRPr="00BD59C2">
              <w:rPr>
                <w:rFonts w:cs="Arial"/>
                <w:b/>
                <w:sz w:val="22"/>
                <w:vertAlign w:val="superscript"/>
                <w:lang w:eastAsia="ko-KR" w:bidi="he-IL"/>
              </w:rPr>
              <w:t>2</w:t>
            </w:r>
          </w:p>
        </w:tc>
        <w:tc>
          <w:tcPr>
            <w:tcW w:w="1548" w:type="dxa"/>
            <w:vMerge w:val="restart"/>
            <w:shd w:val="clear" w:color="auto" w:fill="auto"/>
            <w:vAlign w:val="center"/>
          </w:tcPr>
          <w:p w:rsidR="00DD5C01" w:rsidRPr="00BD59C2" w:rsidRDefault="00DD5C01" w:rsidP="00BD59C2">
            <w:pPr>
              <w:spacing w:before="40" w:after="40"/>
              <w:jc w:val="center"/>
              <w:rPr>
                <w:rFonts w:cs="Arial"/>
                <w:b/>
                <w:sz w:val="22"/>
                <w:lang w:eastAsia="ko-KR" w:bidi="he-IL"/>
              </w:rPr>
            </w:pPr>
            <w:r w:rsidRPr="00BD59C2">
              <w:rPr>
                <w:rFonts w:cs="Arial"/>
                <w:b/>
                <w:sz w:val="22"/>
                <w:lang w:eastAsia="ko-KR" w:bidi="he-IL"/>
              </w:rPr>
              <w:t>Frequency category for OCREVUS</w:t>
            </w:r>
          </w:p>
        </w:tc>
      </w:tr>
      <w:tr w:rsidR="00DD5C01" w:rsidRPr="00BD59C2" w:rsidTr="00BD59C2">
        <w:trPr>
          <w:trHeight w:val="460"/>
        </w:trPr>
        <w:tc>
          <w:tcPr>
            <w:tcW w:w="1668" w:type="dxa"/>
            <w:vMerge/>
            <w:shd w:val="clear" w:color="auto" w:fill="auto"/>
          </w:tcPr>
          <w:p w:rsidR="00DD5C01" w:rsidRPr="00BD59C2" w:rsidRDefault="00DD5C01" w:rsidP="00BD59C2">
            <w:pPr>
              <w:spacing w:before="40" w:after="40"/>
              <w:rPr>
                <w:rFonts w:cs="Arial"/>
                <w:b/>
                <w:sz w:val="22"/>
                <w:lang w:eastAsia="ko-KR" w:bidi="he-IL"/>
              </w:rPr>
            </w:pPr>
          </w:p>
        </w:tc>
        <w:tc>
          <w:tcPr>
            <w:tcW w:w="1427" w:type="dxa"/>
            <w:shd w:val="clear" w:color="auto" w:fill="auto"/>
            <w:vAlign w:val="center"/>
          </w:tcPr>
          <w:p w:rsidR="00DD5C01" w:rsidRPr="00BD59C2" w:rsidRDefault="00DD5C01" w:rsidP="00BD59C2">
            <w:pPr>
              <w:spacing w:before="40" w:after="40"/>
              <w:jc w:val="center"/>
              <w:rPr>
                <w:rFonts w:cs="Arial"/>
                <w:sz w:val="22"/>
                <w:lang w:eastAsia="ko-KR" w:bidi="he-IL"/>
              </w:rPr>
            </w:pPr>
            <w:r w:rsidRPr="00BD59C2">
              <w:rPr>
                <w:rFonts w:cs="Arial"/>
                <w:sz w:val="22"/>
                <w:lang w:eastAsia="ko-KR" w:bidi="he-IL"/>
              </w:rPr>
              <w:t>OCREVUS (n=825)</w:t>
            </w:r>
          </w:p>
        </w:tc>
        <w:tc>
          <w:tcPr>
            <w:tcW w:w="1548" w:type="dxa"/>
            <w:shd w:val="clear" w:color="auto" w:fill="auto"/>
            <w:vAlign w:val="center"/>
          </w:tcPr>
          <w:p w:rsidR="00DD5C01" w:rsidRPr="00BD59C2" w:rsidRDefault="00DD5C01" w:rsidP="00BD59C2">
            <w:pPr>
              <w:spacing w:before="40" w:after="40"/>
              <w:jc w:val="center"/>
              <w:rPr>
                <w:rFonts w:cs="Arial"/>
                <w:sz w:val="22"/>
                <w:lang w:eastAsia="ko-KR" w:bidi="he-IL"/>
              </w:rPr>
            </w:pPr>
            <w:r w:rsidRPr="00BD59C2">
              <w:rPr>
                <w:rFonts w:cs="Arial"/>
                <w:sz w:val="22"/>
                <w:lang w:eastAsia="ko-KR" w:bidi="he-IL"/>
              </w:rPr>
              <w:t>Interferon beta-1a (n=826)</w:t>
            </w:r>
          </w:p>
        </w:tc>
        <w:tc>
          <w:tcPr>
            <w:tcW w:w="1548" w:type="dxa"/>
            <w:shd w:val="clear" w:color="auto" w:fill="auto"/>
            <w:vAlign w:val="center"/>
          </w:tcPr>
          <w:p w:rsidR="00DD5C01" w:rsidRPr="00BD59C2" w:rsidRDefault="00DD5C01" w:rsidP="00BD59C2">
            <w:pPr>
              <w:spacing w:before="40" w:after="40"/>
              <w:jc w:val="center"/>
              <w:rPr>
                <w:rFonts w:cs="Arial"/>
                <w:sz w:val="22"/>
                <w:lang w:eastAsia="ko-KR" w:bidi="he-IL"/>
              </w:rPr>
            </w:pPr>
            <w:r w:rsidRPr="00BD59C2">
              <w:rPr>
                <w:rFonts w:cs="Arial"/>
                <w:sz w:val="22"/>
                <w:lang w:eastAsia="ko-KR" w:bidi="he-IL"/>
              </w:rPr>
              <w:t>OCREVUS (n=486)</w:t>
            </w:r>
          </w:p>
        </w:tc>
        <w:tc>
          <w:tcPr>
            <w:tcW w:w="1548" w:type="dxa"/>
            <w:shd w:val="clear" w:color="auto" w:fill="auto"/>
            <w:vAlign w:val="center"/>
          </w:tcPr>
          <w:p w:rsidR="00DD5C01" w:rsidRPr="00BD59C2" w:rsidRDefault="00DD5C01" w:rsidP="00BD59C2">
            <w:pPr>
              <w:spacing w:before="40" w:after="40"/>
              <w:jc w:val="center"/>
              <w:rPr>
                <w:rFonts w:cs="Arial"/>
                <w:sz w:val="22"/>
                <w:lang w:eastAsia="ko-KR" w:bidi="he-IL"/>
              </w:rPr>
            </w:pPr>
            <w:r w:rsidRPr="00BD59C2">
              <w:rPr>
                <w:rFonts w:cs="Arial"/>
                <w:sz w:val="22"/>
                <w:lang w:eastAsia="ko-KR" w:bidi="he-IL"/>
              </w:rPr>
              <w:t>Placebo (n=239)</w:t>
            </w:r>
          </w:p>
        </w:tc>
        <w:tc>
          <w:tcPr>
            <w:tcW w:w="1548" w:type="dxa"/>
            <w:vMerge/>
            <w:shd w:val="clear" w:color="auto" w:fill="auto"/>
          </w:tcPr>
          <w:p w:rsidR="00DD5C01" w:rsidRPr="00BD59C2" w:rsidRDefault="00DD5C01" w:rsidP="00BD59C2">
            <w:pPr>
              <w:spacing w:before="40" w:after="40"/>
              <w:rPr>
                <w:rFonts w:cs="Arial"/>
                <w:b/>
                <w:sz w:val="22"/>
                <w:lang w:eastAsia="ko-KR" w:bidi="he-IL"/>
              </w:rPr>
            </w:pPr>
          </w:p>
        </w:tc>
      </w:tr>
      <w:tr w:rsidR="00DD5C01" w:rsidRPr="00BD59C2" w:rsidTr="00BD59C2">
        <w:tc>
          <w:tcPr>
            <w:tcW w:w="9287" w:type="dxa"/>
            <w:gridSpan w:val="6"/>
            <w:shd w:val="clear" w:color="auto" w:fill="auto"/>
          </w:tcPr>
          <w:p w:rsidR="00DD5C01" w:rsidRPr="00BD59C2" w:rsidRDefault="00DD5C01" w:rsidP="00BD59C2">
            <w:pPr>
              <w:spacing w:before="40" w:after="40"/>
              <w:rPr>
                <w:rFonts w:cs="Arial"/>
                <w:b/>
                <w:sz w:val="22"/>
                <w:lang w:eastAsia="ko-KR" w:bidi="he-IL"/>
              </w:rPr>
            </w:pPr>
            <w:r w:rsidRPr="00BD59C2">
              <w:rPr>
                <w:rFonts w:cs="Arial"/>
                <w:b/>
                <w:sz w:val="22"/>
                <w:lang w:eastAsia="ko-KR" w:bidi="he-IL"/>
              </w:rPr>
              <w:t>Injury, Poisoning and Procedural Complications</w:t>
            </w:r>
          </w:p>
        </w:tc>
      </w:tr>
      <w:tr w:rsidR="00DD5C01" w:rsidRPr="00BD59C2" w:rsidTr="00BD59C2">
        <w:tc>
          <w:tcPr>
            <w:tcW w:w="1668" w:type="dxa"/>
            <w:shd w:val="clear" w:color="auto" w:fill="auto"/>
          </w:tcPr>
          <w:p w:rsidR="00DD5C01" w:rsidRPr="00BD59C2" w:rsidRDefault="00DD5C01" w:rsidP="00BD59C2">
            <w:pPr>
              <w:spacing w:before="40" w:after="40"/>
              <w:rPr>
                <w:rFonts w:cs="Arial"/>
                <w:sz w:val="22"/>
                <w:lang w:eastAsia="ko-KR" w:bidi="he-IL"/>
              </w:rPr>
            </w:pPr>
            <w:r w:rsidRPr="00BD59C2">
              <w:rPr>
                <w:rFonts w:cs="Arial"/>
                <w:sz w:val="22"/>
                <w:lang w:eastAsia="ko-KR" w:bidi="he-IL"/>
              </w:rPr>
              <w:t>Infusion-related reactions</w:t>
            </w:r>
            <w:r w:rsidR="00334F45" w:rsidRPr="00BD59C2">
              <w:rPr>
                <w:rFonts w:cs="Arial"/>
                <w:sz w:val="22"/>
                <w:vertAlign w:val="superscript"/>
                <w:lang w:eastAsia="ko-KR" w:bidi="he-IL"/>
              </w:rPr>
              <w:t>3</w:t>
            </w:r>
          </w:p>
        </w:tc>
        <w:tc>
          <w:tcPr>
            <w:tcW w:w="1427" w:type="dxa"/>
            <w:shd w:val="clear" w:color="auto" w:fill="auto"/>
            <w:vAlign w:val="center"/>
          </w:tcPr>
          <w:p w:rsidR="00DD5C01" w:rsidRPr="00BD59C2" w:rsidRDefault="00DD5C01" w:rsidP="00BD59C2">
            <w:pPr>
              <w:spacing w:before="40" w:after="40"/>
              <w:jc w:val="center"/>
              <w:rPr>
                <w:rFonts w:cs="Arial"/>
                <w:sz w:val="22"/>
                <w:lang w:eastAsia="ko-KR" w:bidi="he-IL"/>
              </w:rPr>
            </w:pPr>
            <w:r w:rsidRPr="00BD59C2">
              <w:rPr>
                <w:rFonts w:cs="Arial"/>
                <w:sz w:val="22"/>
                <w:lang w:eastAsia="ko-KR" w:bidi="he-IL"/>
              </w:rPr>
              <w:t>283 (34.3%)</w:t>
            </w:r>
          </w:p>
        </w:tc>
        <w:tc>
          <w:tcPr>
            <w:tcW w:w="1548" w:type="dxa"/>
            <w:shd w:val="clear" w:color="auto" w:fill="auto"/>
            <w:vAlign w:val="center"/>
          </w:tcPr>
          <w:p w:rsidR="0066263E" w:rsidRPr="00BD59C2" w:rsidRDefault="0066263E" w:rsidP="00BD59C2">
            <w:pPr>
              <w:spacing w:before="40" w:after="40"/>
              <w:jc w:val="center"/>
              <w:rPr>
                <w:rFonts w:cs="Arial"/>
                <w:sz w:val="22"/>
                <w:lang w:eastAsia="ko-KR" w:bidi="he-IL"/>
              </w:rPr>
            </w:pPr>
            <w:r>
              <w:rPr>
                <w:rFonts w:cs="Arial"/>
                <w:sz w:val="22"/>
                <w:lang w:eastAsia="ko-KR" w:bidi="he-IL"/>
              </w:rPr>
              <w:t>82 (9.9%)</w:t>
            </w:r>
          </w:p>
        </w:tc>
        <w:tc>
          <w:tcPr>
            <w:tcW w:w="1548" w:type="dxa"/>
            <w:shd w:val="clear" w:color="auto" w:fill="auto"/>
            <w:vAlign w:val="center"/>
          </w:tcPr>
          <w:p w:rsidR="0066263E" w:rsidRPr="00BD59C2" w:rsidRDefault="0066263E" w:rsidP="00BD59C2">
            <w:pPr>
              <w:spacing w:before="40" w:after="40"/>
              <w:jc w:val="center"/>
              <w:rPr>
                <w:rFonts w:cs="Arial"/>
                <w:sz w:val="22"/>
                <w:lang w:eastAsia="ko-KR" w:bidi="he-IL"/>
              </w:rPr>
            </w:pPr>
            <w:r>
              <w:rPr>
                <w:rFonts w:cs="Arial"/>
                <w:sz w:val="22"/>
                <w:lang w:eastAsia="ko-KR" w:bidi="he-IL"/>
              </w:rPr>
              <w:t>195 (40.1%)</w:t>
            </w:r>
          </w:p>
        </w:tc>
        <w:tc>
          <w:tcPr>
            <w:tcW w:w="1548" w:type="dxa"/>
            <w:shd w:val="clear" w:color="auto" w:fill="auto"/>
            <w:vAlign w:val="center"/>
          </w:tcPr>
          <w:p w:rsidR="00DD5C01" w:rsidRPr="00BD59C2" w:rsidRDefault="00DD5C01" w:rsidP="00BD59C2">
            <w:pPr>
              <w:spacing w:before="40" w:after="40"/>
              <w:jc w:val="center"/>
              <w:rPr>
                <w:rFonts w:cs="Arial"/>
                <w:sz w:val="22"/>
                <w:lang w:eastAsia="ko-KR" w:bidi="he-IL"/>
              </w:rPr>
            </w:pPr>
            <w:r w:rsidRPr="00BD59C2">
              <w:rPr>
                <w:rFonts w:cs="Arial"/>
                <w:sz w:val="22"/>
                <w:lang w:eastAsia="ko-KR" w:bidi="he-IL"/>
              </w:rPr>
              <w:t>61 (25.5%)</w:t>
            </w:r>
          </w:p>
        </w:tc>
        <w:tc>
          <w:tcPr>
            <w:tcW w:w="1548" w:type="dxa"/>
            <w:shd w:val="clear" w:color="auto" w:fill="auto"/>
            <w:vAlign w:val="center"/>
          </w:tcPr>
          <w:p w:rsidR="00DD5C01" w:rsidRPr="00BD59C2" w:rsidRDefault="00DD5C01" w:rsidP="00BD59C2">
            <w:pPr>
              <w:spacing w:before="40" w:after="40"/>
              <w:jc w:val="center"/>
              <w:rPr>
                <w:rFonts w:cs="Arial"/>
                <w:sz w:val="22"/>
                <w:lang w:eastAsia="ko-KR" w:bidi="he-IL"/>
              </w:rPr>
            </w:pPr>
            <w:r w:rsidRPr="00BD59C2">
              <w:rPr>
                <w:rFonts w:cs="Arial"/>
                <w:sz w:val="22"/>
                <w:lang w:eastAsia="ko-KR" w:bidi="he-IL"/>
              </w:rPr>
              <w:t>Very common</w:t>
            </w:r>
          </w:p>
        </w:tc>
      </w:tr>
      <w:tr w:rsidR="00DD5C01" w:rsidRPr="00BD59C2" w:rsidTr="00BD59C2">
        <w:tc>
          <w:tcPr>
            <w:tcW w:w="9287" w:type="dxa"/>
            <w:gridSpan w:val="6"/>
            <w:shd w:val="clear" w:color="auto" w:fill="auto"/>
          </w:tcPr>
          <w:p w:rsidR="00DD5C01" w:rsidRPr="00BD59C2" w:rsidRDefault="00DD5C01" w:rsidP="00BD59C2">
            <w:pPr>
              <w:spacing w:before="40" w:after="40"/>
              <w:rPr>
                <w:rFonts w:cs="Arial"/>
                <w:b/>
                <w:sz w:val="22"/>
                <w:lang w:eastAsia="ko-KR" w:bidi="he-IL"/>
              </w:rPr>
            </w:pPr>
            <w:r w:rsidRPr="00BD59C2">
              <w:rPr>
                <w:rFonts w:cs="Arial"/>
                <w:b/>
                <w:sz w:val="22"/>
                <w:lang w:eastAsia="ko-KR" w:bidi="he-IL"/>
              </w:rPr>
              <w:t>Infections and Infestations</w:t>
            </w:r>
          </w:p>
        </w:tc>
      </w:tr>
      <w:tr w:rsidR="00DD5C01" w:rsidRPr="00BD59C2" w:rsidTr="00BD59C2">
        <w:tc>
          <w:tcPr>
            <w:tcW w:w="1668" w:type="dxa"/>
            <w:shd w:val="clear" w:color="auto" w:fill="auto"/>
          </w:tcPr>
          <w:p w:rsidR="00DD5C01" w:rsidRPr="00BD59C2" w:rsidRDefault="00DD5C01" w:rsidP="00BD59C2">
            <w:pPr>
              <w:spacing w:before="40" w:after="40"/>
              <w:rPr>
                <w:rFonts w:cs="Arial"/>
                <w:sz w:val="22"/>
                <w:lang w:eastAsia="ko-KR" w:bidi="he-IL"/>
              </w:rPr>
            </w:pPr>
            <w:r w:rsidRPr="00BD59C2">
              <w:rPr>
                <w:rFonts w:cs="Arial"/>
                <w:sz w:val="22"/>
                <w:lang w:eastAsia="ko-KR" w:bidi="he-IL"/>
              </w:rPr>
              <w:t>Upper respiratory tract infection</w:t>
            </w:r>
          </w:p>
        </w:tc>
        <w:tc>
          <w:tcPr>
            <w:tcW w:w="1427" w:type="dxa"/>
            <w:shd w:val="clear" w:color="auto" w:fill="auto"/>
            <w:vAlign w:val="center"/>
          </w:tcPr>
          <w:p w:rsidR="00DD5C01" w:rsidRPr="00BD59C2" w:rsidRDefault="00DD5C01" w:rsidP="00BD59C2">
            <w:pPr>
              <w:spacing w:before="40" w:after="40"/>
              <w:jc w:val="center"/>
              <w:rPr>
                <w:rFonts w:cs="Arial"/>
                <w:sz w:val="22"/>
                <w:lang w:eastAsia="ko-KR" w:bidi="he-IL"/>
              </w:rPr>
            </w:pPr>
            <w:r w:rsidRPr="00BD59C2">
              <w:rPr>
                <w:rFonts w:cs="Arial"/>
                <w:sz w:val="22"/>
                <w:lang w:eastAsia="ko-KR" w:bidi="he-IL"/>
              </w:rPr>
              <w:t>125 (15.2%)</w:t>
            </w:r>
          </w:p>
        </w:tc>
        <w:tc>
          <w:tcPr>
            <w:tcW w:w="1548" w:type="dxa"/>
            <w:shd w:val="clear" w:color="auto" w:fill="auto"/>
            <w:vAlign w:val="center"/>
          </w:tcPr>
          <w:p w:rsidR="0066263E" w:rsidRPr="00BD59C2" w:rsidRDefault="0066263E" w:rsidP="00BD59C2">
            <w:pPr>
              <w:spacing w:before="40" w:after="40"/>
              <w:jc w:val="center"/>
              <w:rPr>
                <w:rFonts w:cs="Arial"/>
                <w:sz w:val="22"/>
                <w:lang w:eastAsia="ko-KR" w:bidi="he-IL"/>
              </w:rPr>
            </w:pPr>
            <w:r>
              <w:rPr>
                <w:rFonts w:cs="Arial"/>
                <w:sz w:val="22"/>
                <w:lang w:eastAsia="ko-KR" w:bidi="he-IL"/>
              </w:rPr>
              <w:t>88 (10.7%)</w:t>
            </w:r>
          </w:p>
        </w:tc>
        <w:tc>
          <w:tcPr>
            <w:tcW w:w="1548" w:type="dxa"/>
            <w:shd w:val="clear" w:color="auto" w:fill="auto"/>
            <w:vAlign w:val="center"/>
          </w:tcPr>
          <w:p w:rsidR="0066263E" w:rsidRPr="00BD59C2" w:rsidRDefault="0066263E" w:rsidP="00BD59C2">
            <w:pPr>
              <w:spacing w:before="40" w:after="40"/>
              <w:jc w:val="center"/>
              <w:rPr>
                <w:rFonts w:cs="Arial"/>
                <w:sz w:val="22"/>
                <w:lang w:eastAsia="ko-KR" w:bidi="he-IL"/>
              </w:rPr>
            </w:pPr>
            <w:r>
              <w:rPr>
                <w:rFonts w:cs="Arial"/>
                <w:sz w:val="22"/>
                <w:lang w:eastAsia="ko-KR" w:bidi="he-IL"/>
              </w:rPr>
              <w:t>59 (12.1%)</w:t>
            </w:r>
          </w:p>
        </w:tc>
        <w:tc>
          <w:tcPr>
            <w:tcW w:w="1548" w:type="dxa"/>
            <w:shd w:val="clear" w:color="auto" w:fill="auto"/>
            <w:vAlign w:val="center"/>
          </w:tcPr>
          <w:p w:rsidR="00DD5C01" w:rsidRPr="00BD59C2" w:rsidRDefault="00DD5C01" w:rsidP="00BD59C2">
            <w:pPr>
              <w:spacing w:before="40" w:after="40"/>
              <w:jc w:val="center"/>
              <w:rPr>
                <w:rFonts w:cs="Arial"/>
                <w:sz w:val="22"/>
                <w:lang w:eastAsia="ko-KR" w:bidi="he-IL"/>
              </w:rPr>
            </w:pPr>
            <w:r w:rsidRPr="00BD59C2">
              <w:rPr>
                <w:rFonts w:cs="Arial"/>
                <w:sz w:val="22"/>
                <w:lang w:eastAsia="ko-KR" w:bidi="he-IL"/>
              </w:rPr>
              <w:t>14 (5.9%)</w:t>
            </w:r>
          </w:p>
        </w:tc>
        <w:tc>
          <w:tcPr>
            <w:tcW w:w="1548" w:type="dxa"/>
            <w:shd w:val="clear" w:color="auto" w:fill="auto"/>
            <w:vAlign w:val="center"/>
          </w:tcPr>
          <w:p w:rsidR="00DD5C01" w:rsidRPr="00BD59C2" w:rsidRDefault="00DD5C01" w:rsidP="00BD59C2">
            <w:pPr>
              <w:spacing w:before="40" w:after="40"/>
              <w:jc w:val="center"/>
              <w:rPr>
                <w:rFonts w:cs="Arial"/>
                <w:sz w:val="22"/>
                <w:lang w:eastAsia="ko-KR" w:bidi="he-IL"/>
              </w:rPr>
            </w:pPr>
            <w:r w:rsidRPr="00BD59C2">
              <w:rPr>
                <w:rFonts w:cs="Arial"/>
                <w:sz w:val="22"/>
                <w:lang w:eastAsia="ko-KR" w:bidi="he-IL"/>
              </w:rPr>
              <w:t>Very common</w:t>
            </w:r>
          </w:p>
        </w:tc>
      </w:tr>
      <w:tr w:rsidR="00DD5C01" w:rsidRPr="00BD59C2" w:rsidTr="00BD59C2">
        <w:tc>
          <w:tcPr>
            <w:tcW w:w="1668" w:type="dxa"/>
            <w:shd w:val="clear" w:color="auto" w:fill="auto"/>
            <w:vAlign w:val="center"/>
          </w:tcPr>
          <w:p w:rsidR="00DD5C01" w:rsidRPr="00BD59C2" w:rsidRDefault="00DD5C01" w:rsidP="00BD59C2">
            <w:pPr>
              <w:spacing w:before="40" w:after="40"/>
              <w:jc w:val="left"/>
              <w:rPr>
                <w:rFonts w:cs="Arial"/>
                <w:sz w:val="22"/>
                <w:lang w:eastAsia="ko-KR" w:bidi="he-IL"/>
              </w:rPr>
            </w:pPr>
            <w:proofErr w:type="spellStart"/>
            <w:r w:rsidRPr="00BD59C2">
              <w:rPr>
                <w:rFonts w:cs="Arial"/>
                <w:sz w:val="22"/>
                <w:lang w:eastAsia="ko-KR" w:bidi="he-IL"/>
              </w:rPr>
              <w:t>Nasopharyngitis</w:t>
            </w:r>
            <w:proofErr w:type="spellEnd"/>
          </w:p>
        </w:tc>
        <w:tc>
          <w:tcPr>
            <w:tcW w:w="1427" w:type="dxa"/>
            <w:shd w:val="clear" w:color="auto" w:fill="auto"/>
            <w:vAlign w:val="center"/>
          </w:tcPr>
          <w:p w:rsidR="0066263E" w:rsidRPr="00BD59C2" w:rsidRDefault="0066263E" w:rsidP="00BD59C2">
            <w:pPr>
              <w:spacing w:before="40" w:after="40"/>
              <w:jc w:val="center"/>
              <w:rPr>
                <w:rFonts w:cs="Arial"/>
                <w:sz w:val="22"/>
                <w:lang w:eastAsia="ko-KR" w:bidi="he-IL"/>
              </w:rPr>
            </w:pPr>
            <w:r>
              <w:rPr>
                <w:rFonts w:cs="Arial"/>
                <w:sz w:val="22"/>
                <w:lang w:eastAsia="ko-KR" w:bidi="he-IL"/>
              </w:rPr>
              <w:t>123 (14.9%)</w:t>
            </w:r>
          </w:p>
        </w:tc>
        <w:tc>
          <w:tcPr>
            <w:tcW w:w="1548" w:type="dxa"/>
            <w:shd w:val="clear" w:color="auto" w:fill="auto"/>
            <w:vAlign w:val="center"/>
          </w:tcPr>
          <w:p w:rsidR="00DD5C01" w:rsidRPr="00BD59C2" w:rsidRDefault="00DD5C01" w:rsidP="00BD59C2">
            <w:pPr>
              <w:spacing w:before="40" w:after="40"/>
              <w:jc w:val="center"/>
              <w:rPr>
                <w:rFonts w:cs="Arial"/>
                <w:sz w:val="22"/>
                <w:lang w:eastAsia="ko-KR" w:bidi="he-IL"/>
              </w:rPr>
            </w:pPr>
            <w:r w:rsidRPr="00BD59C2">
              <w:rPr>
                <w:rFonts w:cs="Arial"/>
                <w:sz w:val="22"/>
                <w:lang w:eastAsia="ko-KR" w:bidi="he-IL"/>
              </w:rPr>
              <w:t>84 (10.2%)</w:t>
            </w:r>
          </w:p>
        </w:tc>
        <w:tc>
          <w:tcPr>
            <w:tcW w:w="1548" w:type="dxa"/>
            <w:shd w:val="clear" w:color="auto" w:fill="auto"/>
            <w:vAlign w:val="center"/>
          </w:tcPr>
          <w:p w:rsidR="0066263E" w:rsidRPr="00BD59C2" w:rsidRDefault="0066263E" w:rsidP="00BD59C2">
            <w:pPr>
              <w:spacing w:before="40" w:after="40"/>
              <w:jc w:val="center"/>
              <w:rPr>
                <w:rFonts w:cs="Arial"/>
                <w:sz w:val="22"/>
                <w:lang w:eastAsia="ko-KR" w:bidi="he-IL"/>
              </w:rPr>
            </w:pPr>
            <w:r>
              <w:rPr>
                <w:rFonts w:cs="Arial"/>
                <w:sz w:val="22"/>
                <w:lang w:eastAsia="ko-KR" w:bidi="he-IL"/>
              </w:rPr>
              <w:t>117 (24.1%)</w:t>
            </w:r>
          </w:p>
        </w:tc>
        <w:tc>
          <w:tcPr>
            <w:tcW w:w="1548" w:type="dxa"/>
            <w:shd w:val="clear" w:color="auto" w:fill="auto"/>
            <w:vAlign w:val="center"/>
          </w:tcPr>
          <w:p w:rsidR="0066263E" w:rsidRPr="00BD59C2" w:rsidRDefault="0066263E" w:rsidP="00BD59C2">
            <w:pPr>
              <w:spacing w:before="40" w:after="40"/>
              <w:jc w:val="center"/>
              <w:rPr>
                <w:rFonts w:cs="Arial"/>
                <w:sz w:val="22"/>
                <w:lang w:eastAsia="ko-KR" w:bidi="he-IL"/>
              </w:rPr>
            </w:pPr>
            <w:r>
              <w:rPr>
                <w:rFonts w:cs="Arial"/>
                <w:sz w:val="22"/>
                <w:lang w:eastAsia="ko-KR" w:bidi="he-IL"/>
              </w:rPr>
              <w:t>67 (28.0%)</w:t>
            </w:r>
          </w:p>
        </w:tc>
        <w:tc>
          <w:tcPr>
            <w:tcW w:w="1548" w:type="dxa"/>
            <w:shd w:val="clear" w:color="auto" w:fill="auto"/>
            <w:vAlign w:val="center"/>
          </w:tcPr>
          <w:p w:rsidR="00DD5C01" w:rsidRPr="00BD59C2" w:rsidRDefault="00DD5C01" w:rsidP="00BD59C2">
            <w:pPr>
              <w:spacing w:before="40" w:after="40"/>
              <w:jc w:val="center"/>
              <w:rPr>
                <w:rFonts w:cs="Arial"/>
                <w:sz w:val="22"/>
                <w:lang w:eastAsia="ko-KR" w:bidi="he-IL"/>
              </w:rPr>
            </w:pPr>
            <w:r w:rsidRPr="00BD59C2">
              <w:rPr>
                <w:rFonts w:cs="Arial"/>
                <w:sz w:val="22"/>
                <w:lang w:eastAsia="ko-KR" w:bidi="he-IL"/>
              </w:rPr>
              <w:t>Very common</w:t>
            </w:r>
          </w:p>
        </w:tc>
      </w:tr>
      <w:tr w:rsidR="00DD5C01" w:rsidRPr="00BD59C2" w:rsidTr="00BD59C2">
        <w:tc>
          <w:tcPr>
            <w:tcW w:w="1668" w:type="dxa"/>
            <w:shd w:val="clear" w:color="auto" w:fill="auto"/>
            <w:vAlign w:val="center"/>
          </w:tcPr>
          <w:p w:rsidR="00DD5C01" w:rsidRPr="00BD59C2" w:rsidRDefault="00DD5C01" w:rsidP="00BD59C2">
            <w:pPr>
              <w:spacing w:before="40" w:after="40"/>
              <w:jc w:val="left"/>
              <w:rPr>
                <w:rFonts w:cs="Arial"/>
                <w:sz w:val="22"/>
                <w:lang w:eastAsia="ko-KR" w:bidi="he-IL"/>
              </w:rPr>
            </w:pPr>
            <w:r w:rsidRPr="00BD59C2">
              <w:rPr>
                <w:rFonts w:cs="Arial"/>
                <w:sz w:val="22"/>
                <w:lang w:eastAsia="ko-KR" w:bidi="he-IL"/>
              </w:rPr>
              <w:lastRenderedPageBreak/>
              <w:t>Sinusitis</w:t>
            </w:r>
          </w:p>
        </w:tc>
        <w:tc>
          <w:tcPr>
            <w:tcW w:w="1427" w:type="dxa"/>
            <w:shd w:val="clear" w:color="auto" w:fill="auto"/>
            <w:vAlign w:val="center"/>
          </w:tcPr>
          <w:p w:rsidR="00DD5C01" w:rsidRPr="00BD59C2" w:rsidRDefault="00DD5C01" w:rsidP="00BD59C2">
            <w:pPr>
              <w:spacing w:before="40" w:after="40"/>
              <w:jc w:val="center"/>
              <w:rPr>
                <w:rFonts w:cs="Arial"/>
                <w:sz w:val="22"/>
                <w:lang w:eastAsia="ko-KR" w:bidi="he-IL"/>
              </w:rPr>
            </w:pPr>
            <w:r w:rsidRPr="00BD59C2">
              <w:rPr>
                <w:rFonts w:cs="Arial"/>
                <w:sz w:val="22"/>
                <w:lang w:eastAsia="ko-KR" w:bidi="he-IL"/>
              </w:rPr>
              <w:t>46 (5.6%)</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45 (5.4%)</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19 (3.9%)</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7 (2.9%)</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Common</w:t>
            </w:r>
          </w:p>
        </w:tc>
      </w:tr>
      <w:tr w:rsidR="00DD5C01" w:rsidRPr="00BD59C2" w:rsidTr="00BD59C2">
        <w:tc>
          <w:tcPr>
            <w:tcW w:w="1668" w:type="dxa"/>
            <w:shd w:val="clear" w:color="auto" w:fill="auto"/>
            <w:vAlign w:val="center"/>
          </w:tcPr>
          <w:p w:rsidR="00DD5C01" w:rsidRPr="00BD59C2" w:rsidRDefault="00334F45" w:rsidP="00BD59C2">
            <w:pPr>
              <w:spacing w:before="40" w:after="40"/>
              <w:jc w:val="left"/>
              <w:rPr>
                <w:rFonts w:cs="Arial"/>
                <w:sz w:val="22"/>
                <w:lang w:eastAsia="ko-KR" w:bidi="he-IL"/>
              </w:rPr>
            </w:pPr>
            <w:r w:rsidRPr="00BD59C2">
              <w:rPr>
                <w:rFonts w:cs="Arial"/>
                <w:sz w:val="22"/>
                <w:lang w:eastAsia="ko-KR" w:bidi="he-IL"/>
              </w:rPr>
              <w:t>Bronchitis</w:t>
            </w:r>
          </w:p>
        </w:tc>
        <w:tc>
          <w:tcPr>
            <w:tcW w:w="1427"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42 (5.1%)</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29 (3.5%)</w:t>
            </w:r>
          </w:p>
        </w:tc>
        <w:tc>
          <w:tcPr>
            <w:tcW w:w="1548" w:type="dxa"/>
            <w:shd w:val="clear" w:color="auto" w:fill="auto"/>
            <w:vAlign w:val="center"/>
          </w:tcPr>
          <w:p w:rsidR="009C11B7" w:rsidRPr="00BD59C2" w:rsidRDefault="009C11B7" w:rsidP="00BD59C2">
            <w:pPr>
              <w:spacing w:before="40" w:after="40"/>
              <w:jc w:val="center"/>
              <w:rPr>
                <w:rFonts w:cs="Arial"/>
                <w:sz w:val="22"/>
                <w:lang w:eastAsia="ko-KR" w:bidi="he-IL"/>
              </w:rPr>
            </w:pPr>
            <w:r>
              <w:rPr>
                <w:rFonts w:cs="Arial"/>
                <w:sz w:val="22"/>
                <w:lang w:eastAsia="ko-KR" w:bidi="he-IL"/>
              </w:rPr>
              <w:t>31 (6.4%)</w:t>
            </w:r>
          </w:p>
        </w:tc>
        <w:tc>
          <w:tcPr>
            <w:tcW w:w="1548" w:type="dxa"/>
            <w:shd w:val="clear" w:color="auto" w:fill="auto"/>
            <w:vAlign w:val="center"/>
          </w:tcPr>
          <w:p w:rsidR="009C11B7" w:rsidRPr="00BD59C2" w:rsidRDefault="009C11B7" w:rsidP="00BD59C2">
            <w:pPr>
              <w:spacing w:before="40" w:after="40"/>
              <w:jc w:val="center"/>
              <w:rPr>
                <w:rFonts w:cs="Arial"/>
                <w:sz w:val="22"/>
                <w:lang w:eastAsia="ko-KR" w:bidi="he-IL"/>
              </w:rPr>
            </w:pPr>
            <w:r>
              <w:rPr>
                <w:rFonts w:cs="Arial"/>
                <w:sz w:val="22"/>
                <w:lang w:eastAsia="ko-KR" w:bidi="he-IL"/>
              </w:rPr>
              <w:t>15 (6.3%)</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Common</w:t>
            </w:r>
          </w:p>
        </w:tc>
      </w:tr>
      <w:tr w:rsidR="009C11B7" w:rsidRPr="00BD59C2" w:rsidTr="00BD59C2">
        <w:tc>
          <w:tcPr>
            <w:tcW w:w="1668" w:type="dxa"/>
            <w:shd w:val="clear" w:color="auto" w:fill="auto"/>
            <w:vAlign w:val="center"/>
          </w:tcPr>
          <w:p w:rsidR="009C11B7" w:rsidRPr="00BD59C2" w:rsidRDefault="009C11B7" w:rsidP="00BD59C2">
            <w:pPr>
              <w:spacing w:before="40" w:after="40"/>
              <w:jc w:val="left"/>
              <w:rPr>
                <w:rFonts w:cs="Arial"/>
                <w:sz w:val="22"/>
                <w:lang w:eastAsia="ko-KR" w:bidi="he-IL"/>
              </w:rPr>
            </w:pPr>
            <w:r>
              <w:rPr>
                <w:rFonts w:cs="Arial"/>
                <w:sz w:val="22"/>
                <w:lang w:eastAsia="ko-KR" w:bidi="he-IL"/>
              </w:rPr>
              <w:t>Influenza</w:t>
            </w:r>
          </w:p>
        </w:tc>
        <w:tc>
          <w:tcPr>
            <w:tcW w:w="1427" w:type="dxa"/>
            <w:shd w:val="clear" w:color="auto" w:fill="auto"/>
            <w:vAlign w:val="center"/>
          </w:tcPr>
          <w:p w:rsidR="009C11B7" w:rsidRPr="00BD59C2" w:rsidRDefault="009C11B7" w:rsidP="00BD59C2">
            <w:pPr>
              <w:spacing w:before="40" w:after="40"/>
              <w:jc w:val="center"/>
              <w:rPr>
                <w:rFonts w:cs="Arial"/>
                <w:sz w:val="22"/>
                <w:lang w:eastAsia="ko-KR" w:bidi="he-IL"/>
              </w:rPr>
            </w:pPr>
            <w:r>
              <w:rPr>
                <w:rFonts w:cs="Arial"/>
                <w:sz w:val="22"/>
                <w:lang w:eastAsia="ko-KR" w:bidi="he-IL"/>
              </w:rPr>
              <w:t>38 (4.6%)</w:t>
            </w:r>
          </w:p>
        </w:tc>
        <w:tc>
          <w:tcPr>
            <w:tcW w:w="1548" w:type="dxa"/>
            <w:shd w:val="clear" w:color="auto" w:fill="auto"/>
            <w:vAlign w:val="center"/>
          </w:tcPr>
          <w:p w:rsidR="009C11B7" w:rsidRPr="00BD59C2" w:rsidRDefault="009C11B7" w:rsidP="00BD59C2">
            <w:pPr>
              <w:spacing w:before="40" w:after="40"/>
              <w:jc w:val="center"/>
              <w:rPr>
                <w:rFonts w:cs="Arial"/>
                <w:sz w:val="22"/>
                <w:lang w:eastAsia="ko-KR" w:bidi="he-IL"/>
              </w:rPr>
            </w:pPr>
            <w:r>
              <w:rPr>
                <w:rFonts w:cs="Arial"/>
                <w:sz w:val="22"/>
                <w:lang w:eastAsia="ko-KR" w:bidi="he-IL"/>
              </w:rPr>
              <w:t>39 (4.7%)</w:t>
            </w:r>
          </w:p>
        </w:tc>
        <w:tc>
          <w:tcPr>
            <w:tcW w:w="1548" w:type="dxa"/>
            <w:shd w:val="clear" w:color="auto" w:fill="auto"/>
            <w:vAlign w:val="center"/>
          </w:tcPr>
          <w:p w:rsidR="009C11B7" w:rsidRPr="00BD59C2" w:rsidDel="009C11B7" w:rsidRDefault="009C11B7" w:rsidP="00BD59C2">
            <w:pPr>
              <w:spacing w:before="40" w:after="40"/>
              <w:jc w:val="center"/>
              <w:rPr>
                <w:rFonts w:cs="Arial"/>
                <w:sz w:val="22"/>
                <w:lang w:eastAsia="ko-KR" w:bidi="he-IL"/>
              </w:rPr>
            </w:pPr>
            <w:r>
              <w:rPr>
                <w:rFonts w:cs="Arial"/>
                <w:sz w:val="22"/>
                <w:lang w:eastAsia="ko-KR" w:bidi="he-IL"/>
              </w:rPr>
              <w:t>57 (11.7%)</w:t>
            </w:r>
          </w:p>
        </w:tc>
        <w:tc>
          <w:tcPr>
            <w:tcW w:w="1548" w:type="dxa"/>
            <w:shd w:val="clear" w:color="auto" w:fill="auto"/>
            <w:vAlign w:val="center"/>
          </w:tcPr>
          <w:p w:rsidR="009C11B7" w:rsidRPr="00BD59C2" w:rsidDel="009C11B7" w:rsidRDefault="009C11B7" w:rsidP="00BD59C2">
            <w:pPr>
              <w:spacing w:before="40" w:after="40"/>
              <w:jc w:val="center"/>
              <w:rPr>
                <w:rFonts w:cs="Arial"/>
                <w:sz w:val="22"/>
                <w:lang w:eastAsia="ko-KR" w:bidi="he-IL"/>
              </w:rPr>
            </w:pPr>
            <w:r>
              <w:rPr>
                <w:rFonts w:cs="Arial"/>
                <w:sz w:val="22"/>
                <w:lang w:eastAsia="ko-KR" w:bidi="he-IL"/>
              </w:rPr>
              <w:t>20 (8.4%)</w:t>
            </w:r>
          </w:p>
        </w:tc>
        <w:tc>
          <w:tcPr>
            <w:tcW w:w="1548" w:type="dxa"/>
            <w:shd w:val="clear" w:color="auto" w:fill="auto"/>
            <w:vAlign w:val="center"/>
          </w:tcPr>
          <w:p w:rsidR="009C11B7" w:rsidRPr="00BD59C2" w:rsidRDefault="009C11B7" w:rsidP="00BD59C2">
            <w:pPr>
              <w:spacing w:before="40" w:after="40"/>
              <w:jc w:val="center"/>
              <w:rPr>
                <w:rFonts w:cs="Arial"/>
                <w:sz w:val="22"/>
                <w:lang w:eastAsia="ko-KR" w:bidi="he-IL"/>
              </w:rPr>
            </w:pPr>
            <w:r>
              <w:rPr>
                <w:rFonts w:cs="Arial"/>
                <w:sz w:val="22"/>
                <w:lang w:eastAsia="ko-KR" w:bidi="he-IL"/>
              </w:rPr>
              <w:t>Very common</w:t>
            </w:r>
          </w:p>
        </w:tc>
      </w:tr>
      <w:tr w:rsidR="001315A0" w:rsidRPr="00BD59C2" w:rsidTr="00BD59C2">
        <w:tc>
          <w:tcPr>
            <w:tcW w:w="1668" w:type="dxa"/>
            <w:shd w:val="clear" w:color="auto" w:fill="auto"/>
            <w:vAlign w:val="center"/>
          </w:tcPr>
          <w:p w:rsidR="001315A0" w:rsidRDefault="001315A0" w:rsidP="00BD59C2">
            <w:pPr>
              <w:spacing w:before="40" w:after="40"/>
              <w:jc w:val="left"/>
              <w:rPr>
                <w:rFonts w:cs="Arial"/>
                <w:sz w:val="22"/>
                <w:lang w:eastAsia="ko-KR" w:bidi="he-IL"/>
              </w:rPr>
            </w:pPr>
            <w:r>
              <w:rPr>
                <w:rFonts w:cs="Arial"/>
                <w:sz w:val="22"/>
                <w:lang w:eastAsia="ko-KR" w:bidi="he-IL"/>
              </w:rPr>
              <w:t>Gastroenteritis</w:t>
            </w:r>
          </w:p>
        </w:tc>
        <w:tc>
          <w:tcPr>
            <w:tcW w:w="1427" w:type="dxa"/>
            <w:shd w:val="clear" w:color="auto" w:fill="auto"/>
            <w:vAlign w:val="center"/>
          </w:tcPr>
          <w:p w:rsidR="001315A0" w:rsidRDefault="001315A0" w:rsidP="00BD59C2">
            <w:pPr>
              <w:spacing w:before="40" w:after="40"/>
              <w:jc w:val="center"/>
              <w:rPr>
                <w:rFonts w:cs="Arial"/>
                <w:sz w:val="22"/>
                <w:lang w:eastAsia="ko-KR" w:bidi="he-IL"/>
              </w:rPr>
            </w:pPr>
            <w:r>
              <w:rPr>
                <w:rFonts w:cs="Arial"/>
                <w:sz w:val="22"/>
                <w:lang w:eastAsia="ko-KR" w:bidi="he-IL"/>
              </w:rPr>
              <w:t>25 (3.0%)</w:t>
            </w:r>
          </w:p>
        </w:tc>
        <w:tc>
          <w:tcPr>
            <w:tcW w:w="1548" w:type="dxa"/>
            <w:shd w:val="clear" w:color="auto" w:fill="auto"/>
            <w:vAlign w:val="center"/>
          </w:tcPr>
          <w:p w:rsidR="001315A0" w:rsidRDefault="001315A0" w:rsidP="00BD59C2">
            <w:pPr>
              <w:spacing w:before="40" w:after="40"/>
              <w:jc w:val="center"/>
              <w:rPr>
                <w:rFonts w:cs="Arial"/>
                <w:sz w:val="22"/>
                <w:lang w:eastAsia="ko-KR" w:bidi="he-IL"/>
              </w:rPr>
            </w:pPr>
            <w:r>
              <w:rPr>
                <w:rFonts w:cs="Arial"/>
                <w:sz w:val="22"/>
                <w:lang w:eastAsia="ko-KR" w:bidi="he-IL"/>
              </w:rPr>
              <w:t>19 (2.3%)</w:t>
            </w:r>
          </w:p>
        </w:tc>
        <w:tc>
          <w:tcPr>
            <w:tcW w:w="1548" w:type="dxa"/>
            <w:shd w:val="clear" w:color="auto" w:fill="auto"/>
            <w:vAlign w:val="center"/>
          </w:tcPr>
          <w:p w:rsidR="001315A0" w:rsidRDefault="001315A0" w:rsidP="00BD59C2">
            <w:pPr>
              <w:spacing w:before="40" w:after="40"/>
              <w:jc w:val="center"/>
              <w:rPr>
                <w:rFonts w:cs="Arial"/>
                <w:sz w:val="22"/>
                <w:lang w:eastAsia="ko-KR" w:bidi="he-IL"/>
              </w:rPr>
            </w:pPr>
            <w:r>
              <w:rPr>
                <w:rFonts w:cs="Arial"/>
                <w:sz w:val="22"/>
                <w:lang w:eastAsia="ko-KR" w:bidi="he-IL"/>
              </w:rPr>
              <w:t>22 (4.5%)</w:t>
            </w:r>
          </w:p>
        </w:tc>
        <w:tc>
          <w:tcPr>
            <w:tcW w:w="1548" w:type="dxa"/>
            <w:shd w:val="clear" w:color="auto" w:fill="auto"/>
            <w:vAlign w:val="center"/>
          </w:tcPr>
          <w:p w:rsidR="001315A0" w:rsidRDefault="001315A0" w:rsidP="00BD59C2">
            <w:pPr>
              <w:spacing w:before="40" w:after="40"/>
              <w:jc w:val="center"/>
              <w:rPr>
                <w:rFonts w:cs="Arial"/>
                <w:sz w:val="22"/>
                <w:lang w:eastAsia="ko-KR" w:bidi="he-IL"/>
              </w:rPr>
            </w:pPr>
            <w:r>
              <w:rPr>
                <w:rFonts w:cs="Arial"/>
                <w:sz w:val="22"/>
                <w:lang w:eastAsia="ko-KR" w:bidi="he-IL"/>
              </w:rPr>
              <w:t>12 (5.0%)</w:t>
            </w:r>
          </w:p>
        </w:tc>
        <w:tc>
          <w:tcPr>
            <w:tcW w:w="1548" w:type="dxa"/>
            <w:shd w:val="clear" w:color="auto" w:fill="auto"/>
            <w:vAlign w:val="center"/>
          </w:tcPr>
          <w:p w:rsidR="001315A0" w:rsidRDefault="001315A0" w:rsidP="00BD59C2">
            <w:pPr>
              <w:spacing w:before="40" w:after="40"/>
              <w:jc w:val="center"/>
              <w:rPr>
                <w:rFonts w:cs="Arial"/>
                <w:sz w:val="22"/>
                <w:lang w:eastAsia="ko-KR" w:bidi="he-IL"/>
              </w:rPr>
            </w:pPr>
            <w:r>
              <w:rPr>
                <w:rFonts w:cs="Arial"/>
                <w:sz w:val="22"/>
                <w:lang w:eastAsia="ko-KR" w:bidi="he-IL"/>
              </w:rPr>
              <w:t>Common</w:t>
            </w:r>
          </w:p>
        </w:tc>
      </w:tr>
      <w:tr w:rsidR="00DD5C01" w:rsidRPr="00BD59C2" w:rsidTr="00BD59C2">
        <w:tc>
          <w:tcPr>
            <w:tcW w:w="1668" w:type="dxa"/>
            <w:shd w:val="clear" w:color="auto" w:fill="auto"/>
            <w:vAlign w:val="center"/>
          </w:tcPr>
          <w:p w:rsidR="00DD5C01" w:rsidRPr="00BD59C2" w:rsidRDefault="00334F45" w:rsidP="00BD59C2">
            <w:pPr>
              <w:spacing w:before="40" w:after="40"/>
              <w:jc w:val="left"/>
              <w:rPr>
                <w:rFonts w:cs="Arial"/>
                <w:sz w:val="22"/>
                <w:lang w:eastAsia="ko-KR" w:bidi="he-IL"/>
              </w:rPr>
            </w:pPr>
            <w:r w:rsidRPr="00BD59C2">
              <w:rPr>
                <w:rFonts w:cs="Arial"/>
                <w:sz w:val="22"/>
                <w:lang w:eastAsia="ko-KR" w:bidi="he-IL"/>
              </w:rPr>
              <w:t>Oral herpes</w:t>
            </w:r>
          </w:p>
        </w:tc>
        <w:tc>
          <w:tcPr>
            <w:tcW w:w="1427" w:type="dxa"/>
            <w:shd w:val="clear" w:color="auto" w:fill="auto"/>
            <w:vAlign w:val="center"/>
          </w:tcPr>
          <w:p w:rsidR="009C11B7" w:rsidRPr="00BD59C2" w:rsidRDefault="009C11B7" w:rsidP="00BD59C2">
            <w:pPr>
              <w:spacing w:before="40" w:after="40"/>
              <w:jc w:val="center"/>
              <w:rPr>
                <w:rFonts w:cs="Arial"/>
                <w:sz w:val="22"/>
                <w:lang w:eastAsia="ko-KR" w:bidi="he-IL"/>
              </w:rPr>
            </w:pPr>
            <w:r>
              <w:rPr>
                <w:rFonts w:cs="Arial"/>
                <w:sz w:val="22"/>
                <w:lang w:eastAsia="ko-KR" w:bidi="he-IL"/>
              </w:rPr>
              <w:t>25 (3.0%)</w:t>
            </w:r>
          </w:p>
        </w:tc>
        <w:tc>
          <w:tcPr>
            <w:tcW w:w="1548" w:type="dxa"/>
            <w:shd w:val="clear" w:color="auto" w:fill="auto"/>
            <w:vAlign w:val="center"/>
          </w:tcPr>
          <w:p w:rsidR="009C11B7" w:rsidRPr="00BD59C2" w:rsidRDefault="009C11B7" w:rsidP="00BD59C2">
            <w:pPr>
              <w:spacing w:before="40" w:after="40"/>
              <w:jc w:val="center"/>
              <w:rPr>
                <w:rFonts w:cs="Arial"/>
                <w:sz w:val="22"/>
                <w:lang w:eastAsia="ko-KR" w:bidi="he-IL"/>
              </w:rPr>
            </w:pPr>
            <w:r>
              <w:rPr>
                <w:rFonts w:cs="Arial"/>
                <w:sz w:val="22"/>
                <w:lang w:eastAsia="ko-KR" w:bidi="he-IL"/>
              </w:rPr>
              <w:t>18 (2.2%)</w:t>
            </w:r>
          </w:p>
        </w:tc>
        <w:tc>
          <w:tcPr>
            <w:tcW w:w="1548" w:type="dxa"/>
            <w:shd w:val="clear" w:color="auto" w:fill="auto"/>
            <w:vAlign w:val="center"/>
          </w:tcPr>
          <w:p w:rsidR="009C11B7" w:rsidRPr="00BD59C2" w:rsidRDefault="009C11B7" w:rsidP="00BD59C2">
            <w:pPr>
              <w:spacing w:before="40" w:after="40"/>
              <w:jc w:val="center"/>
              <w:rPr>
                <w:rFonts w:cs="Arial"/>
                <w:sz w:val="22"/>
                <w:lang w:eastAsia="ko-KR" w:bidi="he-IL"/>
              </w:rPr>
            </w:pPr>
            <w:r>
              <w:rPr>
                <w:rFonts w:cs="Arial"/>
                <w:sz w:val="22"/>
                <w:lang w:eastAsia="ko-KR" w:bidi="he-IL"/>
              </w:rPr>
              <w:t>13 (2.7%)</w:t>
            </w:r>
          </w:p>
        </w:tc>
        <w:tc>
          <w:tcPr>
            <w:tcW w:w="1548" w:type="dxa"/>
            <w:shd w:val="clear" w:color="auto" w:fill="auto"/>
            <w:vAlign w:val="center"/>
          </w:tcPr>
          <w:p w:rsidR="009C11B7" w:rsidRPr="00BD59C2" w:rsidRDefault="009C11B7" w:rsidP="00BD59C2">
            <w:pPr>
              <w:spacing w:before="40" w:after="40"/>
              <w:jc w:val="center"/>
              <w:rPr>
                <w:rFonts w:cs="Arial"/>
                <w:sz w:val="22"/>
                <w:lang w:eastAsia="ko-KR" w:bidi="he-IL"/>
              </w:rPr>
            </w:pPr>
            <w:r>
              <w:rPr>
                <w:rFonts w:cs="Arial"/>
                <w:sz w:val="22"/>
                <w:lang w:eastAsia="ko-KR" w:bidi="he-IL"/>
              </w:rPr>
              <w:t>2 (0.8%)</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Common</w:t>
            </w:r>
          </w:p>
        </w:tc>
      </w:tr>
      <w:tr w:rsidR="00DD5C01" w:rsidRPr="00BD59C2" w:rsidTr="00BD59C2">
        <w:tc>
          <w:tcPr>
            <w:tcW w:w="1668" w:type="dxa"/>
            <w:shd w:val="clear" w:color="auto" w:fill="auto"/>
            <w:vAlign w:val="center"/>
          </w:tcPr>
          <w:p w:rsidR="00DD5C01" w:rsidRPr="00BD59C2" w:rsidRDefault="00334F45" w:rsidP="00BD59C2">
            <w:pPr>
              <w:spacing w:before="40" w:after="40"/>
              <w:jc w:val="left"/>
              <w:rPr>
                <w:rFonts w:cs="Arial"/>
                <w:sz w:val="22"/>
                <w:lang w:eastAsia="ko-KR" w:bidi="he-IL"/>
              </w:rPr>
            </w:pPr>
            <w:r w:rsidRPr="00BD59C2">
              <w:rPr>
                <w:rFonts w:cs="Arial"/>
                <w:sz w:val="22"/>
                <w:lang w:eastAsia="ko-KR" w:bidi="he-IL"/>
              </w:rPr>
              <w:t>Respiratory tract infection</w:t>
            </w:r>
          </w:p>
        </w:tc>
        <w:tc>
          <w:tcPr>
            <w:tcW w:w="1427"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19 (2.3%)</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17 (2.1%)</w:t>
            </w:r>
          </w:p>
        </w:tc>
        <w:tc>
          <w:tcPr>
            <w:tcW w:w="1548" w:type="dxa"/>
            <w:shd w:val="clear" w:color="auto" w:fill="auto"/>
            <w:vAlign w:val="center"/>
          </w:tcPr>
          <w:p w:rsidR="00370354" w:rsidRPr="00BD59C2" w:rsidRDefault="00370354" w:rsidP="00BD59C2">
            <w:pPr>
              <w:spacing w:before="40" w:after="40"/>
              <w:jc w:val="center"/>
              <w:rPr>
                <w:rFonts w:cs="Arial"/>
                <w:sz w:val="22"/>
                <w:lang w:eastAsia="ko-KR" w:bidi="he-IL"/>
              </w:rPr>
            </w:pPr>
            <w:r>
              <w:rPr>
                <w:rFonts w:cs="Arial"/>
                <w:sz w:val="22"/>
                <w:lang w:eastAsia="ko-KR" w:bidi="he-IL"/>
              </w:rPr>
              <w:t>13 (2.7%)</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2 (0.8%)</w:t>
            </w:r>
          </w:p>
        </w:tc>
        <w:tc>
          <w:tcPr>
            <w:tcW w:w="1548" w:type="dxa"/>
            <w:shd w:val="clear" w:color="auto" w:fill="auto"/>
            <w:vAlign w:val="center"/>
          </w:tcPr>
          <w:p w:rsidR="00334F45" w:rsidRPr="00BD59C2" w:rsidRDefault="00334F45" w:rsidP="00BD59C2">
            <w:pPr>
              <w:spacing w:before="40" w:after="40"/>
              <w:jc w:val="center"/>
              <w:rPr>
                <w:rFonts w:cs="Arial"/>
                <w:sz w:val="22"/>
                <w:lang w:eastAsia="ko-KR" w:bidi="he-IL"/>
              </w:rPr>
            </w:pPr>
            <w:r w:rsidRPr="00BD59C2">
              <w:rPr>
                <w:rFonts w:cs="Arial"/>
                <w:sz w:val="22"/>
                <w:lang w:eastAsia="ko-KR" w:bidi="he-IL"/>
              </w:rPr>
              <w:t>Common</w:t>
            </w:r>
          </w:p>
        </w:tc>
      </w:tr>
      <w:tr w:rsidR="00DD5C01" w:rsidRPr="00BD59C2" w:rsidTr="00BD59C2">
        <w:tc>
          <w:tcPr>
            <w:tcW w:w="1668" w:type="dxa"/>
            <w:shd w:val="clear" w:color="auto" w:fill="auto"/>
            <w:vAlign w:val="center"/>
          </w:tcPr>
          <w:p w:rsidR="00DD5C01" w:rsidRPr="00BD59C2" w:rsidRDefault="00334F45" w:rsidP="00BD59C2">
            <w:pPr>
              <w:spacing w:before="40" w:after="40"/>
              <w:jc w:val="left"/>
              <w:rPr>
                <w:rFonts w:cs="Arial"/>
                <w:sz w:val="22"/>
                <w:lang w:eastAsia="ko-KR" w:bidi="he-IL"/>
              </w:rPr>
            </w:pPr>
            <w:r w:rsidRPr="00BD59C2">
              <w:rPr>
                <w:rFonts w:cs="Arial"/>
                <w:sz w:val="22"/>
                <w:lang w:eastAsia="ko-KR" w:bidi="he-IL"/>
              </w:rPr>
              <w:t>Viral infection</w:t>
            </w:r>
          </w:p>
        </w:tc>
        <w:tc>
          <w:tcPr>
            <w:tcW w:w="1427"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18 (2.2%)</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23 (2.8%)</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15 (3.1%)</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4 (1.7%)</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Common</w:t>
            </w:r>
          </w:p>
        </w:tc>
      </w:tr>
      <w:tr w:rsidR="00DD5C01" w:rsidRPr="00BD59C2" w:rsidTr="00BD59C2">
        <w:tc>
          <w:tcPr>
            <w:tcW w:w="1668" w:type="dxa"/>
            <w:shd w:val="clear" w:color="auto" w:fill="auto"/>
          </w:tcPr>
          <w:p w:rsidR="00DD5C01" w:rsidRPr="00BD59C2" w:rsidRDefault="00334F45" w:rsidP="00BD59C2">
            <w:pPr>
              <w:spacing w:before="40" w:after="40"/>
              <w:jc w:val="left"/>
              <w:rPr>
                <w:rFonts w:cs="Arial"/>
                <w:sz w:val="22"/>
                <w:lang w:eastAsia="ko-KR" w:bidi="he-IL"/>
              </w:rPr>
            </w:pPr>
            <w:r w:rsidRPr="00BD59C2">
              <w:rPr>
                <w:rFonts w:cs="Arial"/>
                <w:sz w:val="22"/>
                <w:lang w:eastAsia="ko-KR" w:bidi="he-IL"/>
              </w:rPr>
              <w:t>Herpes zoster</w:t>
            </w:r>
          </w:p>
        </w:tc>
        <w:tc>
          <w:tcPr>
            <w:tcW w:w="1427"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17 (2.1%)</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8 (1.0%)</w:t>
            </w:r>
          </w:p>
        </w:tc>
        <w:tc>
          <w:tcPr>
            <w:tcW w:w="1548" w:type="dxa"/>
            <w:shd w:val="clear" w:color="auto" w:fill="auto"/>
            <w:vAlign w:val="center"/>
          </w:tcPr>
          <w:p w:rsidR="009C11B7" w:rsidRPr="00BD59C2" w:rsidRDefault="009C11B7" w:rsidP="00BD59C2">
            <w:pPr>
              <w:spacing w:before="40" w:after="40"/>
              <w:jc w:val="center"/>
              <w:rPr>
                <w:rFonts w:cs="Arial"/>
                <w:sz w:val="22"/>
                <w:lang w:eastAsia="ko-KR" w:bidi="he-IL"/>
              </w:rPr>
            </w:pPr>
            <w:r>
              <w:rPr>
                <w:rFonts w:cs="Arial"/>
                <w:sz w:val="22"/>
                <w:lang w:eastAsia="ko-KR" w:bidi="he-IL"/>
              </w:rPr>
              <w:t>8 (1.6%)</w:t>
            </w:r>
          </w:p>
        </w:tc>
        <w:tc>
          <w:tcPr>
            <w:tcW w:w="1548" w:type="dxa"/>
            <w:shd w:val="clear" w:color="auto" w:fill="auto"/>
            <w:vAlign w:val="center"/>
          </w:tcPr>
          <w:p w:rsidR="009C11B7" w:rsidRPr="00BD59C2" w:rsidRDefault="009C11B7" w:rsidP="00BD59C2">
            <w:pPr>
              <w:spacing w:before="40" w:after="40"/>
              <w:jc w:val="center"/>
              <w:rPr>
                <w:rFonts w:cs="Arial"/>
                <w:sz w:val="22"/>
                <w:lang w:eastAsia="ko-KR" w:bidi="he-IL"/>
              </w:rPr>
            </w:pPr>
            <w:r>
              <w:rPr>
                <w:rFonts w:cs="Arial"/>
                <w:sz w:val="22"/>
                <w:lang w:eastAsia="ko-KR" w:bidi="he-IL"/>
              </w:rPr>
              <w:t>4 (1.7%)</w:t>
            </w:r>
          </w:p>
        </w:tc>
        <w:tc>
          <w:tcPr>
            <w:tcW w:w="1548" w:type="dxa"/>
            <w:shd w:val="clear" w:color="auto" w:fill="auto"/>
            <w:vAlign w:val="center"/>
          </w:tcPr>
          <w:p w:rsidR="00DD5C01" w:rsidRPr="00BD59C2" w:rsidRDefault="00334F45" w:rsidP="00BD59C2">
            <w:pPr>
              <w:spacing w:before="40" w:after="40"/>
              <w:jc w:val="center"/>
              <w:rPr>
                <w:rFonts w:cs="Arial"/>
                <w:sz w:val="22"/>
                <w:lang w:eastAsia="ko-KR" w:bidi="he-IL"/>
              </w:rPr>
            </w:pPr>
            <w:r w:rsidRPr="00BD59C2">
              <w:rPr>
                <w:rFonts w:cs="Arial"/>
                <w:sz w:val="22"/>
                <w:lang w:eastAsia="ko-KR" w:bidi="he-IL"/>
              </w:rPr>
              <w:t>Common</w:t>
            </w:r>
          </w:p>
        </w:tc>
      </w:tr>
      <w:tr w:rsidR="00776D44" w:rsidRPr="00BD59C2" w:rsidTr="00BD59C2">
        <w:tc>
          <w:tcPr>
            <w:tcW w:w="1668" w:type="dxa"/>
            <w:shd w:val="clear" w:color="auto" w:fill="auto"/>
          </w:tcPr>
          <w:p w:rsidR="00776D44" w:rsidRPr="00BD59C2" w:rsidDel="00776D44" w:rsidRDefault="00025852" w:rsidP="00BD59C2">
            <w:pPr>
              <w:spacing w:before="40" w:after="40"/>
              <w:jc w:val="left"/>
              <w:rPr>
                <w:rFonts w:cs="Arial"/>
                <w:sz w:val="22"/>
                <w:lang w:eastAsia="ko-KR" w:bidi="he-IL"/>
              </w:rPr>
            </w:pPr>
            <w:r>
              <w:rPr>
                <w:rFonts w:cs="Arial"/>
                <w:sz w:val="22"/>
                <w:lang w:eastAsia="ko-KR" w:bidi="he-IL"/>
              </w:rPr>
              <w:t>Conjunctivitis</w:t>
            </w:r>
          </w:p>
        </w:tc>
        <w:tc>
          <w:tcPr>
            <w:tcW w:w="1427" w:type="dxa"/>
            <w:shd w:val="clear" w:color="auto" w:fill="auto"/>
            <w:vAlign w:val="center"/>
          </w:tcPr>
          <w:p w:rsidR="00776D44" w:rsidRPr="00BD59C2" w:rsidDel="00776D44" w:rsidRDefault="00025852" w:rsidP="00BD59C2">
            <w:pPr>
              <w:spacing w:before="40" w:after="40"/>
              <w:jc w:val="center"/>
              <w:rPr>
                <w:rFonts w:cs="Arial"/>
                <w:sz w:val="22"/>
                <w:lang w:eastAsia="ko-KR" w:bidi="he-IL"/>
              </w:rPr>
            </w:pPr>
            <w:r>
              <w:rPr>
                <w:rFonts w:cs="Arial"/>
                <w:sz w:val="22"/>
                <w:lang w:eastAsia="ko-KR" w:bidi="he-IL"/>
              </w:rPr>
              <w:t>9 (1.1%)</w:t>
            </w:r>
          </w:p>
        </w:tc>
        <w:tc>
          <w:tcPr>
            <w:tcW w:w="1548" w:type="dxa"/>
            <w:shd w:val="clear" w:color="auto" w:fill="auto"/>
            <w:vAlign w:val="center"/>
          </w:tcPr>
          <w:p w:rsidR="00776D44" w:rsidRPr="00BD59C2" w:rsidDel="00776D44" w:rsidRDefault="00025852" w:rsidP="00BD59C2">
            <w:pPr>
              <w:spacing w:before="40" w:after="40"/>
              <w:jc w:val="center"/>
              <w:rPr>
                <w:rFonts w:cs="Arial"/>
                <w:sz w:val="22"/>
                <w:lang w:eastAsia="ko-KR" w:bidi="he-IL"/>
              </w:rPr>
            </w:pPr>
            <w:r>
              <w:rPr>
                <w:rFonts w:cs="Arial"/>
                <w:sz w:val="22"/>
                <w:lang w:eastAsia="ko-KR" w:bidi="he-IL"/>
              </w:rPr>
              <w:t>5 (0.6%)</w:t>
            </w:r>
          </w:p>
        </w:tc>
        <w:tc>
          <w:tcPr>
            <w:tcW w:w="1548" w:type="dxa"/>
            <w:shd w:val="clear" w:color="auto" w:fill="auto"/>
            <w:vAlign w:val="center"/>
          </w:tcPr>
          <w:p w:rsidR="00776D44" w:rsidRPr="00BD59C2" w:rsidDel="00776D44" w:rsidRDefault="00025852" w:rsidP="00BD59C2">
            <w:pPr>
              <w:spacing w:before="40" w:after="40"/>
              <w:jc w:val="center"/>
              <w:rPr>
                <w:rFonts w:cs="Arial"/>
                <w:sz w:val="22"/>
                <w:lang w:eastAsia="ko-KR" w:bidi="he-IL"/>
              </w:rPr>
            </w:pPr>
            <w:r>
              <w:rPr>
                <w:rFonts w:cs="Arial"/>
                <w:sz w:val="22"/>
                <w:lang w:eastAsia="ko-KR" w:bidi="he-IL"/>
              </w:rPr>
              <w:t>10 (2.1%)</w:t>
            </w:r>
          </w:p>
        </w:tc>
        <w:tc>
          <w:tcPr>
            <w:tcW w:w="1548" w:type="dxa"/>
            <w:shd w:val="clear" w:color="auto" w:fill="auto"/>
            <w:vAlign w:val="center"/>
          </w:tcPr>
          <w:p w:rsidR="00776D44" w:rsidRPr="00BD59C2" w:rsidDel="00776D44" w:rsidRDefault="00025852" w:rsidP="00BD59C2">
            <w:pPr>
              <w:spacing w:before="40" w:after="40"/>
              <w:jc w:val="center"/>
              <w:rPr>
                <w:rFonts w:cs="Arial"/>
                <w:sz w:val="22"/>
                <w:lang w:eastAsia="ko-KR" w:bidi="he-IL"/>
              </w:rPr>
            </w:pPr>
            <w:r>
              <w:rPr>
                <w:rFonts w:cs="Arial"/>
                <w:sz w:val="22"/>
                <w:lang w:eastAsia="ko-KR" w:bidi="he-IL"/>
              </w:rPr>
              <w:t>1 (0.4%)</w:t>
            </w:r>
          </w:p>
        </w:tc>
        <w:tc>
          <w:tcPr>
            <w:tcW w:w="1548" w:type="dxa"/>
            <w:shd w:val="clear" w:color="auto" w:fill="auto"/>
            <w:vAlign w:val="center"/>
          </w:tcPr>
          <w:p w:rsidR="00776D44" w:rsidRPr="00BD59C2" w:rsidDel="00776D44" w:rsidRDefault="00025852" w:rsidP="00BD59C2">
            <w:pPr>
              <w:spacing w:before="40" w:after="40"/>
              <w:jc w:val="center"/>
              <w:rPr>
                <w:rFonts w:cs="Arial"/>
                <w:sz w:val="22"/>
                <w:lang w:eastAsia="ko-KR" w:bidi="he-IL"/>
              </w:rPr>
            </w:pPr>
            <w:r>
              <w:rPr>
                <w:rFonts w:cs="Arial"/>
                <w:sz w:val="22"/>
                <w:lang w:eastAsia="ko-KR" w:bidi="he-IL"/>
              </w:rPr>
              <w:t>Common</w:t>
            </w:r>
          </w:p>
        </w:tc>
      </w:tr>
      <w:tr w:rsidR="00776D44" w:rsidRPr="00BD59C2" w:rsidTr="00BD59C2">
        <w:tc>
          <w:tcPr>
            <w:tcW w:w="1668" w:type="dxa"/>
            <w:shd w:val="clear" w:color="auto" w:fill="auto"/>
          </w:tcPr>
          <w:p w:rsidR="00776D44" w:rsidRPr="00BD59C2" w:rsidDel="00776D44" w:rsidRDefault="00025852" w:rsidP="00BD59C2">
            <w:pPr>
              <w:spacing w:before="40" w:after="40"/>
              <w:jc w:val="left"/>
              <w:rPr>
                <w:rFonts w:cs="Arial"/>
                <w:sz w:val="22"/>
                <w:lang w:eastAsia="ko-KR" w:bidi="he-IL"/>
              </w:rPr>
            </w:pPr>
            <w:r>
              <w:rPr>
                <w:rFonts w:cs="Arial"/>
                <w:sz w:val="22"/>
                <w:lang w:eastAsia="ko-KR" w:bidi="he-IL"/>
              </w:rPr>
              <w:t>Cellulitis</w:t>
            </w:r>
          </w:p>
        </w:tc>
        <w:tc>
          <w:tcPr>
            <w:tcW w:w="1427" w:type="dxa"/>
            <w:shd w:val="clear" w:color="auto" w:fill="auto"/>
            <w:vAlign w:val="center"/>
          </w:tcPr>
          <w:p w:rsidR="00776D44" w:rsidRPr="00BD59C2" w:rsidDel="00776D44" w:rsidRDefault="00025852" w:rsidP="00BD59C2">
            <w:pPr>
              <w:spacing w:before="40" w:after="40"/>
              <w:jc w:val="center"/>
              <w:rPr>
                <w:rFonts w:cs="Arial"/>
                <w:sz w:val="22"/>
                <w:lang w:eastAsia="ko-KR" w:bidi="he-IL"/>
              </w:rPr>
            </w:pPr>
            <w:r>
              <w:rPr>
                <w:rFonts w:cs="Arial"/>
                <w:sz w:val="22"/>
                <w:lang w:eastAsia="ko-KR" w:bidi="he-IL"/>
              </w:rPr>
              <w:t>7 (0.8%</w:t>
            </w:r>
            <w:r w:rsidR="004F1CA1">
              <w:rPr>
                <w:rFonts w:cs="Arial"/>
                <w:sz w:val="22"/>
                <w:lang w:eastAsia="ko-KR" w:bidi="he-IL"/>
              </w:rPr>
              <w:t>)</w:t>
            </w:r>
          </w:p>
        </w:tc>
        <w:tc>
          <w:tcPr>
            <w:tcW w:w="1548" w:type="dxa"/>
            <w:shd w:val="clear" w:color="auto" w:fill="auto"/>
            <w:vAlign w:val="center"/>
          </w:tcPr>
          <w:p w:rsidR="00776D44" w:rsidRPr="00BD59C2" w:rsidDel="00776D44" w:rsidRDefault="0017753A" w:rsidP="00BD59C2">
            <w:pPr>
              <w:spacing w:before="40" w:after="40"/>
              <w:jc w:val="center"/>
              <w:rPr>
                <w:rFonts w:cs="Arial"/>
                <w:sz w:val="22"/>
                <w:lang w:eastAsia="ko-KR" w:bidi="he-IL"/>
              </w:rPr>
            </w:pPr>
            <w:r>
              <w:rPr>
                <w:rFonts w:cs="Arial"/>
                <w:sz w:val="22"/>
                <w:lang w:eastAsia="ko-KR" w:bidi="he-IL"/>
              </w:rPr>
              <w:t>5 (0.6%)</w:t>
            </w:r>
          </w:p>
        </w:tc>
        <w:tc>
          <w:tcPr>
            <w:tcW w:w="1548" w:type="dxa"/>
            <w:shd w:val="clear" w:color="auto" w:fill="auto"/>
            <w:vAlign w:val="center"/>
          </w:tcPr>
          <w:p w:rsidR="00776D44" w:rsidRPr="00BD59C2" w:rsidDel="00776D44" w:rsidRDefault="0017753A" w:rsidP="00BD59C2">
            <w:pPr>
              <w:spacing w:before="40" w:after="40"/>
              <w:jc w:val="center"/>
              <w:rPr>
                <w:rFonts w:cs="Arial"/>
                <w:sz w:val="22"/>
                <w:lang w:eastAsia="ko-KR" w:bidi="he-IL"/>
              </w:rPr>
            </w:pPr>
            <w:r>
              <w:rPr>
                <w:rFonts w:cs="Arial"/>
                <w:sz w:val="22"/>
                <w:lang w:eastAsia="ko-KR" w:bidi="he-IL"/>
              </w:rPr>
              <w:t>11 (2.3%)</w:t>
            </w:r>
          </w:p>
        </w:tc>
        <w:tc>
          <w:tcPr>
            <w:tcW w:w="1548" w:type="dxa"/>
            <w:shd w:val="clear" w:color="auto" w:fill="auto"/>
            <w:vAlign w:val="center"/>
          </w:tcPr>
          <w:p w:rsidR="00776D44" w:rsidRPr="00BD59C2" w:rsidDel="00776D44" w:rsidRDefault="0017753A" w:rsidP="00BD59C2">
            <w:pPr>
              <w:spacing w:before="40" w:after="40"/>
              <w:jc w:val="center"/>
              <w:rPr>
                <w:rFonts w:cs="Arial"/>
                <w:sz w:val="22"/>
                <w:lang w:eastAsia="ko-KR" w:bidi="he-IL"/>
              </w:rPr>
            </w:pPr>
            <w:r>
              <w:rPr>
                <w:rFonts w:cs="Arial"/>
                <w:sz w:val="22"/>
                <w:lang w:eastAsia="ko-KR" w:bidi="he-IL"/>
              </w:rPr>
              <w:t>1 (0.4%)</w:t>
            </w:r>
          </w:p>
        </w:tc>
        <w:tc>
          <w:tcPr>
            <w:tcW w:w="1548" w:type="dxa"/>
            <w:shd w:val="clear" w:color="auto" w:fill="auto"/>
            <w:vAlign w:val="center"/>
          </w:tcPr>
          <w:p w:rsidR="00776D44" w:rsidRPr="00BD59C2" w:rsidDel="00776D44" w:rsidRDefault="0017753A" w:rsidP="00BD59C2">
            <w:pPr>
              <w:spacing w:before="40" w:after="40"/>
              <w:jc w:val="center"/>
              <w:rPr>
                <w:rFonts w:cs="Arial"/>
                <w:sz w:val="22"/>
                <w:lang w:eastAsia="ko-KR" w:bidi="he-IL"/>
              </w:rPr>
            </w:pPr>
            <w:r>
              <w:rPr>
                <w:rFonts w:cs="Arial"/>
                <w:sz w:val="22"/>
                <w:lang w:eastAsia="ko-KR" w:bidi="he-IL"/>
              </w:rPr>
              <w:t>Common</w:t>
            </w:r>
          </w:p>
        </w:tc>
      </w:tr>
      <w:tr w:rsidR="00334F45" w:rsidRPr="00BD59C2" w:rsidTr="00BD59C2">
        <w:tc>
          <w:tcPr>
            <w:tcW w:w="9287" w:type="dxa"/>
            <w:gridSpan w:val="6"/>
            <w:shd w:val="clear" w:color="auto" w:fill="auto"/>
          </w:tcPr>
          <w:p w:rsidR="00334F45" w:rsidRPr="00BD59C2" w:rsidRDefault="00334F45" w:rsidP="00BD59C2">
            <w:pPr>
              <w:spacing w:before="40" w:after="40"/>
              <w:rPr>
                <w:rFonts w:cs="Arial"/>
                <w:b/>
                <w:sz w:val="22"/>
                <w:lang w:eastAsia="ko-KR" w:bidi="he-IL"/>
              </w:rPr>
            </w:pPr>
            <w:r w:rsidRPr="00BD59C2">
              <w:rPr>
                <w:rFonts w:cs="Arial"/>
                <w:b/>
                <w:sz w:val="22"/>
                <w:lang w:eastAsia="ko-KR" w:bidi="he-IL"/>
              </w:rPr>
              <w:t>Respiratory, Thoracic and Mediastinal Disorders</w:t>
            </w:r>
          </w:p>
        </w:tc>
      </w:tr>
      <w:tr w:rsidR="00334F45" w:rsidRPr="00BD59C2" w:rsidTr="00BD59C2">
        <w:tc>
          <w:tcPr>
            <w:tcW w:w="1668" w:type="dxa"/>
            <w:shd w:val="clear" w:color="auto" w:fill="auto"/>
          </w:tcPr>
          <w:p w:rsidR="00334F45" w:rsidRPr="00BD59C2" w:rsidRDefault="00334F45" w:rsidP="00BD59C2">
            <w:pPr>
              <w:spacing w:before="40" w:after="40"/>
              <w:jc w:val="left"/>
              <w:rPr>
                <w:rFonts w:cs="Arial"/>
                <w:sz w:val="22"/>
                <w:lang w:eastAsia="ko-KR" w:bidi="he-IL"/>
              </w:rPr>
            </w:pPr>
            <w:r w:rsidRPr="00BD59C2">
              <w:rPr>
                <w:rFonts w:cs="Arial"/>
                <w:sz w:val="22"/>
                <w:lang w:eastAsia="ko-KR" w:bidi="he-IL"/>
              </w:rPr>
              <w:t>Cough</w:t>
            </w:r>
          </w:p>
        </w:tc>
        <w:tc>
          <w:tcPr>
            <w:tcW w:w="1427" w:type="dxa"/>
            <w:shd w:val="clear" w:color="auto" w:fill="auto"/>
          </w:tcPr>
          <w:p w:rsidR="00334F45" w:rsidRPr="00BD59C2" w:rsidRDefault="00334F45" w:rsidP="00BD59C2">
            <w:pPr>
              <w:spacing w:before="40" w:after="40"/>
              <w:jc w:val="center"/>
              <w:rPr>
                <w:rFonts w:cs="Arial"/>
                <w:sz w:val="22"/>
                <w:lang w:eastAsia="ko-KR" w:bidi="he-IL"/>
              </w:rPr>
            </w:pPr>
            <w:r w:rsidRPr="00BD59C2">
              <w:rPr>
                <w:rFonts w:cs="Arial"/>
                <w:sz w:val="22"/>
                <w:lang w:eastAsia="ko-KR" w:bidi="he-IL"/>
              </w:rPr>
              <w:t>25 (3.0%)</w:t>
            </w:r>
          </w:p>
        </w:tc>
        <w:tc>
          <w:tcPr>
            <w:tcW w:w="1548" w:type="dxa"/>
            <w:shd w:val="clear" w:color="auto" w:fill="auto"/>
          </w:tcPr>
          <w:p w:rsidR="00334F45" w:rsidRPr="00BD59C2" w:rsidRDefault="00334F45" w:rsidP="00BD59C2">
            <w:pPr>
              <w:spacing w:before="40" w:after="40"/>
              <w:jc w:val="center"/>
              <w:rPr>
                <w:rFonts w:cs="Arial"/>
                <w:sz w:val="22"/>
                <w:lang w:eastAsia="ko-KR" w:bidi="he-IL"/>
              </w:rPr>
            </w:pPr>
            <w:r w:rsidRPr="00BD59C2">
              <w:rPr>
                <w:rFonts w:cs="Arial"/>
                <w:sz w:val="22"/>
                <w:lang w:eastAsia="ko-KR" w:bidi="he-IL"/>
              </w:rPr>
              <w:t>12 (1.5%)</w:t>
            </w:r>
          </w:p>
        </w:tc>
        <w:tc>
          <w:tcPr>
            <w:tcW w:w="1548" w:type="dxa"/>
            <w:shd w:val="clear" w:color="auto" w:fill="auto"/>
          </w:tcPr>
          <w:p w:rsidR="0017753A" w:rsidRPr="00BD59C2" w:rsidRDefault="0017753A" w:rsidP="00BD59C2">
            <w:pPr>
              <w:spacing w:before="40" w:after="40"/>
              <w:jc w:val="center"/>
              <w:rPr>
                <w:rFonts w:cs="Arial"/>
                <w:sz w:val="22"/>
                <w:lang w:eastAsia="ko-KR" w:bidi="he-IL"/>
              </w:rPr>
            </w:pPr>
            <w:r>
              <w:rPr>
                <w:rFonts w:cs="Arial"/>
                <w:sz w:val="22"/>
                <w:lang w:eastAsia="ko-KR" w:bidi="he-IL"/>
              </w:rPr>
              <w:t>34 (7.0%)</w:t>
            </w:r>
          </w:p>
        </w:tc>
        <w:tc>
          <w:tcPr>
            <w:tcW w:w="1548" w:type="dxa"/>
            <w:shd w:val="clear" w:color="auto" w:fill="auto"/>
          </w:tcPr>
          <w:p w:rsidR="00334F45" w:rsidRPr="00BD59C2" w:rsidRDefault="00334F45" w:rsidP="00BD59C2">
            <w:pPr>
              <w:spacing w:before="40" w:after="40"/>
              <w:jc w:val="center"/>
              <w:rPr>
                <w:rFonts w:cs="Arial"/>
                <w:sz w:val="22"/>
                <w:lang w:eastAsia="ko-KR" w:bidi="he-IL"/>
              </w:rPr>
            </w:pPr>
            <w:r w:rsidRPr="00BD59C2">
              <w:rPr>
                <w:rFonts w:cs="Arial"/>
                <w:sz w:val="22"/>
                <w:lang w:eastAsia="ko-KR" w:bidi="he-IL"/>
              </w:rPr>
              <w:t>8 (3.3%)</w:t>
            </w:r>
          </w:p>
        </w:tc>
        <w:tc>
          <w:tcPr>
            <w:tcW w:w="1548" w:type="dxa"/>
            <w:shd w:val="clear" w:color="auto" w:fill="auto"/>
          </w:tcPr>
          <w:p w:rsidR="00334F45" w:rsidRPr="00BD59C2" w:rsidRDefault="00334F45" w:rsidP="00BD59C2">
            <w:pPr>
              <w:spacing w:before="40" w:after="40"/>
              <w:jc w:val="center"/>
              <w:rPr>
                <w:rFonts w:cs="Arial"/>
                <w:sz w:val="22"/>
                <w:lang w:eastAsia="ko-KR" w:bidi="he-IL"/>
              </w:rPr>
            </w:pPr>
            <w:r w:rsidRPr="00BD59C2">
              <w:rPr>
                <w:rFonts w:cs="Arial"/>
                <w:sz w:val="22"/>
                <w:lang w:eastAsia="ko-KR" w:bidi="he-IL"/>
              </w:rPr>
              <w:t>Common</w:t>
            </w:r>
          </w:p>
        </w:tc>
      </w:tr>
      <w:tr w:rsidR="00334F45" w:rsidRPr="00BD59C2" w:rsidTr="00BD59C2">
        <w:tc>
          <w:tcPr>
            <w:tcW w:w="1668" w:type="dxa"/>
            <w:shd w:val="clear" w:color="auto" w:fill="auto"/>
          </w:tcPr>
          <w:p w:rsidR="00334F45" w:rsidRPr="00BD59C2" w:rsidRDefault="00334F45" w:rsidP="00BD59C2">
            <w:pPr>
              <w:spacing w:before="40" w:after="40"/>
              <w:jc w:val="left"/>
              <w:rPr>
                <w:rFonts w:cs="Arial"/>
                <w:sz w:val="22"/>
                <w:lang w:eastAsia="ko-KR" w:bidi="he-IL"/>
              </w:rPr>
            </w:pPr>
            <w:r w:rsidRPr="00BD59C2">
              <w:rPr>
                <w:rFonts w:cs="Arial"/>
                <w:sz w:val="22"/>
                <w:lang w:eastAsia="ko-KR" w:bidi="he-IL"/>
              </w:rPr>
              <w:t>Catarrh</w:t>
            </w:r>
          </w:p>
        </w:tc>
        <w:tc>
          <w:tcPr>
            <w:tcW w:w="1427" w:type="dxa"/>
            <w:shd w:val="clear" w:color="auto" w:fill="auto"/>
          </w:tcPr>
          <w:p w:rsidR="00334F45" w:rsidRPr="00BD59C2" w:rsidRDefault="0017753A" w:rsidP="0017753A">
            <w:pPr>
              <w:spacing w:before="40" w:after="40"/>
              <w:jc w:val="center"/>
              <w:rPr>
                <w:rFonts w:cs="Arial"/>
                <w:sz w:val="22"/>
                <w:lang w:eastAsia="ko-KR" w:bidi="he-IL"/>
              </w:rPr>
            </w:pPr>
            <w:r>
              <w:rPr>
                <w:rFonts w:cs="Arial"/>
                <w:sz w:val="22"/>
                <w:lang w:eastAsia="ko-KR" w:bidi="he-IL"/>
              </w:rPr>
              <w:t>0</w:t>
            </w:r>
          </w:p>
        </w:tc>
        <w:tc>
          <w:tcPr>
            <w:tcW w:w="1548" w:type="dxa"/>
            <w:shd w:val="clear" w:color="auto" w:fill="auto"/>
          </w:tcPr>
          <w:p w:rsidR="00334F45" w:rsidRPr="00BD59C2" w:rsidRDefault="0017753A" w:rsidP="0017753A">
            <w:pPr>
              <w:spacing w:before="40" w:after="40"/>
              <w:jc w:val="center"/>
              <w:rPr>
                <w:rFonts w:cs="Arial"/>
                <w:sz w:val="22"/>
                <w:lang w:eastAsia="ko-KR" w:bidi="he-IL"/>
              </w:rPr>
            </w:pPr>
            <w:r>
              <w:rPr>
                <w:rFonts w:cs="Arial"/>
                <w:sz w:val="22"/>
                <w:lang w:eastAsia="ko-KR" w:bidi="he-IL"/>
              </w:rPr>
              <w:t>0</w:t>
            </w:r>
          </w:p>
        </w:tc>
        <w:tc>
          <w:tcPr>
            <w:tcW w:w="1548" w:type="dxa"/>
            <w:shd w:val="clear" w:color="auto" w:fill="auto"/>
          </w:tcPr>
          <w:p w:rsidR="00334F45" w:rsidRPr="00BD59C2" w:rsidRDefault="00334F45" w:rsidP="00BD59C2">
            <w:pPr>
              <w:spacing w:before="40" w:after="40"/>
              <w:jc w:val="center"/>
              <w:rPr>
                <w:rFonts w:cs="Arial"/>
                <w:sz w:val="22"/>
                <w:lang w:eastAsia="ko-KR" w:bidi="he-IL"/>
              </w:rPr>
            </w:pPr>
            <w:r w:rsidRPr="00BD59C2">
              <w:rPr>
                <w:rFonts w:cs="Arial"/>
                <w:sz w:val="22"/>
                <w:lang w:eastAsia="ko-KR" w:bidi="he-IL"/>
              </w:rPr>
              <w:t>10 (2.1%)</w:t>
            </w:r>
          </w:p>
        </w:tc>
        <w:tc>
          <w:tcPr>
            <w:tcW w:w="1548" w:type="dxa"/>
            <w:shd w:val="clear" w:color="auto" w:fill="auto"/>
          </w:tcPr>
          <w:p w:rsidR="00334F45" w:rsidRPr="00BD59C2" w:rsidRDefault="00334F45" w:rsidP="00BD59C2">
            <w:pPr>
              <w:spacing w:before="40" w:after="40"/>
              <w:jc w:val="center"/>
              <w:rPr>
                <w:rFonts w:cs="Arial"/>
                <w:sz w:val="22"/>
                <w:lang w:eastAsia="ko-KR" w:bidi="he-IL"/>
              </w:rPr>
            </w:pPr>
            <w:r w:rsidRPr="00BD59C2">
              <w:rPr>
                <w:rFonts w:cs="Arial"/>
                <w:sz w:val="22"/>
                <w:lang w:eastAsia="ko-KR" w:bidi="he-IL"/>
              </w:rPr>
              <w:t>2 (0.8%)</w:t>
            </w:r>
          </w:p>
        </w:tc>
        <w:tc>
          <w:tcPr>
            <w:tcW w:w="1548" w:type="dxa"/>
            <w:shd w:val="clear" w:color="auto" w:fill="auto"/>
          </w:tcPr>
          <w:p w:rsidR="00334F45" w:rsidRPr="00BD59C2" w:rsidRDefault="00334F45" w:rsidP="00BD59C2">
            <w:pPr>
              <w:spacing w:before="40" w:after="40"/>
              <w:jc w:val="center"/>
              <w:rPr>
                <w:rFonts w:cs="Arial"/>
                <w:sz w:val="22"/>
                <w:lang w:eastAsia="ko-KR" w:bidi="he-IL"/>
              </w:rPr>
            </w:pPr>
            <w:r w:rsidRPr="00BD59C2">
              <w:rPr>
                <w:rFonts w:cs="Arial"/>
                <w:sz w:val="22"/>
                <w:lang w:eastAsia="ko-KR" w:bidi="he-IL"/>
              </w:rPr>
              <w:t>Common</w:t>
            </w:r>
          </w:p>
        </w:tc>
      </w:tr>
    </w:tbl>
    <w:p w:rsidR="00E719F9" w:rsidRPr="00334F45" w:rsidRDefault="00334F45" w:rsidP="007577C1">
      <w:pPr>
        <w:rPr>
          <w:rFonts w:cs="Arial"/>
          <w:lang w:eastAsia="ko-KR" w:bidi="he-IL"/>
        </w:rPr>
      </w:pPr>
      <w:r w:rsidRPr="00334F45">
        <w:rPr>
          <w:rFonts w:cs="Arial"/>
          <w:vertAlign w:val="superscript"/>
          <w:lang w:eastAsia="ko-KR" w:bidi="he-IL"/>
        </w:rPr>
        <w:t>1</w:t>
      </w:r>
      <w:r w:rsidR="00E719F9" w:rsidRPr="00334F45">
        <w:rPr>
          <w:rFonts w:cs="Arial"/>
          <w:vertAlign w:val="superscript"/>
          <w:lang w:eastAsia="ko-KR" w:bidi="he-IL"/>
        </w:rPr>
        <w:t xml:space="preserve"> </w:t>
      </w:r>
      <w:r w:rsidRPr="00334F45">
        <w:rPr>
          <w:rFonts w:cs="Arial"/>
          <w:lang w:eastAsia="ko-KR" w:bidi="he-IL"/>
        </w:rPr>
        <w:t xml:space="preserve">Interferon beta-1a 44 mcg </w:t>
      </w:r>
      <w:proofErr w:type="spellStart"/>
      <w:proofErr w:type="gramStart"/>
      <w:r w:rsidRPr="00334F45">
        <w:rPr>
          <w:rFonts w:cs="Arial"/>
          <w:lang w:eastAsia="ko-KR" w:bidi="he-IL"/>
        </w:rPr>
        <w:t>s.c</w:t>
      </w:r>
      <w:proofErr w:type="gramEnd"/>
      <w:r w:rsidRPr="00334F45">
        <w:rPr>
          <w:rFonts w:cs="Arial"/>
          <w:lang w:eastAsia="ko-KR" w:bidi="he-IL"/>
        </w:rPr>
        <w:t>.</w:t>
      </w:r>
      <w:proofErr w:type="spellEnd"/>
      <w:r w:rsidRPr="00334F45">
        <w:rPr>
          <w:rFonts w:cs="Arial"/>
          <w:lang w:eastAsia="ko-KR" w:bidi="he-IL"/>
        </w:rPr>
        <w:t xml:space="preserve"> or placebo</w:t>
      </w:r>
    </w:p>
    <w:p w:rsidR="00334F45" w:rsidRPr="00334F45" w:rsidRDefault="00334F45" w:rsidP="007577C1">
      <w:pPr>
        <w:rPr>
          <w:rFonts w:cs="Arial"/>
          <w:lang w:eastAsia="ko-KR" w:bidi="he-IL"/>
        </w:rPr>
      </w:pPr>
      <w:r w:rsidRPr="00334F45">
        <w:rPr>
          <w:rFonts w:cs="Arial"/>
          <w:vertAlign w:val="superscript"/>
          <w:lang w:eastAsia="ko-KR" w:bidi="he-IL"/>
        </w:rPr>
        <w:t>2</w:t>
      </w:r>
      <w:r w:rsidRPr="00334F45">
        <w:rPr>
          <w:rFonts w:cs="Arial"/>
          <w:lang w:eastAsia="ko-KR" w:bidi="he-IL"/>
        </w:rPr>
        <w:t xml:space="preserve"> PPM</w:t>
      </w:r>
      <w:r w:rsidR="00E34396">
        <w:rPr>
          <w:rFonts w:cs="Arial"/>
          <w:lang w:eastAsia="ko-KR" w:bidi="he-IL"/>
        </w:rPr>
        <w:t>S</w:t>
      </w:r>
      <w:r w:rsidRPr="00334F45">
        <w:rPr>
          <w:rFonts w:cs="Arial"/>
          <w:lang w:eastAsia="ko-KR" w:bidi="he-IL"/>
        </w:rPr>
        <w:t xml:space="preserve"> patients were randomised 2:1 (</w:t>
      </w:r>
      <w:proofErr w:type="spellStart"/>
      <w:r w:rsidRPr="00334F45">
        <w:rPr>
          <w:rFonts w:cs="Arial"/>
          <w:lang w:eastAsia="ko-KR" w:bidi="he-IL"/>
        </w:rPr>
        <w:t>OCREVUS</w:t>
      </w:r>
      <w:proofErr w:type="gramStart"/>
      <w:r w:rsidRPr="00334F45">
        <w:rPr>
          <w:rFonts w:cs="Arial"/>
          <w:lang w:eastAsia="ko-KR" w:bidi="he-IL"/>
        </w:rPr>
        <w:t>:placebo</w:t>
      </w:r>
      <w:proofErr w:type="spellEnd"/>
      <w:proofErr w:type="gramEnd"/>
      <w:r w:rsidRPr="00334F45">
        <w:rPr>
          <w:rFonts w:cs="Arial"/>
          <w:lang w:eastAsia="ko-KR" w:bidi="he-IL"/>
        </w:rPr>
        <w:t>)</w:t>
      </w:r>
    </w:p>
    <w:p w:rsidR="00626363" w:rsidRPr="00D7164F" w:rsidRDefault="00334F45" w:rsidP="00A6146B">
      <w:pPr>
        <w:rPr>
          <w:rFonts w:cs="Arial"/>
          <w:i/>
          <w:lang w:eastAsia="ko-KR" w:bidi="he-IL"/>
        </w:rPr>
      </w:pPr>
      <w:r w:rsidRPr="00334F45">
        <w:rPr>
          <w:rFonts w:cs="Arial"/>
          <w:vertAlign w:val="superscript"/>
          <w:lang w:eastAsia="ko-KR" w:bidi="he-IL"/>
        </w:rPr>
        <w:t>3</w:t>
      </w:r>
      <w:r w:rsidRPr="00334F45">
        <w:rPr>
          <w:rFonts w:cs="Arial"/>
          <w:lang w:eastAsia="ko-KR" w:bidi="he-IL"/>
        </w:rPr>
        <w:t xml:space="preserve"> Symptoms reported as IRRs within 24 hours of infusion are described below under </w:t>
      </w:r>
      <w:r w:rsidRPr="00334F45">
        <w:rPr>
          <w:rFonts w:cs="Arial"/>
          <w:i/>
          <w:lang w:eastAsia="ko-KR" w:bidi="he-IL"/>
        </w:rPr>
        <w:t>Infusion Related Reactions</w:t>
      </w:r>
    </w:p>
    <w:p w:rsidR="001A1DBF" w:rsidRPr="00DC13A1" w:rsidRDefault="00DC13A1" w:rsidP="009313C0">
      <w:pPr>
        <w:pStyle w:val="Heading2"/>
        <w:numPr>
          <w:ilvl w:val="0"/>
          <w:numId w:val="0"/>
        </w:numPr>
      </w:pPr>
      <w:r w:rsidRPr="00DC13A1">
        <w:t>Infusion Related Reactions</w:t>
      </w:r>
    </w:p>
    <w:p w:rsidR="00DC13A1" w:rsidRPr="00DC13A1" w:rsidRDefault="00DC13A1" w:rsidP="00E719F9">
      <w:r w:rsidRPr="00DC13A1">
        <w:t xml:space="preserve">Across the RMS and PPMS trials, symptoms associated with IRRs included, but are not limited to, pruritus, rash, </w:t>
      </w:r>
      <w:proofErr w:type="spellStart"/>
      <w:r w:rsidRPr="00DC13A1">
        <w:t>urticaria</w:t>
      </w:r>
      <w:proofErr w:type="spellEnd"/>
      <w:r w:rsidRPr="00DC13A1">
        <w:t>, erythema, flushing, hypotension, pyrexia, fatigue, headache, dizziness, throat irritation, oropharyngeal pain, dyspnoea, pharyngeal or laryngeal oedema, nausea and tachycardia. In the controlled clinical trials there were no fatal IRRs.</w:t>
      </w:r>
    </w:p>
    <w:p w:rsidR="001A1DBF" w:rsidRDefault="001A1DBF" w:rsidP="001A1DBF"/>
    <w:p w:rsidR="00DC13A1" w:rsidRDefault="00DC13A1" w:rsidP="001A1DBF">
      <w:r>
        <w:t>In the active-controlled RMS clinical trials, IRRs</w:t>
      </w:r>
      <w:r w:rsidR="00F9462C">
        <w:t xml:space="preserve"> were the most common adverse event in patients treated with OCREVUS 600 mg with an overall incidence of 34.3% compared with an incidence of 9.</w:t>
      </w:r>
      <w:r w:rsidR="0017753A">
        <w:t>9</w:t>
      </w:r>
      <w:r w:rsidR="00F9462C">
        <w:t xml:space="preserve">% in the interferon beta-1a treatment group (placebo infusion). The incidence of IRRs was highest during Dose 1, infusion 1 (27.5%) and decreased over time to &lt;10% at Dose 4. The majority of IRRs in both treatment groups were mild to moderate (see PRECAUTIONS - </w:t>
      </w:r>
      <w:r w:rsidR="00F9462C" w:rsidRPr="00F9462C">
        <w:rPr>
          <w:i/>
        </w:rPr>
        <w:t>Infusion Related Reactions</w:t>
      </w:r>
      <w:r w:rsidR="00F9462C">
        <w:t>).</w:t>
      </w:r>
    </w:p>
    <w:p w:rsidR="00F9462C" w:rsidRDefault="00F9462C" w:rsidP="001A1DBF"/>
    <w:p w:rsidR="00F9462C" w:rsidRDefault="00F9462C" w:rsidP="001A1DBF">
      <w:r>
        <w:t>In the placebo-controlled PPMS clinical trial, the incidence of IRRs was highest during Dose 1, infusion 1 (27.4%) and decreased with subsequent doses to &lt;</w:t>
      </w:r>
      <w:r w:rsidR="001536A3">
        <w:t xml:space="preserve"> </w:t>
      </w:r>
      <w:r>
        <w:t xml:space="preserve">10% at Dose 4. A greater proportion of patients in each group experienced IRRs with the first infusion of each dose compared with the second infusion of that dose. The majority of IRRs were mild to moderate (see PRECAUTIONS - </w:t>
      </w:r>
      <w:r w:rsidRPr="00F9462C">
        <w:rPr>
          <w:i/>
        </w:rPr>
        <w:t>Infusion Related Reactions</w:t>
      </w:r>
      <w:r>
        <w:t>).</w:t>
      </w:r>
    </w:p>
    <w:p w:rsidR="001D5350" w:rsidRDefault="001D5350" w:rsidP="001A1DBF"/>
    <w:p w:rsidR="001D5350" w:rsidRPr="00145B95" w:rsidRDefault="001D5350" w:rsidP="001A1DBF">
      <w:r>
        <w:t xml:space="preserve">Due to overall more infusions with the two x 300 mg </w:t>
      </w:r>
      <w:proofErr w:type="gramStart"/>
      <w:r>
        <w:t>regimen</w:t>
      </w:r>
      <w:proofErr w:type="gramEnd"/>
      <w:r>
        <w:t xml:space="preserve"> in the PPMS clinical trial, the total number of IRRs were higher. Therefore, after Dose 1 it is recommended to administer OCREVUS in a single 600 mg infusion in patients with RMS or PPMS (see Table 6) to reduce the total number of infusions (and concurrent exposure to prophylactic methylprednisolone) and IRRs (see PRECAUTIONS </w:t>
      </w:r>
      <w:r w:rsidRPr="001D5350">
        <w:t xml:space="preserve">- </w:t>
      </w:r>
      <w:r w:rsidRPr="001D5350">
        <w:rPr>
          <w:i/>
        </w:rPr>
        <w:t>Infusion Related Reactions</w:t>
      </w:r>
      <w:r>
        <w:t xml:space="preserve"> and DOSAGE AND ADMINISTRATION).</w:t>
      </w:r>
    </w:p>
    <w:p w:rsidR="0024043C" w:rsidRPr="00145B95" w:rsidRDefault="00145B95" w:rsidP="009313C0">
      <w:pPr>
        <w:pStyle w:val="Heading2"/>
        <w:numPr>
          <w:ilvl w:val="0"/>
          <w:numId w:val="0"/>
        </w:numPr>
      </w:pPr>
      <w:r w:rsidRPr="00145B95">
        <w:lastRenderedPageBreak/>
        <w:t>Infection</w:t>
      </w:r>
    </w:p>
    <w:p w:rsidR="0024043C" w:rsidRPr="00145B95" w:rsidRDefault="00145B95" w:rsidP="0024043C">
      <w:r w:rsidRPr="00145B95">
        <w:t>There was no increase in serious infections associated with OCREVUS treatment. In RMS patients the rate of serious infections was lower than for interferon beta-1a, and in PPMS patients the rate was similar to placebo.</w:t>
      </w:r>
    </w:p>
    <w:p w:rsidR="00145B95" w:rsidRPr="00145B95" w:rsidRDefault="00145B95" w:rsidP="0024043C"/>
    <w:p w:rsidR="00145B95" w:rsidRPr="00145B95" w:rsidRDefault="00145B95" w:rsidP="0024043C">
      <w:r w:rsidRPr="00145B95">
        <w:t>In the active-controlled RMS and placebo-controlled PPMS clinical trials, respiratory tract infections and herpes infections (both predominantly mild to moderate) were more frequently reported in the OCREVUS treatment arm.</w:t>
      </w:r>
    </w:p>
    <w:p w:rsidR="001455F0" w:rsidRPr="00145B95" w:rsidRDefault="00145B95" w:rsidP="009313C0">
      <w:pPr>
        <w:pStyle w:val="Heading2"/>
        <w:numPr>
          <w:ilvl w:val="0"/>
          <w:numId w:val="0"/>
        </w:numPr>
      </w:pPr>
      <w:r w:rsidRPr="00145B95">
        <w:t>Respiratory Tract Infections</w:t>
      </w:r>
    </w:p>
    <w:p w:rsidR="00AC724C" w:rsidRDefault="00145B95" w:rsidP="00145B95">
      <w:pPr>
        <w:spacing w:after="120"/>
      </w:pPr>
      <w:r w:rsidRPr="00145B95">
        <w:t xml:space="preserve">The proportion of respiratory tract infections was higher in the OCREVUS treated patients compared to interferon and placebo. The infections were predominantly mild to moderate and consisted mostly of upper respiratory tract infections (including </w:t>
      </w:r>
      <w:proofErr w:type="spellStart"/>
      <w:r w:rsidRPr="00145B95">
        <w:t>nasopharyngitis</w:t>
      </w:r>
      <w:proofErr w:type="spellEnd"/>
      <w:r w:rsidRPr="00145B95">
        <w:t xml:space="preserve">) and bronchitis (see Table </w:t>
      </w:r>
      <w:r w:rsidR="001536A3">
        <w:t>5</w:t>
      </w:r>
      <w:r w:rsidRPr="00145B95">
        <w:t>).</w:t>
      </w:r>
    </w:p>
    <w:p w:rsidR="00145B95" w:rsidRPr="00145B95" w:rsidRDefault="00145B95" w:rsidP="009313C0">
      <w:pPr>
        <w:pStyle w:val="Heading2"/>
        <w:numPr>
          <w:ilvl w:val="0"/>
          <w:numId w:val="0"/>
        </w:numPr>
      </w:pPr>
      <w:r>
        <w:t>Herpes</w:t>
      </w:r>
    </w:p>
    <w:p w:rsidR="00145B95" w:rsidRDefault="00145B95" w:rsidP="00145B95">
      <w:r>
        <w:t>In the active-controlled RMS clinical trials, herpes infections were repo</w:t>
      </w:r>
      <w:r w:rsidR="001536A3">
        <w:t xml:space="preserve">rted more frequently in OCREVUS </w:t>
      </w:r>
      <w:r>
        <w:t>treated patients than interferon beta-1a treated patients including herpes zoster (2.1% vs 1.0%), herpes simplex (0.</w:t>
      </w:r>
      <w:r w:rsidR="0017753A">
        <w:t>7</w:t>
      </w:r>
      <w:r>
        <w:t>% vs 0.</w:t>
      </w:r>
      <w:r w:rsidR="0017753A">
        <w:t>1</w:t>
      </w:r>
      <w:r>
        <w:t>%) and oral herpes (</w:t>
      </w:r>
      <w:r w:rsidR="0017753A">
        <w:t>3.0</w:t>
      </w:r>
      <w:r>
        <w:t xml:space="preserve">% vs </w:t>
      </w:r>
      <w:r w:rsidR="0017753A">
        <w:t>2.2</w:t>
      </w:r>
      <w:r>
        <w:t>%), genital herpes (0.1% vs 0%), herpes virus infection (0.1% vs 0%). Infections were predominantly mild to moderate in severity and patients recovered with treatment by standard therapies. There were no reports of disseminated herpes.</w:t>
      </w:r>
    </w:p>
    <w:p w:rsidR="00145B95" w:rsidRDefault="00145B95" w:rsidP="00145B95"/>
    <w:p w:rsidR="00145B95" w:rsidRPr="00145B95" w:rsidRDefault="00145B95" w:rsidP="00145B95">
      <w:r>
        <w:t>In the placebo-controlled PPMS clinical trial, a higher proportion of patients with oral herpes (2.</w:t>
      </w:r>
      <w:r w:rsidR="0017753A">
        <w:t>7</w:t>
      </w:r>
      <w:r>
        <w:t>% vs 0.</w:t>
      </w:r>
      <w:r w:rsidR="0017753A">
        <w:t>8</w:t>
      </w:r>
      <w:r>
        <w:t>%) were observed in the OCREVUS treatment arm.</w:t>
      </w:r>
    </w:p>
    <w:p w:rsidR="00145B95" w:rsidRDefault="00145B95" w:rsidP="009313C0">
      <w:pPr>
        <w:pStyle w:val="Heading2"/>
        <w:numPr>
          <w:ilvl w:val="0"/>
          <w:numId w:val="0"/>
        </w:numPr>
      </w:pPr>
      <w:r>
        <w:t>Serious Infections from clinical trials in Autoimmune Conditions other than MS</w:t>
      </w:r>
    </w:p>
    <w:p w:rsidR="00145B95" w:rsidRDefault="00145B95" w:rsidP="00145B95">
      <w:r>
        <w:t xml:space="preserve">OCREVUS in combination with concomitant immunosuppressive medications (e.g. chronic steroids, non-biologic and biologic disease-modifying </w:t>
      </w:r>
      <w:proofErr w:type="spellStart"/>
      <w:r>
        <w:t>antirheumatic</w:t>
      </w:r>
      <w:proofErr w:type="spellEnd"/>
      <w:r>
        <w:t xml:space="preserve"> drugs (DMARDs), mycophe</w:t>
      </w:r>
      <w:r w:rsidR="00ED29CC">
        <w:t>n</w:t>
      </w:r>
      <w:r>
        <w:t xml:space="preserve">olate </w:t>
      </w:r>
      <w:proofErr w:type="spellStart"/>
      <w:r>
        <w:t>mofetil</w:t>
      </w:r>
      <w:proofErr w:type="spellEnd"/>
      <w:r>
        <w:t>, cyclophosphamide and azathioprine) has been studied in other autoimmune conditions.</w:t>
      </w:r>
    </w:p>
    <w:p w:rsidR="00145B95" w:rsidRDefault="00145B95" w:rsidP="00145B95"/>
    <w:p w:rsidR="00145B95" w:rsidRDefault="00145B95" w:rsidP="00145B95">
      <w:r>
        <w:t xml:space="preserve">The majority of available data is from studies in patients with rheumatoid arthritis (RA), where an imbalance in serious infections was observed including, but not limited to, atypical pneumonia and pneumocystis </w:t>
      </w:r>
      <w:proofErr w:type="spellStart"/>
      <w:r>
        <w:t>jirovecii</w:t>
      </w:r>
      <w:proofErr w:type="spellEnd"/>
      <w:r>
        <w:t xml:space="preserve"> pneumonia, varicella pneumonia, tuberculosis, histoplasmosis in the OCREVUS-immunosuppressant group. In rare cases some of these infections were fatal. Serious infections were reported more frequently in the 1000 mg dose group compared to the 400 mg dose group or immunosuppressant-placebo group.</w:t>
      </w:r>
    </w:p>
    <w:p w:rsidR="00145B95" w:rsidRDefault="00145B95" w:rsidP="00145B95"/>
    <w:p w:rsidR="00145B95" w:rsidRDefault="00145B95" w:rsidP="00145B95">
      <w:r>
        <w:t xml:space="preserve">Risk factors for serious infections in these trials included other comorbidities, chronic use of </w:t>
      </w:r>
      <w:proofErr w:type="spellStart"/>
      <w:r>
        <w:t>immunosuppressants</w:t>
      </w:r>
      <w:proofErr w:type="spellEnd"/>
      <w:r>
        <w:t>/steroids, and patients from Asia.</w:t>
      </w:r>
    </w:p>
    <w:p w:rsidR="005641EF" w:rsidRDefault="005641EF" w:rsidP="00170234">
      <w:pPr>
        <w:pStyle w:val="Heading2"/>
        <w:pageBreakBefore/>
        <w:numPr>
          <w:ilvl w:val="0"/>
          <w:numId w:val="0"/>
        </w:numPr>
      </w:pPr>
      <w:r>
        <w:lastRenderedPageBreak/>
        <w:t>Laboratory Abnormalities</w:t>
      </w:r>
    </w:p>
    <w:p w:rsidR="005641EF" w:rsidRDefault="005641EF" w:rsidP="009313C0">
      <w:pPr>
        <w:pStyle w:val="Heading3"/>
        <w:numPr>
          <w:ilvl w:val="0"/>
          <w:numId w:val="0"/>
        </w:numPr>
      </w:pPr>
      <w:r>
        <w:t>Immunoglobulins</w:t>
      </w:r>
    </w:p>
    <w:p w:rsidR="005641EF" w:rsidRDefault="005641EF" w:rsidP="005641EF">
      <w:r>
        <w:t>Treatment with OCREVUS resulted in a decrease in total immunoglobulins over the controlled period of the studies, mainly driven by reduction in IgM, with no apparent association with serious infections.</w:t>
      </w:r>
    </w:p>
    <w:p w:rsidR="005641EF" w:rsidRDefault="005641EF" w:rsidP="005641EF"/>
    <w:p w:rsidR="005641EF" w:rsidRDefault="008F1829" w:rsidP="005641EF">
      <w:r>
        <w:t>In the active-controlled RMS clinical trials, the proportion of patients at baseline reporting IgG, IgA and IgM &lt; lower limit of normal (LLN) in the OCREVUS treatment arm was 0.5%, 1.5% and 0.1%, respectively. Following treatment, the proportion of OCREVUS-treated patients reporting IgG, IgA and IgM &lt; LLN at 96 weeks was 1.5%, 2.4% and 16.5%, respectively.</w:t>
      </w:r>
    </w:p>
    <w:p w:rsidR="008F1829" w:rsidRDefault="008F1829" w:rsidP="005641EF"/>
    <w:p w:rsidR="008F1829" w:rsidRDefault="008F1829" w:rsidP="005641EF">
      <w:r>
        <w:t>In the placebo-</w:t>
      </w:r>
      <w:r w:rsidRPr="00B8736C">
        <w:t>controlled PPMS clinical trial</w:t>
      </w:r>
      <w:r>
        <w:t>, the proportion of patients at baseline reporting IgG, IgA and IgM &lt; LLN in the OCREVUS treatment arm was 0.0%, 0.2% and 0.2%, respectively. Following treatment, the proportion of OCREVUS-treated patients reporting IgG, IgA and IgM &lt; LLN at 120 weeks was 1.1%, 0.5% and 15.5%, respectively.</w:t>
      </w:r>
    </w:p>
    <w:p w:rsidR="00B8736C" w:rsidRDefault="00B8736C" w:rsidP="009313C0">
      <w:pPr>
        <w:pStyle w:val="Heading3"/>
        <w:numPr>
          <w:ilvl w:val="0"/>
          <w:numId w:val="0"/>
        </w:numPr>
      </w:pPr>
      <w:r>
        <w:t>Neutrophils</w:t>
      </w:r>
    </w:p>
    <w:p w:rsidR="008F1829" w:rsidRDefault="00B8736C" w:rsidP="005641EF">
      <w:r>
        <w:t>In the active-controlled treatment period of the RMS clinical trials, decreased neutrophils were observed in 14.7% of OCREVUS patients as compared to 40.9% of patients treated with interferon beta-1a. In the placebo-controlled PPMS clinical trial, the proportion of OCREVUS patients presenting decreased neutrophils was slightly higher (12.</w:t>
      </w:r>
      <w:r w:rsidR="0017753A">
        <w:t>9</w:t>
      </w:r>
      <w:r>
        <w:t>%) than placebo patients (</w:t>
      </w:r>
      <w:r w:rsidR="0017753A">
        <w:t>10.0</w:t>
      </w:r>
      <w:r>
        <w:t>%).</w:t>
      </w:r>
    </w:p>
    <w:p w:rsidR="005909FA" w:rsidRDefault="005909FA" w:rsidP="005641EF"/>
    <w:p w:rsidR="005909FA" w:rsidRDefault="005909FA" w:rsidP="005641EF">
      <w:r>
        <w:t>In the majority of cases decreased neutrophils were transient (only observed once for a given patient treated with OCREVUS) and were Grade 1 and 2 in severity.</w:t>
      </w:r>
    </w:p>
    <w:p w:rsidR="005909FA" w:rsidRDefault="005909FA" w:rsidP="005641EF"/>
    <w:p w:rsidR="005909FA" w:rsidRPr="005641EF" w:rsidRDefault="005909FA" w:rsidP="005641EF">
      <w:r>
        <w:t>Overall, approximately 1% of the patients in the OCREVUS group had Grade 3 or 4 neutropenia. These were not temporally associated with an infection.</w:t>
      </w:r>
    </w:p>
    <w:p w:rsidR="00D844B2" w:rsidRPr="002E6328" w:rsidRDefault="00D844B2" w:rsidP="009313C0">
      <w:pPr>
        <w:pStyle w:val="Heading1"/>
        <w:numPr>
          <w:ilvl w:val="0"/>
          <w:numId w:val="0"/>
        </w:numPr>
      </w:pPr>
      <w:r w:rsidRPr="002E6328">
        <w:t>Dosage and administration</w:t>
      </w:r>
    </w:p>
    <w:p w:rsidR="000B64CB" w:rsidRPr="00A210B2" w:rsidRDefault="000B64CB" w:rsidP="00A210B2">
      <w:r w:rsidRPr="002E6328">
        <w:rPr>
          <w:rFonts w:cs="Arial"/>
          <w:b/>
          <w:i/>
          <w:lang w:bidi="he-IL"/>
        </w:rPr>
        <w:t>General</w:t>
      </w:r>
    </w:p>
    <w:p w:rsidR="00885743" w:rsidRDefault="002E6328" w:rsidP="001536A3">
      <w:r w:rsidRPr="002E6328">
        <w:t>OCREVUS is</w:t>
      </w:r>
      <w:r w:rsidR="00C86661" w:rsidRPr="002E6328">
        <w:t xml:space="preserve"> administered as an </w:t>
      </w:r>
      <w:r w:rsidRPr="002E6328">
        <w:t xml:space="preserve">IV </w:t>
      </w:r>
      <w:r w:rsidR="00C86661" w:rsidRPr="002E6328">
        <w:t>infusion through a dedicated line</w:t>
      </w:r>
      <w:r w:rsidRPr="002E6328">
        <w:t xml:space="preserve"> under the close supervision of an experienced healthcare professional with access to appropriate medical support to manage severe reactions such as serious IRRs. OCREVUS infusions </w:t>
      </w:r>
      <w:r w:rsidR="00C86661" w:rsidRPr="002E6328">
        <w:t>should not be administered as an intravenous push or bolus.</w:t>
      </w:r>
      <w:r w:rsidRPr="002E6328">
        <w:t xml:space="preserve"> Use i</w:t>
      </w:r>
      <w:r w:rsidR="00C86661" w:rsidRPr="002E6328">
        <w:t>soton</w:t>
      </w:r>
      <w:r w:rsidRPr="002E6328">
        <w:t xml:space="preserve">ic 0.9% sodium chloride solution as </w:t>
      </w:r>
      <w:r w:rsidR="00C86661" w:rsidRPr="002E6328">
        <w:t>the infusion vehicle</w:t>
      </w:r>
      <w:r w:rsidRPr="002E6328">
        <w:t>. In the event an IV infusion cannot be completed the same day, the remaining liquid in the infusion bag must be discarded</w:t>
      </w:r>
      <w:r w:rsidR="00C86661" w:rsidRPr="002E6328">
        <w:t xml:space="preserve"> (see </w:t>
      </w:r>
      <w:r w:rsidRPr="002E6328">
        <w:rPr>
          <w:i/>
        </w:rPr>
        <w:t xml:space="preserve">Instructions for dilution </w:t>
      </w:r>
      <w:r w:rsidRPr="002E6328">
        <w:t>and</w:t>
      </w:r>
      <w:r w:rsidRPr="002E6328">
        <w:rPr>
          <w:i/>
        </w:rPr>
        <w:t xml:space="preserve"> </w:t>
      </w:r>
      <w:r w:rsidRPr="00A62F46">
        <w:t>PRESENTATION AND STORAGE CONDITIONS</w:t>
      </w:r>
      <w:r w:rsidR="00C86661" w:rsidRPr="002E6328">
        <w:t>).</w:t>
      </w:r>
    </w:p>
    <w:p w:rsidR="002E6328" w:rsidRDefault="002E6328" w:rsidP="00F308F0">
      <w:r w:rsidRPr="00B54594">
        <w:t xml:space="preserve">Observe the patient for at least one hour after the completion of the infusion (see </w:t>
      </w:r>
      <w:r w:rsidRPr="00A62F46">
        <w:t>PRECAUTIONS</w:t>
      </w:r>
      <w:r w:rsidR="00F308F0" w:rsidRPr="00B54594">
        <w:rPr>
          <w:i/>
        </w:rPr>
        <w:t xml:space="preserve"> – Infusion Related Reactions</w:t>
      </w:r>
      <w:r w:rsidR="00F308F0" w:rsidRPr="00B54594">
        <w:t>).</w:t>
      </w:r>
      <w:r w:rsidR="00150787">
        <w:t xml:space="preserve"> After the initial dose IRRs are not increased in severity or frequency when OCREVUS is given as a single 600 mg dose compared with 2 x 300 mg doses separated by 2 weeks</w:t>
      </w:r>
      <w:r w:rsidR="001D5350">
        <w:t xml:space="preserve"> (see ADVERSE EFFECTS - </w:t>
      </w:r>
      <w:r w:rsidR="001D5350" w:rsidRPr="001D5350">
        <w:rPr>
          <w:i/>
        </w:rPr>
        <w:t>Infusion Related Reactions</w:t>
      </w:r>
      <w:r w:rsidR="00150787">
        <w:t xml:space="preserve">. </w:t>
      </w:r>
    </w:p>
    <w:p w:rsidR="00480C61" w:rsidRPr="00B54594" w:rsidRDefault="00480C61" w:rsidP="00F308F0"/>
    <w:p w:rsidR="000B64CB" w:rsidRPr="00B54594" w:rsidRDefault="000B64CB" w:rsidP="000B64CB">
      <w:pPr>
        <w:pStyle w:val="TextTi12"/>
        <w:spacing w:line="280" w:lineRule="exact"/>
        <w:rPr>
          <w:rFonts w:cs="Arial"/>
          <w:b/>
          <w:i/>
          <w:lang w:eastAsia="ko-KR" w:bidi="he-IL"/>
        </w:rPr>
      </w:pPr>
      <w:r w:rsidRPr="00B54594">
        <w:rPr>
          <w:rFonts w:cs="Arial"/>
          <w:b/>
          <w:i/>
          <w:lang w:eastAsia="ko-KR" w:bidi="he-IL"/>
        </w:rPr>
        <w:t xml:space="preserve">Premedication for Infusion Related Reactions (IRR) </w:t>
      </w:r>
    </w:p>
    <w:p w:rsidR="00E3391E" w:rsidRDefault="00F308F0" w:rsidP="00E3391E">
      <w:pPr>
        <w:pStyle w:val="TextTi12"/>
        <w:spacing w:after="0" w:line="240" w:lineRule="auto"/>
        <w:rPr>
          <w:rFonts w:cs="Arial"/>
          <w:lang w:eastAsia="ko-KR" w:bidi="he-IL"/>
        </w:rPr>
      </w:pPr>
      <w:proofErr w:type="spellStart"/>
      <w:r w:rsidRPr="00B54594">
        <w:rPr>
          <w:rFonts w:cs="Arial"/>
          <w:lang w:eastAsia="ko-KR" w:bidi="he-IL"/>
        </w:rPr>
        <w:lastRenderedPageBreak/>
        <w:t>Premedicate</w:t>
      </w:r>
      <w:proofErr w:type="spellEnd"/>
      <w:r w:rsidRPr="00B54594">
        <w:rPr>
          <w:rFonts w:cs="Arial"/>
          <w:lang w:eastAsia="ko-KR" w:bidi="he-IL"/>
        </w:rPr>
        <w:t xml:space="preserve"> with 100 mg IV methylprednisolone</w:t>
      </w:r>
      <w:r w:rsidR="00B54594" w:rsidRPr="00B54594">
        <w:rPr>
          <w:rFonts w:cs="Arial"/>
          <w:lang w:eastAsia="ko-KR" w:bidi="he-IL"/>
        </w:rPr>
        <w:t xml:space="preserve"> (or an equivalent) approximately 30 minutes prior to each OCREVUS infusion (</w:t>
      </w:r>
      <w:r w:rsidR="00E3391E">
        <w:rPr>
          <w:rFonts w:cs="Arial"/>
          <w:lang w:eastAsia="ko-KR" w:bidi="he-IL"/>
        </w:rPr>
        <w:t xml:space="preserve">see </w:t>
      </w:r>
      <w:r w:rsidR="00B54594" w:rsidRPr="00B54594">
        <w:rPr>
          <w:i/>
        </w:rPr>
        <w:t>PRECAUTIONS – Infusion Related Reactions</w:t>
      </w:r>
      <w:r w:rsidR="00B54594" w:rsidRPr="00B54594">
        <w:t>)</w:t>
      </w:r>
      <w:r w:rsidR="00E3391E">
        <w:t xml:space="preserve"> and </w:t>
      </w:r>
      <w:r w:rsidR="00B54594" w:rsidRPr="00B262A3">
        <w:rPr>
          <w:rFonts w:cs="Arial"/>
          <w:lang w:eastAsia="ko-KR" w:bidi="he-IL"/>
        </w:rPr>
        <w:t xml:space="preserve">with an antihistaminic drug approximately 30-60 minutes before each infusion of OCREVUS to further reduce the frequency and severity of IRRs. </w:t>
      </w:r>
    </w:p>
    <w:p w:rsidR="00E3391E" w:rsidRDefault="00E3391E" w:rsidP="00E3391E">
      <w:pPr>
        <w:pStyle w:val="TextTi12"/>
        <w:spacing w:after="0" w:line="240" w:lineRule="auto"/>
        <w:rPr>
          <w:rFonts w:cs="Arial"/>
          <w:lang w:eastAsia="ko-KR" w:bidi="he-IL"/>
        </w:rPr>
      </w:pPr>
    </w:p>
    <w:p w:rsidR="00B14860" w:rsidRPr="00B262A3" w:rsidRDefault="00B54594" w:rsidP="00E3391E">
      <w:pPr>
        <w:pStyle w:val="TextTi12"/>
        <w:spacing w:after="0" w:line="240" w:lineRule="auto"/>
        <w:rPr>
          <w:rFonts w:cs="Arial"/>
          <w:i/>
          <w:lang w:eastAsia="ko-KR" w:bidi="he-IL"/>
        </w:rPr>
      </w:pPr>
      <w:r w:rsidRPr="00B262A3">
        <w:rPr>
          <w:rFonts w:cs="Arial"/>
          <w:lang w:eastAsia="ko-KR" w:bidi="he-IL"/>
        </w:rPr>
        <w:t xml:space="preserve">The addition of an antipyretic </w:t>
      </w:r>
      <w:r w:rsidRPr="00B75FCF">
        <w:rPr>
          <w:rFonts w:cs="Arial"/>
          <w:lang w:eastAsia="ko-KR" w:bidi="he-IL"/>
        </w:rPr>
        <w:t>(e.g. paracetamol)</w:t>
      </w:r>
      <w:r w:rsidRPr="00B262A3">
        <w:rPr>
          <w:rFonts w:cs="Arial"/>
          <w:lang w:eastAsia="ko-KR" w:bidi="he-IL"/>
        </w:rPr>
        <w:t xml:space="preserve"> may also be considered</w:t>
      </w:r>
      <w:r w:rsidR="00E3391E">
        <w:rPr>
          <w:rFonts w:cs="Arial"/>
          <w:lang w:eastAsia="ko-KR" w:bidi="he-IL"/>
        </w:rPr>
        <w:t xml:space="preserve"> approximately 30-60 minutes before each infusion of OCREVUS</w:t>
      </w:r>
      <w:r w:rsidRPr="00B262A3">
        <w:rPr>
          <w:rFonts w:cs="Arial"/>
          <w:lang w:eastAsia="ko-KR" w:bidi="he-IL"/>
        </w:rPr>
        <w:t xml:space="preserve">. </w:t>
      </w:r>
    </w:p>
    <w:p w:rsidR="000B64CB" w:rsidRPr="00B262A3" w:rsidRDefault="008C4AED" w:rsidP="000B64CB">
      <w:pPr>
        <w:pStyle w:val="TextTi12"/>
        <w:keepNext/>
        <w:spacing w:before="170" w:line="280" w:lineRule="exact"/>
        <w:rPr>
          <w:rFonts w:cs="Arial"/>
          <w:b/>
          <w:bCs/>
          <w:i/>
          <w:iCs/>
          <w:vertAlign w:val="superscript"/>
        </w:rPr>
      </w:pPr>
      <w:r>
        <w:rPr>
          <w:rFonts w:cs="Arial"/>
          <w:b/>
          <w:bCs/>
          <w:i/>
          <w:iCs/>
        </w:rPr>
        <w:t>Dosing</w:t>
      </w:r>
    </w:p>
    <w:p w:rsidR="00B262A3" w:rsidRPr="00B262A3" w:rsidRDefault="00B262A3" w:rsidP="00514921">
      <w:pPr>
        <w:pStyle w:val="TextTi12"/>
        <w:spacing w:after="0" w:line="240" w:lineRule="auto"/>
        <w:rPr>
          <w:rFonts w:cs="Arial"/>
          <w:lang w:eastAsia="ko-KR" w:bidi="he-IL"/>
        </w:rPr>
      </w:pPr>
      <w:r w:rsidRPr="00B262A3">
        <w:rPr>
          <w:rFonts w:cs="Arial"/>
          <w:lang w:eastAsia="ko-KR" w:bidi="he-IL"/>
        </w:rPr>
        <w:t>OCREVUS is administered by IV infusion as a 600 mg dose every 6 months.</w:t>
      </w:r>
      <w:r w:rsidRPr="00B262A3">
        <w:rPr>
          <w:rFonts w:cs="Arial"/>
          <w:lang w:eastAsia="ko-KR" w:bidi="he-IL"/>
        </w:rPr>
        <w:br/>
      </w:r>
    </w:p>
    <w:p w:rsidR="008C4AED" w:rsidRPr="008C4AED" w:rsidRDefault="008C4AED" w:rsidP="00514921">
      <w:pPr>
        <w:pStyle w:val="TextTi12"/>
        <w:spacing w:after="0" w:line="240" w:lineRule="auto"/>
        <w:rPr>
          <w:rFonts w:cs="Arial"/>
          <w:i/>
          <w:lang w:eastAsia="ko-KR" w:bidi="he-IL"/>
        </w:rPr>
      </w:pPr>
      <w:r w:rsidRPr="008C4AED">
        <w:rPr>
          <w:rFonts w:cs="Arial"/>
          <w:i/>
          <w:lang w:eastAsia="ko-KR" w:bidi="he-IL"/>
        </w:rPr>
        <w:t>Initial Dose</w:t>
      </w:r>
    </w:p>
    <w:p w:rsidR="00514921" w:rsidRDefault="000B64CB" w:rsidP="00514921">
      <w:pPr>
        <w:pStyle w:val="TextTi12"/>
        <w:spacing w:after="0" w:line="240" w:lineRule="auto"/>
        <w:rPr>
          <w:rFonts w:cs="Arial"/>
          <w:lang w:eastAsia="ko-KR" w:bidi="he-IL"/>
        </w:rPr>
      </w:pPr>
      <w:r w:rsidRPr="00B262A3">
        <w:rPr>
          <w:rFonts w:cs="Arial"/>
          <w:lang w:eastAsia="ko-KR" w:bidi="he-IL"/>
        </w:rPr>
        <w:t xml:space="preserve">The </w:t>
      </w:r>
      <w:r w:rsidR="00B262A3" w:rsidRPr="00B262A3">
        <w:rPr>
          <w:rFonts w:cs="Arial"/>
          <w:lang w:eastAsia="ko-KR" w:bidi="he-IL"/>
        </w:rPr>
        <w:t xml:space="preserve">initial 600 mg dose is administered as two separate IV infusions; </w:t>
      </w:r>
      <w:r w:rsidR="00B262A3">
        <w:rPr>
          <w:rFonts w:cs="Arial"/>
          <w:lang w:eastAsia="ko-KR" w:bidi="he-IL"/>
        </w:rPr>
        <w:t xml:space="preserve">one 300 mg infusion, </w:t>
      </w:r>
      <w:r w:rsidR="00B262A3" w:rsidRPr="00B262A3">
        <w:rPr>
          <w:rFonts w:cs="Arial"/>
          <w:lang w:eastAsia="ko-KR" w:bidi="he-IL"/>
        </w:rPr>
        <w:t>followed by a second 300 mg infusion two weeks later</w:t>
      </w:r>
      <w:r w:rsidR="00DA5D4F">
        <w:rPr>
          <w:rFonts w:cs="Arial"/>
          <w:lang w:eastAsia="ko-KR" w:bidi="he-IL"/>
        </w:rPr>
        <w:t xml:space="preserve"> (see Table 6)</w:t>
      </w:r>
      <w:r w:rsidR="00B262A3" w:rsidRPr="00B262A3">
        <w:rPr>
          <w:rFonts w:cs="Arial"/>
          <w:lang w:eastAsia="ko-KR" w:bidi="he-IL"/>
        </w:rPr>
        <w:t xml:space="preserve">. </w:t>
      </w:r>
    </w:p>
    <w:p w:rsidR="008C4AED" w:rsidRDefault="008C4AED" w:rsidP="00514921">
      <w:pPr>
        <w:pStyle w:val="TextTi12"/>
        <w:spacing w:after="0" w:line="240" w:lineRule="auto"/>
        <w:rPr>
          <w:rFonts w:cs="Arial"/>
          <w:lang w:eastAsia="ko-KR" w:bidi="he-IL"/>
        </w:rPr>
      </w:pPr>
    </w:p>
    <w:p w:rsidR="008C4AED" w:rsidRPr="008C4AED" w:rsidRDefault="008C4AED" w:rsidP="00514921">
      <w:pPr>
        <w:pStyle w:val="TextTi12"/>
        <w:spacing w:after="0" w:line="240" w:lineRule="auto"/>
        <w:rPr>
          <w:rFonts w:cs="Arial"/>
          <w:i/>
          <w:lang w:eastAsia="ko-KR" w:bidi="he-IL"/>
        </w:rPr>
      </w:pPr>
      <w:r w:rsidRPr="008C4AED">
        <w:rPr>
          <w:rFonts w:cs="Arial"/>
          <w:i/>
          <w:lang w:eastAsia="ko-KR" w:bidi="he-IL"/>
        </w:rPr>
        <w:t>Subsequent Doses</w:t>
      </w:r>
    </w:p>
    <w:p w:rsidR="00A62F46" w:rsidRPr="001536A3" w:rsidRDefault="00B262A3" w:rsidP="00B262A3">
      <w:pPr>
        <w:pStyle w:val="TextTi12"/>
        <w:spacing w:line="280" w:lineRule="exact"/>
        <w:rPr>
          <w:rStyle w:val="NormalArialChar"/>
          <w:rFonts w:ascii="Times New Roman" w:eastAsia="Times New Roman" w:hAnsi="Times New Roman" w:cs="Arial"/>
          <w:iCs/>
          <w:lang w:val="en-US" w:eastAsia="ko-KR" w:bidi="he-IL"/>
        </w:rPr>
      </w:pPr>
      <w:r w:rsidRPr="00B262A3">
        <w:rPr>
          <w:rFonts w:cs="Arial"/>
          <w:iCs/>
          <w:lang w:eastAsia="ko-KR" w:bidi="he-IL"/>
        </w:rPr>
        <w:t xml:space="preserve">Subsequent doses of OCREVUS thereafter are administered as a single 600 mg IV infusion every 6 months </w:t>
      </w:r>
      <w:r w:rsidRPr="001536A3">
        <w:rPr>
          <w:rFonts w:cs="Arial"/>
          <w:iCs/>
          <w:lang w:eastAsia="ko-KR" w:bidi="he-IL"/>
        </w:rPr>
        <w:t>(see</w:t>
      </w:r>
      <w:r w:rsidR="00A62F46" w:rsidRPr="001536A3">
        <w:rPr>
          <w:rFonts w:cs="Arial"/>
          <w:iCs/>
          <w:lang w:eastAsia="ko-KR" w:bidi="he-IL"/>
        </w:rPr>
        <w:t xml:space="preserve"> </w:t>
      </w:r>
      <w:r w:rsidR="001536A3" w:rsidRPr="001536A3">
        <w:rPr>
          <w:rFonts w:cs="Arial"/>
          <w:iCs/>
          <w:lang w:eastAsia="ko-KR" w:bidi="he-IL"/>
        </w:rPr>
        <w:t>Table 6</w:t>
      </w:r>
      <w:r w:rsidR="00A62F46" w:rsidRPr="001536A3">
        <w:rPr>
          <w:rFonts w:cs="Arial"/>
          <w:iCs/>
          <w:lang w:eastAsia="ko-KR" w:bidi="he-IL"/>
        </w:rPr>
        <w:t>)</w:t>
      </w:r>
      <w:r w:rsidR="004D18F3">
        <w:rPr>
          <w:rFonts w:cs="Arial"/>
          <w:iCs/>
          <w:lang w:eastAsia="ko-KR" w:bidi="he-IL"/>
        </w:rPr>
        <w:t xml:space="preserve">. </w:t>
      </w:r>
      <w:r w:rsidR="004D18F3" w:rsidRPr="004D18F3">
        <w:rPr>
          <w:rFonts w:cs="Arial"/>
          <w:iCs/>
          <w:lang w:eastAsia="ko-KR" w:bidi="he-IL"/>
        </w:rPr>
        <w:t>(A minimum interval of 5 months should be maintained between each dose of OCREVUS.)</w:t>
      </w:r>
    </w:p>
    <w:p w:rsidR="00DF49DE" w:rsidRPr="006E50B6" w:rsidRDefault="00B262A3" w:rsidP="00DF49DE">
      <w:pPr>
        <w:keepNext/>
        <w:keepLines/>
        <w:tabs>
          <w:tab w:val="left" w:pos="0"/>
        </w:tabs>
        <w:rPr>
          <w:rFonts w:cs="Arial"/>
          <w:b/>
        </w:rPr>
      </w:pPr>
      <w:r w:rsidRPr="006E50B6">
        <w:rPr>
          <w:b/>
        </w:rPr>
        <w:t xml:space="preserve">Table </w:t>
      </w:r>
      <w:r w:rsidR="001536A3">
        <w:rPr>
          <w:b/>
        </w:rPr>
        <w:t>6</w:t>
      </w:r>
      <w:r w:rsidRPr="006E50B6">
        <w:rPr>
          <w:b/>
        </w:rPr>
        <w:t xml:space="preserve"> Dose and Schedule of OCREVUS</w:t>
      </w:r>
    </w:p>
    <w:tbl>
      <w:tblPr>
        <w:tblW w:w="94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2"/>
        <w:gridCol w:w="1485"/>
        <w:gridCol w:w="2835"/>
        <w:gridCol w:w="3428"/>
      </w:tblGrid>
      <w:tr w:rsidR="00A62F46" w:rsidRPr="006E50B6" w:rsidTr="00DA5D4F">
        <w:trPr>
          <w:jc w:val="center"/>
        </w:trPr>
        <w:tc>
          <w:tcPr>
            <w:tcW w:w="3147" w:type="dxa"/>
            <w:gridSpan w:val="2"/>
            <w:shd w:val="clear" w:color="auto" w:fill="auto"/>
            <w:vAlign w:val="center"/>
          </w:tcPr>
          <w:p w:rsidR="00DF49DE" w:rsidRPr="006E50B6" w:rsidRDefault="00DF49DE" w:rsidP="00A62F46">
            <w:pPr>
              <w:spacing w:before="60" w:after="60"/>
              <w:ind w:right="357"/>
              <w:jc w:val="center"/>
              <w:rPr>
                <w:rFonts w:cs="Arial"/>
                <w:b/>
                <w:sz w:val="22"/>
              </w:rPr>
            </w:pPr>
          </w:p>
        </w:tc>
        <w:tc>
          <w:tcPr>
            <w:tcW w:w="2835" w:type="dxa"/>
            <w:shd w:val="clear" w:color="auto" w:fill="auto"/>
            <w:vAlign w:val="center"/>
          </w:tcPr>
          <w:p w:rsidR="00DF49DE" w:rsidRPr="006E50B6" w:rsidRDefault="00A62F46" w:rsidP="00DA5D4F">
            <w:pPr>
              <w:spacing w:before="60" w:after="60"/>
              <w:ind w:right="357"/>
              <w:jc w:val="center"/>
              <w:rPr>
                <w:rFonts w:cs="Arial"/>
                <w:b/>
                <w:sz w:val="22"/>
              </w:rPr>
            </w:pPr>
            <w:r>
              <w:rPr>
                <w:rFonts w:cs="Arial"/>
                <w:b/>
                <w:sz w:val="22"/>
              </w:rPr>
              <w:t>Quantity</w:t>
            </w:r>
            <w:r w:rsidR="00B262A3" w:rsidRPr="006E50B6">
              <w:rPr>
                <w:rFonts w:cs="Arial"/>
                <w:b/>
                <w:sz w:val="22"/>
              </w:rPr>
              <w:t xml:space="preserve"> of OCREVUS to be administered</w:t>
            </w:r>
            <w:r w:rsidR="006E50B6" w:rsidRPr="006E50B6">
              <w:rPr>
                <w:rFonts w:cs="Arial"/>
                <w:b/>
                <w:sz w:val="22"/>
              </w:rPr>
              <w:t>*</w:t>
            </w:r>
          </w:p>
        </w:tc>
        <w:tc>
          <w:tcPr>
            <w:tcW w:w="3428" w:type="dxa"/>
            <w:vAlign w:val="center"/>
          </w:tcPr>
          <w:p w:rsidR="00DF49DE" w:rsidRPr="006E50B6" w:rsidRDefault="00B262A3" w:rsidP="00DA5D4F">
            <w:pPr>
              <w:spacing w:before="60" w:after="60"/>
              <w:ind w:right="357"/>
              <w:jc w:val="center"/>
              <w:rPr>
                <w:rFonts w:cs="Arial"/>
                <w:b/>
                <w:sz w:val="22"/>
                <w:vertAlign w:val="superscript"/>
              </w:rPr>
            </w:pPr>
            <w:r w:rsidRPr="006E50B6">
              <w:rPr>
                <w:rFonts w:cs="Arial"/>
                <w:b/>
                <w:sz w:val="22"/>
              </w:rPr>
              <w:t>Infusion Instructions</w:t>
            </w:r>
          </w:p>
        </w:tc>
      </w:tr>
      <w:tr w:rsidR="00A62F46" w:rsidRPr="006E50B6" w:rsidTr="00DA5D4F">
        <w:trPr>
          <w:trHeight w:val="541"/>
          <w:jc w:val="center"/>
        </w:trPr>
        <w:tc>
          <w:tcPr>
            <w:tcW w:w="1662" w:type="dxa"/>
            <w:vMerge w:val="restart"/>
            <w:shd w:val="clear" w:color="auto" w:fill="auto"/>
            <w:vAlign w:val="center"/>
          </w:tcPr>
          <w:p w:rsidR="006E50B6" w:rsidRPr="006E50B6" w:rsidRDefault="006E50B6" w:rsidP="00DA5D4F">
            <w:pPr>
              <w:ind w:right="357"/>
              <w:jc w:val="center"/>
              <w:rPr>
                <w:rFonts w:cs="Arial"/>
                <w:sz w:val="22"/>
              </w:rPr>
            </w:pPr>
            <w:r w:rsidRPr="006E50B6">
              <w:rPr>
                <w:rFonts w:cs="Arial"/>
                <w:b/>
                <w:sz w:val="22"/>
              </w:rPr>
              <w:t>Initial Dose (600 mg)</w:t>
            </w:r>
            <w:r w:rsidRPr="006E50B6">
              <w:rPr>
                <w:rFonts w:cs="Arial"/>
                <w:sz w:val="22"/>
              </w:rPr>
              <w:t xml:space="preserve"> divided into 2 infusions</w:t>
            </w:r>
          </w:p>
        </w:tc>
        <w:tc>
          <w:tcPr>
            <w:tcW w:w="1485" w:type="dxa"/>
            <w:shd w:val="clear" w:color="auto" w:fill="auto"/>
            <w:vAlign w:val="center"/>
          </w:tcPr>
          <w:p w:rsidR="006E50B6" w:rsidRPr="006E50B6" w:rsidRDefault="006E50B6" w:rsidP="00DA5D4F">
            <w:pPr>
              <w:spacing w:before="60" w:after="60"/>
              <w:ind w:right="357"/>
              <w:jc w:val="center"/>
              <w:rPr>
                <w:rFonts w:cs="Arial"/>
                <w:sz w:val="22"/>
              </w:rPr>
            </w:pPr>
            <w:r w:rsidRPr="006E50B6">
              <w:rPr>
                <w:rFonts w:cs="Arial"/>
                <w:sz w:val="22"/>
              </w:rPr>
              <w:t>Infusion 1</w:t>
            </w:r>
          </w:p>
        </w:tc>
        <w:tc>
          <w:tcPr>
            <w:tcW w:w="2835" w:type="dxa"/>
            <w:shd w:val="clear" w:color="auto" w:fill="auto"/>
            <w:vAlign w:val="center"/>
          </w:tcPr>
          <w:p w:rsidR="006E50B6" w:rsidRPr="006E50B6" w:rsidRDefault="006E50B6" w:rsidP="00A62F46">
            <w:pPr>
              <w:spacing w:before="60" w:after="60"/>
              <w:ind w:right="357"/>
              <w:jc w:val="center"/>
              <w:rPr>
                <w:rFonts w:cs="Arial"/>
                <w:sz w:val="22"/>
              </w:rPr>
            </w:pPr>
            <w:r w:rsidRPr="006E50B6">
              <w:rPr>
                <w:rFonts w:cs="Arial"/>
                <w:sz w:val="22"/>
              </w:rPr>
              <w:t>300 mg in 250 mL</w:t>
            </w:r>
          </w:p>
        </w:tc>
        <w:tc>
          <w:tcPr>
            <w:tcW w:w="3428" w:type="dxa"/>
            <w:vMerge w:val="restart"/>
            <w:vAlign w:val="center"/>
          </w:tcPr>
          <w:p w:rsidR="006E50B6" w:rsidRPr="006E50B6" w:rsidRDefault="006E50B6" w:rsidP="006E50B6">
            <w:pPr>
              <w:numPr>
                <w:ilvl w:val="0"/>
                <w:numId w:val="32"/>
              </w:numPr>
              <w:spacing w:before="60" w:after="60"/>
              <w:ind w:left="357" w:right="227" w:hanging="357"/>
              <w:jc w:val="left"/>
              <w:rPr>
                <w:rFonts w:cs="Arial"/>
                <w:sz w:val="22"/>
              </w:rPr>
            </w:pPr>
            <w:r w:rsidRPr="006E50B6">
              <w:rPr>
                <w:rFonts w:cs="Arial"/>
                <w:sz w:val="22"/>
              </w:rPr>
              <w:t>Initiate the infusion at a rate of 30 mL/hr</w:t>
            </w:r>
          </w:p>
          <w:p w:rsidR="006E50B6" w:rsidRPr="006E50B6" w:rsidRDefault="006E50B6" w:rsidP="006E50B6">
            <w:pPr>
              <w:numPr>
                <w:ilvl w:val="0"/>
                <w:numId w:val="32"/>
              </w:numPr>
              <w:spacing w:before="60" w:after="60"/>
              <w:ind w:left="357" w:right="227" w:hanging="357"/>
              <w:jc w:val="left"/>
              <w:rPr>
                <w:rFonts w:cs="Arial"/>
                <w:sz w:val="22"/>
              </w:rPr>
            </w:pPr>
            <w:r w:rsidRPr="006E50B6">
              <w:rPr>
                <w:rFonts w:cs="Arial"/>
                <w:sz w:val="22"/>
              </w:rPr>
              <w:t>Thereafter the rate can be increased in 30 mL/hr increments every 30 minutes to a maximum of 180 mL/hr</w:t>
            </w:r>
          </w:p>
          <w:p w:rsidR="006E50B6" w:rsidRPr="006E50B6" w:rsidRDefault="006E50B6" w:rsidP="006E50B6">
            <w:pPr>
              <w:numPr>
                <w:ilvl w:val="0"/>
                <w:numId w:val="32"/>
              </w:numPr>
              <w:spacing w:before="60" w:after="60"/>
              <w:ind w:left="357" w:right="227" w:hanging="357"/>
              <w:jc w:val="left"/>
              <w:rPr>
                <w:rFonts w:cs="Arial"/>
                <w:sz w:val="22"/>
              </w:rPr>
            </w:pPr>
            <w:r w:rsidRPr="006E50B6">
              <w:rPr>
                <w:rFonts w:cs="Arial"/>
                <w:sz w:val="22"/>
              </w:rPr>
              <w:t>Each infusion should be given over approximately 2.5 hrs</w:t>
            </w:r>
          </w:p>
        </w:tc>
      </w:tr>
      <w:tr w:rsidR="00A62F46" w:rsidRPr="006E50B6" w:rsidTr="00DA5D4F">
        <w:trPr>
          <w:trHeight w:val="1770"/>
          <w:jc w:val="center"/>
        </w:trPr>
        <w:tc>
          <w:tcPr>
            <w:tcW w:w="1662" w:type="dxa"/>
            <w:vMerge/>
            <w:tcBorders>
              <w:bottom w:val="single" w:sz="2" w:space="0" w:color="auto"/>
            </w:tcBorders>
            <w:shd w:val="clear" w:color="auto" w:fill="auto"/>
            <w:vAlign w:val="center"/>
          </w:tcPr>
          <w:p w:rsidR="006E50B6" w:rsidRPr="006E50B6" w:rsidRDefault="006E50B6" w:rsidP="00DA5D4F">
            <w:pPr>
              <w:ind w:right="357"/>
              <w:jc w:val="center"/>
              <w:rPr>
                <w:rFonts w:cs="Arial"/>
                <w:b/>
                <w:sz w:val="22"/>
              </w:rPr>
            </w:pPr>
          </w:p>
        </w:tc>
        <w:tc>
          <w:tcPr>
            <w:tcW w:w="1485" w:type="dxa"/>
            <w:tcBorders>
              <w:bottom w:val="single" w:sz="2" w:space="0" w:color="auto"/>
            </w:tcBorders>
            <w:shd w:val="clear" w:color="auto" w:fill="auto"/>
            <w:vAlign w:val="center"/>
          </w:tcPr>
          <w:p w:rsidR="006E50B6" w:rsidRPr="006E50B6" w:rsidRDefault="006E50B6" w:rsidP="00DA5D4F">
            <w:pPr>
              <w:spacing w:before="60" w:after="60"/>
              <w:ind w:right="357"/>
              <w:jc w:val="center"/>
              <w:rPr>
                <w:rFonts w:cs="Arial"/>
                <w:sz w:val="22"/>
              </w:rPr>
            </w:pPr>
            <w:r w:rsidRPr="006E50B6">
              <w:rPr>
                <w:rFonts w:cs="Arial"/>
                <w:sz w:val="22"/>
              </w:rPr>
              <w:t>Infusion 2 (2 weeks later)</w:t>
            </w:r>
          </w:p>
        </w:tc>
        <w:tc>
          <w:tcPr>
            <w:tcW w:w="2835" w:type="dxa"/>
            <w:tcBorders>
              <w:bottom w:val="single" w:sz="2" w:space="0" w:color="auto"/>
            </w:tcBorders>
            <w:shd w:val="clear" w:color="auto" w:fill="auto"/>
            <w:vAlign w:val="center"/>
          </w:tcPr>
          <w:p w:rsidR="006E50B6" w:rsidRPr="006E50B6" w:rsidRDefault="006E50B6" w:rsidP="00A62F46">
            <w:pPr>
              <w:spacing w:before="60" w:after="60"/>
              <w:ind w:right="357"/>
              <w:jc w:val="center"/>
              <w:rPr>
                <w:rFonts w:cs="Arial"/>
                <w:sz w:val="22"/>
              </w:rPr>
            </w:pPr>
            <w:r w:rsidRPr="006E50B6">
              <w:rPr>
                <w:rFonts w:cs="Arial"/>
                <w:sz w:val="22"/>
              </w:rPr>
              <w:t>300 mg in 250 mL</w:t>
            </w:r>
          </w:p>
        </w:tc>
        <w:tc>
          <w:tcPr>
            <w:tcW w:w="3428" w:type="dxa"/>
            <w:vMerge/>
            <w:vAlign w:val="center"/>
          </w:tcPr>
          <w:p w:rsidR="006E50B6" w:rsidRPr="006E50B6" w:rsidRDefault="006E50B6" w:rsidP="006E50B6">
            <w:pPr>
              <w:spacing w:before="60" w:after="60"/>
              <w:ind w:right="227"/>
              <w:jc w:val="left"/>
              <w:rPr>
                <w:rFonts w:cs="Arial"/>
                <w:sz w:val="22"/>
              </w:rPr>
            </w:pPr>
          </w:p>
        </w:tc>
      </w:tr>
      <w:tr w:rsidR="00A62F46" w:rsidRPr="006E50B6" w:rsidTr="00DA5D4F">
        <w:trPr>
          <w:trHeight w:val="294"/>
          <w:jc w:val="center"/>
        </w:trPr>
        <w:tc>
          <w:tcPr>
            <w:tcW w:w="1662" w:type="dxa"/>
            <w:shd w:val="clear" w:color="auto" w:fill="auto"/>
            <w:vAlign w:val="center"/>
          </w:tcPr>
          <w:p w:rsidR="006E50B6" w:rsidRPr="006E50B6" w:rsidRDefault="006E50B6" w:rsidP="00DA5D4F">
            <w:pPr>
              <w:spacing w:before="60" w:after="60"/>
              <w:ind w:right="357"/>
              <w:jc w:val="center"/>
              <w:rPr>
                <w:rFonts w:cs="Arial"/>
                <w:sz w:val="22"/>
              </w:rPr>
            </w:pPr>
            <w:r w:rsidRPr="006E50B6">
              <w:rPr>
                <w:rFonts w:cs="Arial"/>
                <w:b/>
                <w:sz w:val="22"/>
              </w:rPr>
              <w:t>Subsequent Doses** (600 mg)</w:t>
            </w:r>
            <w:r w:rsidRPr="006E50B6">
              <w:rPr>
                <w:rFonts w:cs="Arial"/>
                <w:sz w:val="22"/>
              </w:rPr>
              <w:t xml:space="preserve"> once every 6 months</w:t>
            </w:r>
          </w:p>
        </w:tc>
        <w:tc>
          <w:tcPr>
            <w:tcW w:w="1485" w:type="dxa"/>
            <w:shd w:val="clear" w:color="auto" w:fill="auto"/>
            <w:vAlign w:val="center"/>
          </w:tcPr>
          <w:p w:rsidR="006E50B6" w:rsidRPr="006E50B6" w:rsidRDefault="006E50B6" w:rsidP="00DA5D4F">
            <w:pPr>
              <w:spacing w:before="60" w:after="60"/>
              <w:ind w:right="357"/>
              <w:jc w:val="center"/>
              <w:rPr>
                <w:rFonts w:cs="Arial"/>
                <w:sz w:val="22"/>
              </w:rPr>
            </w:pPr>
            <w:r w:rsidRPr="006E50B6">
              <w:rPr>
                <w:rFonts w:cs="Arial"/>
                <w:sz w:val="22"/>
              </w:rPr>
              <w:t>Single infusion</w:t>
            </w:r>
          </w:p>
        </w:tc>
        <w:tc>
          <w:tcPr>
            <w:tcW w:w="2835" w:type="dxa"/>
            <w:shd w:val="clear" w:color="auto" w:fill="auto"/>
            <w:vAlign w:val="center"/>
          </w:tcPr>
          <w:p w:rsidR="006E50B6" w:rsidRPr="006E50B6" w:rsidRDefault="006E50B6" w:rsidP="00A62F46">
            <w:pPr>
              <w:spacing w:before="60" w:after="60"/>
              <w:ind w:right="357"/>
              <w:jc w:val="center"/>
              <w:rPr>
                <w:rFonts w:cs="Arial"/>
                <w:sz w:val="22"/>
              </w:rPr>
            </w:pPr>
            <w:r w:rsidRPr="006E50B6">
              <w:rPr>
                <w:rFonts w:cs="Arial"/>
                <w:sz w:val="22"/>
              </w:rPr>
              <w:t>600 mg in 500 mL</w:t>
            </w:r>
          </w:p>
        </w:tc>
        <w:tc>
          <w:tcPr>
            <w:tcW w:w="3428" w:type="dxa"/>
          </w:tcPr>
          <w:p w:rsidR="006E50B6" w:rsidRPr="006E50B6" w:rsidRDefault="006E50B6" w:rsidP="006E50B6">
            <w:pPr>
              <w:numPr>
                <w:ilvl w:val="0"/>
                <w:numId w:val="32"/>
              </w:numPr>
              <w:spacing w:before="60" w:after="60"/>
              <w:ind w:left="357" w:right="227" w:hanging="357"/>
              <w:jc w:val="left"/>
              <w:rPr>
                <w:rFonts w:cs="Arial"/>
                <w:sz w:val="22"/>
              </w:rPr>
            </w:pPr>
            <w:r w:rsidRPr="006E50B6">
              <w:rPr>
                <w:rFonts w:cs="Arial"/>
                <w:sz w:val="22"/>
              </w:rPr>
              <w:t>Initiate the infusion at a rate of 40 mL/hr</w:t>
            </w:r>
          </w:p>
          <w:p w:rsidR="006E50B6" w:rsidRPr="006E50B6" w:rsidRDefault="006E50B6" w:rsidP="006E50B6">
            <w:pPr>
              <w:numPr>
                <w:ilvl w:val="0"/>
                <w:numId w:val="32"/>
              </w:numPr>
              <w:spacing w:before="60" w:after="60"/>
              <w:ind w:left="357" w:right="227" w:hanging="357"/>
              <w:jc w:val="left"/>
              <w:rPr>
                <w:rFonts w:cs="Arial"/>
                <w:sz w:val="22"/>
              </w:rPr>
            </w:pPr>
            <w:r w:rsidRPr="006E50B6">
              <w:rPr>
                <w:rFonts w:cs="Arial"/>
                <w:sz w:val="22"/>
              </w:rPr>
              <w:t>Thereafter the rate can be increased in 40 mL/hr increments every 30 minutes to a maximum of 200 mL/hr</w:t>
            </w:r>
          </w:p>
          <w:p w:rsidR="006E50B6" w:rsidRPr="006E50B6" w:rsidRDefault="006E50B6" w:rsidP="006E50B6">
            <w:pPr>
              <w:numPr>
                <w:ilvl w:val="0"/>
                <w:numId w:val="32"/>
              </w:numPr>
              <w:spacing w:before="60" w:after="60"/>
              <w:ind w:left="357" w:right="227" w:hanging="357"/>
              <w:jc w:val="left"/>
              <w:rPr>
                <w:rFonts w:cs="Arial"/>
                <w:sz w:val="22"/>
              </w:rPr>
            </w:pPr>
            <w:r w:rsidRPr="006E50B6">
              <w:rPr>
                <w:rFonts w:cs="Arial"/>
                <w:sz w:val="22"/>
              </w:rPr>
              <w:t>Each infusion should be given over approximately 3.5 hrs</w:t>
            </w:r>
          </w:p>
        </w:tc>
      </w:tr>
    </w:tbl>
    <w:p w:rsidR="00DF49DE" w:rsidRPr="006E50B6" w:rsidRDefault="00DF49DE" w:rsidP="00DF49DE">
      <w:pPr>
        <w:pStyle w:val="Paragraph"/>
        <w:spacing w:after="0" w:line="240" w:lineRule="auto"/>
        <w:rPr>
          <w:rFonts w:ascii="Times New Roman" w:hAnsi="Times New Roman"/>
        </w:rPr>
      </w:pPr>
      <w:r w:rsidRPr="006E50B6">
        <w:rPr>
          <w:rFonts w:ascii="Times New Roman" w:hAnsi="Times New Roman"/>
          <w:vertAlign w:val="superscript"/>
        </w:rPr>
        <w:t xml:space="preserve">* </w:t>
      </w:r>
      <w:r w:rsidR="006E50B6" w:rsidRPr="006E50B6">
        <w:rPr>
          <w:rFonts w:ascii="Times New Roman" w:hAnsi="Times New Roman"/>
        </w:rPr>
        <w:t>Solutions of OCREVUS for IV infusion are prepared by dilution of the drug product into an infusion bag containing 0.9% sodium chloride, to a final drug concentration of approximately 1.2 mg/m</w:t>
      </w:r>
      <w:r w:rsidR="004D18F3">
        <w:rPr>
          <w:rFonts w:ascii="Times New Roman" w:hAnsi="Times New Roman"/>
        </w:rPr>
        <w:t xml:space="preserve">L </w:t>
      </w:r>
      <w:r w:rsidR="004D18F3" w:rsidRPr="004D18F3">
        <w:rPr>
          <w:rFonts w:ascii="Times New Roman" w:hAnsi="Times New Roman"/>
        </w:rPr>
        <w:t xml:space="preserve">(see </w:t>
      </w:r>
      <w:r w:rsidR="004D18F3" w:rsidRPr="004D18F3">
        <w:rPr>
          <w:rFonts w:ascii="Times New Roman" w:hAnsi="Times New Roman"/>
          <w:i/>
        </w:rPr>
        <w:t>Dosage and administration – Instructions for dilution</w:t>
      </w:r>
      <w:r w:rsidR="004D18F3" w:rsidRPr="004D18F3">
        <w:rPr>
          <w:rFonts w:ascii="Times New Roman" w:hAnsi="Times New Roman"/>
        </w:rPr>
        <w:t>)</w:t>
      </w:r>
      <w:r w:rsidR="004D18F3">
        <w:rPr>
          <w:rFonts w:ascii="Times New Roman" w:hAnsi="Times New Roman"/>
        </w:rPr>
        <w:t xml:space="preserve"> </w:t>
      </w:r>
    </w:p>
    <w:p w:rsidR="00DF49DE" w:rsidRPr="006E50B6" w:rsidRDefault="006E50B6" w:rsidP="00DF49DE">
      <w:pPr>
        <w:pStyle w:val="Paragraph"/>
        <w:spacing w:after="0" w:line="240" w:lineRule="auto"/>
        <w:rPr>
          <w:rFonts w:ascii="Times New Roman" w:hAnsi="Times New Roman"/>
        </w:rPr>
      </w:pPr>
      <w:r w:rsidRPr="006E50B6">
        <w:rPr>
          <w:rFonts w:ascii="Times New Roman" w:hAnsi="Times New Roman"/>
          <w:vertAlign w:val="superscript"/>
        </w:rPr>
        <w:t xml:space="preserve">** </w:t>
      </w:r>
      <w:r w:rsidR="00DA5D4F">
        <w:rPr>
          <w:rFonts w:ascii="Times New Roman" w:hAnsi="Times New Roman"/>
        </w:rPr>
        <w:t xml:space="preserve">The first single infusion </w:t>
      </w:r>
      <w:r w:rsidR="00BD3A7C">
        <w:rPr>
          <w:rFonts w:ascii="Times New Roman" w:hAnsi="Times New Roman"/>
        </w:rPr>
        <w:t>s</w:t>
      </w:r>
      <w:r w:rsidRPr="006E50B6">
        <w:rPr>
          <w:rFonts w:ascii="Times New Roman" w:hAnsi="Times New Roman"/>
        </w:rPr>
        <w:t>hould be administered 6 months after Infusion 1 of the Initial dose</w:t>
      </w:r>
    </w:p>
    <w:p w:rsidR="00DE4274" w:rsidRPr="00DE4274" w:rsidRDefault="00DE4274" w:rsidP="00DF49DE">
      <w:pPr>
        <w:pStyle w:val="Paragraph"/>
        <w:spacing w:after="0" w:line="240" w:lineRule="auto"/>
        <w:jc w:val="both"/>
        <w:rPr>
          <w:rFonts w:ascii="Times New Roman" w:hAnsi="Times New Roman"/>
        </w:rPr>
      </w:pPr>
    </w:p>
    <w:p w:rsidR="000B64CB" w:rsidRPr="00A62F46" w:rsidRDefault="000B64CB" w:rsidP="000B64CB">
      <w:pPr>
        <w:pStyle w:val="TextTi12"/>
        <w:keepNext/>
        <w:spacing w:line="280" w:lineRule="exact"/>
        <w:rPr>
          <w:rFonts w:cs="Arial"/>
          <w:b/>
          <w:i/>
          <w:iCs/>
          <w:lang w:eastAsia="ko-KR" w:bidi="he-IL"/>
        </w:rPr>
      </w:pPr>
      <w:r w:rsidRPr="00A62F46">
        <w:rPr>
          <w:rFonts w:cs="Arial"/>
          <w:b/>
          <w:i/>
          <w:iCs/>
          <w:lang w:eastAsia="ko-KR" w:bidi="he-IL"/>
        </w:rPr>
        <w:lastRenderedPageBreak/>
        <w:t>Delayed or missed doses</w:t>
      </w:r>
    </w:p>
    <w:p w:rsidR="000B64CB" w:rsidRPr="00A62F46" w:rsidRDefault="00DF49DE" w:rsidP="000B64CB">
      <w:pPr>
        <w:pStyle w:val="TextTi12"/>
        <w:spacing w:line="280" w:lineRule="exact"/>
        <w:rPr>
          <w:rFonts w:cs="Arial"/>
          <w:i/>
          <w:iCs/>
          <w:lang w:eastAsia="ko-KR" w:bidi="he-IL"/>
        </w:rPr>
      </w:pPr>
      <w:r w:rsidRPr="00A62F46">
        <w:rPr>
          <w:rFonts w:cs="Arial"/>
          <w:iCs/>
          <w:lang w:eastAsia="ko-KR" w:bidi="he-IL"/>
        </w:rPr>
        <w:t>If a planned</w:t>
      </w:r>
      <w:r w:rsidR="00A62F46" w:rsidRPr="00A62F46">
        <w:rPr>
          <w:rFonts w:cs="Arial"/>
          <w:iCs/>
          <w:lang w:eastAsia="ko-KR" w:bidi="he-IL"/>
        </w:rPr>
        <w:t xml:space="preserve"> infusion</w:t>
      </w:r>
      <w:r w:rsidRPr="00A62F46">
        <w:rPr>
          <w:rFonts w:cs="Arial"/>
          <w:iCs/>
          <w:lang w:eastAsia="ko-KR" w:bidi="he-IL"/>
        </w:rPr>
        <w:t xml:space="preserve"> of </w:t>
      </w:r>
      <w:r w:rsidR="00A62F46" w:rsidRPr="00A62F46">
        <w:rPr>
          <w:rFonts w:cs="Arial"/>
          <w:iCs/>
          <w:lang w:eastAsia="ko-KR" w:bidi="he-IL"/>
        </w:rPr>
        <w:t xml:space="preserve">OCREVUS </w:t>
      </w:r>
      <w:r w:rsidRPr="00A62F46">
        <w:rPr>
          <w:rFonts w:cs="Arial"/>
          <w:iCs/>
          <w:lang w:eastAsia="ko-KR" w:bidi="he-IL"/>
        </w:rPr>
        <w:t xml:space="preserve">is missed, it should be administered as soon as possible; do not wait until the next planned dose. The treatment interval for </w:t>
      </w:r>
      <w:r w:rsidR="00A62F46" w:rsidRPr="00A62F46">
        <w:rPr>
          <w:rFonts w:cs="Arial"/>
          <w:iCs/>
          <w:lang w:eastAsia="ko-KR" w:bidi="he-IL"/>
        </w:rPr>
        <w:t>OCREVUS</w:t>
      </w:r>
      <w:r w:rsidRPr="00A62F46">
        <w:rPr>
          <w:rFonts w:cs="Arial"/>
          <w:iCs/>
          <w:lang w:eastAsia="ko-KR" w:bidi="he-IL"/>
        </w:rPr>
        <w:t xml:space="preserve"> should be maintained between doses.</w:t>
      </w:r>
    </w:p>
    <w:p w:rsidR="000B64CB" w:rsidRPr="00A62F46" w:rsidRDefault="00A62F46" w:rsidP="000B64CB">
      <w:pPr>
        <w:pStyle w:val="TextTi12"/>
        <w:keepNext/>
        <w:spacing w:line="280" w:lineRule="exact"/>
        <w:rPr>
          <w:rFonts w:cs="Arial"/>
          <w:b/>
          <w:i/>
          <w:lang w:eastAsia="ko-KR" w:bidi="he-IL"/>
        </w:rPr>
      </w:pPr>
      <w:r w:rsidRPr="00A62F46">
        <w:rPr>
          <w:rFonts w:cs="Arial"/>
          <w:b/>
          <w:i/>
          <w:lang w:eastAsia="ko-KR" w:bidi="he-IL"/>
        </w:rPr>
        <w:t>Infusion Adjustments</w:t>
      </w:r>
      <w:r w:rsidR="000B64CB" w:rsidRPr="00A62F46">
        <w:rPr>
          <w:rFonts w:cs="Arial"/>
          <w:b/>
          <w:i/>
          <w:lang w:eastAsia="ko-KR" w:bidi="he-IL"/>
        </w:rPr>
        <w:t xml:space="preserve"> during </w:t>
      </w:r>
      <w:r w:rsidR="004A52A0">
        <w:rPr>
          <w:rFonts w:cs="Arial"/>
          <w:b/>
          <w:i/>
          <w:lang w:eastAsia="ko-KR" w:bidi="he-IL"/>
        </w:rPr>
        <w:t>T</w:t>
      </w:r>
      <w:r w:rsidR="000B64CB" w:rsidRPr="00A62F46">
        <w:rPr>
          <w:rFonts w:cs="Arial"/>
          <w:b/>
          <w:i/>
          <w:lang w:eastAsia="ko-KR" w:bidi="he-IL"/>
        </w:rPr>
        <w:t>reatment</w:t>
      </w:r>
    </w:p>
    <w:p w:rsidR="00DF49DE" w:rsidRPr="00A62F46" w:rsidRDefault="00DF49DE" w:rsidP="00514921">
      <w:pPr>
        <w:pStyle w:val="TextTi12"/>
        <w:spacing w:after="0" w:line="240" w:lineRule="auto"/>
        <w:rPr>
          <w:rFonts w:cs="Arial"/>
          <w:lang w:eastAsia="ko-KR" w:bidi="he-IL"/>
        </w:rPr>
      </w:pPr>
      <w:r w:rsidRPr="00A62F46">
        <w:rPr>
          <w:rFonts w:cs="Arial"/>
          <w:lang w:eastAsia="ko-KR" w:bidi="he-IL"/>
        </w:rPr>
        <w:t xml:space="preserve">No dose reductions of </w:t>
      </w:r>
      <w:r w:rsidR="00A62F46" w:rsidRPr="00A62F46">
        <w:rPr>
          <w:rFonts w:cs="Arial"/>
          <w:lang w:eastAsia="ko-KR" w:bidi="he-IL"/>
        </w:rPr>
        <w:t>OCREVUS</w:t>
      </w:r>
      <w:r w:rsidRPr="00A62F46">
        <w:rPr>
          <w:rFonts w:cs="Arial"/>
          <w:lang w:eastAsia="ko-KR" w:bidi="he-IL"/>
        </w:rPr>
        <w:t xml:space="preserve"> are recommended.</w:t>
      </w:r>
    </w:p>
    <w:p w:rsidR="00514921" w:rsidRPr="00A62F46" w:rsidRDefault="00514921" w:rsidP="00514921">
      <w:pPr>
        <w:pStyle w:val="TextTi12"/>
        <w:spacing w:after="0" w:line="240" w:lineRule="auto"/>
        <w:rPr>
          <w:rFonts w:cs="Arial"/>
          <w:lang w:eastAsia="ko-KR" w:bidi="he-IL"/>
        </w:rPr>
      </w:pPr>
    </w:p>
    <w:p w:rsidR="004922C3" w:rsidRPr="00A62F46" w:rsidRDefault="00A62F46" w:rsidP="00DF49DE">
      <w:pPr>
        <w:pStyle w:val="TextTi12"/>
        <w:spacing w:line="280" w:lineRule="exact"/>
        <w:rPr>
          <w:rFonts w:cs="Arial"/>
          <w:lang w:eastAsia="ko-KR" w:bidi="he-IL"/>
        </w:rPr>
      </w:pPr>
      <w:r w:rsidRPr="00A62F46">
        <w:rPr>
          <w:rFonts w:cs="Arial"/>
          <w:lang w:eastAsia="ko-KR" w:bidi="he-IL"/>
        </w:rPr>
        <w:t xml:space="preserve">In case of IRRs during any infusion, see the following adjustments below. Additional information on IRRs can be found under PRECAUTIONS – </w:t>
      </w:r>
      <w:r w:rsidRPr="00A62F46">
        <w:rPr>
          <w:rFonts w:cs="Arial"/>
          <w:i/>
          <w:lang w:eastAsia="ko-KR" w:bidi="he-IL"/>
        </w:rPr>
        <w:t>Infusion Related Reactions</w:t>
      </w:r>
      <w:r w:rsidRPr="00A62F46">
        <w:rPr>
          <w:rFonts w:cs="Arial"/>
          <w:lang w:eastAsia="ko-KR" w:bidi="he-IL"/>
        </w:rPr>
        <w:t>.</w:t>
      </w:r>
    </w:p>
    <w:p w:rsidR="00A62F46" w:rsidRPr="00A62F46" w:rsidRDefault="00A62F46" w:rsidP="00DF49DE">
      <w:pPr>
        <w:pStyle w:val="TextTi12"/>
        <w:spacing w:line="280" w:lineRule="exact"/>
        <w:rPr>
          <w:rFonts w:cs="Arial"/>
          <w:i/>
          <w:lang w:eastAsia="ko-KR" w:bidi="he-IL"/>
        </w:rPr>
      </w:pPr>
      <w:r w:rsidRPr="00A62F46">
        <w:rPr>
          <w:rFonts w:cs="Arial"/>
          <w:i/>
          <w:lang w:eastAsia="ko-KR" w:bidi="he-IL"/>
        </w:rPr>
        <w:t>Life-threatening IRRs</w:t>
      </w:r>
    </w:p>
    <w:p w:rsidR="00A62F46" w:rsidRDefault="00A62F46" w:rsidP="00DF49DE">
      <w:pPr>
        <w:pStyle w:val="TextTi12"/>
        <w:spacing w:line="280" w:lineRule="exact"/>
        <w:rPr>
          <w:rFonts w:cs="Arial"/>
          <w:lang w:eastAsia="ko-KR" w:bidi="he-IL"/>
        </w:rPr>
      </w:pPr>
      <w:r w:rsidRPr="00A62F46">
        <w:rPr>
          <w:rFonts w:cs="Arial"/>
          <w:lang w:eastAsia="ko-KR" w:bidi="he-IL"/>
        </w:rPr>
        <w:t>Immediately stop OCREVUS if there are signs of a life-threatening or disabling IRR during an infusion, such as acute hypersensitivity or acute respiratory distress syndrome. The patient should receive appropriate supportive treatment. Permanently discontinue OCREVUS in these patients.</w:t>
      </w:r>
    </w:p>
    <w:p w:rsidR="00A62F46" w:rsidRPr="00A62F46" w:rsidRDefault="00A62F46" w:rsidP="00A62F46">
      <w:pPr>
        <w:pStyle w:val="TextTi12"/>
        <w:spacing w:line="280" w:lineRule="exact"/>
        <w:rPr>
          <w:rFonts w:cs="Arial"/>
          <w:i/>
          <w:lang w:eastAsia="ko-KR" w:bidi="he-IL"/>
        </w:rPr>
      </w:pPr>
      <w:r>
        <w:rPr>
          <w:rFonts w:cs="Arial"/>
          <w:i/>
          <w:lang w:eastAsia="ko-KR" w:bidi="he-IL"/>
        </w:rPr>
        <w:t>Severe</w:t>
      </w:r>
      <w:r w:rsidRPr="00A62F46">
        <w:rPr>
          <w:rFonts w:cs="Arial"/>
          <w:i/>
          <w:lang w:eastAsia="ko-KR" w:bidi="he-IL"/>
        </w:rPr>
        <w:t xml:space="preserve"> IRRs</w:t>
      </w:r>
    </w:p>
    <w:p w:rsidR="00A62F46" w:rsidRDefault="00A62F46" w:rsidP="00DF49DE">
      <w:pPr>
        <w:pStyle w:val="TextTi12"/>
        <w:spacing w:line="280" w:lineRule="exact"/>
        <w:rPr>
          <w:rFonts w:cs="Arial"/>
          <w:lang w:eastAsia="ko-KR" w:bidi="he-IL"/>
        </w:rPr>
      </w:pPr>
      <w:r>
        <w:rPr>
          <w:rFonts w:cs="Arial"/>
          <w:lang w:eastAsia="ko-KR" w:bidi="he-IL"/>
        </w:rPr>
        <w:t>If a patient experiences a severe IRR or a complex of flushing, fever, and throat pain symptoms, the infusion should be interrupted immediately and the patient should receive symptomatic treatment. The infusion should be restarted only after all symptoms have resolved. The initial infusion rate at restart should be half the infusion rate at the time of onset of the reaction.</w:t>
      </w:r>
    </w:p>
    <w:p w:rsidR="00A62F46" w:rsidRPr="00A62F46" w:rsidRDefault="00A62F46" w:rsidP="00A62F46">
      <w:pPr>
        <w:pStyle w:val="TextTi12"/>
        <w:spacing w:line="280" w:lineRule="exact"/>
        <w:rPr>
          <w:rFonts w:cs="Arial"/>
          <w:i/>
          <w:lang w:eastAsia="ko-KR" w:bidi="he-IL"/>
        </w:rPr>
      </w:pPr>
      <w:r>
        <w:rPr>
          <w:rFonts w:cs="Arial"/>
          <w:i/>
          <w:lang w:eastAsia="ko-KR" w:bidi="he-IL"/>
        </w:rPr>
        <w:t>Mild to Moderate</w:t>
      </w:r>
      <w:r w:rsidRPr="00A62F46">
        <w:rPr>
          <w:rFonts w:cs="Arial"/>
          <w:i/>
          <w:lang w:eastAsia="ko-KR" w:bidi="he-IL"/>
        </w:rPr>
        <w:t xml:space="preserve"> IRRs</w:t>
      </w:r>
    </w:p>
    <w:p w:rsidR="00A62F46" w:rsidRDefault="00A62F46" w:rsidP="00DF49DE">
      <w:pPr>
        <w:pStyle w:val="TextTi12"/>
        <w:spacing w:line="280" w:lineRule="exact"/>
        <w:rPr>
          <w:rFonts w:cs="Arial"/>
          <w:lang w:eastAsia="ko-KR" w:bidi="he-IL"/>
        </w:rPr>
      </w:pPr>
      <w:proofErr w:type="gramStart"/>
      <w:r>
        <w:rPr>
          <w:rFonts w:cs="Arial"/>
          <w:lang w:eastAsia="ko-KR" w:bidi="he-IL"/>
        </w:rPr>
        <w:t xml:space="preserve">If a patient experiences a mild to moderate IRR (e.g. headache), the infusion rate should </w:t>
      </w:r>
      <w:r w:rsidR="00A0378B">
        <w:rPr>
          <w:rFonts w:cs="Arial"/>
          <w:lang w:eastAsia="ko-KR" w:bidi="he-IL"/>
        </w:rPr>
        <w:t>be reduced to half the rate at the onset of the event.</w:t>
      </w:r>
      <w:proofErr w:type="gramEnd"/>
      <w:r w:rsidR="00A0378B">
        <w:rPr>
          <w:rFonts w:cs="Arial"/>
          <w:lang w:eastAsia="ko-KR" w:bidi="he-IL"/>
        </w:rPr>
        <w:t xml:space="preserve"> This reduced rate should be maintained for at least 30 minutes. If tolerated, the infusion rate may then be increased according to the patient’s initial infusion schedule.</w:t>
      </w:r>
    </w:p>
    <w:p w:rsidR="00A0378B" w:rsidRPr="00AA1835" w:rsidRDefault="00A0378B" w:rsidP="00DF49DE">
      <w:pPr>
        <w:pStyle w:val="TextTi12"/>
        <w:spacing w:line="280" w:lineRule="exact"/>
        <w:rPr>
          <w:rFonts w:cs="Arial"/>
          <w:lang w:eastAsia="ko-KR" w:bidi="he-IL"/>
        </w:rPr>
      </w:pPr>
      <w:r>
        <w:rPr>
          <w:rFonts w:cs="Arial"/>
          <w:lang w:eastAsia="ko-KR" w:bidi="he-IL"/>
        </w:rPr>
        <w:t xml:space="preserve">See PRECAUTIONS - </w:t>
      </w:r>
      <w:r w:rsidRPr="00A62F46">
        <w:rPr>
          <w:rFonts w:cs="Arial"/>
          <w:i/>
          <w:lang w:eastAsia="ko-KR" w:bidi="he-IL"/>
        </w:rPr>
        <w:t>Infusion Related Reactions</w:t>
      </w:r>
      <w:r>
        <w:rPr>
          <w:rFonts w:cs="Arial"/>
          <w:lang w:eastAsia="ko-KR" w:bidi="he-IL"/>
        </w:rPr>
        <w:t xml:space="preserve"> for a full description of the symptoms associated with IRRs.</w:t>
      </w:r>
    </w:p>
    <w:p w:rsidR="004922C3" w:rsidRPr="00AA1835" w:rsidRDefault="00AA1835" w:rsidP="00DF49DE">
      <w:pPr>
        <w:pStyle w:val="TextTi12"/>
        <w:spacing w:line="280" w:lineRule="exact"/>
        <w:rPr>
          <w:rFonts w:cs="Arial"/>
          <w:b/>
          <w:i/>
          <w:lang w:eastAsia="ko-KR" w:bidi="he-IL"/>
        </w:rPr>
      </w:pPr>
      <w:r w:rsidRPr="00AA1835">
        <w:rPr>
          <w:rFonts w:cs="Arial"/>
          <w:b/>
          <w:i/>
          <w:lang w:eastAsia="ko-KR" w:bidi="he-IL"/>
        </w:rPr>
        <w:t>Dose</w:t>
      </w:r>
      <w:r w:rsidR="004922C3" w:rsidRPr="00AA1835">
        <w:rPr>
          <w:rFonts w:cs="Arial"/>
          <w:b/>
          <w:i/>
          <w:lang w:eastAsia="ko-KR" w:bidi="he-IL"/>
        </w:rPr>
        <w:t xml:space="preserve"> modifications in Special Populations</w:t>
      </w:r>
    </w:p>
    <w:p w:rsidR="004922C3" w:rsidRPr="00AA1835" w:rsidRDefault="004922C3" w:rsidP="00514921">
      <w:pPr>
        <w:pStyle w:val="TextTi12"/>
        <w:spacing w:after="0" w:line="240" w:lineRule="auto"/>
        <w:rPr>
          <w:rFonts w:cs="Arial"/>
          <w:lang w:eastAsia="ko-KR" w:bidi="he-IL"/>
        </w:rPr>
      </w:pPr>
      <w:r w:rsidRPr="00AA1835">
        <w:rPr>
          <w:rFonts w:cs="Arial"/>
          <w:i/>
          <w:lang w:eastAsia="ko-KR" w:bidi="he-IL"/>
        </w:rPr>
        <w:t>Children:</w:t>
      </w:r>
      <w:r w:rsidRPr="00AA1835">
        <w:rPr>
          <w:rFonts w:cs="Arial"/>
          <w:lang w:eastAsia="ko-KR" w:bidi="he-IL"/>
        </w:rPr>
        <w:t xml:space="preserve"> The safety and efficacy of </w:t>
      </w:r>
      <w:r w:rsidR="00AA1835" w:rsidRPr="00AA1835">
        <w:rPr>
          <w:rFonts w:cs="Arial"/>
          <w:lang w:eastAsia="ko-KR" w:bidi="he-IL"/>
        </w:rPr>
        <w:t>OCREVUS</w:t>
      </w:r>
      <w:r w:rsidRPr="00AA1835">
        <w:rPr>
          <w:rFonts w:cs="Arial"/>
          <w:lang w:eastAsia="ko-KR" w:bidi="he-IL"/>
        </w:rPr>
        <w:t xml:space="preserve"> in children </w:t>
      </w:r>
      <w:r w:rsidR="00AA1835" w:rsidRPr="00AA1835">
        <w:rPr>
          <w:rFonts w:cs="Arial"/>
          <w:lang w:eastAsia="ko-KR" w:bidi="he-IL"/>
        </w:rPr>
        <w:t xml:space="preserve">and adolescents </w:t>
      </w:r>
      <w:r w:rsidRPr="00AA1835">
        <w:rPr>
          <w:rFonts w:cs="Arial"/>
          <w:lang w:eastAsia="ko-KR" w:bidi="he-IL"/>
        </w:rPr>
        <w:t>below 18 years of age have not been established.</w:t>
      </w:r>
    </w:p>
    <w:p w:rsidR="00514921" w:rsidRPr="00AA1835" w:rsidRDefault="00514921" w:rsidP="00514921">
      <w:pPr>
        <w:pStyle w:val="TextTi12"/>
        <w:spacing w:after="0" w:line="240" w:lineRule="auto"/>
        <w:rPr>
          <w:rFonts w:cs="Arial"/>
          <w:lang w:eastAsia="ko-KR" w:bidi="he-IL"/>
        </w:rPr>
      </w:pPr>
    </w:p>
    <w:p w:rsidR="004922C3" w:rsidRPr="001E78B7" w:rsidRDefault="004922C3" w:rsidP="00514921">
      <w:pPr>
        <w:pStyle w:val="TextTi12"/>
        <w:spacing w:after="0" w:line="240" w:lineRule="auto"/>
        <w:rPr>
          <w:rFonts w:cs="Arial"/>
          <w:lang w:eastAsia="ko-KR" w:bidi="he-IL"/>
        </w:rPr>
      </w:pPr>
      <w:r w:rsidRPr="001E78B7">
        <w:rPr>
          <w:rFonts w:cs="Arial"/>
          <w:i/>
          <w:lang w:eastAsia="ko-KR" w:bidi="he-IL"/>
        </w:rPr>
        <w:t>Elderly:</w:t>
      </w:r>
      <w:r w:rsidRPr="001E78B7">
        <w:rPr>
          <w:rFonts w:cs="Arial"/>
          <w:lang w:eastAsia="ko-KR" w:bidi="he-IL"/>
        </w:rPr>
        <w:t xml:space="preserve"> </w:t>
      </w:r>
      <w:r w:rsidR="00AA1835" w:rsidRPr="001E78B7">
        <w:rPr>
          <w:rFonts w:cs="Arial"/>
          <w:lang w:eastAsia="ko-KR" w:bidi="he-IL"/>
        </w:rPr>
        <w:t xml:space="preserve">The safety and efficacy of OCREVUS in patients </w:t>
      </w:r>
      <w:r w:rsidR="001E78B7">
        <w:rPr>
          <w:lang w:eastAsia="ko-KR" w:bidi="he-IL"/>
        </w:rPr>
        <w:t>&gt; 55</w:t>
      </w:r>
      <w:r w:rsidR="00AA1835" w:rsidRPr="001E78B7">
        <w:rPr>
          <w:rFonts w:cs="Arial"/>
          <w:lang w:eastAsia="ko-KR" w:bidi="he-IL"/>
        </w:rPr>
        <w:t xml:space="preserve"> years of age have not been </w:t>
      </w:r>
      <w:r w:rsidR="00ED29CC">
        <w:rPr>
          <w:rFonts w:cs="Arial"/>
          <w:lang w:eastAsia="ko-KR" w:bidi="he-IL"/>
        </w:rPr>
        <w:t>established</w:t>
      </w:r>
      <w:r w:rsidRPr="001E78B7">
        <w:rPr>
          <w:rFonts w:cs="Arial"/>
          <w:lang w:eastAsia="ko-KR" w:bidi="he-IL"/>
        </w:rPr>
        <w:t>.</w:t>
      </w:r>
    </w:p>
    <w:p w:rsidR="00514921" w:rsidRPr="00AA1835" w:rsidRDefault="00514921" w:rsidP="00514921">
      <w:pPr>
        <w:pStyle w:val="TextTi12"/>
        <w:spacing w:after="0" w:line="240" w:lineRule="auto"/>
        <w:rPr>
          <w:rFonts w:cs="Arial"/>
          <w:lang w:eastAsia="ko-KR" w:bidi="he-IL"/>
        </w:rPr>
      </w:pPr>
    </w:p>
    <w:p w:rsidR="00AA1835" w:rsidRPr="00AA1835" w:rsidRDefault="004922C3" w:rsidP="00514921">
      <w:pPr>
        <w:pStyle w:val="TextTi12"/>
        <w:spacing w:after="0" w:line="240" w:lineRule="auto"/>
        <w:rPr>
          <w:rFonts w:cs="Arial"/>
          <w:lang w:eastAsia="ko-KR" w:bidi="he-IL"/>
        </w:rPr>
      </w:pPr>
      <w:r w:rsidRPr="00AA1835">
        <w:rPr>
          <w:rFonts w:cs="Arial"/>
          <w:i/>
          <w:lang w:eastAsia="ko-KR" w:bidi="he-IL"/>
        </w:rPr>
        <w:t>Renal Impairment:</w:t>
      </w:r>
      <w:r w:rsidRPr="00AA1835">
        <w:rPr>
          <w:rFonts w:cs="Arial"/>
          <w:lang w:eastAsia="ko-KR" w:bidi="he-IL"/>
        </w:rPr>
        <w:t xml:space="preserve"> </w:t>
      </w:r>
      <w:r w:rsidR="00AA1835" w:rsidRPr="00AA1835">
        <w:rPr>
          <w:rFonts w:cs="Arial"/>
          <w:lang w:eastAsia="ko-KR" w:bidi="he-IL"/>
        </w:rPr>
        <w:t xml:space="preserve">The safety and efficacy of OCREVUS in patients with renal impairment have not been formally studied. A change in dose is not expected to be required for patients with renal impairment (see </w:t>
      </w:r>
      <w:r w:rsidR="0014724E">
        <w:rPr>
          <w:rFonts w:cs="Arial"/>
          <w:lang w:eastAsia="ko-KR" w:bidi="he-IL"/>
        </w:rPr>
        <w:t xml:space="preserve">PHARMACOLOGY - </w:t>
      </w:r>
      <w:r w:rsidR="00AA1835" w:rsidRPr="00AA1835">
        <w:rPr>
          <w:rFonts w:cs="Arial"/>
          <w:lang w:eastAsia="ko-KR" w:bidi="he-IL"/>
        </w:rPr>
        <w:t>Pharmacokinetics in special populations).</w:t>
      </w:r>
    </w:p>
    <w:p w:rsidR="00514921" w:rsidRPr="00AA1835" w:rsidRDefault="00514921" w:rsidP="00514921">
      <w:pPr>
        <w:pStyle w:val="TextTi12"/>
        <w:spacing w:after="0" w:line="240" w:lineRule="auto"/>
        <w:rPr>
          <w:rFonts w:cs="Arial"/>
          <w:lang w:eastAsia="ko-KR" w:bidi="he-IL"/>
        </w:rPr>
      </w:pPr>
    </w:p>
    <w:p w:rsidR="00321324" w:rsidRPr="00AA1835" w:rsidRDefault="004922C3" w:rsidP="004922C3">
      <w:pPr>
        <w:pStyle w:val="TextTi12"/>
        <w:spacing w:line="280" w:lineRule="exact"/>
        <w:rPr>
          <w:rFonts w:cs="Arial"/>
          <w:i/>
          <w:lang w:eastAsia="ko-KR" w:bidi="he-IL"/>
        </w:rPr>
      </w:pPr>
      <w:r w:rsidRPr="00AA1835">
        <w:rPr>
          <w:rFonts w:cs="Arial"/>
          <w:i/>
          <w:lang w:eastAsia="ko-KR" w:bidi="he-IL"/>
        </w:rPr>
        <w:t>Hepatic Impairment:</w:t>
      </w:r>
      <w:r w:rsidRPr="00AA1835">
        <w:rPr>
          <w:rFonts w:cs="Arial"/>
          <w:lang w:eastAsia="ko-KR" w:bidi="he-IL"/>
        </w:rPr>
        <w:t xml:space="preserve"> The safety and efficacy of </w:t>
      </w:r>
      <w:r w:rsidR="00AA1835" w:rsidRPr="00AA1835">
        <w:rPr>
          <w:rFonts w:cs="Arial"/>
          <w:lang w:eastAsia="ko-KR" w:bidi="he-IL"/>
        </w:rPr>
        <w:t xml:space="preserve">OCREVUS in patients with hepatic impairment have not been formally studied. A change in dose is not expected to be required </w:t>
      </w:r>
      <w:r w:rsidR="00AA1835" w:rsidRPr="00AA1835">
        <w:rPr>
          <w:rFonts w:cs="Arial"/>
          <w:lang w:eastAsia="ko-KR" w:bidi="he-IL"/>
        </w:rPr>
        <w:lastRenderedPageBreak/>
        <w:t xml:space="preserve">for patients with hepatic impairment (see </w:t>
      </w:r>
      <w:r w:rsidR="0014724E">
        <w:rPr>
          <w:rFonts w:cs="Arial"/>
          <w:lang w:eastAsia="ko-KR" w:bidi="he-IL"/>
        </w:rPr>
        <w:t xml:space="preserve">PHARMACOLOGY - </w:t>
      </w:r>
      <w:r w:rsidR="00AA1835" w:rsidRPr="00AA1835">
        <w:rPr>
          <w:rFonts w:cs="Arial"/>
          <w:lang w:eastAsia="ko-KR" w:bidi="he-IL"/>
        </w:rPr>
        <w:t>Pharmacokinetics in special populations).</w:t>
      </w:r>
    </w:p>
    <w:p w:rsidR="003B3FC5" w:rsidRPr="002E6328" w:rsidRDefault="003B3FC5" w:rsidP="000B64CB">
      <w:pPr>
        <w:pStyle w:val="TextTi12"/>
        <w:spacing w:line="280" w:lineRule="exact"/>
        <w:rPr>
          <w:rFonts w:cs="Arial"/>
          <w:b/>
          <w:i/>
          <w:lang w:eastAsia="ko-KR" w:bidi="he-IL"/>
        </w:rPr>
      </w:pPr>
      <w:r w:rsidRPr="002E6328">
        <w:rPr>
          <w:rFonts w:cs="Arial"/>
          <w:b/>
          <w:i/>
          <w:lang w:eastAsia="ko-KR" w:bidi="he-IL"/>
        </w:rPr>
        <w:t>Instructions for dilution</w:t>
      </w:r>
    </w:p>
    <w:p w:rsidR="003B3FC5" w:rsidRPr="002E6328" w:rsidRDefault="002E6328" w:rsidP="00514921">
      <w:pPr>
        <w:pStyle w:val="TextTi12"/>
        <w:spacing w:after="0" w:line="240" w:lineRule="auto"/>
        <w:rPr>
          <w:rFonts w:cs="Arial"/>
          <w:lang w:eastAsia="ko-KR" w:bidi="he-IL"/>
        </w:rPr>
      </w:pPr>
      <w:r w:rsidRPr="002E6328">
        <w:rPr>
          <w:rFonts w:cs="Arial"/>
          <w:lang w:eastAsia="ko-KR" w:bidi="he-IL"/>
        </w:rPr>
        <w:t>OCREVUS</w:t>
      </w:r>
      <w:r w:rsidR="009E77C6" w:rsidRPr="002E6328">
        <w:rPr>
          <w:rFonts w:cs="Arial"/>
          <w:lang w:eastAsia="ko-KR" w:bidi="he-IL"/>
        </w:rPr>
        <w:t xml:space="preserve"> should be prepared by a healthcare professional using aseptic technique.</w:t>
      </w:r>
    </w:p>
    <w:p w:rsidR="00514921" w:rsidRPr="002E6328" w:rsidRDefault="00514921" w:rsidP="00514921">
      <w:pPr>
        <w:pStyle w:val="TextTi12"/>
        <w:spacing w:after="0" w:line="240" w:lineRule="auto"/>
        <w:rPr>
          <w:rFonts w:cs="Arial"/>
          <w:lang w:eastAsia="ko-KR" w:bidi="he-IL"/>
        </w:rPr>
      </w:pPr>
    </w:p>
    <w:p w:rsidR="002E6328" w:rsidRDefault="002E6328" w:rsidP="00514921">
      <w:pPr>
        <w:pStyle w:val="TextTi12"/>
        <w:spacing w:after="0" w:line="240" w:lineRule="auto"/>
        <w:rPr>
          <w:rFonts w:cs="Arial"/>
          <w:lang w:eastAsia="ko-KR" w:bidi="he-IL"/>
        </w:rPr>
      </w:pPr>
      <w:r w:rsidRPr="002E6328">
        <w:rPr>
          <w:rFonts w:cs="Arial"/>
          <w:lang w:eastAsia="ko-KR" w:bidi="he-IL"/>
        </w:rPr>
        <w:t xml:space="preserve">OCREVUS may contain fine translucent and/or reflective particles associated with enhanced opalescence. Do not use the solution if </w:t>
      </w:r>
      <w:proofErr w:type="spellStart"/>
      <w:r w:rsidRPr="002E6328">
        <w:rPr>
          <w:rFonts w:cs="Arial"/>
          <w:lang w:eastAsia="ko-KR" w:bidi="he-IL"/>
        </w:rPr>
        <w:t>discoloured</w:t>
      </w:r>
      <w:proofErr w:type="spellEnd"/>
      <w:r w:rsidRPr="002E6328">
        <w:rPr>
          <w:rFonts w:cs="Arial"/>
          <w:lang w:eastAsia="ko-KR" w:bidi="he-IL"/>
        </w:rPr>
        <w:t xml:space="preserve"> or if the solution contains discrete foreign particulate matter.</w:t>
      </w:r>
    </w:p>
    <w:p w:rsidR="002E6328" w:rsidRDefault="002E6328" w:rsidP="00514921">
      <w:pPr>
        <w:pStyle w:val="TextTi12"/>
        <w:spacing w:after="0" w:line="240" w:lineRule="auto"/>
        <w:rPr>
          <w:rFonts w:cs="Arial"/>
          <w:lang w:eastAsia="ko-KR" w:bidi="he-IL"/>
        </w:rPr>
      </w:pPr>
    </w:p>
    <w:p w:rsidR="002E6328" w:rsidRDefault="002E6328" w:rsidP="00514921">
      <w:pPr>
        <w:pStyle w:val="TextTi12"/>
        <w:spacing w:after="0" w:line="240" w:lineRule="auto"/>
        <w:rPr>
          <w:rFonts w:cs="Arial"/>
          <w:lang w:eastAsia="ko-KR" w:bidi="he-IL"/>
        </w:rPr>
      </w:pPr>
      <w:r>
        <w:rPr>
          <w:rFonts w:cs="Arial"/>
          <w:lang w:eastAsia="ko-KR" w:bidi="he-IL"/>
        </w:rPr>
        <w:t>OCREVUS must be diluted before administration. Solutions of OCREVUS for IV administration are prepared by dilution into an infusion bag containing 0.9% sodium chloride (300 mg/250 mL or 600 mg/500 mL), to a final drug concentration of approximately 1.2 mg/</w:t>
      </w:r>
      <w:proofErr w:type="spellStart"/>
      <w:r>
        <w:rPr>
          <w:rFonts w:cs="Arial"/>
          <w:lang w:eastAsia="ko-KR" w:bidi="he-IL"/>
        </w:rPr>
        <w:t>mL.</w:t>
      </w:r>
      <w:proofErr w:type="spellEnd"/>
    </w:p>
    <w:p w:rsidR="002E6328" w:rsidRDefault="002E6328" w:rsidP="00514921">
      <w:pPr>
        <w:pStyle w:val="TextTi12"/>
        <w:spacing w:after="0" w:line="240" w:lineRule="auto"/>
        <w:rPr>
          <w:rFonts w:cs="Arial"/>
          <w:lang w:eastAsia="ko-KR" w:bidi="he-IL"/>
        </w:rPr>
      </w:pPr>
    </w:p>
    <w:p w:rsidR="002E6328" w:rsidRDefault="002E6328" w:rsidP="00514921">
      <w:pPr>
        <w:pStyle w:val="TextTi12"/>
        <w:spacing w:after="0" w:line="240" w:lineRule="auto"/>
        <w:rPr>
          <w:rFonts w:cs="Arial"/>
          <w:lang w:eastAsia="ko-KR" w:bidi="he-IL"/>
        </w:rPr>
      </w:pPr>
      <w:r>
        <w:rPr>
          <w:rFonts w:cs="Arial"/>
          <w:lang w:eastAsia="ko-KR" w:bidi="he-IL"/>
        </w:rPr>
        <w:t>The diluted infusion solution must be administered using an infusion set with a 0.2 or 0.22 micron in-line filter.</w:t>
      </w:r>
    </w:p>
    <w:p w:rsidR="002E6328" w:rsidRDefault="002E6328" w:rsidP="00514921">
      <w:pPr>
        <w:pStyle w:val="TextTi12"/>
        <w:spacing w:after="0" w:line="240" w:lineRule="auto"/>
        <w:rPr>
          <w:rFonts w:cs="Arial"/>
          <w:lang w:eastAsia="ko-KR" w:bidi="he-IL"/>
        </w:rPr>
      </w:pPr>
    </w:p>
    <w:p w:rsidR="004B50F8" w:rsidRPr="00B75FCF" w:rsidRDefault="002E6328" w:rsidP="002A150B">
      <w:pPr>
        <w:pStyle w:val="TextTi12"/>
        <w:spacing w:after="0" w:line="240" w:lineRule="auto"/>
        <w:rPr>
          <w:rFonts w:cs="Arial"/>
          <w:lang w:eastAsia="ko-KR" w:bidi="he-IL"/>
        </w:rPr>
      </w:pPr>
      <w:r w:rsidRPr="002E6328">
        <w:rPr>
          <w:rFonts w:cs="Arial"/>
          <w:lang w:eastAsia="ko-KR" w:bidi="he-IL"/>
        </w:rPr>
        <w:t>Prior to the start of the IV infusion, the content of the infusion bag must be at room temperature to avoid an infusion reaction to the administration of th</w:t>
      </w:r>
      <w:r w:rsidR="002A150B">
        <w:rPr>
          <w:rFonts w:cs="Arial"/>
          <w:lang w:eastAsia="ko-KR" w:bidi="he-IL"/>
        </w:rPr>
        <w:t>e solution at low temperatures.</w:t>
      </w:r>
    </w:p>
    <w:p w:rsidR="002A150B" w:rsidRPr="00B75FCF" w:rsidRDefault="002A150B" w:rsidP="002A150B">
      <w:pPr>
        <w:pStyle w:val="TextTi12"/>
        <w:spacing w:after="0" w:line="240" w:lineRule="auto"/>
        <w:rPr>
          <w:rFonts w:cs="Arial"/>
          <w:lang w:eastAsia="ko-KR" w:bidi="he-IL"/>
        </w:rPr>
      </w:pPr>
    </w:p>
    <w:p w:rsidR="003B3FC5" w:rsidRPr="00B75FCF" w:rsidRDefault="003B3FC5" w:rsidP="000B64CB">
      <w:pPr>
        <w:pStyle w:val="TextTi12"/>
        <w:spacing w:line="280" w:lineRule="exact"/>
        <w:rPr>
          <w:rFonts w:cs="Arial"/>
          <w:b/>
          <w:i/>
          <w:lang w:eastAsia="ko-KR" w:bidi="he-IL"/>
        </w:rPr>
      </w:pPr>
      <w:r w:rsidRPr="00B75FCF">
        <w:rPr>
          <w:rFonts w:cs="Arial"/>
          <w:b/>
          <w:i/>
          <w:lang w:eastAsia="ko-KR" w:bidi="he-IL"/>
        </w:rPr>
        <w:t>Incompatibilities</w:t>
      </w:r>
    </w:p>
    <w:p w:rsidR="003B3FC5" w:rsidRPr="00B75FCF" w:rsidRDefault="00507D16" w:rsidP="00507D16">
      <w:pPr>
        <w:pStyle w:val="TextTi12"/>
        <w:spacing w:after="0" w:line="240" w:lineRule="auto"/>
        <w:rPr>
          <w:rFonts w:cs="Arial"/>
          <w:lang w:eastAsia="ko-KR" w:bidi="he-IL"/>
        </w:rPr>
      </w:pPr>
      <w:r w:rsidRPr="00B75FCF">
        <w:rPr>
          <w:rFonts w:cs="Arial"/>
          <w:lang w:eastAsia="ko-KR" w:bidi="he-IL"/>
        </w:rPr>
        <w:t xml:space="preserve">No incompatibilities between </w:t>
      </w:r>
      <w:r w:rsidR="00EE5A09" w:rsidRPr="00B75FCF">
        <w:rPr>
          <w:rFonts w:cs="Arial"/>
          <w:lang w:eastAsia="ko-KR" w:bidi="he-IL"/>
        </w:rPr>
        <w:t>OCREVUS</w:t>
      </w:r>
      <w:r w:rsidRPr="00B75FCF">
        <w:rPr>
          <w:rFonts w:cs="Arial"/>
          <w:lang w:eastAsia="ko-KR" w:bidi="he-IL"/>
        </w:rPr>
        <w:t xml:space="preserve"> and polyvinyl chloride or </w:t>
      </w:r>
      <w:proofErr w:type="spellStart"/>
      <w:r w:rsidRPr="00B75FCF">
        <w:rPr>
          <w:rFonts w:cs="Arial"/>
          <w:lang w:eastAsia="ko-KR" w:bidi="he-IL"/>
        </w:rPr>
        <w:t>polyolefine</w:t>
      </w:r>
      <w:proofErr w:type="spellEnd"/>
      <w:r w:rsidRPr="00B75FCF">
        <w:rPr>
          <w:rFonts w:cs="Arial"/>
          <w:lang w:eastAsia="ko-KR" w:bidi="he-IL"/>
        </w:rPr>
        <w:t xml:space="preserve"> bags</w:t>
      </w:r>
      <w:r w:rsidR="00EE5A09" w:rsidRPr="00B75FCF">
        <w:rPr>
          <w:rFonts w:cs="Arial"/>
          <w:lang w:eastAsia="ko-KR" w:bidi="he-IL"/>
        </w:rPr>
        <w:t>, and IV administration s</w:t>
      </w:r>
      <w:r w:rsidRPr="00B75FCF">
        <w:rPr>
          <w:rFonts w:cs="Arial"/>
          <w:lang w:eastAsia="ko-KR" w:bidi="he-IL"/>
        </w:rPr>
        <w:t>ets</w:t>
      </w:r>
      <w:r w:rsidR="00EE5A09" w:rsidRPr="00B75FCF">
        <w:rPr>
          <w:rFonts w:cs="Arial"/>
          <w:lang w:eastAsia="ko-KR" w:bidi="he-IL"/>
        </w:rPr>
        <w:t xml:space="preserve"> have been observed. </w:t>
      </w:r>
      <w:r w:rsidR="00B75FCF" w:rsidRPr="00B75FCF">
        <w:rPr>
          <w:rFonts w:cs="Arial"/>
          <w:lang w:eastAsia="ko-KR" w:bidi="he-IL"/>
        </w:rPr>
        <w:t xml:space="preserve">Do not use diluents other than 0.9% sodium chloride to </w:t>
      </w:r>
      <w:r w:rsidRPr="00B75FCF">
        <w:rPr>
          <w:rFonts w:cs="Arial"/>
          <w:lang w:eastAsia="ko-KR" w:bidi="he-IL"/>
        </w:rPr>
        <w:t xml:space="preserve">dilute </w:t>
      </w:r>
      <w:r w:rsidR="00B75FCF" w:rsidRPr="00B75FCF">
        <w:rPr>
          <w:rFonts w:cs="Arial"/>
          <w:lang w:eastAsia="ko-KR" w:bidi="he-IL"/>
        </w:rPr>
        <w:t>OCREVUS</w:t>
      </w:r>
      <w:r w:rsidRPr="00B75FCF">
        <w:rPr>
          <w:rFonts w:cs="Arial"/>
          <w:lang w:eastAsia="ko-KR" w:bidi="he-IL"/>
        </w:rPr>
        <w:t xml:space="preserve"> since use has not been tested.</w:t>
      </w:r>
    </w:p>
    <w:p w:rsidR="00D844B2" w:rsidRPr="002A150B" w:rsidRDefault="00D844B2" w:rsidP="009313C0">
      <w:pPr>
        <w:pStyle w:val="Heading1"/>
        <w:numPr>
          <w:ilvl w:val="0"/>
          <w:numId w:val="0"/>
        </w:numPr>
      </w:pPr>
      <w:r w:rsidRPr="002A150B">
        <w:t>Overdosage</w:t>
      </w:r>
    </w:p>
    <w:p w:rsidR="002A150B" w:rsidRPr="002A150B" w:rsidRDefault="002A150B" w:rsidP="00514921">
      <w:r w:rsidRPr="002A150B">
        <w:t>There is limited clinical trial experience with doses higher than the approved IV dose of OCREVUS. The highest dose tested to date in MS patients is 2000 mg, administered as two 1000 mg IV infusions separated by two weeks (Phase II dose finding study in RRMS). The ADRs were consistent with the safety profile for OCREVUS in the pivotal clinical studies.</w:t>
      </w:r>
    </w:p>
    <w:p w:rsidR="00514921" w:rsidRPr="002A150B" w:rsidRDefault="00514921" w:rsidP="00514921"/>
    <w:p w:rsidR="002A150B" w:rsidRPr="002A150B" w:rsidRDefault="002A150B" w:rsidP="00514921">
      <w:r w:rsidRPr="002A150B">
        <w:t xml:space="preserve">There is no specific antidote in the event of an overdose. Interrupt the infusion immediately and observe the patient for IRRs (see PRECAUTIONS – </w:t>
      </w:r>
      <w:r w:rsidRPr="002A150B">
        <w:rPr>
          <w:i/>
        </w:rPr>
        <w:t>Infusion Related Reactions</w:t>
      </w:r>
      <w:r w:rsidRPr="002A150B">
        <w:t xml:space="preserve">). </w:t>
      </w:r>
    </w:p>
    <w:p w:rsidR="002A150B" w:rsidRPr="002A150B" w:rsidRDefault="002A150B" w:rsidP="00514921"/>
    <w:p w:rsidR="000561FA" w:rsidRPr="002A150B" w:rsidRDefault="000561FA" w:rsidP="00514921">
      <w:r w:rsidRPr="002A150B">
        <w:t>Treatment of overdose should consist of general supportive measures.</w:t>
      </w:r>
    </w:p>
    <w:p w:rsidR="00514921" w:rsidRPr="002A150B" w:rsidRDefault="00514921" w:rsidP="00514921"/>
    <w:p w:rsidR="000561FA" w:rsidRPr="002A150B" w:rsidRDefault="000561FA" w:rsidP="00514921">
      <w:r w:rsidRPr="002A150B">
        <w:t xml:space="preserve">Contact the Poison Information Centre for advice on management of </w:t>
      </w:r>
      <w:proofErr w:type="spellStart"/>
      <w:r w:rsidRPr="002A150B">
        <w:t>overdosage</w:t>
      </w:r>
      <w:proofErr w:type="spellEnd"/>
      <w:r w:rsidRPr="002A150B">
        <w:t>.</w:t>
      </w:r>
    </w:p>
    <w:p w:rsidR="00D844B2" w:rsidRPr="00B75FCF" w:rsidRDefault="00D844B2" w:rsidP="009313C0">
      <w:pPr>
        <w:pStyle w:val="Heading1"/>
        <w:numPr>
          <w:ilvl w:val="0"/>
          <w:numId w:val="0"/>
        </w:numPr>
      </w:pPr>
      <w:r w:rsidRPr="00B75FCF">
        <w:t>Presentation and storage conditions</w:t>
      </w:r>
    </w:p>
    <w:p w:rsidR="00191572" w:rsidRDefault="00F51FAF" w:rsidP="00093012">
      <w:r w:rsidRPr="00B75FCF">
        <w:t>OCREVUS</w:t>
      </w:r>
      <w:r w:rsidR="008B7596" w:rsidRPr="00B75FCF">
        <w:t xml:space="preserve"> is a clear</w:t>
      </w:r>
      <w:r w:rsidRPr="00B75FCF">
        <w:t xml:space="preserve"> or slightly opalescent, and </w:t>
      </w:r>
      <w:r w:rsidR="008B7596" w:rsidRPr="00B75FCF">
        <w:t xml:space="preserve">colourless to </w:t>
      </w:r>
      <w:r w:rsidRPr="00B75FCF">
        <w:t xml:space="preserve">pale brown solution </w:t>
      </w:r>
      <w:r w:rsidR="008B7596" w:rsidRPr="00B75FCF">
        <w:t>supplie</w:t>
      </w:r>
      <w:r w:rsidRPr="00B75FCF">
        <w:t xml:space="preserve">d as a single-use formulation containing 30 mg/mL </w:t>
      </w:r>
      <w:proofErr w:type="spellStart"/>
      <w:r w:rsidRPr="004D18F3">
        <w:t>ocrelizumab</w:t>
      </w:r>
      <w:proofErr w:type="spellEnd"/>
      <w:r w:rsidRPr="00B75FCF">
        <w:t xml:space="preserve"> in 20 </w:t>
      </w:r>
      <w:proofErr w:type="spellStart"/>
      <w:r w:rsidRPr="00B75FCF">
        <w:t>mM</w:t>
      </w:r>
      <w:proofErr w:type="spellEnd"/>
      <w:r w:rsidRPr="00B75FCF">
        <w:t xml:space="preserve"> sodium acetate, 106 </w:t>
      </w:r>
      <w:proofErr w:type="spellStart"/>
      <w:r w:rsidRPr="00B75FCF">
        <w:t>mM</w:t>
      </w:r>
      <w:proofErr w:type="spellEnd"/>
      <w:r w:rsidRPr="00B75FCF">
        <w:t xml:space="preserve"> </w:t>
      </w:r>
      <w:r w:rsidR="00664312" w:rsidRPr="00B75FCF">
        <w:t xml:space="preserve">trehalose </w:t>
      </w:r>
      <w:proofErr w:type="spellStart"/>
      <w:r w:rsidR="00664312" w:rsidRPr="00B75FCF">
        <w:t>di</w:t>
      </w:r>
      <w:r w:rsidRPr="00B75FCF">
        <w:t>hydrate</w:t>
      </w:r>
      <w:proofErr w:type="spellEnd"/>
      <w:r w:rsidRPr="00B75FCF">
        <w:t>, acetic acid – glacial</w:t>
      </w:r>
      <w:r w:rsidR="008077DD">
        <w:t xml:space="preserve"> (2.5 mg as buffer)</w:t>
      </w:r>
      <w:r w:rsidR="0041650C">
        <w:t>,</w:t>
      </w:r>
      <w:r w:rsidRPr="00B75FCF">
        <w:t xml:space="preserve"> 0.02% (w/v) </w:t>
      </w:r>
      <w:proofErr w:type="spellStart"/>
      <w:r w:rsidRPr="00B75FCF">
        <w:t>polysorbate</w:t>
      </w:r>
      <w:proofErr w:type="spellEnd"/>
      <w:r w:rsidRPr="00B75FCF">
        <w:t xml:space="preserve"> 20</w:t>
      </w:r>
      <w:r w:rsidR="0041650C">
        <w:t xml:space="preserve"> and water for injections,</w:t>
      </w:r>
      <w:r w:rsidRPr="00B75FCF">
        <w:t xml:space="preserve"> at pH 5.3. </w:t>
      </w:r>
    </w:p>
    <w:p w:rsidR="00191572" w:rsidRDefault="00191572" w:rsidP="00093012"/>
    <w:p w:rsidR="00597E09" w:rsidRPr="00B75FCF" w:rsidRDefault="00F51FAF" w:rsidP="00093012">
      <w:r w:rsidRPr="00B75FCF">
        <w:lastRenderedPageBreak/>
        <w:t xml:space="preserve">OCREVUS is </w:t>
      </w:r>
      <w:r w:rsidR="00191572">
        <w:t xml:space="preserve">a concentrate for solution for infusion </w:t>
      </w:r>
      <w:r w:rsidRPr="00B75FCF">
        <w:t xml:space="preserve">supplied at a volume of 10 mL </w:t>
      </w:r>
      <w:r w:rsidR="008B7596" w:rsidRPr="00B75FCF">
        <w:t xml:space="preserve">in a </w:t>
      </w:r>
      <w:r w:rsidRPr="00B75FCF">
        <w:t>15 mL glass vial.</w:t>
      </w:r>
    </w:p>
    <w:p w:rsidR="00AD574C" w:rsidRPr="00B75FCF" w:rsidRDefault="00AD574C" w:rsidP="00093012"/>
    <w:p w:rsidR="00AD574C" w:rsidRPr="00B75FCF" w:rsidRDefault="00AD574C" w:rsidP="00093012">
      <w:pPr>
        <w:rPr>
          <w:b/>
        </w:rPr>
      </w:pPr>
      <w:r w:rsidRPr="00B75FCF">
        <w:rPr>
          <w:b/>
        </w:rPr>
        <w:t>Storage conditions</w:t>
      </w:r>
    </w:p>
    <w:p w:rsidR="001A1DBF" w:rsidRDefault="000F7903" w:rsidP="00093012">
      <w:r w:rsidRPr="00B75FCF">
        <w:t>Store vial in a refrigerator at 2</w:t>
      </w:r>
      <w:r w:rsidR="00AD574C" w:rsidRPr="00B75FCF">
        <w:rPr>
          <w:rFonts w:ascii="Brush Script MT" w:hAnsi="Brush Script MT"/>
        </w:rPr>
        <w:t>°</w:t>
      </w:r>
      <w:r w:rsidR="00AD574C" w:rsidRPr="00B75FCF">
        <w:t>C</w:t>
      </w:r>
      <w:r w:rsidR="004D18F3">
        <w:t xml:space="preserve"> to</w:t>
      </w:r>
      <w:r w:rsidR="00E94CDE" w:rsidRPr="00B75FCF">
        <w:t xml:space="preserve"> </w:t>
      </w:r>
      <w:r w:rsidR="00AD574C" w:rsidRPr="00B75FCF">
        <w:t>8</w:t>
      </w:r>
      <w:r w:rsidR="00AD574C" w:rsidRPr="00B75FCF">
        <w:rPr>
          <w:rFonts w:ascii="Brush Script MT" w:hAnsi="Brush Script MT"/>
        </w:rPr>
        <w:t>°</w:t>
      </w:r>
      <w:r w:rsidR="00AD574C" w:rsidRPr="00B75FCF">
        <w:t>C</w:t>
      </w:r>
      <w:r w:rsidR="00D95864" w:rsidRPr="00B75FCF">
        <w:t>. Keep vial in the outer carton in order to protect from light. Do not freeze. Do not shake. Do not use after the expiry date (EXP) shown on the pack.</w:t>
      </w:r>
    </w:p>
    <w:p w:rsidR="00AD574C" w:rsidRPr="00B75FCF" w:rsidRDefault="00AD574C" w:rsidP="00093012"/>
    <w:p w:rsidR="00AD574C" w:rsidRPr="00B75FCF" w:rsidRDefault="00AD574C" w:rsidP="00093012">
      <w:pPr>
        <w:rPr>
          <w:b/>
        </w:rPr>
      </w:pPr>
      <w:r w:rsidRPr="00B75FCF">
        <w:rPr>
          <w:b/>
        </w:rPr>
        <w:t>Shelf-life of reconstituted solution</w:t>
      </w:r>
    </w:p>
    <w:p w:rsidR="00827D1E" w:rsidRPr="00B75FCF" w:rsidRDefault="00B75FCF" w:rsidP="00514921">
      <w:r w:rsidRPr="00B75FCF">
        <w:t>OCREVUS</w:t>
      </w:r>
      <w:r w:rsidR="00E94CDE" w:rsidRPr="00B75FCF">
        <w:t xml:space="preserve"> does not contain any anti-microbial preservative; therefore, care must be taken to ensure the sterility of the prepared solution. Product is for single use in one patient only. Discard any residue.</w:t>
      </w:r>
    </w:p>
    <w:p w:rsidR="00514921" w:rsidRPr="00B75FCF" w:rsidRDefault="00514921" w:rsidP="00514921"/>
    <w:p w:rsidR="00E94CDE" w:rsidRPr="00B75FCF" w:rsidRDefault="00E94CDE" w:rsidP="00E94CDE">
      <w:r w:rsidRPr="00B75FCF">
        <w:t xml:space="preserve">To reduce microbiological hazard, the prepared infusion solution should be used immediately. If storage is necessary, </w:t>
      </w:r>
      <w:r w:rsidR="00F34D54">
        <w:t xml:space="preserve">the prepared infusion can be </w:t>
      </w:r>
      <w:proofErr w:type="gramStart"/>
      <w:r w:rsidR="00F34D54">
        <w:t xml:space="preserve">held </w:t>
      </w:r>
      <w:r w:rsidRPr="00B75FCF">
        <w:t xml:space="preserve"> at</w:t>
      </w:r>
      <w:proofErr w:type="gramEnd"/>
      <w:r w:rsidRPr="00B75FCF">
        <w:t xml:space="preserve"> 2°C - 8°C for </w:t>
      </w:r>
      <w:r w:rsidR="00F34D54">
        <w:t xml:space="preserve">up to </w:t>
      </w:r>
      <w:r w:rsidRPr="00B75FCF">
        <w:t>24 hours</w:t>
      </w:r>
      <w:r w:rsidR="00B75FCF" w:rsidRPr="00B75FCF">
        <w:t xml:space="preserve"> </w:t>
      </w:r>
      <w:r w:rsidR="00F34D54">
        <w:t>and</w:t>
      </w:r>
      <w:r w:rsidR="00F34D54" w:rsidRPr="00B75FCF">
        <w:t xml:space="preserve"> </w:t>
      </w:r>
      <w:r w:rsidR="00F34D54">
        <w:t xml:space="preserve">subsequently </w:t>
      </w:r>
      <w:r w:rsidR="00B75FCF" w:rsidRPr="00B75FCF">
        <w:t>8 hours at room temperature</w:t>
      </w:r>
      <w:r w:rsidRPr="00B75FCF">
        <w:t>.</w:t>
      </w:r>
    </w:p>
    <w:p w:rsidR="00B75FCF" w:rsidRPr="00B75FCF" w:rsidRDefault="00B75FCF" w:rsidP="00E94CDE"/>
    <w:p w:rsidR="00B75FCF" w:rsidRPr="00B75FCF" w:rsidRDefault="00B75FCF" w:rsidP="00E94CDE">
      <w:r w:rsidRPr="00B75FCF">
        <w:t>In the event an IV infusion cannot be completed the same day, the remaining solution should be discarded.</w:t>
      </w:r>
    </w:p>
    <w:p w:rsidR="00AD574C" w:rsidRPr="00B75FCF" w:rsidRDefault="00AD574C" w:rsidP="00AD574C"/>
    <w:p w:rsidR="00AD574C" w:rsidRPr="00B75FCF" w:rsidRDefault="00AD574C" w:rsidP="00AD574C">
      <w:pPr>
        <w:rPr>
          <w:b/>
          <w:i/>
        </w:rPr>
      </w:pPr>
      <w:r w:rsidRPr="00B75FCF">
        <w:rPr>
          <w:b/>
          <w:i/>
        </w:rPr>
        <w:t>Disposal of unused/expired medicines</w:t>
      </w:r>
    </w:p>
    <w:p w:rsidR="008C3A62" w:rsidRDefault="008C3A62" w:rsidP="008C3A62">
      <w:pPr>
        <w:jc w:val="left"/>
      </w:pPr>
      <w:r w:rsidRPr="00B75FCF">
        <w:t>The release of medicines into the environment should be minimised. Medicines should not be disposed of via wastewater and disposal through household waste should be avoided. Unused or expired medicine should be returned to a pharmacy for disposal.</w:t>
      </w:r>
    </w:p>
    <w:p w:rsidR="00AA3A6B" w:rsidRDefault="00AA3A6B" w:rsidP="008C3A62">
      <w:pPr>
        <w:jc w:val="left"/>
      </w:pPr>
    </w:p>
    <w:p w:rsidR="00AA3A6B" w:rsidRDefault="00AA3A6B" w:rsidP="00AA3A6B">
      <w:pPr>
        <w:jc w:val="left"/>
      </w:pPr>
      <w:r>
        <w:t xml:space="preserve">The following should be strictly adhered to regarding the use and disposal of syringes and other medicinal sharps: </w:t>
      </w:r>
    </w:p>
    <w:p w:rsidR="00AA3A6B" w:rsidRDefault="00AA3A6B" w:rsidP="00AA3A6B">
      <w:pPr>
        <w:jc w:val="left"/>
      </w:pPr>
    </w:p>
    <w:p w:rsidR="00AA3A6B" w:rsidRDefault="00AA3A6B" w:rsidP="00AA3A6B">
      <w:pPr>
        <w:numPr>
          <w:ilvl w:val="0"/>
          <w:numId w:val="36"/>
        </w:numPr>
        <w:jc w:val="left"/>
      </w:pPr>
      <w:r>
        <w:t>Needles and syringes should never be reused</w:t>
      </w:r>
    </w:p>
    <w:p w:rsidR="00AA3A6B" w:rsidRPr="00B75FCF" w:rsidRDefault="00AA3A6B" w:rsidP="00AA3A6B">
      <w:pPr>
        <w:numPr>
          <w:ilvl w:val="0"/>
          <w:numId w:val="36"/>
        </w:numPr>
        <w:jc w:val="left"/>
      </w:pPr>
      <w:r>
        <w:t>Place all used needles and syringes into a sharps container (puncture-proof disposable container)</w:t>
      </w:r>
    </w:p>
    <w:p w:rsidR="00D10A22" w:rsidRPr="00B75FCF" w:rsidRDefault="00D10A22" w:rsidP="009313C0">
      <w:pPr>
        <w:pStyle w:val="Heading1"/>
        <w:numPr>
          <w:ilvl w:val="0"/>
          <w:numId w:val="0"/>
        </w:numPr>
      </w:pPr>
      <w:r w:rsidRPr="00B75FCF">
        <w:t>NAME AND ADDRESS OF THE SPONSOR</w:t>
      </w:r>
    </w:p>
    <w:p w:rsidR="00D844B2" w:rsidRPr="00B75FCF" w:rsidRDefault="00D844B2" w:rsidP="00D844B2">
      <w:pPr>
        <w:keepNext/>
        <w:rPr>
          <w:lang w:val="en-GB"/>
        </w:rPr>
      </w:pPr>
      <w:r w:rsidRPr="00B75FCF">
        <w:rPr>
          <w:lang w:val="en-GB"/>
        </w:rPr>
        <w:t>Roche Products Pty Limited</w:t>
      </w:r>
    </w:p>
    <w:p w:rsidR="00D844B2" w:rsidRPr="00B75FCF" w:rsidRDefault="00D844B2" w:rsidP="00D844B2">
      <w:pPr>
        <w:keepNext/>
        <w:rPr>
          <w:lang w:val="en-GB"/>
        </w:rPr>
      </w:pPr>
      <w:r w:rsidRPr="00B75FCF">
        <w:rPr>
          <w:lang w:val="en-GB"/>
        </w:rPr>
        <w:t>ABN 70 000 132 865</w:t>
      </w:r>
    </w:p>
    <w:p w:rsidR="00D844B2" w:rsidRPr="00B75FCF" w:rsidRDefault="00D844B2" w:rsidP="00D844B2">
      <w:pPr>
        <w:keepNext/>
        <w:rPr>
          <w:lang w:val="en-GB"/>
        </w:rPr>
      </w:pPr>
      <w:r w:rsidRPr="00B75FCF">
        <w:rPr>
          <w:lang w:val="en-GB"/>
        </w:rPr>
        <w:t>4</w:t>
      </w:r>
      <w:r w:rsidRPr="00B75FCF">
        <w:rPr>
          <w:lang w:val="en-GB"/>
        </w:rPr>
        <w:sym w:font="Symbol" w:char="F02D"/>
      </w:r>
      <w:r w:rsidRPr="00B75FCF">
        <w:rPr>
          <w:lang w:val="en-GB"/>
        </w:rPr>
        <w:t>10 Inman Road</w:t>
      </w:r>
    </w:p>
    <w:p w:rsidR="00D844B2" w:rsidRPr="00B75FCF" w:rsidRDefault="00D844B2" w:rsidP="00D844B2">
      <w:pPr>
        <w:keepNext/>
        <w:rPr>
          <w:lang w:val="en-GB"/>
        </w:rPr>
      </w:pPr>
      <w:r w:rsidRPr="00B75FCF">
        <w:rPr>
          <w:lang w:val="en-GB"/>
        </w:rPr>
        <w:t>Dee Why   NSW   2099</w:t>
      </w:r>
    </w:p>
    <w:p w:rsidR="00D844B2" w:rsidRPr="00B75FCF" w:rsidRDefault="00D844B2" w:rsidP="00D844B2">
      <w:pPr>
        <w:keepNext/>
        <w:rPr>
          <w:lang w:val="en-GB"/>
        </w:rPr>
      </w:pPr>
      <w:r w:rsidRPr="00B75FCF">
        <w:rPr>
          <w:lang w:val="en-GB"/>
        </w:rPr>
        <w:t>AUSTRALIA</w:t>
      </w:r>
    </w:p>
    <w:p w:rsidR="00D844B2" w:rsidRPr="00B75FCF" w:rsidRDefault="00D844B2" w:rsidP="00D844B2">
      <w:pPr>
        <w:keepNext/>
        <w:rPr>
          <w:lang w:val="en-GB"/>
        </w:rPr>
      </w:pPr>
    </w:p>
    <w:p w:rsidR="00D844B2" w:rsidRPr="00B75FCF" w:rsidRDefault="00D844B2" w:rsidP="00D844B2">
      <w:pPr>
        <w:rPr>
          <w:lang w:val="en-GB"/>
        </w:rPr>
      </w:pPr>
      <w:r w:rsidRPr="00B75FCF">
        <w:rPr>
          <w:lang w:val="en-GB"/>
        </w:rPr>
        <w:t>Customer enquiries: 1800 233 950</w:t>
      </w:r>
    </w:p>
    <w:p w:rsidR="00D844B2" w:rsidRPr="00B75FCF" w:rsidRDefault="00D844B2" w:rsidP="009313C0">
      <w:pPr>
        <w:pStyle w:val="Heading1"/>
        <w:numPr>
          <w:ilvl w:val="0"/>
          <w:numId w:val="0"/>
        </w:numPr>
      </w:pPr>
      <w:r w:rsidRPr="00B75FCF">
        <w:t>Poison Schedule of the medicine</w:t>
      </w:r>
    </w:p>
    <w:p w:rsidR="009B5E75" w:rsidRPr="00B75FCF" w:rsidRDefault="00AD574C" w:rsidP="009B5E75">
      <w:proofErr w:type="gramStart"/>
      <w:r w:rsidRPr="00B75FCF">
        <w:t>Schedule 4.</w:t>
      </w:r>
      <w:proofErr w:type="gramEnd"/>
      <w:r w:rsidRPr="00B75FCF">
        <w:t xml:space="preserve"> </w:t>
      </w:r>
      <w:proofErr w:type="gramStart"/>
      <w:r w:rsidRPr="00B75FCF">
        <w:t>Prescription</w:t>
      </w:r>
      <w:r w:rsidR="009E77C6" w:rsidRPr="00B75FCF">
        <w:t xml:space="preserve"> </w:t>
      </w:r>
      <w:r w:rsidRPr="00B75FCF">
        <w:t>Only Medicine</w:t>
      </w:r>
      <w:r w:rsidR="009E18BE" w:rsidRPr="00B75FCF">
        <w:t>.</w:t>
      </w:r>
      <w:proofErr w:type="gramEnd"/>
    </w:p>
    <w:p w:rsidR="00D844B2" w:rsidRPr="00B75FCF" w:rsidRDefault="00D844B2" w:rsidP="009313C0">
      <w:pPr>
        <w:pStyle w:val="Heading1"/>
        <w:numPr>
          <w:ilvl w:val="0"/>
          <w:numId w:val="0"/>
        </w:numPr>
      </w:pPr>
      <w:r w:rsidRPr="00B75FCF">
        <w:t>Date of first inclusion in the Australian Register of Therapeutic Goods (the ARTG)</w:t>
      </w:r>
    </w:p>
    <w:p w:rsidR="00AA2523" w:rsidRPr="00B75FCF" w:rsidRDefault="00A56A9E" w:rsidP="00D844B2">
      <w:r>
        <w:t>13 July 2017</w:t>
      </w:r>
    </w:p>
    <w:sectPr w:rsidR="00AA2523" w:rsidRPr="00B75FCF" w:rsidSect="00FC11F3">
      <w:headerReference w:type="default" r:id="rId15"/>
      <w:footerReference w:type="default" r:id="rId16"/>
      <w:pgSz w:w="11907" w:h="16839"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8F6" w:rsidRDefault="00AF58F6" w:rsidP="000471CA">
      <w:r>
        <w:separator/>
      </w:r>
    </w:p>
  </w:endnote>
  <w:endnote w:type="continuationSeparator" w:id="0">
    <w:p w:rsidR="00AF58F6" w:rsidRDefault="00AF58F6" w:rsidP="0004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ion">
    <w:altName w:val="Cambria Math"/>
    <w:charset w:val="00"/>
    <w:family w:val="roman"/>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7B" w:rsidRPr="007531A7" w:rsidRDefault="00D42D7B" w:rsidP="007531A7">
    <w:pPr>
      <w:pStyle w:val="Footer"/>
      <w:pBdr>
        <w:top w:val="single" w:sz="4" w:space="1" w:color="auto"/>
      </w:pBdr>
      <w:tabs>
        <w:tab w:val="clear" w:pos="4513"/>
        <w:tab w:val="clear" w:pos="9026"/>
        <w:tab w:val="right" w:pos="9072"/>
      </w:tabs>
      <w:rPr>
        <w:color w:val="000000"/>
        <w:sz w:val="16"/>
        <w:szCs w:val="16"/>
      </w:rPr>
    </w:pPr>
    <w:r>
      <w:rPr>
        <w:color w:val="000000"/>
        <w:sz w:val="16"/>
        <w:szCs w:val="16"/>
      </w:rPr>
      <w:t>OCREVUS</w:t>
    </w:r>
    <w:r>
      <w:rPr>
        <w:color w:val="000000"/>
        <w:sz w:val="16"/>
        <w:szCs w:val="16"/>
        <w:vertAlign w:val="superscript"/>
      </w:rPr>
      <w:t>™</w:t>
    </w:r>
    <w:r w:rsidRPr="00DA1628">
      <w:rPr>
        <w:color w:val="000000"/>
        <w:sz w:val="16"/>
        <w:szCs w:val="16"/>
      </w:rPr>
      <w:t xml:space="preserve"> PI</w:t>
    </w:r>
    <w:r w:rsidR="004D18F3">
      <w:rPr>
        <w:color w:val="000000"/>
        <w:sz w:val="16"/>
        <w:szCs w:val="16"/>
      </w:rPr>
      <w:t xml:space="preserve"> </w:t>
    </w:r>
    <w:r w:rsidR="008B1F29">
      <w:rPr>
        <w:color w:val="000000"/>
        <w:sz w:val="16"/>
        <w:szCs w:val="16"/>
      </w:rPr>
      <w:t>17</w:t>
    </w:r>
    <w:r w:rsidR="00ED29CC">
      <w:rPr>
        <w:color w:val="000000"/>
        <w:sz w:val="16"/>
        <w:szCs w:val="16"/>
      </w:rPr>
      <w:t>0</w:t>
    </w:r>
    <w:r w:rsidR="0041650C">
      <w:rPr>
        <w:color w:val="000000"/>
        <w:sz w:val="16"/>
        <w:szCs w:val="16"/>
      </w:rPr>
      <w:t>623</w:t>
    </w:r>
    <w:r w:rsidRPr="00DA1628">
      <w:rPr>
        <w:color w:val="000000"/>
        <w:sz w:val="16"/>
        <w:szCs w:val="16"/>
      </w:rPr>
      <w:tab/>
      <w:t xml:space="preserve">Page </w:t>
    </w:r>
    <w:r w:rsidRPr="00DA1628">
      <w:rPr>
        <w:color w:val="000000"/>
        <w:sz w:val="16"/>
        <w:szCs w:val="16"/>
      </w:rPr>
      <w:fldChar w:fldCharType="begin"/>
    </w:r>
    <w:r w:rsidRPr="00DA1628">
      <w:rPr>
        <w:color w:val="000000"/>
        <w:sz w:val="16"/>
        <w:szCs w:val="16"/>
      </w:rPr>
      <w:instrText xml:space="preserve"> PAGE  \* Arabic  \* MERGEFORMAT </w:instrText>
    </w:r>
    <w:r w:rsidRPr="00DA1628">
      <w:rPr>
        <w:color w:val="000000"/>
        <w:sz w:val="16"/>
        <w:szCs w:val="16"/>
      </w:rPr>
      <w:fldChar w:fldCharType="separate"/>
    </w:r>
    <w:r w:rsidR="00170234">
      <w:rPr>
        <w:noProof/>
        <w:color w:val="000000"/>
        <w:sz w:val="16"/>
        <w:szCs w:val="16"/>
      </w:rPr>
      <w:t>1</w:t>
    </w:r>
    <w:r w:rsidRPr="00DA1628">
      <w:rPr>
        <w:color w:val="000000"/>
        <w:sz w:val="16"/>
        <w:szCs w:val="16"/>
      </w:rPr>
      <w:fldChar w:fldCharType="end"/>
    </w:r>
    <w:r w:rsidRPr="00DA1628">
      <w:rPr>
        <w:color w:val="000000"/>
        <w:sz w:val="16"/>
        <w:szCs w:val="16"/>
      </w:rPr>
      <w:t xml:space="preserve"> of </w:t>
    </w:r>
    <w:r w:rsidRPr="00DA1628">
      <w:rPr>
        <w:color w:val="000000"/>
        <w:sz w:val="16"/>
        <w:szCs w:val="16"/>
      </w:rPr>
      <w:fldChar w:fldCharType="begin"/>
    </w:r>
    <w:r w:rsidRPr="00DA1628">
      <w:rPr>
        <w:color w:val="000000"/>
        <w:sz w:val="16"/>
        <w:szCs w:val="16"/>
      </w:rPr>
      <w:instrText xml:space="preserve"> NUMPAGES  \* Arabic  \* MERGEFORMAT </w:instrText>
    </w:r>
    <w:r w:rsidRPr="00DA1628">
      <w:rPr>
        <w:color w:val="000000"/>
        <w:sz w:val="16"/>
        <w:szCs w:val="16"/>
      </w:rPr>
      <w:fldChar w:fldCharType="separate"/>
    </w:r>
    <w:r w:rsidR="00170234">
      <w:rPr>
        <w:noProof/>
        <w:color w:val="000000"/>
        <w:sz w:val="16"/>
        <w:szCs w:val="16"/>
      </w:rPr>
      <w:t>23</w:t>
    </w:r>
    <w:r w:rsidRPr="00DA1628">
      <w:rPr>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8F6" w:rsidRDefault="00AF58F6" w:rsidP="000471CA">
      <w:r>
        <w:separator/>
      </w:r>
    </w:p>
  </w:footnote>
  <w:footnote w:type="continuationSeparator" w:id="0">
    <w:p w:rsidR="00AF58F6" w:rsidRDefault="00AF58F6" w:rsidP="00047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7B" w:rsidRDefault="00C14E82" w:rsidP="00170234">
    <w:pPr>
      <w:pStyle w:val="Header"/>
      <w:jc w:val="right"/>
    </w:pPr>
    <w:r>
      <w:rPr>
        <w:noProof/>
        <w:lang w:eastAsia="en-AU"/>
      </w:rPr>
      <w:drawing>
        <wp:inline distT="0" distB="0" distL="0" distR="0" wp14:anchorId="74309F6B" wp14:editId="0860B78C">
          <wp:extent cx="556260" cy="289560"/>
          <wp:effectExtent l="0" t="0" r="0" b="0"/>
          <wp:docPr id="1" name="Picture 1" descr="roch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h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289560"/>
                  </a:xfrm>
                  <a:prstGeom prst="rect">
                    <a:avLst/>
                  </a:prstGeom>
                  <a:noFill/>
                  <a:ln>
                    <a:noFill/>
                  </a:ln>
                </pic:spPr>
              </pic:pic>
            </a:graphicData>
          </a:graphic>
        </wp:inline>
      </w:drawing>
    </w:r>
  </w:p>
  <w:tbl>
    <w:tblPr>
      <w:tblStyle w:val="TableGrid"/>
      <w:tblW w:w="0" w:type="auto"/>
      <w:shd w:val="clear" w:color="auto" w:fill="E4F2E0"/>
      <w:tblLook w:val="04A0" w:firstRow="1" w:lastRow="0" w:firstColumn="1" w:lastColumn="0" w:noHBand="0" w:noVBand="1"/>
    </w:tblPr>
    <w:tblGrid>
      <w:gridCol w:w="8720"/>
    </w:tblGrid>
    <w:tr w:rsidR="00170234" w:rsidRPr="001C184C" w:rsidTr="00FB6F81">
      <w:trPr>
        <w:trHeight w:val="602"/>
      </w:trPr>
      <w:tc>
        <w:tcPr>
          <w:tcW w:w="8720" w:type="dxa"/>
          <w:shd w:val="clear" w:color="auto" w:fill="E4F2E0"/>
        </w:tcPr>
        <w:p w:rsidR="00170234" w:rsidRPr="001C184C" w:rsidRDefault="00170234" w:rsidP="00FB6F81">
          <w:pPr>
            <w:pStyle w:val="Footer"/>
            <w:rPr>
              <w:b/>
              <w:sz w:val="18"/>
              <w:szCs w:val="18"/>
            </w:rPr>
          </w:pPr>
          <w:r w:rsidRPr="001C184C">
            <w:rPr>
              <w:b/>
              <w:sz w:val="18"/>
              <w:szCs w:val="18"/>
            </w:rPr>
            <w:t xml:space="preserve">Attachment 1: Product information for </w:t>
          </w:r>
          <w:r w:rsidRPr="0029044A">
            <w:rPr>
              <w:b/>
              <w:sz w:val="18"/>
              <w:szCs w:val="18"/>
            </w:rPr>
            <w:t xml:space="preserve">AusPAR </w:t>
          </w:r>
          <w:proofErr w:type="spellStart"/>
          <w:r w:rsidRPr="0029044A">
            <w:rPr>
              <w:b/>
              <w:sz w:val="18"/>
              <w:szCs w:val="18"/>
            </w:rPr>
            <w:t>Ocrevus</w:t>
          </w:r>
          <w:proofErr w:type="spellEnd"/>
          <w:r w:rsidRPr="0029044A">
            <w:rPr>
              <w:b/>
              <w:sz w:val="18"/>
              <w:szCs w:val="18"/>
            </w:rPr>
            <w:t xml:space="preserve"> </w:t>
          </w:r>
          <w:proofErr w:type="spellStart"/>
          <w:r w:rsidRPr="0029044A">
            <w:rPr>
              <w:b/>
              <w:sz w:val="18"/>
              <w:szCs w:val="18"/>
            </w:rPr>
            <w:t>Ocrelizumab</w:t>
          </w:r>
          <w:proofErr w:type="spellEnd"/>
          <w:r w:rsidRPr="0029044A">
            <w:rPr>
              <w:b/>
              <w:sz w:val="18"/>
              <w:szCs w:val="18"/>
            </w:rPr>
            <w:t xml:space="preserve"> Roche Products Pty Limited PM-2016-01580-1-1</w:t>
          </w:r>
          <w:r>
            <w:rPr>
              <w:b/>
              <w:sz w:val="18"/>
              <w:szCs w:val="18"/>
            </w:rPr>
            <w:t xml:space="preserve"> </w:t>
          </w:r>
          <w:r w:rsidRPr="0029044A">
            <w:rPr>
              <w:b/>
              <w:sz w:val="18"/>
              <w:szCs w:val="18"/>
            </w:rPr>
            <w:t>Final 8 August 2018</w:t>
          </w:r>
          <w:r w:rsidRPr="001C184C">
            <w:rPr>
              <w:b/>
              <w:sz w:val="18"/>
              <w:szCs w:val="18"/>
            </w:rPr>
            <w:t>This Product information was approved at the time this AusPAR was published.</w:t>
          </w:r>
        </w:p>
      </w:tc>
    </w:tr>
  </w:tbl>
  <w:p w:rsidR="00170234" w:rsidRPr="001504C9" w:rsidRDefault="00170234" w:rsidP="00170234">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33C"/>
    <w:multiLevelType w:val="hybridMultilevel"/>
    <w:tmpl w:val="65B2C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D02695"/>
    <w:multiLevelType w:val="hybridMultilevel"/>
    <w:tmpl w:val="C6D80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18A02F2"/>
    <w:multiLevelType w:val="hybridMultilevel"/>
    <w:tmpl w:val="2870DC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31759D"/>
    <w:multiLevelType w:val="hybridMultilevel"/>
    <w:tmpl w:val="39A28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9C67C3E"/>
    <w:multiLevelType w:val="hybridMultilevel"/>
    <w:tmpl w:val="CF6AB2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7E7180"/>
    <w:multiLevelType w:val="hybridMultilevel"/>
    <w:tmpl w:val="0DEC8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F70ADF"/>
    <w:multiLevelType w:val="hybridMultilevel"/>
    <w:tmpl w:val="C9928AB2"/>
    <w:lvl w:ilvl="0" w:tplc="B97A2034">
      <w:numFmt w:val="bullet"/>
      <w:lvlText w:val="-"/>
      <w:lvlJc w:val="left"/>
      <w:pPr>
        <w:ind w:left="720" w:hanging="360"/>
      </w:pPr>
      <w:rPr>
        <w:rFonts w:ascii="Times New Roman" w:eastAsia="PMingLiU"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0F0723"/>
    <w:multiLevelType w:val="hybridMultilevel"/>
    <w:tmpl w:val="0A748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73F617D"/>
    <w:multiLevelType w:val="hybridMultilevel"/>
    <w:tmpl w:val="8E26DF9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5634936"/>
    <w:multiLevelType w:val="hybridMultilevel"/>
    <w:tmpl w:val="AF6A0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5DA1D10"/>
    <w:multiLevelType w:val="hybridMultilevel"/>
    <w:tmpl w:val="3A682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A23065D"/>
    <w:multiLevelType w:val="hybridMultilevel"/>
    <w:tmpl w:val="BFE0A1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EA17455"/>
    <w:multiLevelType w:val="multilevel"/>
    <w:tmpl w:val="7C9A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F433D1"/>
    <w:multiLevelType w:val="hybridMultilevel"/>
    <w:tmpl w:val="B2446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1767E7A"/>
    <w:multiLevelType w:val="hybridMultilevel"/>
    <w:tmpl w:val="C8062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3F7F0B"/>
    <w:multiLevelType w:val="hybridMultilevel"/>
    <w:tmpl w:val="186A0B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88B4B31"/>
    <w:multiLevelType w:val="hybridMultilevel"/>
    <w:tmpl w:val="D6B46B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B176C4C"/>
    <w:multiLevelType w:val="hybridMultilevel"/>
    <w:tmpl w:val="19147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DA865A3"/>
    <w:multiLevelType w:val="hybridMultilevel"/>
    <w:tmpl w:val="157E0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E98673C"/>
    <w:multiLevelType w:val="hybridMultilevel"/>
    <w:tmpl w:val="98B28E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E76266"/>
    <w:multiLevelType w:val="multilevel"/>
    <w:tmpl w:val="CD0E2F92"/>
    <w:lvl w:ilvl="0">
      <w:start w:val="1"/>
      <w:numFmt w:val="decimal"/>
      <w:pStyle w:val="Heading1"/>
      <w:lvlText w:val="%1."/>
      <w:lvlJc w:val="left"/>
      <w:pPr>
        <w:tabs>
          <w:tab w:val="num" w:pos="1411"/>
        </w:tabs>
        <w:ind w:left="1411" w:hanging="1411"/>
      </w:pPr>
    </w:lvl>
    <w:lvl w:ilvl="1">
      <w:start w:val="1"/>
      <w:numFmt w:val="decimal"/>
      <w:pStyle w:val="Heading2"/>
      <w:lvlText w:val="%1.%2"/>
      <w:lvlJc w:val="left"/>
      <w:pPr>
        <w:tabs>
          <w:tab w:val="num" w:pos="1411"/>
        </w:tabs>
        <w:ind w:left="1411" w:hanging="1411"/>
      </w:pPr>
    </w:lvl>
    <w:lvl w:ilvl="2">
      <w:start w:val="1"/>
      <w:numFmt w:val="decimal"/>
      <w:pStyle w:val="Heading3"/>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21">
    <w:nsid w:val="52850546"/>
    <w:multiLevelType w:val="hybridMultilevel"/>
    <w:tmpl w:val="18747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1124AA"/>
    <w:multiLevelType w:val="hybridMultilevel"/>
    <w:tmpl w:val="71B6AED0"/>
    <w:lvl w:ilvl="0" w:tplc="D9CABD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C4557C"/>
    <w:multiLevelType w:val="hybridMultilevel"/>
    <w:tmpl w:val="575AA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79536DF"/>
    <w:multiLevelType w:val="hybridMultilevel"/>
    <w:tmpl w:val="407C3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989245C"/>
    <w:multiLevelType w:val="hybridMultilevel"/>
    <w:tmpl w:val="0A8282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99208EB"/>
    <w:multiLevelType w:val="hybridMultilevel"/>
    <w:tmpl w:val="820201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0A4419D"/>
    <w:multiLevelType w:val="hybridMultilevel"/>
    <w:tmpl w:val="C1600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E3421C7"/>
    <w:multiLevelType w:val="hybridMultilevel"/>
    <w:tmpl w:val="13946F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E394C1D"/>
    <w:multiLevelType w:val="hybridMultilevel"/>
    <w:tmpl w:val="E2567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BF79F6"/>
    <w:multiLevelType w:val="hybridMultilevel"/>
    <w:tmpl w:val="61D6C2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2C1342F"/>
    <w:multiLevelType w:val="hybridMultilevel"/>
    <w:tmpl w:val="49C0A7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5517558"/>
    <w:multiLevelType w:val="hybridMultilevel"/>
    <w:tmpl w:val="5A82A5A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5737DC5"/>
    <w:multiLevelType w:val="hybridMultilevel"/>
    <w:tmpl w:val="97EA6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5853D29"/>
    <w:multiLevelType w:val="hybridMultilevel"/>
    <w:tmpl w:val="F95E2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D115B1A"/>
    <w:multiLevelType w:val="hybridMultilevel"/>
    <w:tmpl w:val="74EE6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7D1857B0"/>
    <w:multiLevelType w:val="hybridMultilevel"/>
    <w:tmpl w:val="3CA4AB36"/>
    <w:lvl w:ilvl="0" w:tplc="CA34CE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16"/>
  </w:num>
  <w:num w:numId="4">
    <w:abstractNumId w:val="11"/>
  </w:num>
  <w:num w:numId="5">
    <w:abstractNumId w:val="8"/>
  </w:num>
  <w:num w:numId="6">
    <w:abstractNumId w:val="22"/>
  </w:num>
  <w:num w:numId="7">
    <w:abstractNumId w:val="36"/>
  </w:num>
  <w:num w:numId="8">
    <w:abstractNumId w:val="0"/>
  </w:num>
  <w:num w:numId="9">
    <w:abstractNumId w:val="30"/>
  </w:num>
  <w:num w:numId="10">
    <w:abstractNumId w:val="7"/>
  </w:num>
  <w:num w:numId="11">
    <w:abstractNumId w:val="13"/>
  </w:num>
  <w:num w:numId="12">
    <w:abstractNumId w:val="6"/>
  </w:num>
  <w:num w:numId="13">
    <w:abstractNumId w:val="17"/>
  </w:num>
  <w:num w:numId="14">
    <w:abstractNumId w:val="32"/>
  </w:num>
  <w:num w:numId="15">
    <w:abstractNumId w:val="15"/>
  </w:num>
  <w:num w:numId="16">
    <w:abstractNumId w:val="25"/>
  </w:num>
  <w:num w:numId="17">
    <w:abstractNumId w:val="10"/>
  </w:num>
  <w:num w:numId="18">
    <w:abstractNumId w:val="3"/>
  </w:num>
  <w:num w:numId="19">
    <w:abstractNumId w:val="19"/>
  </w:num>
  <w:num w:numId="20">
    <w:abstractNumId w:val="31"/>
  </w:num>
  <w:num w:numId="21">
    <w:abstractNumId w:val="1"/>
  </w:num>
  <w:num w:numId="22">
    <w:abstractNumId w:val="9"/>
  </w:num>
  <w:num w:numId="23">
    <w:abstractNumId w:val="35"/>
  </w:num>
  <w:num w:numId="24">
    <w:abstractNumId w:val="21"/>
  </w:num>
  <w:num w:numId="25">
    <w:abstractNumId w:val="23"/>
  </w:num>
  <w:num w:numId="26">
    <w:abstractNumId w:val="24"/>
  </w:num>
  <w:num w:numId="27">
    <w:abstractNumId w:val="4"/>
  </w:num>
  <w:num w:numId="28">
    <w:abstractNumId w:val="14"/>
  </w:num>
  <w:num w:numId="29">
    <w:abstractNumId w:val="26"/>
  </w:num>
  <w:num w:numId="30">
    <w:abstractNumId w:val="12"/>
  </w:num>
  <w:num w:numId="31">
    <w:abstractNumId w:val="27"/>
  </w:num>
  <w:num w:numId="32">
    <w:abstractNumId w:val="34"/>
  </w:num>
  <w:num w:numId="33">
    <w:abstractNumId w:val="29"/>
  </w:num>
  <w:num w:numId="34">
    <w:abstractNumId w:val="33"/>
  </w:num>
  <w:num w:numId="35">
    <w:abstractNumId w:val="5"/>
  </w:num>
  <w:num w:numId="36">
    <w:abstractNumId w:val="1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62"/>
    <w:rsid w:val="000057A3"/>
    <w:rsid w:val="00016089"/>
    <w:rsid w:val="00017F60"/>
    <w:rsid w:val="00021D18"/>
    <w:rsid w:val="00022B28"/>
    <w:rsid w:val="00025852"/>
    <w:rsid w:val="0003515E"/>
    <w:rsid w:val="000471CA"/>
    <w:rsid w:val="00047222"/>
    <w:rsid w:val="0005319B"/>
    <w:rsid w:val="000561FA"/>
    <w:rsid w:val="000745BC"/>
    <w:rsid w:val="00093012"/>
    <w:rsid w:val="000B118C"/>
    <w:rsid w:val="000B4801"/>
    <w:rsid w:val="000B64CB"/>
    <w:rsid w:val="000B6836"/>
    <w:rsid w:val="000B6914"/>
    <w:rsid w:val="000C3154"/>
    <w:rsid w:val="000C3763"/>
    <w:rsid w:val="000C4787"/>
    <w:rsid w:val="000C5276"/>
    <w:rsid w:val="000D5119"/>
    <w:rsid w:val="000E4B9A"/>
    <w:rsid w:val="000E4C61"/>
    <w:rsid w:val="000F6CFB"/>
    <w:rsid w:val="000F6D44"/>
    <w:rsid w:val="000F7903"/>
    <w:rsid w:val="0011064F"/>
    <w:rsid w:val="00121CCF"/>
    <w:rsid w:val="001264B9"/>
    <w:rsid w:val="001315A0"/>
    <w:rsid w:val="00133874"/>
    <w:rsid w:val="00136852"/>
    <w:rsid w:val="00144105"/>
    <w:rsid w:val="001443F2"/>
    <w:rsid w:val="001455F0"/>
    <w:rsid w:val="00145B95"/>
    <w:rsid w:val="001467C3"/>
    <w:rsid w:val="0014724E"/>
    <w:rsid w:val="001504C9"/>
    <w:rsid w:val="00150787"/>
    <w:rsid w:val="0015088D"/>
    <w:rsid w:val="001536A3"/>
    <w:rsid w:val="00153F8E"/>
    <w:rsid w:val="001605F9"/>
    <w:rsid w:val="001637E5"/>
    <w:rsid w:val="001669F8"/>
    <w:rsid w:val="00167F2B"/>
    <w:rsid w:val="00170234"/>
    <w:rsid w:val="00171AA8"/>
    <w:rsid w:val="00173738"/>
    <w:rsid w:val="0017753A"/>
    <w:rsid w:val="00191572"/>
    <w:rsid w:val="0019352B"/>
    <w:rsid w:val="0019693F"/>
    <w:rsid w:val="001A1DBF"/>
    <w:rsid w:val="001B0482"/>
    <w:rsid w:val="001B3C19"/>
    <w:rsid w:val="001B6415"/>
    <w:rsid w:val="001C00FE"/>
    <w:rsid w:val="001C077E"/>
    <w:rsid w:val="001C5087"/>
    <w:rsid w:val="001C6CC3"/>
    <w:rsid w:val="001D5350"/>
    <w:rsid w:val="001E1A85"/>
    <w:rsid w:val="001E78B7"/>
    <w:rsid w:val="002027CA"/>
    <w:rsid w:val="00202A1D"/>
    <w:rsid w:val="00215801"/>
    <w:rsid w:val="00215A4C"/>
    <w:rsid w:val="00217798"/>
    <w:rsid w:val="0023513C"/>
    <w:rsid w:val="0024043C"/>
    <w:rsid w:val="00241723"/>
    <w:rsid w:val="00244B6B"/>
    <w:rsid w:val="00245BD5"/>
    <w:rsid w:val="00260842"/>
    <w:rsid w:val="00274C1A"/>
    <w:rsid w:val="00285480"/>
    <w:rsid w:val="00286091"/>
    <w:rsid w:val="00287E5A"/>
    <w:rsid w:val="00287F31"/>
    <w:rsid w:val="002A150B"/>
    <w:rsid w:val="002B200A"/>
    <w:rsid w:val="002C0211"/>
    <w:rsid w:val="002C3524"/>
    <w:rsid w:val="002C7EA8"/>
    <w:rsid w:val="002D5D17"/>
    <w:rsid w:val="002E6328"/>
    <w:rsid w:val="002F19AA"/>
    <w:rsid w:val="00311ED1"/>
    <w:rsid w:val="00312E44"/>
    <w:rsid w:val="00315F5F"/>
    <w:rsid w:val="00321324"/>
    <w:rsid w:val="00331DB2"/>
    <w:rsid w:val="00334F45"/>
    <w:rsid w:val="003407E1"/>
    <w:rsid w:val="00340EB0"/>
    <w:rsid w:val="003416BA"/>
    <w:rsid w:val="00342585"/>
    <w:rsid w:val="0034261C"/>
    <w:rsid w:val="00344815"/>
    <w:rsid w:val="00360A8C"/>
    <w:rsid w:val="00363216"/>
    <w:rsid w:val="00365283"/>
    <w:rsid w:val="00370354"/>
    <w:rsid w:val="00370B93"/>
    <w:rsid w:val="003756E1"/>
    <w:rsid w:val="00377A7E"/>
    <w:rsid w:val="00381E78"/>
    <w:rsid w:val="00385F31"/>
    <w:rsid w:val="003868F0"/>
    <w:rsid w:val="0038770B"/>
    <w:rsid w:val="00393206"/>
    <w:rsid w:val="00393213"/>
    <w:rsid w:val="00394961"/>
    <w:rsid w:val="00397E16"/>
    <w:rsid w:val="003B356D"/>
    <w:rsid w:val="003B3FC5"/>
    <w:rsid w:val="003B57B4"/>
    <w:rsid w:val="003B57FD"/>
    <w:rsid w:val="003C120F"/>
    <w:rsid w:val="003C34A0"/>
    <w:rsid w:val="003C3B46"/>
    <w:rsid w:val="003C47FC"/>
    <w:rsid w:val="003D1D42"/>
    <w:rsid w:val="003D6410"/>
    <w:rsid w:val="003F3C82"/>
    <w:rsid w:val="004013BC"/>
    <w:rsid w:val="00402C48"/>
    <w:rsid w:val="00407032"/>
    <w:rsid w:val="004121A4"/>
    <w:rsid w:val="00414BFC"/>
    <w:rsid w:val="0041650C"/>
    <w:rsid w:val="00425DBF"/>
    <w:rsid w:val="0043168D"/>
    <w:rsid w:val="004362B1"/>
    <w:rsid w:val="00440EF9"/>
    <w:rsid w:val="0044709B"/>
    <w:rsid w:val="00460D5F"/>
    <w:rsid w:val="00464446"/>
    <w:rsid w:val="004763E9"/>
    <w:rsid w:val="00480C61"/>
    <w:rsid w:val="004877F1"/>
    <w:rsid w:val="004922C3"/>
    <w:rsid w:val="004A4A8E"/>
    <w:rsid w:val="004A52A0"/>
    <w:rsid w:val="004A60B2"/>
    <w:rsid w:val="004B1248"/>
    <w:rsid w:val="004B2412"/>
    <w:rsid w:val="004B3FD1"/>
    <w:rsid w:val="004B50F8"/>
    <w:rsid w:val="004D18F3"/>
    <w:rsid w:val="004D1C4E"/>
    <w:rsid w:val="004E11D7"/>
    <w:rsid w:val="004E399C"/>
    <w:rsid w:val="004E61CE"/>
    <w:rsid w:val="004E6975"/>
    <w:rsid w:val="004F0793"/>
    <w:rsid w:val="004F0D1D"/>
    <w:rsid w:val="004F1CA1"/>
    <w:rsid w:val="004F7577"/>
    <w:rsid w:val="005071B6"/>
    <w:rsid w:val="00507D16"/>
    <w:rsid w:val="00511E93"/>
    <w:rsid w:val="00513683"/>
    <w:rsid w:val="00514921"/>
    <w:rsid w:val="00524049"/>
    <w:rsid w:val="00525B4D"/>
    <w:rsid w:val="00526BDF"/>
    <w:rsid w:val="00537BA9"/>
    <w:rsid w:val="005452A1"/>
    <w:rsid w:val="005469A1"/>
    <w:rsid w:val="00555F78"/>
    <w:rsid w:val="00561047"/>
    <w:rsid w:val="005641EF"/>
    <w:rsid w:val="005657AA"/>
    <w:rsid w:val="00567D6F"/>
    <w:rsid w:val="00584AFC"/>
    <w:rsid w:val="005909FA"/>
    <w:rsid w:val="00592D4B"/>
    <w:rsid w:val="005942FC"/>
    <w:rsid w:val="0059476A"/>
    <w:rsid w:val="00597E09"/>
    <w:rsid w:val="005A6745"/>
    <w:rsid w:val="005B6021"/>
    <w:rsid w:val="005C5183"/>
    <w:rsid w:val="005C6394"/>
    <w:rsid w:val="005E047F"/>
    <w:rsid w:val="005E2851"/>
    <w:rsid w:val="005E2A1B"/>
    <w:rsid w:val="005E3BAA"/>
    <w:rsid w:val="005E4415"/>
    <w:rsid w:val="005F7F62"/>
    <w:rsid w:val="006102F1"/>
    <w:rsid w:val="0061322B"/>
    <w:rsid w:val="00613DB5"/>
    <w:rsid w:val="00626363"/>
    <w:rsid w:val="0063106C"/>
    <w:rsid w:val="00635301"/>
    <w:rsid w:val="00635C6C"/>
    <w:rsid w:val="006365ED"/>
    <w:rsid w:val="006435B1"/>
    <w:rsid w:val="0065337D"/>
    <w:rsid w:val="00653FCD"/>
    <w:rsid w:val="00655067"/>
    <w:rsid w:val="0066263E"/>
    <w:rsid w:val="00664312"/>
    <w:rsid w:val="00667124"/>
    <w:rsid w:val="00676ECC"/>
    <w:rsid w:val="006836DD"/>
    <w:rsid w:val="006875BA"/>
    <w:rsid w:val="006928E2"/>
    <w:rsid w:val="006A3D7F"/>
    <w:rsid w:val="006B155B"/>
    <w:rsid w:val="006B2198"/>
    <w:rsid w:val="006B5F53"/>
    <w:rsid w:val="006C0E1A"/>
    <w:rsid w:val="006C2E29"/>
    <w:rsid w:val="006D07C2"/>
    <w:rsid w:val="006D2274"/>
    <w:rsid w:val="006E0991"/>
    <w:rsid w:val="006E50B6"/>
    <w:rsid w:val="006F3108"/>
    <w:rsid w:val="006F3DC4"/>
    <w:rsid w:val="007054A8"/>
    <w:rsid w:val="0071433F"/>
    <w:rsid w:val="00715E99"/>
    <w:rsid w:val="00720925"/>
    <w:rsid w:val="00732F5F"/>
    <w:rsid w:val="00733592"/>
    <w:rsid w:val="00745B7F"/>
    <w:rsid w:val="007508EE"/>
    <w:rsid w:val="00752BE3"/>
    <w:rsid w:val="007531A7"/>
    <w:rsid w:val="007545BF"/>
    <w:rsid w:val="00757057"/>
    <w:rsid w:val="007577C1"/>
    <w:rsid w:val="00760A93"/>
    <w:rsid w:val="00766F88"/>
    <w:rsid w:val="00775C64"/>
    <w:rsid w:val="00776D44"/>
    <w:rsid w:val="00780839"/>
    <w:rsid w:val="00781F03"/>
    <w:rsid w:val="00783465"/>
    <w:rsid w:val="007868BE"/>
    <w:rsid w:val="00786DD7"/>
    <w:rsid w:val="007903A9"/>
    <w:rsid w:val="00797140"/>
    <w:rsid w:val="007A6128"/>
    <w:rsid w:val="007B46D6"/>
    <w:rsid w:val="007C1DBE"/>
    <w:rsid w:val="007D58DB"/>
    <w:rsid w:val="007D7AA1"/>
    <w:rsid w:val="007E0F79"/>
    <w:rsid w:val="007E2889"/>
    <w:rsid w:val="007E4338"/>
    <w:rsid w:val="007E7451"/>
    <w:rsid w:val="007F4902"/>
    <w:rsid w:val="00804E54"/>
    <w:rsid w:val="00806D39"/>
    <w:rsid w:val="008077DD"/>
    <w:rsid w:val="00807D70"/>
    <w:rsid w:val="00815E47"/>
    <w:rsid w:val="008165D8"/>
    <w:rsid w:val="00827D1E"/>
    <w:rsid w:val="0084132A"/>
    <w:rsid w:val="00846667"/>
    <w:rsid w:val="00853F73"/>
    <w:rsid w:val="0085468F"/>
    <w:rsid w:val="00861B43"/>
    <w:rsid w:val="008642AB"/>
    <w:rsid w:val="008647FA"/>
    <w:rsid w:val="00870497"/>
    <w:rsid w:val="008727BD"/>
    <w:rsid w:val="00873D13"/>
    <w:rsid w:val="00882E30"/>
    <w:rsid w:val="00885743"/>
    <w:rsid w:val="008863CE"/>
    <w:rsid w:val="008906E9"/>
    <w:rsid w:val="00891F34"/>
    <w:rsid w:val="0089716C"/>
    <w:rsid w:val="008A14B6"/>
    <w:rsid w:val="008A5C8F"/>
    <w:rsid w:val="008A6A81"/>
    <w:rsid w:val="008A6DAC"/>
    <w:rsid w:val="008B1F29"/>
    <w:rsid w:val="008B4939"/>
    <w:rsid w:val="008B52EF"/>
    <w:rsid w:val="008B7596"/>
    <w:rsid w:val="008C3726"/>
    <w:rsid w:val="008C3A62"/>
    <w:rsid w:val="008C4322"/>
    <w:rsid w:val="008C4AED"/>
    <w:rsid w:val="008C778E"/>
    <w:rsid w:val="008D216E"/>
    <w:rsid w:val="008D23E2"/>
    <w:rsid w:val="008E5776"/>
    <w:rsid w:val="008E64DB"/>
    <w:rsid w:val="008E6C53"/>
    <w:rsid w:val="008E74A1"/>
    <w:rsid w:val="008F17A5"/>
    <w:rsid w:val="008F1829"/>
    <w:rsid w:val="008F28ED"/>
    <w:rsid w:val="008F4709"/>
    <w:rsid w:val="008F536E"/>
    <w:rsid w:val="00902631"/>
    <w:rsid w:val="00914882"/>
    <w:rsid w:val="009313C0"/>
    <w:rsid w:val="009326FD"/>
    <w:rsid w:val="00934530"/>
    <w:rsid w:val="00941973"/>
    <w:rsid w:val="009433D9"/>
    <w:rsid w:val="00966A3A"/>
    <w:rsid w:val="009739C4"/>
    <w:rsid w:val="00980D66"/>
    <w:rsid w:val="00985C2E"/>
    <w:rsid w:val="0099290D"/>
    <w:rsid w:val="00995653"/>
    <w:rsid w:val="00995C08"/>
    <w:rsid w:val="00996089"/>
    <w:rsid w:val="00997ACB"/>
    <w:rsid w:val="009A06A2"/>
    <w:rsid w:val="009A0E38"/>
    <w:rsid w:val="009A1820"/>
    <w:rsid w:val="009B0465"/>
    <w:rsid w:val="009B5E75"/>
    <w:rsid w:val="009B77A9"/>
    <w:rsid w:val="009C1115"/>
    <w:rsid w:val="009C11B7"/>
    <w:rsid w:val="009C2282"/>
    <w:rsid w:val="009E18BE"/>
    <w:rsid w:val="009E77C6"/>
    <w:rsid w:val="009F4734"/>
    <w:rsid w:val="009F600F"/>
    <w:rsid w:val="00A0378B"/>
    <w:rsid w:val="00A164C8"/>
    <w:rsid w:val="00A204E1"/>
    <w:rsid w:val="00A210B2"/>
    <w:rsid w:val="00A27D62"/>
    <w:rsid w:val="00A315B4"/>
    <w:rsid w:val="00A37482"/>
    <w:rsid w:val="00A4073A"/>
    <w:rsid w:val="00A42745"/>
    <w:rsid w:val="00A53932"/>
    <w:rsid w:val="00A56A9E"/>
    <w:rsid w:val="00A6146B"/>
    <w:rsid w:val="00A62F46"/>
    <w:rsid w:val="00A62FB2"/>
    <w:rsid w:val="00A64479"/>
    <w:rsid w:val="00A66B8E"/>
    <w:rsid w:val="00A67797"/>
    <w:rsid w:val="00A72BEF"/>
    <w:rsid w:val="00A7399C"/>
    <w:rsid w:val="00A74D00"/>
    <w:rsid w:val="00A83840"/>
    <w:rsid w:val="00A930E1"/>
    <w:rsid w:val="00AA1835"/>
    <w:rsid w:val="00AA2523"/>
    <w:rsid w:val="00AA3A6B"/>
    <w:rsid w:val="00AB1FF1"/>
    <w:rsid w:val="00AB28B3"/>
    <w:rsid w:val="00AC0B48"/>
    <w:rsid w:val="00AC1876"/>
    <w:rsid w:val="00AC4D70"/>
    <w:rsid w:val="00AC5E24"/>
    <w:rsid w:val="00AC724C"/>
    <w:rsid w:val="00AD52E8"/>
    <w:rsid w:val="00AD574C"/>
    <w:rsid w:val="00AD7D41"/>
    <w:rsid w:val="00AE38AC"/>
    <w:rsid w:val="00AE74F3"/>
    <w:rsid w:val="00AF3B7A"/>
    <w:rsid w:val="00AF5048"/>
    <w:rsid w:val="00AF58F6"/>
    <w:rsid w:val="00AF6228"/>
    <w:rsid w:val="00AF6272"/>
    <w:rsid w:val="00B13F96"/>
    <w:rsid w:val="00B14860"/>
    <w:rsid w:val="00B221F8"/>
    <w:rsid w:val="00B25E74"/>
    <w:rsid w:val="00B262A3"/>
    <w:rsid w:val="00B2760F"/>
    <w:rsid w:val="00B31DDB"/>
    <w:rsid w:val="00B45601"/>
    <w:rsid w:val="00B45F09"/>
    <w:rsid w:val="00B54594"/>
    <w:rsid w:val="00B55EC3"/>
    <w:rsid w:val="00B6274D"/>
    <w:rsid w:val="00B627C7"/>
    <w:rsid w:val="00B629A9"/>
    <w:rsid w:val="00B70AFA"/>
    <w:rsid w:val="00B74041"/>
    <w:rsid w:val="00B75FCF"/>
    <w:rsid w:val="00B77734"/>
    <w:rsid w:val="00B86EC6"/>
    <w:rsid w:val="00B8736C"/>
    <w:rsid w:val="00B9421F"/>
    <w:rsid w:val="00B947C5"/>
    <w:rsid w:val="00BA034B"/>
    <w:rsid w:val="00BA207B"/>
    <w:rsid w:val="00BB25EF"/>
    <w:rsid w:val="00BB392E"/>
    <w:rsid w:val="00BB540B"/>
    <w:rsid w:val="00BD3A7C"/>
    <w:rsid w:val="00BD59C2"/>
    <w:rsid w:val="00BE6171"/>
    <w:rsid w:val="00BF1A6E"/>
    <w:rsid w:val="00C10E0A"/>
    <w:rsid w:val="00C11534"/>
    <w:rsid w:val="00C11A12"/>
    <w:rsid w:val="00C134A8"/>
    <w:rsid w:val="00C14E82"/>
    <w:rsid w:val="00C15F82"/>
    <w:rsid w:val="00C20111"/>
    <w:rsid w:val="00C35F8A"/>
    <w:rsid w:val="00C3680E"/>
    <w:rsid w:val="00C3753B"/>
    <w:rsid w:val="00C47A8D"/>
    <w:rsid w:val="00C51931"/>
    <w:rsid w:val="00C54945"/>
    <w:rsid w:val="00C55365"/>
    <w:rsid w:val="00C55D21"/>
    <w:rsid w:val="00C7726E"/>
    <w:rsid w:val="00C81404"/>
    <w:rsid w:val="00C85680"/>
    <w:rsid w:val="00C86661"/>
    <w:rsid w:val="00C87369"/>
    <w:rsid w:val="00C87D44"/>
    <w:rsid w:val="00C90201"/>
    <w:rsid w:val="00C90C7C"/>
    <w:rsid w:val="00CB6797"/>
    <w:rsid w:val="00CD1148"/>
    <w:rsid w:val="00CD3E74"/>
    <w:rsid w:val="00CE1EC7"/>
    <w:rsid w:val="00CE518B"/>
    <w:rsid w:val="00CE6E7B"/>
    <w:rsid w:val="00CF0EDC"/>
    <w:rsid w:val="00CF3480"/>
    <w:rsid w:val="00CF39FE"/>
    <w:rsid w:val="00D0175E"/>
    <w:rsid w:val="00D01FDB"/>
    <w:rsid w:val="00D0271A"/>
    <w:rsid w:val="00D07E39"/>
    <w:rsid w:val="00D10A22"/>
    <w:rsid w:val="00D12DA0"/>
    <w:rsid w:val="00D1468F"/>
    <w:rsid w:val="00D25044"/>
    <w:rsid w:val="00D26BBB"/>
    <w:rsid w:val="00D27178"/>
    <w:rsid w:val="00D42D7B"/>
    <w:rsid w:val="00D4507A"/>
    <w:rsid w:val="00D561D4"/>
    <w:rsid w:val="00D644F4"/>
    <w:rsid w:val="00D66164"/>
    <w:rsid w:val="00D67231"/>
    <w:rsid w:val="00D7164F"/>
    <w:rsid w:val="00D72AC1"/>
    <w:rsid w:val="00D81795"/>
    <w:rsid w:val="00D8273E"/>
    <w:rsid w:val="00D844B2"/>
    <w:rsid w:val="00D86BD8"/>
    <w:rsid w:val="00D94B62"/>
    <w:rsid w:val="00D95864"/>
    <w:rsid w:val="00DA1628"/>
    <w:rsid w:val="00DA3EAE"/>
    <w:rsid w:val="00DA5D4F"/>
    <w:rsid w:val="00DB5451"/>
    <w:rsid w:val="00DB745F"/>
    <w:rsid w:val="00DC13A1"/>
    <w:rsid w:val="00DC61D2"/>
    <w:rsid w:val="00DD0369"/>
    <w:rsid w:val="00DD37CA"/>
    <w:rsid w:val="00DD5C01"/>
    <w:rsid w:val="00DD6755"/>
    <w:rsid w:val="00DD684E"/>
    <w:rsid w:val="00DE3C2D"/>
    <w:rsid w:val="00DE4274"/>
    <w:rsid w:val="00DF49DE"/>
    <w:rsid w:val="00E02B4D"/>
    <w:rsid w:val="00E14029"/>
    <w:rsid w:val="00E1774A"/>
    <w:rsid w:val="00E21CD1"/>
    <w:rsid w:val="00E24BD8"/>
    <w:rsid w:val="00E306EB"/>
    <w:rsid w:val="00E3391E"/>
    <w:rsid w:val="00E34396"/>
    <w:rsid w:val="00E406A3"/>
    <w:rsid w:val="00E558C7"/>
    <w:rsid w:val="00E61C46"/>
    <w:rsid w:val="00E61D79"/>
    <w:rsid w:val="00E62BF8"/>
    <w:rsid w:val="00E719F9"/>
    <w:rsid w:val="00E71CB0"/>
    <w:rsid w:val="00E81229"/>
    <w:rsid w:val="00E87AC5"/>
    <w:rsid w:val="00E90DF3"/>
    <w:rsid w:val="00E919AF"/>
    <w:rsid w:val="00E93B3B"/>
    <w:rsid w:val="00E94CDE"/>
    <w:rsid w:val="00EA3198"/>
    <w:rsid w:val="00EA34D0"/>
    <w:rsid w:val="00EA3CD9"/>
    <w:rsid w:val="00EB560F"/>
    <w:rsid w:val="00EC5200"/>
    <w:rsid w:val="00ED1EE6"/>
    <w:rsid w:val="00ED29CC"/>
    <w:rsid w:val="00ED60E6"/>
    <w:rsid w:val="00ED68A3"/>
    <w:rsid w:val="00ED6B5F"/>
    <w:rsid w:val="00EE4E07"/>
    <w:rsid w:val="00EE5A09"/>
    <w:rsid w:val="00EF3506"/>
    <w:rsid w:val="00EF64DA"/>
    <w:rsid w:val="00F01FAA"/>
    <w:rsid w:val="00F03BF3"/>
    <w:rsid w:val="00F10D0D"/>
    <w:rsid w:val="00F13C7E"/>
    <w:rsid w:val="00F24C33"/>
    <w:rsid w:val="00F252E7"/>
    <w:rsid w:val="00F308F0"/>
    <w:rsid w:val="00F30D53"/>
    <w:rsid w:val="00F3498D"/>
    <w:rsid w:val="00F34D54"/>
    <w:rsid w:val="00F40BA5"/>
    <w:rsid w:val="00F42704"/>
    <w:rsid w:val="00F47000"/>
    <w:rsid w:val="00F51FAF"/>
    <w:rsid w:val="00F530D3"/>
    <w:rsid w:val="00F536AF"/>
    <w:rsid w:val="00F64EEE"/>
    <w:rsid w:val="00F73382"/>
    <w:rsid w:val="00F82C7A"/>
    <w:rsid w:val="00F9462C"/>
    <w:rsid w:val="00F951E5"/>
    <w:rsid w:val="00FA743C"/>
    <w:rsid w:val="00FA7629"/>
    <w:rsid w:val="00FC11F3"/>
    <w:rsid w:val="00FC2ACC"/>
    <w:rsid w:val="00FC494D"/>
    <w:rsid w:val="00FD32AD"/>
    <w:rsid w:val="00FD4651"/>
    <w:rsid w:val="00FD72FD"/>
    <w:rsid w:val="00FD7A5B"/>
    <w:rsid w:val="00FE30E8"/>
    <w:rsid w:val="00FE49A0"/>
    <w:rsid w:val="00FE5477"/>
    <w:rsid w:val="00FF33F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173738"/>
    <w:pPr>
      <w:jc w:val="both"/>
    </w:pPr>
    <w:rPr>
      <w:rFonts w:ascii="Times New Roman" w:hAnsi="Times New Roman"/>
      <w:sz w:val="24"/>
      <w:szCs w:val="22"/>
      <w:lang w:eastAsia="zh-TW"/>
    </w:rPr>
  </w:style>
  <w:style w:type="paragraph" w:styleId="Heading1">
    <w:name w:val="heading 1"/>
    <w:next w:val="Normal"/>
    <w:link w:val="Heading1Char"/>
    <w:uiPriority w:val="9"/>
    <w:qFormat/>
    <w:rsid w:val="00A64479"/>
    <w:pPr>
      <w:numPr>
        <w:numId w:val="37"/>
      </w:numPr>
      <w:spacing w:before="360" w:after="60"/>
      <w:outlineLvl w:val="0"/>
    </w:pPr>
    <w:rPr>
      <w:rFonts w:ascii="Times New Roman Bold" w:hAnsi="Times New Roman Bold"/>
      <w:b/>
      <w:bCs/>
      <w:caps/>
      <w:sz w:val="26"/>
      <w:szCs w:val="26"/>
      <w:lang w:val="en-GB" w:eastAsia="zh-TW"/>
    </w:rPr>
  </w:style>
  <w:style w:type="paragraph" w:styleId="Heading2">
    <w:name w:val="heading 2"/>
    <w:next w:val="Normal"/>
    <w:link w:val="Heading2Char"/>
    <w:uiPriority w:val="9"/>
    <w:unhideWhenUsed/>
    <w:qFormat/>
    <w:rsid w:val="00A64479"/>
    <w:pPr>
      <w:numPr>
        <w:ilvl w:val="1"/>
        <w:numId w:val="37"/>
      </w:numPr>
      <w:spacing w:before="240" w:after="120"/>
      <w:outlineLvl w:val="1"/>
    </w:pPr>
    <w:rPr>
      <w:rFonts w:ascii="Times New Roman Bold" w:hAnsi="Times New Roman Bold"/>
      <w:b/>
      <w:bCs/>
      <w:i/>
      <w:sz w:val="24"/>
      <w:szCs w:val="22"/>
      <w:lang w:eastAsia="zh-TW"/>
    </w:rPr>
  </w:style>
  <w:style w:type="paragraph" w:styleId="Heading3">
    <w:name w:val="heading 3"/>
    <w:basedOn w:val="Normal"/>
    <w:next w:val="Normal"/>
    <w:link w:val="Heading3Char"/>
    <w:uiPriority w:val="9"/>
    <w:unhideWhenUsed/>
    <w:qFormat/>
    <w:rsid w:val="00A64479"/>
    <w:pPr>
      <w:keepNext/>
      <w:keepLines/>
      <w:numPr>
        <w:ilvl w:val="2"/>
        <w:numId w:val="37"/>
      </w:numPr>
      <w:spacing w:before="240" w:after="60"/>
      <w:jc w:val="left"/>
      <w:outlineLvl w:val="2"/>
    </w:pPr>
    <w:rPr>
      <w:bCs/>
      <w:u w:val="single"/>
    </w:rPr>
  </w:style>
  <w:style w:type="paragraph" w:styleId="Heading4">
    <w:name w:val="heading 4"/>
    <w:basedOn w:val="Normal"/>
    <w:next w:val="Normal"/>
    <w:link w:val="Heading4Char"/>
    <w:uiPriority w:val="9"/>
    <w:unhideWhenUsed/>
    <w:qFormat/>
    <w:rsid w:val="00A64479"/>
    <w:pPr>
      <w:keepNext/>
      <w:keepLines/>
      <w:numPr>
        <w:ilvl w:val="3"/>
        <w:numId w:val="37"/>
      </w:numPr>
      <w:spacing w:before="120" w:after="60"/>
      <w:jc w:val="left"/>
      <w:outlineLvl w:val="3"/>
    </w:pPr>
    <w:rPr>
      <w:rFonts w:ascii="Times New Roman Bold" w:hAnsi="Times New Roman Bold"/>
      <w:b/>
      <w:bCs/>
      <w:iCs/>
    </w:rPr>
  </w:style>
  <w:style w:type="paragraph" w:styleId="Heading5">
    <w:name w:val="heading 5"/>
    <w:basedOn w:val="Normal"/>
    <w:next w:val="Normal"/>
    <w:link w:val="Heading5Char"/>
    <w:uiPriority w:val="9"/>
    <w:unhideWhenUsed/>
    <w:qFormat/>
    <w:rsid w:val="00A64479"/>
    <w:pPr>
      <w:keepNext/>
      <w:keepLines/>
      <w:numPr>
        <w:ilvl w:val="4"/>
        <w:numId w:val="37"/>
      </w:numPr>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A64479"/>
    <w:pPr>
      <w:keepNext/>
      <w:keepLines/>
      <w:numPr>
        <w:ilvl w:val="5"/>
        <w:numId w:val="37"/>
      </w:numPr>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A64479"/>
    <w:pPr>
      <w:keepNext/>
      <w:keepLines/>
      <w:numPr>
        <w:ilvl w:val="6"/>
        <w:numId w:val="37"/>
      </w:numPr>
      <w:spacing w:after="120"/>
      <w:outlineLvl w:val="6"/>
    </w:pPr>
    <w:rPr>
      <w:i/>
      <w:iCs/>
      <w:lang w:val="en-US"/>
    </w:rPr>
  </w:style>
  <w:style w:type="paragraph" w:styleId="Heading8">
    <w:name w:val="heading 8"/>
    <w:aliases w:val="CAS Registry Number"/>
    <w:basedOn w:val="Normal"/>
    <w:next w:val="Normal"/>
    <w:link w:val="Heading8Char"/>
    <w:uiPriority w:val="9"/>
    <w:unhideWhenUsed/>
    <w:qFormat/>
    <w:rsid w:val="00A64479"/>
    <w:pPr>
      <w:keepNext/>
      <w:keepLines/>
      <w:numPr>
        <w:ilvl w:val="7"/>
        <w:numId w:val="37"/>
      </w:numPr>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A64479"/>
    <w:pPr>
      <w:keepNext/>
      <w:keepLines/>
      <w:numPr>
        <w:ilvl w:val="8"/>
        <w:numId w:val="37"/>
      </w:numPr>
      <w:spacing w:before="120"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eastAsia="zh-TW"/>
    </w:rPr>
  </w:style>
  <w:style w:type="character" w:customStyle="1" w:styleId="Heading1Char">
    <w:name w:val="Heading 1 Char"/>
    <w:link w:val="Heading1"/>
    <w:uiPriority w:val="9"/>
    <w:rsid w:val="00A64479"/>
    <w:rPr>
      <w:rFonts w:ascii="Times New Roman Bold" w:hAnsi="Times New Roman Bold"/>
      <w:b/>
      <w:bCs/>
      <w:caps/>
      <w:sz w:val="26"/>
      <w:szCs w:val="26"/>
      <w:lang w:val="en-GB" w:eastAsia="zh-TW"/>
    </w:rPr>
  </w:style>
  <w:style w:type="character" w:customStyle="1" w:styleId="Heading2Char">
    <w:name w:val="Heading 2 Char"/>
    <w:link w:val="Heading2"/>
    <w:uiPriority w:val="9"/>
    <w:rsid w:val="00A64479"/>
    <w:rPr>
      <w:rFonts w:ascii="Times New Roman Bold" w:hAnsi="Times New Roman Bold"/>
      <w:b/>
      <w:bCs/>
      <w:i/>
      <w:sz w:val="24"/>
      <w:szCs w:val="22"/>
      <w:lang w:eastAsia="zh-TW"/>
    </w:rPr>
  </w:style>
  <w:style w:type="character" w:customStyle="1" w:styleId="Heading3Char">
    <w:name w:val="Heading 3 Char"/>
    <w:link w:val="Heading3"/>
    <w:uiPriority w:val="9"/>
    <w:rsid w:val="00A64479"/>
    <w:rPr>
      <w:rFonts w:ascii="Times New Roman" w:hAnsi="Times New Roman"/>
      <w:bCs/>
      <w:sz w:val="24"/>
      <w:szCs w:val="22"/>
      <w:u w:val="single"/>
      <w:lang w:eastAsia="zh-TW"/>
    </w:rPr>
  </w:style>
  <w:style w:type="character" w:customStyle="1" w:styleId="Heading4Char">
    <w:name w:val="Heading 4 Char"/>
    <w:link w:val="Heading4"/>
    <w:uiPriority w:val="9"/>
    <w:rsid w:val="00A64479"/>
    <w:rPr>
      <w:rFonts w:ascii="Times New Roman Bold" w:hAnsi="Times New Roman Bold"/>
      <w:b/>
      <w:bCs/>
      <w:iCs/>
      <w:sz w:val="24"/>
      <w:szCs w:val="22"/>
      <w:lang w:eastAsia="zh-TW"/>
    </w:rPr>
  </w:style>
  <w:style w:type="character" w:customStyle="1" w:styleId="Heading5Char">
    <w:name w:val="Heading 5 Char"/>
    <w:link w:val="Heading5"/>
    <w:uiPriority w:val="9"/>
    <w:rsid w:val="00A64479"/>
    <w:rPr>
      <w:rFonts w:ascii="Cambria" w:hAnsi="Cambria"/>
      <w:color w:val="243F60"/>
      <w:sz w:val="24"/>
      <w:szCs w:val="22"/>
      <w:lang w:eastAsia="zh-TW"/>
    </w:rPr>
  </w:style>
  <w:style w:type="character" w:customStyle="1" w:styleId="Heading6Char">
    <w:name w:val="Heading 6 Char"/>
    <w:link w:val="Heading6"/>
    <w:uiPriority w:val="9"/>
    <w:rsid w:val="00A64479"/>
    <w:rPr>
      <w:rFonts w:ascii="Cambria" w:hAnsi="Cambria"/>
      <w:i/>
      <w:iCs/>
      <w:color w:val="243F60"/>
      <w:sz w:val="24"/>
      <w:szCs w:val="22"/>
      <w:lang w:eastAsia="zh-TW"/>
    </w:rPr>
  </w:style>
  <w:style w:type="character" w:customStyle="1" w:styleId="Heading7Char">
    <w:name w:val="Heading 7 Char"/>
    <w:aliases w:val="Text from TGA PI form Char"/>
    <w:link w:val="Heading7"/>
    <w:uiPriority w:val="9"/>
    <w:rsid w:val="00A64479"/>
    <w:rPr>
      <w:rFonts w:ascii="Times New Roman" w:hAnsi="Times New Roman"/>
      <w:i/>
      <w:iCs/>
      <w:sz w:val="24"/>
      <w:szCs w:val="22"/>
      <w:lang w:val="en-US" w:eastAsia="zh-TW"/>
    </w:rPr>
  </w:style>
  <w:style w:type="character" w:customStyle="1" w:styleId="Heading8Char">
    <w:name w:val="Heading 8 Char"/>
    <w:aliases w:val="CAS Registry Number Char"/>
    <w:link w:val="Heading8"/>
    <w:uiPriority w:val="9"/>
    <w:rsid w:val="00A64479"/>
    <w:rPr>
      <w:rFonts w:ascii="Times New Roman" w:hAnsi="Times New Roman"/>
      <w:color w:val="404040"/>
      <w:sz w:val="24"/>
      <w:lang w:eastAsia="zh-TW"/>
    </w:rPr>
  </w:style>
  <w:style w:type="character" w:customStyle="1" w:styleId="Heading9Char">
    <w:name w:val="Heading 9 Char"/>
    <w:aliases w:val="Active ingredient Char"/>
    <w:link w:val="Heading9"/>
    <w:uiPriority w:val="9"/>
    <w:rsid w:val="00A64479"/>
    <w:rPr>
      <w:rFonts w:ascii="Times New Roman" w:hAnsi="Times New Roman"/>
      <w:i/>
      <w:iCs/>
      <w:sz w:val="24"/>
      <w:lang w:eastAsia="zh-TW"/>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nhideWhenUsed/>
    <w:rsid w:val="000471CA"/>
    <w:pPr>
      <w:tabs>
        <w:tab w:val="center" w:pos="4513"/>
        <w:tab w:val="right" w:pos="9026"/>
      </w:tabs>
    </w:pPr>
  </w:style>
  <w:style w:type="character" w:customStyle="1" w:styleId="FooterChar">
    <w:name w:val="Footer Char"/>
    <w:link w:val="Footer"/>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jc w:val="left"/>
    </w:pPr>
    <w:rPr>
      <w:rFonts w:eastAsia="Times New Roman"/>
      <w:i/>
      <w:szCs w:val="20"/>
      <w:lang w:val="en-US" w:eastAsia="ja-JP"/>
    </w:rPr>
  </w:style>
  <w:style w:type="character" w:customStyle="1" w:styleId="BodyText3Char">
    <w:name w:val="Body Text 3 Char"/>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pPr>
      <w:spacing w:after="120"/>
      <w:jc w:val="left"/>
    </w:pPr>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link w:val="PIexplanation"/>
    <w:rsid w:val="00D844B2"/>
    <w:rPr>
      <w:rFonts w:ascii="Times New Roman" w:eastAsia="Times New Roman" w:hAnsi="Times New Roman"/>
      <w:i/>
      <w:color w:val="FF0000"/>
      <w:sz w:val="22"/>
      <w:lang w:eastAsia="ja-JP"/>
    </w:rPr>
  </w:style>
  <w:style w:type="character" w:customStyle="1" w:styleId="BodyTextPIChar">
    <w:name w:val="Body Text PI Char"/>
    <w:link w:val="BodyTextPI"/>
    <w:rsid w:val="00D844B2"/>
    <w:rPr>
      <w:rFonts w:ascii="Times New Roman" w:eastAsia="Times New Roman" w:hAnsi="Times New Roman"/>
      <w:i w:val="0"/>
      <w:color w:val="FF0000"/>
      <w:sz w:val="22"/>
      <w:lang w:val="en-GB" w:eastAsia="ja-JP"/>
    </w:rPr>
  </w:style>
  <w:style w:type="paragraph" w:styleId="BodyText2">
    <w:name w:val="Body Text 2"/>
    <w:basedOn w:val="Normal"/>
    <w:link w:val="BodyText2Char"/>
    <w:uiPriority w:val="99"/>
    <w:semiHidden/>
    <w:unhideWhenUsed/>
    <w:rsid w:val="00093012"/>
    <w:pPr>
      <w:spacing w:after="120" w:line="480" w:lineRule="auto"/>
    </w:pPr>
  </w:style>
  <w:style w:type="character" w:customStyle="1" w:styleId="BodyText2Char">
    <w:name w:val="Body Text 2 Char"/>
    <w:link w:val="BodyText2"/>
    <w:uiPriority w:val="99"/>
    <w:semiHidden/>
    <w:rsid w:val="00093012"/>
    <w:rPr>
      <w:rFonts w:ascii="Times New Roman" w:hAnsi="Times New Roman"/>
      <w:sz w:val="24"/>
      <w:szCs w:val="22"/>
    </w:rPr>
  </w:style>
  <w:style w:type="table" w:styleId="TableGrid">
    <w:name w:val="Table Grid"/>
    <w:basedOn w:val="TableNormal"/>
    <w:uiPriority w:val="59"/>
    <w:rsid w:val="004A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6875BA"/>
    <w:rPr>
      <w:sz w:val="16"/>
      <w:szCs w:val="16"/>
    </w:rPr>
  </w:style>
  <w:style w:type="paragraph" w:styleId="CommentText">
    <w:name w:val="annotation text"/>
    <w:basedOn w:val="Normal"/>
    <w:link w:val="CommentTextChar"/>
    <w:uiPriority w:val="99"/>
    <w:unhideWhenUsed/>
    <w:rsid w:val="006875BA"/>
    <w:rPr>
      <w:sz w:val="20"/>
      <w:szCs w:val="20"/>
    </w:rPr>
  </w:style>
  <w:style w:type="character" w:customStyle="1" w:styleId="CommentTextChar">
    <w:name w:val="Comment Text Char"/>
    <w:link w:val="CommentText"/>
    <w:uiPriority w:val="99"/>
    <w:rsid w:val="006875B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875BA"/>
    <w:rPr>
      <w:b/>
      <w:bCs/>
    </w:rPr>
  </w:style>
  <w:style w:type="character" w:customStyle="1" w:styleId="CommentSubjectChar">
    <w:name w:val="Comment Subject Char"/>
    <w:link w:val="CommentSubject"/>
    <w:uiPriority w:val="99"/>
    <w:semiHidden/>
    <w:rsid w:val="006875BA"/>
    <w:rPr>
      <w:rFonts w:ascii="Times New Roman" w:hAnsi="Times New Roman"/>
      <w:b/>
      <w:bCs/>
    </w:rPr>
  </w:style>
  <w:style w:type="paragraph" w:customStyle="1" w:styleId="NormalArial">
    <w:name w:val="Normal + Arial"/>
    <w:aliases w:val="9 pt"/>
    <w:basedOn w:val="Normal"/>
    <w:link w:val="NormalArialChar"/>
    <w:rsid w:val="006875BA"/>
    <w:pPr>
      <w:jc w:val="left"/>
    </w:pPr>
    <w:rPr>
      <w:rFonts w:ascii="Arial" w:eastAsia="MS Mincho" w:hAnsi="Arial"/>
      <w:sz w:val="20"/>
      <w:szCs w:val="20"/>
      <w:lang w:val="en-GB" w:eastAsia="ja-JP"/>
    </w:rPr>
  </w:style>
  <w:style w:type="character" w:customStyle="1" w:styleId="NormalArialChar">
    <w:name w:val="Normal + Arial Char"/>
    <w:aliases w:val="9 pt Char Char"/>
    <w:link w:val="NormalArial"/>
    <w:rsid w:val="006875BA"/>
    <w:rPr>
      <w:rFonts w:ascii="Arial" w:eastAsia="MS Mincho" w:hAnsi="Arial"/>
      <w:lang w:val="en-GB" w:eastAsia="ja-JP"/>
    </w:rPr>
  </w:style>
  <w:style w:type="paragraph" w:customStyle="1" w:styleId="Paragraph">
    <w:name w:val="Paragraph"/>
    <w:basedOn w:val="Normal"/>
    <w:link w:val="ParagraphChar"/>
    <w:rsid w:val="000B64CB"/>
    <w:pPr>
      <w:spacing w:after="170" w:line="280" w:lineRule="exact"/>
      <w:jc w:val="left"/>
    </w:pPr>
    <w:rPr>
      <w:rFonts w:ascii="Arial" w:eastAsia="SimSun" w:hAnsi="Arial"/>
      <w:szCs w:val="24"/>
      <w:lang w:val="en-GB" w:eastAsia="zh-CN"/>
    </w:rPr>
  </w:style>
  <w:style w:type="paragraph" w:customStyle="1" w:styleId="TableTitle">
    <w:name w:val="Table Title"/>
    <w:basedOn w:val="Normal"/>
    <w:next w:val="Paragraph"/>
    <w:link w:val="TableTitleChar"/>
    <w:rsid w:val="000B64CB"/>
    <w:pPr>
      <w:keepNext/>
      <w:keepLines/>
      <w:tabs>
        <w:tab w:val="left" w:pos="1080"/>
      </w:tabs>
      <w:spacing w:before="40" w:after="160" w:line="280" w:lineRule="exact"/>
      <w:ind w:left="1080" w:hanging="1080"/>
      <w:jc w:val="left"/>
    </w:pPr>
    <w:rPr>
      <w:rFonts w:ascii="Arial" w:eastAsia="SimSun" w:hAnsi="Arial"/>
      <w:b/>
      <w:szCs w:val="24"/>
      <w:lang w:val="en-GB" w:eastAsia="zh-CN"/>
    </w:rPr>
  </w:style>
  <w:style w:type="character" w:customStyle="1" w:styleId="ParagraphChar">
    <w:name w:val="Paragraph Char"/>
    <w:link w:val="Paragraph"/>
    <w:rsid w:val="000B64CB"/>
    <w:rPr>
      <w:rFonts w:ascii="Arial" w:eastAsia="SimSun" w:hAnsi="Arial"/>
      <w:sz w:val="24"/>
      <w:szCs w:val="24"/>
      <w:lang w:val="en-GB" w:eastAsia="zh-CN"/>
    </w:rPr>
  </w:style>
  <w:style w:type="character" w:customStyle="1" w:styleId="TableTitleChar">
    <w:name w:val="Table Title Char"/>
    <w:link w:val="TableTitle"/>
    <w:locked/>
    <w:rsid w:val="000B64CB"/>
    <w:rPr>
      <w:rFonts w:ascii="Arial" w:eastAsia="SimSun" w:hAnsi="Arial"/>
      <w:b/>
      <w:sz w:val="24"/>
      <w:szCs w:val="24"/>
      <w:lang w:val="en-GB" w:eastAsia="zh-CN"/>
    </w:rPr>
  </w:style>
  <w:style w:type="paragraph" w:styleId="TOC3">
    <w:name w:val="toc 3"/>
    <w:basedOn w:val="TOC2"/>
    <w:next w:val="Normal"/>
    <w:rsid w:val="008647FA"/>
    <w:pPr>
      <w:tabs>
        <w:tab w:val="right" w:leader="dot" w:pos="8640"/>
      </w:tabs>
      <w:spacing w:after="113" w:line="280" w:lineRule="exact"/>
      <w:ind w:left="720" w:right="1440"/>
      <w:jc w:val="left"/>
    </w:pPr>
    <w:rPr>
      <w:rFonts w:ascii="Arial" w:eastAsia="SimSun" w:hAnsi="Arial"/>
      <w:szCs w:val="24"/>
      <w:lang w:val="en-GB" w:eastAsia="zh-CN"/>
    </w:rPr>
  </w:style>
  <w:style w:type="paragraph" w:styleId="TOC2">
    <w:name w:val="toc 2"/>
    <w:basedOn w:val="Normal"/>
    <w:next w:val="Normal"/>
    <w:autoRedefine/>
    <w:uiPriority w:val="39"/>
    <w:semiHidden/>
    <w:unhideWhenUsed/>
    <w:rsid w:val="008647FA"/>
    <w:pPr>
      <w:ind w:left="240"/>
    </w:pPr>
  </w:style>
  <w:style w:type="table" w:customStyle="1" w:styleId="TableGrid1">
    <w:name w:val="Table Grid1"/>
    <w:basedOn w:val="TableNormal"/>
    <w:next w:val="TableGrid"/>
    <w:uiPriority w:val="59"/>
    <w:rsid w:val="00E719F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0271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1433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4338"/>
    <w:rPr>
      <w:rFonts w:ascii="Times New Roman" w:hAnsi="Times New Roman"/>
      <w:sz w:val="24"/>
      <w:szCs w:val="22"/>
      <w:lang w:eastAsia="zh-TW"/>
    </w:rPr>
  </w:style>
  <w:style w:type="paragraph" w:styleId="NormalWeb">
    <w:name w:val="Normal (Web)"/>
    <w:basedOn w:val="Normal"/>
    <w:uiPriority w:val="99"/>
    <w:unhideWhenUsed/>
    <w:rsid w:val="009F4734"/>
    <w:pPr>
      <w:spacing w:before="100" w:beforeAutospacing="1" w:after="75"/>
      <w:jc w:val="left"/>
    </w:pPr>
    <w:rPr>
      <w:rFonts w:eastAsia="Times New Roman"/>
      <w:color w:val="00000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173738"/>
    <w:pPr>
      <w:jc w:val="both"/>
    </w:pPr>
    <w:rPr>
      <w:rFonts w:ascii="Times New Roman" w:hAnsi="Times New Roman"/>
      <w:sz w:val="24"/>
      <w:szCs w:val="22"/>
      <w:lang w:eastAsia="zh-TW"/>
    </w:rPr>
  </w:style>
  <w:style w:type="paragraph" w:styleId="Heading1">
    <w:name w:val="heading 1"/>
    <w:next w:val="Normal"/>
    <w:link w:val="Heading1Char"/>
    <w:uiPriority w:val="9"/>
    <w:qFormat/>
    <w:rsid w:val="00A64479"/>
    <w:pPr>
      <w:numPr>
        <w:numId w:val="37"/>
      </w:numPr>
      <w:spacing w:before="360" w:after="60"/>
      <w:outlineLvl w:val="0"/>
    </w:pPr>
    <w:rPr>
      <w:rFonts w:ascii="Times New Roman Bold" w:hAnsi="Times New Roman Bold"/>
      <w:b/>
      <w:bCs/>
      <w:caps/>
      <w:sz w:val="26"/>
      <w:szCs w:val="26"/>
      <w:lang w:val="en-GB" w:eastAsia="zh-TW"/>
    </w:rPr>
  </w:style>
  <w:style w:type="paragraph" w:styleId="Heading2">
    <w:name w:val="heading 2"/>
    <w:next w:val="Normal"/>
    <w:link w:val="Heading2Char"/>
    <w:uiPriority w:val="9"/>
    <w:unhideWhenUsed/>
    <w:qFormat/>
    <w:rsid w:val="00A64479"/>
    <w:pPr>
      <w:numPr>
        <w:ilvl w:val="1"/>
        <w:numId w:val="37"/>
      </w:numPr>
      <w:spacing w:before="240" w:after="120"/>
      <w:outlineLvl w:val="1"/>
    </w:pPr>
    <w:rPr>
      <w:rFonts w:ascii="Times New Roman Bold" w:hAnsi="Times New Roman Bold"/>
      <w:b/>
      <w:bCs/>
      <w:i/>
      <w:sz w:val="24"/>
      <w:szCs w:val="22"/>
      <w:lang w:eastAsia="zh-TW"/>
    </w:rPr>
  </w:style>
  <w:style w:type="paragraph" w:styleId="Heading3">
    <w:name w:val="heading 3"/>
    <w:basedOn w:val="Normal"/>
    <w:next w:val="Normal"/>
    <w:link w:val="Heading3Char"/>
    <w:uiPriority w:val="9"/>
    <w:unhideWhenUsed/>
    <w:qFormat/>
    <w:rsid w:val="00A64479"/>
    <w:pPr>
      <w:keepNext/>
      <w:keepLines/>
      <w:numPr>
        <w:ilvl w:val="2"/>
        <w:numId w:val="37"/>
      </w:numPr>
      <w:spacing w:before="240" w:after="60"/>
      <w:jc w:val="left"/>
      <w:outlineLvl w:val="2"/>
    </w:pPr>
    <w:rPr>
      <w:bCs/>
      <w:u w:val="single"/>
    </w:rPr>
  </w:style>
  <w:style w:type="paragraph" w:styleId="Heading4">
    <w:name w:val="heading 4"/>
    <w:basedOn w:val="Normal"/>
    <w:next w:val="Normal"/>
    <w:link w:val="Heading4Char"/>
    <w:uiPriority w:val="9"/>
    <w:unhideWhenUsed/>
    <w:qFormat/>
    <w:rsid w:val="00A64479"/>
    <w:pPr>
      <w:keepNext/>
      <w:keepLines/>
      <w:numPr>
        <w:ilvl w:val="3"/>
        <w:numId w:val="37"/>
      </w:numPr>
      <w:spacing w:before="120" w:after="60"/>
      <w:jc w:val="left"/>
      <w:outlineLvl w:val="3"/>
    </w:pPr>
    <w:rPr>
      <w:rFonts w:ascii="Times New Roman Bold" w:hAnsi="Times New Roman Bold"/>
      <w:b/>
      <w:bCs/>
      <w:iCs/>
    </w:rPr>
  </w:style>
  <w:style w:type="paragraph" w:styleId="Heading5">
    <w:name w:val="heading 5"/>
    <w:basedOn w:val="Normal"/>
    <w:next w:val="Normal"/>
    <w:link w:val="Heading5Char"/>
    <w:uiPriority w:val="9"/>
    <w:unhideWhenUsed/>
    <w:qFormat/>
    <w:rsid w:val="00A64479"/>
    <w:pPr>
      <w:keepNext/>
      <w:keepLines/>
      <w:numPr>
        <w:ilvl w:val="4"/>
        <w:numId w:val="37"/>
      </w:numPr>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A64479"/>
    <w:pPr>
      <w:keepNext/>
      <w:keepLines/>
      <w:numPr>
        <w:ilvl w:val="5"/>
        <w:numId w:val="37"/>
      </w:numPr>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A64479"/>
    <w:pPr>
      <w:keepNext/>
      <w:keepLines/>
      <w:numPr>
        <w:ilvl w:val="6"/>
        <w:numId w:val="37"/>
      </w:numPr>
      <w:spacing w:after="120"/>
      <w:outlineLvl w:val="6"/>
    </w:pPr>
    <w:rPr>
      <w:i/>
      <w:iCs/>
      <w:lang w:val="en-US"/>
    </w:rPr>
  </w:style>
  <w:style w:type="paragraph" w:styleId="Heading8">
    <w:name w:val="heading 8"/>
    <w:aliases w:val="CAS Registry Number"/>
    <w:basedOn w:val="Normal"/>
    <w:next w:val="Normal"/>
    <w:link w:val="Heading8Char"/>
    <w:uiPriority w:val="9"/>
    <w:unhideWhenUsed/>
    <w:qFormat/>
    <w:rsid w:val="00A64479"/>
    <w:pPr>
      <w:keepNext/>
      <w:keepLines/>
      <w:numPr>
        <w:ilvl w:val="7"/>
        <w:numId w:val="37"/>
      </w:numPr>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A64479"/>
    <w:pPr>
      <w:keepNext/>
      <w:keepLines/>
      <w:numPr>
        <w:ilvl w:val="8"/>
        <w:numId w:val="37"/>
      </w:numPr>
      <w:spacing w:before="120"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eastAsia="zh-TW"/>
    </w:rPr>
  </w:style>
  <w:style w:type="character" w:customStyle="1" w:styleId="Heading1Char">
    <w:name w:val="Heading 1 Char"/>
    <w:link w:val="Heading1"/>
    <w:uiPriority w:val="9"/>
    <w:rsid w:val="00A64479"/>
    <w:rPr>
      <w:rFonts w:ascii="Times New Roman Bold" w:hAnsi="Times New Roman Bold"/>
      <w:b/>
      <w:bCs/>
      <w:caps/>
      <w:sz w:val="26"/>
      <w:szCs w:val="26"/>
      <w:lang w:val="en-GB" w:eastAsia="zh-TW"/>
    </w:rPr>
  </w:style>
  <w:style w:type="character" w:customStyle="1" w:styleId="Heading2Char">
    <w:name w:val="Heading 2 Char"/>
    <w:link w:val="Heading2"/>
    <w:uiPriority w:val="9"/>
    <w:rsid w:val="00A64479"/>
    <w:rPr>
      <w:rFonts w:ascii="Times New Roman Bold" w:hAnsi="Times New Roman Bold"/>
      <w:b/>
      <w:bCs/>
      <w:i/>
      <w:sz w:val="24"/>
      <w:szCs w:val="22"/>
      <w:lang w:eastAsia="zh-TW"/>
    </w:rPr>
  </w:style>
  <w:style w:type="character" w:customStyle="1" w:styleId="Heading3Char">
    <w:name w:val="Heading 3 Char"/>
    <w:link w:val="Heading3"/>
    <w:uiPriority w:val="9"/>
    <w:rsid w:val="00A64479"/>
    <w:rPr>
      <w:rFonts w:ascii="Times New Roman" w:hAnsi="Times New Roman"/>
      <w:bCs/>
      <w:sz w:val="24"/>
      <w:szCs w:val="22"/>
      <w:u w:val="single"/>
      <w:lang w:eastAsia="zh-TW"/>
    </w:rPr>
  </w:style>
  <w:style w:type="character" w:customStyle="1" w:styleId="Heading4Char">
    <w:name w:val="Heading 4 Char"/>
    <w:link w:val="Heading4"/>
    <w:uiPriority w:val="9"/>
    <w:rsid w:val="00A64479"/>
    <w:rPr>
      <w:rFonts w:ascii="Times New Roman Bold" w:hAnsi="Times New Roman Bold"/>
      <w:b/>
      <w:bCs/>
      <w:iCs/>
      <w:sz w:val="24"/>
      <w:szCs w:val="22"/>
      <w:lang w:eastAsia="zh-TW"/>
    </w:rPr>
  </w:style>
  <w:style w:type="character" w:customStyle="1" w:styleId="Heading5Char">
    <w:name w:val="Heading 5 Char"/>
    <w:link w:val="Heading5"/>
    <w:uiPriority w:val="9"/>
    <w:rsid w:val="00A64479"/>
    <w:rPr>
      <w:rFonts w:ascii="Cambria" w:hAnsi="Cambria"/>
      <w:color w:val="243F60"/>
      <w:sz w:val="24"/>
      <w:szCs w:val="22"/>
      <w:lang w:eastAsia="zh-TW"/>
    </w:rPr>
  </w:style>
  <w:style w:type="character" w:customStyle="1" w:styleId="Heading6Char">
    <w:name w:val="Heading 6 Char"/>
    <w:link w:val="Heading6"/>
    <w:uiPriority w:val="9"/>
    <w:rsid w:val="00A64479"/>
    <w:rPr>
      <w:rFonts w:ascii="Cambria" w:hAnsi="Cambria"/>
      <w:i/>
      <w:iCs/>
      <w:color w:val="243F60"/>
      <w:sz w:val="24"/>
      <w:szCs w:val="22"/>
      <w:lang w:eastAsia="zh-TW"/>
    </w:rPr>
  </w:style>
  <w:style w:type="character" w:customStyle="1" w:styleId="Heading7Char">
    <w:name w:val="Heading 7 Char"/>
    <w:aliases w:val="Text from TGA PI form Char"/>
    <w:link w:val="Heading7"/>
    <w:uiPriority w:val="9"/>
    <w:rsid w:val="00A64479"/>
    <w:rPr>
      <w:rFonts w:ascii="Times New Roman" w:hAnsi="Times New Roman"/>
      <w:i/>
      <w:iCs/>
      <w:sz w:val="24"/>
      <w:szCs w:val="22"/>
      <w:lang w:val="en-US" w:eastAsia="zh-TW"/>
    </w:rPr>
  </w:style>
  <w:style w:type="character" w:customStyle="1" w:styleId="Heading8Char">
    <w:name w:val="Heading 8 Char"/>
    <w:aliases w:val="CAS Registry Number Char"/>
    <w:link w:val="Heading8"/>
    <w:uiPriority w:val="9"/>
    <w:rsid w:val="00A64479"/>
    <w:rPr>
      <w:rFonts w:ascii="Times New Roman" w:hAnsi="Times New Roman"/>
      <w:color w:val="404040"/>
      <w:sz w:val="24"/>
      <w:lang w:eastAsia="zh-TW"/>
    </w:rPr>
  </w:style>
  <w:style w:type="character" w:customStyle="1" w:styleId="Heading9Char">
    <w:name w:val="Heading 9 Char"/>
    <w:aliases w:val="Active ingredient Char"/>
    <w:link w:val="Heading9"/>
    <w:uiPriority w:val="9"/>
    <w:rsid w:val="00A64479"/>
    <w:rPr>
      <w:rFonts w:ascii="Times New Roman" w:hAnsi="Times New Roman"/>
      <w:i/>
      <w:iCs/>
      <w:sz w:val="24"/>
      <w:lang w:eastAsia="zh-TW"/>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nhideWhenUsed/>
    <w:rsid w:val="000471CA"/>
    <w:pPr>
      <w:tabs>
        <w:tab w:val="center" w:pos="4513"/>
        <w:tab w:val="right" w:pos="9026"/>
      </w:tabs>
    </w:pPr>
  </w:style>
  <w:style w:type="character" w:customStyle="1" w:styleId="FooterChar">
    <w:name w:val="Footer Char"/>
    <w:link w:val="Footer"/>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jc w:val="left"/>
    </w:pPr>
    <w:rPr>
      <w:rFonts w:eastAsia="Times New Roman"/>
      <w:i/>
      <w:szCs w:val="20"/>
      <w:lang w:val="en-US" w:eastAsia="ja-JP"/>
    </w:rPr>
  </w:style>
  <w:style w:type="character" w:customStyle="1" w:styleId="BodyText3Char">
    <w:name w:val="Body Text 3 Char"/>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pPr>
      <w:spacing w:after="120"/>
      <w:jc w:val="left"/>
    </w:pPr>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link w:val="PIexplanation"/>
    <w:rsid w:val="00D844B2"/>
    <w:rPr>
      <w:rFonts w:ascii="Times New Roman" w:eastAsia="Times New Roman" w:hAnsi="Times New Roman"/>
      <w:i/>
      <w:color w:val="FF0000"/>
      <w:sz w:val="22"/>
      <w:lang w:eastAsia="ja-JP"/>
    </w:rPr>
  </w:style>
  <w:style w:type="character" w:customStyle="1" w:styleId="BodyTextPIChar">
    <w:name w:val="Body Text PI Char"/>
    <w:link w:val="BodyTextPI"/>
    <w:rsid w:val="00D844B2"/>
    <w:rPr>
      <w:rFonts w:ascii="Times New Roman" w:eastAsia="Times New Roman" w:hAnsi="Times New Roman"/>
      <w:i w:val="0"/>
      <w:color w:val="FF0000"/>
      <w:sz w:val="22"/>
      <w:lang w:val="en-GB" w:eastAsia="ja-JP"/>
    </w:rPr>
  </w:style>
  <w:style w:type="paragraph" w:styleId="BodyText2">
    <w:name w:val="Body Text 2"/>
    <w:basedOn w:val="Normal"/>
    <w:link w:val="BodyText2Char"/>
    <w:uiPriority w:val="99"/>
    <w:semiHidden/>
    <w:unhideWhenUsed/>
    <w:rsid w:val="00093012"/>
    <w:pPr>
      <w:spacing w:after="120" w:line="480" w:lineRule="auto"/>
    </w:pPr>
  </w:style>
  <w:style w:type="character" w:customStyle="1" w:styleId="BodyText2Char">
    <w:name w:val="Body Text 2 Char"/>
    <w:link w:val="BodyText2"/>
    <w:uiPriority w:val="99"/>
    <w:semiHidden/>
    <w:rsid w:val="00093012"/>
    <w:rPr>
      <w:rFonts w:ascii="Times New Roman" w:hAnsi="Times New Roman"/>
      <w:sz w:val="24"/>
      <w:szCs w:val="22"/>
    </w:rPr>
  </w:style>
  <w:style w:type="table" w:styleId="TableGrid">
    <w:name w:val="Table Grid"/>
    <w:basedOn w:val="TableNormal"/>
    <w:uiPriority w:val="59"/>
    <w:rsid w:val="004A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6875BA"/>
    <w:rPr>
      <w:sz w:val="16"/>
      <w:szCs w:val="16"/>
    </w:rPr>
  </w:style>
  <w:style w:type="paragraph" w:styleId="CommentText">
    <w:name w:val="annotation text"/>
    <w:basedOn w:val="Normal"/>
    <w:link w:val="CommentTextChar"/>
    <w:uiPriority w:val="99"/>
    <w:unhideWhenUsed/>
    <w:rsid w:val="006875BA"/>
    <w:rPr>
      <w:sz w:val="20"/>
      <w:szCs w:val="20"/>
    </w:rPr>
  </w:style>
  <w:style w:type="character" w:customStyle="1" w:styleId="CommentTextChar">
    <w:name w:val="Comment Text Char"/>
    <w:link w:val="CommentText"/>
    <w:uiPriority w:val="99"/>
    <w:rsid w:val="006875B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875BA"/>
    <w:rPr>
      <w:b/>
      <w:bCs/>
    </w:rPr>
  </w:style>
  <w:style w:type="character" w:customStyle="1" w:styleId="CommentSubjectChar">
    <w:name w:val="Comment Subject Char"/>
    <w:link w:val="CommentSubject"/>
    <w:uiPriority w:val="99"/>
    <w:semiHidden/>
    <w:rsid w:val="006875BA"/>
    <w:rPr>
      <w:rFonts w:ascii="Times New Roman" w:hAnsi="Times New Roman"/>
      <w:b/>
      <w:bCs/>
    </w:rPr>
  </w:style>
  <w:style w:type="paragraph" w:customStyle="1" w:styleId="NormalArial">
    <w:name w:val="Normal + Arial"/>
    <w:aliases w:val="9 pt"/>
    <w:basedOn w:val="Normal"/>
    <w:link w:val="NormalArialChar"/>
    <w:rsid w:val="006875BA"/>
    <w:pPr>
      <w:jc w:val="left"/>
    </w:pPr>
    <w:rPr>
      <w:rFonts w:ascii="Arial" w:eastAsia="MS Mincho" w:hAnsi="Arial"/>
      <w:sz w:val="20"/>
      <w:szCs w:val="20"/>
      <w:lang w:val="en-GB" w:eastAsia="ja-JP"/>
    </w:rPr>
  </w:style>
  <w:style w:type="character" w:customStyle="1" w:styleId="NormalArialChar">
    <w:name w:val="Normal + Arial Char"/>
    <w:aliases w:val="9 pt Char Char"/>
    <w:link w:val="NormalArial"/>
    <w:rsid w:val="006875BA"/>
    <w:rPr>
      <w:rFonts w:ascii="Arial" w:eastAsia="MS Mincho" w:hAnsi="Arial"/>
      <w:lang w:val="en-GB" w:eastAsia="ja-JP"/>
    </w:rPr>
  </w:style>
  <w:style w:type="paragraph" w:customStyle="1" w:styleId="Paragraph">
    <w:name w:val="Paragraph"/>
    <w:basedOn w:val="Normal"/>
    <w:link w:val="ParagraphChar"/>
    <w:rsid w:val="000B64CB"/>
    <w:pPr>
      <w:spacing w:after="170" w:line="280" w:lineRule="exact"/>
      <w:jc w:val="left"/>
    </w:pPr>
    <w:rPr>
      <w:rFonts w:ascii="Arial" w:eastAsia="SimSun" w:hAnsi="Arial"/>
      <w:szCs w:val="24"/>
      <w:lang w:val="en-GB" w:eastAsia="zh-CN"/>
    </w:rPr>
  </w:style>
  <w:style w:type="paragraph" w:customStyle="1" w:styleId="TableTitle">
    <w:name w:val="Table Title"/>
    <w:basedOn w:val="Normal"/>
    <w:next w:val="Paragraph"/>
    <w:link w:val="TableTitleChar"/>
    <w:rsid w:val="000B64CB"/>
    <w:pPr>
      <w:keepNext/>
      <w:keepLines/>
      <w:tabs>
        <w:tab w:val="left" w:pos="1080"/>
      </w:tabs>
      <w:spacing w:before="40" w:after="160" w:line="280" w:lineRule="exact"/>
      <w:ind w:left="1080" w:hanging="1080"/>
      <w:jc w:val="left"/>
    </w:pPr>
    <w:rPr>
      <w:rFonts w:ascii="Arial" w:eastAsia="SimSun" w:hAnsi="Arial"/>
      <w:b/>
      <w:szCs w:val="24"/>
      <w:lang w:val="en-GB" w:eastAsia="zh-CN"/>
    </w:rPr>
  </w:style>
  <w:style w:type="character" w:customStyle="1" w:styleId="ParagraphChar">
    <w:name w:val="Paragraph Char"/>
    <w:link w:val="Paragraph"/>
    <w:rsid w:val="000B64CB"/>
    <w:rPr>
      <w:rFonts w:ascii="Arial" w:eastAsia="SimSun" w:hAnsi="Arial"/>
      <w:sz w:val="24"/>
      <w:szCs w:val="24"/>
      <w:lang w:val="en-GB" w:eastAsia="zh-CN"/>
    </w:rPr>
  </w:style>
  <w:style w:type="character" w:customStyle="1" w:styleId="TableTitleChar">
    <w:name w:val="Table Title Char"/>
    <w:link w:val="TableTitle"/>
    <w:locked/>
    <w:rsid w:val="000B64CB"/>
    <w:rPr>
      <w:rFonts w:ascii="Arial" w:eastAsia="SimSun" w:hAnsi="Arial"/>
      <w:b/>
      <w:sz w:val="24"/>
      <w:szCs w:val="24"/>
      <w:lang w:val="en-GB" w:eastAsia="zh-CN"/>
    </w:rPr>
  </w:style>
  <w:style w:type="paragraph" w:styleId="TOC3">
    <w:name w:val="toc 3"/>
    <w:basedOn w:val="TOC2"/>
    <w:next w:val="Normal"/>
    <w:rsid w:val="008647FA"/>
    <w:pPr>
      <w:tabs>
        <w:tab w:val="right" w:leader="dot" w:pos="8640"/>
      </w:tabs>
      <w:spacing w:after="113" w:line="280" w:lineRule="exact"/>
      <w:ind w:left="720" w:right="1440"/>
      <w:jc w:val="left"/>
    </w:pPr>
    <w:rPr>
      <w:rFonts w:ascii="Arial" w:eastAsia="SimSun" w:hAnsi="Arial"/>
      <w:szCs w:val="24"/>
      <w:lang w:val="en-GB" w:eastAsia="zh-CN"/>
    </w:rPr>
  </w:style>
  <w:style w:type="paragraph" w:styleId="TOC2">
    <w:name w:val="toc 2"/>
    <w:basedOn w:val="Normal"/>
    <w:next w:val="Normal"/>
    <w:autoRedefine/>
    <w:uiPriority w:val="39"/>
    <w:semiHidden/>
    <w:unhideWhenUsed/>
    <w:rsid w:val="008647FA"/>
    <w:pPr>
      <w:ind w:left="240"/>
    </w:pPr>
  </w:style>
  <w:style w:type="table" w:customStyle="1" w:styleId="TableGrid1">
    <w:name w:val="Table Grid1"/>
    <w:basedOn w:val="TableNormal"/>
    <w:next w:val="TableGrid"/>
    <w:uiPriority w:val="59"/>
    <w:rsid w:val="00E719F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0271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1433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4338"/>
    <w:rPr>
      <w:rFonts w:ascii="Times New Roman" w:hAnsi="Times New Roman"/>
      <w:sz w:val="24"/>
      <w:szCs w:val="22"/>
      <w:lang w:eastAsia="zh-TW"/>
    </w:rPr>
  </w:style>
  <w:style w:type="paragraph" w:styleId="NormalWeb">
    <w:name w:val="Normal (Web)"/>
    <w:basedOn w:val="Normal"/>
    <w:uiPriority w:val="99"/>
    <w:unhideWhenUsed/>
    <w:rsid w:val="009F4734"/>
    <w:pPr>
      <w:spacing w:before="100" w:beforeAutospacing="1" w:after="75"/>
      <w:jc w:val="left"/>
    </w:pPr>
    <w:rPr>
      <w:rFonts w:eastAsia="Times New Roman"/>
      <w:color w:val="00000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1109">
      <w:bodyDiv w:val="1"/>
      <w:marLeft w:val="0"/>
      <w:marRight w:val="0"/>
      <w:marTop w:val="0"/>
      <w:marBottom w:val="0"/>
      <w:divBdr>
        <w:top w:val="none" w:sz="0" w:space="0" w:color="auto"/>
        <w:left w:val="none" w:sz="0" w:space="0" w:color="auto"/>
        <w:bottom w:val="none" w:sz="0" w:space="0" w:color="auto"/>
        <w:right w:val="none" w:sz="0" w:space="0" w:color="auto"/>
      </w:divBdr>
    </w:div>
    <w:div w:id="1360594362">
      <w:bodyDiv w:val="1"/>
      <w:marLeft w:val="0"/>
      <w:marRight w:val="0"/>
      <w:marTop w:val="0"/>
      <w:marBottom w:val="0"/>
      <w:divBdr>
        <w:top w:val="none" w:sz="0" w:space="0" w:color="auto"/>
        <w:left w:val="none" w:sz="0" w:space="0" w:color="auto"/>
        <w:bottom w:val="none" w:sz="0" w:space="0" w:color="auto"/>
        <w:right w:val="none" w:sz="0" w:space="0" w:color="auto"/>
      </w:divBdr>
      <w:divsChild>
        <w:div w:id="1178693812">
          <w:marLeft w:val="0"/>
          <w:marRight w:val="0"/>
          <w:marTop w:val="0"/>
          <w:marBottom w:val="0"/>
          <w:divBdr>
            <w:top w:val="none" w:sz="0" w:space="0" w:color="auto"/>
            <w:left w:val="none" w:sz="0" w:space="0" w:color="auto"/>
            <w:bottom w:val="none" w:sz="0" w:space="0" w:color="auto"/>
            <w:right w:val="none" w:sz="0" w:space="0" w:color="auto"/>
          </w:divBdr>
          <w:divsChild>
            <w:div w:id="14197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ettd\AppData\Roaming\Microsoft\Templates\CTD_Basi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typus_Reg RocheNow Document" ma:contentTypeID="0x0101009A2339F13CE59642B80B421085E31E2F00286CC69A91675248952635FF83E0210D" ma:contentTypeVersion="19" ma:contentTypeDescription="" ma:contentTypeScope="" ma:versionID="a227388190935103887cd0c84275a2a8">
  <xsd:schema xmlns:xsd="http://www.w3.org/2001/XMLSchema" xmlns:p="http://schemas.microsoft.com/office/2006/metadata/properties" xmlns:ns2="cdc234f4-5b58-4c7d-9dc6-e130e2fe82ae" targetNamespace="http://schemas.microsoft.com/office/2006/metadata/properties" ma:root="true" ma:fieldsID="d7d6c729c31931e00c108065be9ae65c" ns2:_="">
    <xsd:import namespace="cdc234f4-5b58-4c7d-9dc6-e130e2fe82ae"/>
    <xsd:element name="properties">
      <xsd:complexType>
        <xsd:sequence>
          <xsd:element name="documentManagement">
            <xsd:complexType>
              <xsd:all>
                <xsd:element ref="ns2:Platypus_REG_x0020_Category" minOccurs="0"/>
                <xsd:element ref="ns2:Platypus_REG_x0020_Compliance_x0020_Activities" minOccurs="0"/>
                <xsd:element ref="ns2:Platypus_REG_x0020_Registration_x0020_Activities" minOccurs="0"/>
                <xsd:element ref="ns2:Platypus_REG_x0020_NON_CONDOR_x0020_Process_x0020_Type" minOccurs="0"/>
                <xsd:element ref="ns2:Platypus_REG_x0020_Process_x0020_Type" minOccurs="0"/>
                <xsd:element ref="ns2:Platypus_REG_x0020_NON-CONDOR_x0020_Process_x0020_Type" minOccurs="0"/>
                <xsd:element ref="ns2:Platypus_REG_x0020_Primary_x0020_Group" minOccurs="0"/>
                <xsd:element ref="ns2:Platypus_REG_x0020_Country" minOccurs="0"/>
                <xsd:element ref="ns2:REG_Team_Members" minOccurs="0"/>
                <xsd:element ref="ns2:RN.Keywords" minOccurs="0"/>
                <xsd:element ref="ns2:Platypus_REG_x0020_Status" minOccurs="0"/>
                <xsd:element ref="ns2:RN.FilterWord" minOccurs="0"/>
              </xsd:all>
            </xsd:complexType>
          </xsd:element>
        </xsd:sequence>
      </xsd:complexType>
    </xsd:element>
  </xsd:schema>
  <xsd:schema xmlns:xsd="http://www.w3.org/2001/XMLSchema" xmlns:dms="http://schemas.microsoft.com/office/2006/documentManagement/types" targetNamespace="cdc234f4-5b58-4c7d-9dc6-e130e2fe82ae" elementFormDefault="qualified">
    <xsd:import namespace="http://schemas.microsoft.com/office/2006/documentManagement/types"/>
    <xsd:element name="Platypus_REG_x0020_Category" ma:index="2" nillable="true" ma:displayName="Platypus_REG Category" ma:list="2616700a-9f3e-4b9b-a149-e614a53768ea" ma:internalName="Platypus_REG_x0020_Category" ma:showField="Title" ma:web="cdc234f4-5b58-4c7d-9dc6-e130e2fe82ae">
      <xsd:simpleType>
        <xsd:restriction base="dms:Lookup"/>
      </xsd:simpleType>
    </xsd:element>
    <xsd:element name="Platypus_REG_x0020_Compliance_x0020_Activities" ma:index="3" nillable="true" ma:displayName="Platypus_REG Compliance Activities" ma:list="{2616700a-9f3e-4b9b-a149-e614a53768ea}" ma:internalName="Platypus_REG_x0020_Compliance_x0020_Activities" ma:showField="Compliance_x0020_Activities" ma:web="cdc234f4-5b58-4c7d-9dc6-e130e2fe82ae">
      <xsd:simpleType>
        <xsd:restriction base="dms:Lookup"/>
      </xsd:simpleType>
    </xsd:element>
    <xsd:element name="Platypus_REG_x0020_Registration_x0020_Activities" ma:index="4" nillable="true" ma:displayName="Platypus_REG Registration Activities" ma:list="{2616700a-9f3e-4b9b-a149-e614a53768ea}" ma:internalName="Platypus_REG_x0020_Registration_x0020_Activities" ma:showField="Registration_x0020_Activities" ma:web="cdc234f4-5b58-4c7d-9dc6-e130e2fe82ae">
      <xsd:simpleType>
        <xsd:restriction base="dms:Lookup"/>
      </xsd:simpleType>
    </xsd:element>
    <xsd:element name="Platypus_REG_x0020_NON_CONDOR_x0020_Process_x0020_Type" ma:index="5" nillable="true" ma:displayName="Platypus_REG Process Category" ma:list="2616700a-9f3e-4b9b-a149-e614a53768ea" ma:internalName="Platypus_REG_x0020_NON_CONDOR_x0020_Process_x0020_Type" ma:showField="Non_x0020_CONDOR_x0020_Process" ma:web="cdc234f4-5b58-4c7d-9dc6-e130e2fe82ae">
      <xsd:simpleType>
        <xsd:restriction base="dms:Lookup"/>
      </xsd:simpleType>
    </xsd:element>
    <xsd:element name="Platypus_REG_x0020_Process_x0020_Type" ma:index="6" nillable="true" ma:displayName="Platypus_REG CONDOR Process Type" ma:list="2616700a-9f3e-4b9b-a149-e614a53768ea" ma:internalName="Platypus_REG_x0020_Process_x0020_Type" ma:showField="Process_x0020_Type" ma:web="cdc234f4-5b58-4c7d-9dc6-e130e2fe82ae">
      <xsd:simpleType>
        <xsd:restriction base="dms:Lookup"/>
      </xsd:simpleType>
    </xsd:element>
    <xsd:element name="Platypus_REG_x0020_NON-CONDOR_x0020_Process_x0020_Type" ma:index="7" nillable="true" ma:displayName="Platypus_REG NON-CONDOR Process Type" ma:list="2616700a-9f3e-4b9b-a149-e614a53768ea" ma:internalName="Platypus_REG_x0020_NON_x002d_CONDOR_x0020_Process_x0020_Type" ma:showField="Non_x0020_Condor_x0020_Process_x" ma:web="cdc234f4-5b58-4c7d-9dc6-e130e2fe82ae">
      <xsd:simpleType>
        <xsd:restriction base="dms:Lookup"/>
      </xsd:simpleType>
    </xsd:element>
    <xsd:element name="Platypus_REG_x0020_Primary_x0020_Group" ma:index="8" nillable="true" ma:displayName="Platypus_REG Primary Group" ma:list="2616700a-9f3e-4b9b-a149-e614a53768ea" ma:internalName="Platypus_REG_x0020_Primary_x0020_Group" ma:showField="Primary_x0020_Group" ma:web="cdc234f4-5b58-4c7d-9dc6-e130e2fe82ae">
      <xsd:simpleType>
        <xsd:restriction base="dms:Lookup"/>
      </xsd:simpleType>
    </xsd:element>
    <xsd:element name="Platypus_REG_x0020_Country" ma:index="9" nillable="true" ma:displayName="Platypus_REG Country" ma:list="2616700a-9f3e-4b9b-a149-e614a53768ea" ma:internalName="Platypus_REG_x0020_Country" ma:showField="Country" ma:web="cdc234f4-5b58-4c7d-9dc6-e130e2fe82ae">
      <xsd:simpleType>
        <xsd:restriction base="dms:Lookup"/>
      </xsd:simpleType>
    </xsd:element>
    <xsd:element name="REG_Team_Members" ma:index="10" nillable="true" ma:displayName="REG_Team_Members" ma:list="UserInfo" ma:internalName="REG_Team_Members"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N.Keywords" ma:index="11" nillable="true" ma:displayName="RN.Keywords" ma:default="" ma:internalName="RN_x002e_Keywords">
      <xsd:simpleType>
        <xsd:restriction base="dms:Text">
          <xsd:maxLength value="255"/>
        </xsd:restriction>
      </xsd:simpleType>
    </xsd:element>
    <xsd:element name="Platypus_REG_x0020_Status" ma:index="12" nillable="true" ma:displayName="Platypus_REG Status" ma:list="2616700a-9f3e-4b9b-a149-e614a53768ea" ma:internalName="Platypus_REG_x0020_Status" ma:showField="Status" ma:web="cdc234f4-5b58-4c7d-9dc6-e130e2fe82ae">
      <xsd:simpleType>
        <xsd:restriction base="dms:Lookup"/>
      </xsd:simpleType>
    </xsd:element>
    <xsd:element name="RN.FilterWord" ma:index="20" nillable="true" ma:displayName="RN.FilterWord" ma:internalName="RN_x002e_FilterW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typus_REG_x0020_Category xmlns="cdc234f4-5b58-4c7d-9dc6-e130e2fe82ae" xsi:nil="true"/>
    <Platypus_REG_x0020_Country xmlns="cdc234f4-5b58-4c7d-9dc6-e130e2fe82ae" xsi:nil="true"/>
    <Platypus_REG_x0020_Primary_x0020_Group xmlns="cdc234f4-5b58-4c7d-9dc6-e130e2fe82ae" xsi:nil="true"/>
    <Platypus_REG_x0020_NON-CONDOR_x0020_Process_x0020_Type xmlns="cdc234f4-5b58-4c7d-9dc6-e130e2fe82ae" xsi:nil="true"/>
    <Platypus_REG_x0020_Registration_x0020_Activities xmlns="cdc234f4-5b58-4c7d-9dc6-e130e2fe82ae" xsi:nil="true"/>
    <Platypus_REG_x0020_NON_CONDOR_x0020_Process_x0020_Type xmlns="cdc234f4-5b58-4c7d-9dc6-e130e2fe82ae" xsi:nil="true"/>
    <Platypus_REG_x0020_Compliance_x0020_Activities xmlns="cdc234f4-5b58-4c7d-9dc6-e130e2fe82ae" xsi:nil="true"/>
    <RN.FilterWord xmlns="cdc234f4-5b58-4c7d-9dc6-e130e2fe82ae" xsi:nil="true"/>
    <Platypus_REG_x0020_Process_x0020_Type xmlns="cdc234f4-5b58-4c7d-9dc6-e130e2fe82ae" xsi:nil="true"/>
    <REG_Team_Members xmlns="cdc234f4-5b58-4c7d-9dc6-e130e2fe82ae">
      <UserInfo>
        <DisplayName/>
        <AccountId xsi:nil="true"/>
        <AccountType/>
      </UserInfo>
    </REG_Team_Members>
    <Platypus_REG_x0020_Status xmlns="cdc234f4-5b58-4c7d-9dc6-e130e2fe82ae" xsi:nil="true"/>
    <RN.Keywords xmlns="cdc234f4-5b58-4c7d-9dc6-e130e2fe82a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FEB43-19B3-4C6A-829F-CE7C3C928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34f4-5b58-4c7d-9dc6-e130e2fe82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9A6C54-18AA-4022-BFBB-51A561E77262}">
  <ds:schemaRefs>
    <ds:schemaRef ds:uri="http://schemas.microsoft.com/sharepoint/v3/contenttype/forms"/>
  </ds:schemaRefs>
</ds:datastoreItem>
</file>

<file path=customXml/itemProps3.xml><?xml version="1.0" encoding="utf-8"?>
<ds:datastoreItem xmlns:ds="http://schemas.openxmlformats.org/officeDocument/2006/customXml" ds:itemID="{F023F227-FC2D-4A9D-AFCB-0A9B3E14FB5D}">
  <ds:schemaRef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cdc234f4-5b58-4c7d-9dc6-e130e2fe82ae"/>
    <ds:schemaRef ds:uri="http://schemas.microsoft.com/office/infopath/2007/PartnerControls"/>
  </ds:schemaRefs>
</ds:datastoreItem>
</file>

<file path=customXml/itemProps4.xml><?xml version="1.0" encoding="utf-8"?>
<ds:datastoreItem xmlns:ds="http://schemas.openxmlformats.org/officeDocument/2006/customXml" ds:itemID="{E075D027-319D-4BA2-B7DE-26119F59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CTD_Basic_10H.dot</Template>
  <TotalTime>6</TotalTime>
  <Pages>23</Pages>
  <Words>7107</Words>
  <Characters>40513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47525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Ocrelizumab</dc:title>
  <dc:subject>prescription medicines</dc:subject>
  <dc:creator>Roche</dc:creator>
  <cp:keywords>AusPARs</cp:keywords>
  <cp:lastModifiedBy>LACK, Janet</cp:lastModifiedBy>
  <cp:revision>3</cp:revision>
  <cp:lastPrinted>2017-05-22T23:48:00Z</cp:lastPrinted>
  <dcterms:created xsi:type="dcterms:W3CDTF">2018-09-05T23:42:00Z</dcterms:created>
  <dcterms:modified xsi:type="dcterms:W3CDTF">2018-09-05T23:47:00Z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0x0101009A2339F13CE59642B80B421085E31E2F00286CC69A91675248952635FF83E0210D</vt:lpwstr>
  </property>
  <property fmtid="{D5CDD505-2E9C-101B-9397-08002B2CF9AE}" pid="3" name="Template Version">
    <vt:lpwstr>1.4</vt:lpwstr>
  </property>
  <property fmtid="{D5CDD505-2E9C-101B-9397-08002B2CF9AE}" pid="4" name="Platypus_REG Category">
    <vt:lpwstr/>
  </property>
  <property fmtid="{D5CDD505-2E9C-101B-9397-08002B2CF9AE}" pid="5" name="Platypus_REG Country">
    <vt:lpwstr/>
  </property>
  <property fmtid="{D5CDD505-2E9C-101B-9397-08002B2CF9AE}" pid="6" name="Platypus_REG Primary Group">
    <vt:lpwstr/>
  </property>
  <property fmtid="{D5CDD505-2E9C-101B-9397-08002B2CF9AE}" pid="7" name="Platypus_REG NON-CONDOR Process Type">
    <vt:lpwstr/>
  </property>
  <property fmtid="{D5CDD505-2E9C-101B-9397-08002B2CF9AE}" pid="8" name="Platypus_REG Registration Activities">
    <vt:lpwstr/>
  </property>
  <property fmtid="{D5CDD505-2E9C-101B-9397-08002B2CF9AE}" pid="9" name="Platypus_REG NON_CONDOR Process Type">
    <vt:lpwstr/>
  </property>
  <property fmtid="{D5CDD505-2E9C-101B-9397-08002B2CF9AE}" pid="10" name="Platypus_REG Compliance Activities">
    <vt:lpwstr/>
  </property>
  <property fmtid="{D5CDD505-2E9C-101B-9397-08002B2CF9AE}" pid="11" name="RN.FilterWord">
    <vt:lpwstr/>
  </property>
  <property fmtid="{D5CDD505-2E9C-101B-9397-08002B2CF9AE}" pid="12" name="Platypus_REG Process Type">
    <vt:lpwstr/>
  </property>
  <property fmtid="{D5CDD505-2E9C-101B-9397-08002B2CF9AE}" pid="13" name="REG_Team_Members">
    <vt:lpwstr/>
  </property>
  <property fmtid="{D5CDD505-2E9C-101B-9397-08002B2CF9AE}" pid="14" name="Platypus_REG Status">
    <vt:lpwstr/>
  </property>
  <property fmtid="{D5CDD505-2E9C-101B-9397-08002B2CF9AE}" pid="15" name="RN.Keywords">
    <vt:lpwstr/>
  </property>
</Properties>
</file>