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EB11CF" w:rsidP="00096AA7">
            <w:pPr>
              <w:rPr>
                <w:rFonts w:ascii="Arial" w:hAnsi="Arial" w:cs="Arial"/>
                <w:b/>
                <w:color w:val="002C47"/>
                <w:sz w:val="36"/>
                <w:szCs w:val="36"/>
              </w:rPr>
            </w:pPr>
            <w:r>
              <w:rPr>
                <w:rFonts w:ascii="Arial" w:hAnsi="Arial" w:cs="Arial"/>
                <w:b/>
                <w:color w:val="002C47"/>
                <w:sz w:val="36"/>
                <w:szCs w:val="36"/>
              </w:rPr>
              <w:t>August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EB11CF">
              <w:rPr>
                <w:color w:val="FFFFFF" w:themeColor="background1"/>
              </w:rPr>
              <w:t xml:space="preserve">blic Assessment Report for </w:t>
            </w:r>
            <w:proofErr w:type="spellStart"/>
            <w:r w:rsidR="00EB11CF">
              <w:rPr>
                <w:color w:val="FFFFFF" w:themeColor="background1"/>
              </w:rPr>
              <w:t>o</w:t>
            </w:r>
            <w:r w:rsidR="00EB11CF" w:rsidRPr="00EB11CF">
              <w:rPr>
                <w:color w:val="FFFFFF" w:themeColor="background1"/>
              </w:rPr>
              <w:t>binutuzumab</w:t>
            </w:r>
            <w:proofErr w:type="spellEnd"/>
          </w:p>
        </w:tc>
      </w:tr>
      <w:tr w:rsidR="0032583B" w:rsidRPr="00B64760" w:rsidTr="0032583B">
        <w:tc>
          <w:tcPr>
            <w:tcW w:w="9079" w:type="dxa"/>
          </w:tcPr>
          <w:p w:rsidR="0032583B" w:rsidRPr="008E7846" w:rsidRDefault="00EB11CF" w:rsidP="0032583B">
            <w:pPr>
              <w:pStyle w:val="Subtitle"/>
              <w:rPr>
                <w:color w:val="FFFFFF" w:themeColor="background1"/>
              </w:rPr>
            </w:pPr>
            <w:r>
              <w:rPr>
                <w:color w:val="FFFFFF" w:themeColor="background1"/>
              </w:rPr>
              <w:t xml:space="preserve">Proprietary Product Name: </w:t>
            </w:r>
            <w:proofErr w:type="spellStart"/>
            <w:r w:rsidRPr="00EB11CF">
              <w:rPr>
                <w:color w:val="FFFFFF" w:themeColor="background1"/>
              </w:rPr>
              <w:t>Gazyva</w:t>
            </w:r>
            <w:proofErr w:type="spellEnd"/>
          </w:p>
        </w:tc>
      </w:tr>
      <w:tr w:rsidR="0032583B" w:rsidRPr="00B64760" w:rsidTr="0032583B">
        <w:trPr>
          <w:trHeight w:val="486"/>
        </w:trPr>
        <w:tc>
          <w:tcPr>
            <w:tcW w:w="9079" w:type="dxa"/>
          </w:tcPr>
          <w:p w:rsidR="0032583B" w:rsidRPr="008E7846" w:rsidRDefault="00EB11CF" w:rsidP="0032583B">
            <w:pPr>
              <w:pStyle w:val="Subtitle"/>
              <w:rPr>
                <w:color w:val="FFFFFF" w:themeColor="background1"/>
              </w:rPr>
            </w:pPr>
            <w:r>
              <w:rPr>
                <w:color w:val="FFFFFF" w:themeColor="background1"/>
              </w:rPr>
              <w:t xml:space="preserve">Sponsor: </w:t>
            </w:r>
            <w:r w:rsidRPr="00EB11CF">
              <w:rPr>
                <w:color w:val="FFFFFF" w:themeColor="background1"/>
              </w:rPr>
              <w:t>Roche Products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8E7846">
      <w:pPr>
        <w:pStyle w:val="ListBullet"/>
        <w:numPr>
          <w:ilvl w:val="0"/>
          <w:numId w:val="3"/>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7195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475AC5"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99425125" w:history="1">
            <w:r w:rsidR="00475AC5" w:rsidRPr="009450C6">
              <w:rPr>
                <w:rStyle w:val="Hyperlink"/>
                <w:rFonts w:ascii="Arial" w:eastAsia="Times New Roman" w:hAnsi="Arial"/>
                <w:bCs/>
                <w:noProof/>
              </w:rPr>
              <w:t>List of abbreviations</w:t>
            </w:r>
            <w:r w:rsidR="00475AC5">
              <w:rPr>
                <w:noProof/>
                <w:webHidden/>
              </w:rPr>
              <w:tab/>
            </w:r>
            <w:r w:rsidR="00475AC5">
              <w:rPr>
                <w:noProof/>
                <w:webHidden/>
              </w:rPr>
              <w:fldChar w:fldCharType="begin"/>
            </w:r>
            <w:r w:rsidR="00475AC5">
              <w:rPr>
                <w:noProof/>
                <w:webHidden/>
              </w:rPr>
              <w:instrText xml:space="preserve"> PAGEREF _Toc399425125 \h </w:instrText>
            </w:r>
            <w:r w:rsidR="00475AC5">
              <w:rPr>
                <w:noProof/>
                <w:webHidden/>
              </w:rPr>
            </w:r>
            <w:r w:rsidR="00475AC5">
              <w:rPr>
                <w:noProof/>
                <w:webHidden/>
              </w:rPr>
              <w:fldChar w:fldCharType="separate"/>
            </w:r>
            <w:r w:rsidR="00475AC5">
              <w:rPr>
                <w:noProof/>
                <w:webHidden/>
              </w:rPr>
              <w:t>5</w:t>
            </w:r>
            <w:r w:rsidR="00475AC5">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26" w:history="1">
            <w:r w:rsidRPr="009450C6">
              <w:rPr>
                <w:rStyle w:val="Hyperlink"/>
                <w:noProof/>
              </w:rPr>
              <w:t>I. Introduction to product submission</w:t>
            </w:r>
            <w:r>
              <w:rPr>
                <w:noProof/>
                <w:webHidden/>
              </w:rPr>
              <w:tab/>
            </w:r>
            <w:r>
              <w:rPr>
                <w:noProof/>
                <w:webHidden/>
              </w:rPr>
              <w:fldChar w:fldCharType="begin"/>
            </w:r>
            <w:r>
              <w:rPr>
                <w:noProof/>
                <w:webHidden/>
              </w:rPr>
              <w:instrText xml:space="preserve"> PAGEREF _Toc399425126 \h </w:instrText>
            </w:r>
            <w:r>
              <w:rPr>
                <w:noProof/>
                <w:webHidden/>
              </w:rPr>
            </w:r>
            <w:r>
              <w:rPr>
                <w:noProof/>
                <w:webHidden/>
              </w:rPr>
              <w:fldChar w:fldCharType="separate"/>
            </w:r>
            <w:r>
              <w:rPr>
                <w:noProof/>
                <w:webHidden/>
              </w:rPr>
              <w:t>8</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27" w:history="1">
            <w:r w:rsidRPr="009450C6">
              <w:rPr>
                <w:rStyle w:val="Hyperlink"/>
                <w:noProof/>
                <w:lang w:eastAsia="en-AU"/>
              </w:rPr>
              <w:t>Submission details</w:t>
            </w:r>
            <w:r>
              <w:rPr>
                <w:noProof/>
                <w:webHidden/>
              </w:rPr>
              <w:tab/>
            </w:r>
            <w:r>
              <w:rPr>
                <w:noProof/>
                <w:webHidden/>
              </w:rPr>
              <w:fldChar w:fldCharType="begin"/>
            </w:r>
            <w:r>
              <w:rPr>
                <w:noProof/>
                <w:webHidden/>
              </w:rPr>
              <w:instrText xml:space="preserve"> PAGEREF _Toc399425127 \h </w:instrText>
            </w:r>
            <w:r>
              <w:rPr>
                <w:noProof/>
                <w:webHidden/>
              </w:rPr>
            </w:r>
            <w:r>
              <w:rPr>
                <w:noProof/>
                <w:webHidden/>
              </w:rPr>
              <w:fldChar w:fldCharType="separate"/>
            </w:r>
            <w:r>
              <w:rPr>
                <w:noProof/>
                <w:webHidden/>
              </w:rPr>
              <w:t>8</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28" w:history="1">
            <w:r w:rsidRPr="009450C6">
              <w:rPr>
                <w:rStyle w:val="Hyperlink"/>
                <w:noProof/>
              </w:rPr>
              <w:t>Product background</w:t>
            </w:r>
            <w:r>
              <w:rPr>
                <w:noProof/>
                <w:webHidden/>
              </w:rPr>
              <w:tab/>
            </w:r>
            <w:r>
              <w:rPr>
                <w:noProof/>
                <w:webHidden/>
              </w:rPr>
              <w:fldChar w:fldCharType="begin"/>
            </w:r>
            <w:r>
              <w:rPr>
                <w:noProof/>
                <w:webHidden/>
              </w:rPr>
              <w:instrText xml:space="preserve"> PAGEREF _Toc399425128 \h </w:instrText>
            </w:r>
            <w:r>
              <w:rPr>
                <w:noProof/>
                <w:webHidden/>
              </w:rPr>
            </w:r>
            <w:r>
              <w:rPr>
                <w:noProof/>
                <w:webHidden/>
              </w:rPr>
              <w:fldChar w:fldCharType="separate"/>
            </w:r>
            <w:r>
              <w:rPr>
                <w:noProof/>
                <w:webHidden/>
              </w:rPr>
              <w:t>8</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29" w:history="1">
            <w:r w:rsidRPr="009450C6">
              <w:rPr>
                <w:rStyle w:val="Hyperlink"/>
                <w:noProof/>
              </w:rPr>
              <w:t>Regulatory status</w:t>
            </w:r>
            <w:r>
              <w:rPr>
                <w:noProof/>
                <w:webHidden/>
              </w:rPr>
              <w:tab/>
            </w:r>
            <w:r>
              <w:rPr>
                <w:noProof/>
                <w:webHidden/>
              </w:rPr>
              <w:fldChar w:fldCharType="begin"/>
            </w:r>
            <w:r>
              <w:rPr>
                <w:noProof/>
                <w:webHidden/>
              </w:rPr>
              <w:instrText xml:space="preserve"> PAGEREF _Toc399425129 \h </w:instrText>
            </w:r>
            <w:r>
              <w:rPr>
                <w:noProof/>
                <w:webHidden/>
              </w:rPr>
            </w:r>
            <w:r>
              <w:rPr>
                <w:noProof/>
                <w:webHidden/>
              </w:rPr>
              <w:fldChar w:fldCharType="separate"/>
            </w:r>
            <w:r>
              <w:rPr>
                <w:noProof/>
                <w:webHidden/>
              </w:rPr>
              <w:t>9</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0" w:history="1">
            <w:r w:rsidRPr="009450C6">
              <w:rPr>
                <w:rStyle w:val="Hyperlink"/>
                <w:noProof/>
              </w:rPr>
              <w:t>Product Information</w:t>
            </w:r>
            <w:r>
              <w:rPr>
                <w:noProof/>
                <w:webHidden/>
              </w:rPr>
              <w:tab/>
            </w:r>
            <w:r>
              <w:rPr>
                <w:noProof/>
                <w:webHidden/>
              </w:rPr>
              <w:fldChar w:fldCharType="begin"/>
            </w:r>
            <w:r>
              <w:rPr>
                <w:noProof/>
                <w:webHidden/>
              </w:rPr>
              <w:instrText xml:space="preserve"> PAGEREF _Toc399425130 \h </w:instrText>
            </w:r>
            <w:r>
              <w:rPr>
                <w:noProof/>
                <w:webHidden/>
              </w:rPr>
            </w:r>
            <w:r>
              <w:rPr>
                <w:noProof/>
                <w:webHidden/>
              </w:rPr>
              <w:fldChar w:fldCharType="separate"/>
            </w:r>
            <w:r>
              <w:rPr>
                <w:noProof/>
                <w:webHidden/>
              </w:rPr>
              <w:t>9</w:t>
            </w:r>
            <w:r>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31" w:history="1">
            <w:r w:rsidRPr="009450C6">
              <w:rPr>
                <w:rStyle w:val="Hyperlink"/>
                <w:noProof/>
              </w:rPr>
              <w:t>II. Quality findings</w:t>
            </w:r>
            <w:r>
              <w:rPr>
                <w:noProof/>
                <w:webHidden/>
              </w:rPr>
              <w:tab/>
            </w:r>
            <w:r>
              <w:rPr>
                <w:noProof/>
                <w:webHidden/>
              </w:rPr>
              <w:fldChar w:fldCharType="begin"/>
            </w:r>
            <w:r>
              <w:rPr>
                <w:noProof/>
                <w:webHidden/>
              </w:rPr>
              <w:instrText xml:space="preserve"> PAGEREF _Toc399425131 \h </w:instrText>
            </w:r>
            <w:r>
              <w:rPr>
                <w:noProof/>
                <w:webHidden/>
              </w:rPr>
            </w:r>
            <w:r>
              <w:rPr>
                <w:noProof/>
                <w:webHidden/>
              </w:rPr>
              <w:fldChar w:fldCharType="separate"/>
            </w:r>
            <w:r>
              <w:rPr>
                <w:noProof/>
                <w:webHidden/>
              </w:rPr>
              <w:t>10</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2" w:history="1">
            <w:r w:rsidRPr="009450C6">
              <w:rPr>
                <w:rStyle w:val="Hyperlink"/>
                <w:noProof/>
              </w:rPr>
              <w:t>Drug substance (Active ingredient)</w:t>
            </w:r>
            <w:r>
              <w:rPr>
                <w:noProof/>
                <w:webHidden/>
              </w:rPr>
              <w:tab/>
            </w:r>
            <w:r>
              <w:rPr>
                <w:noProof/>
                <w:webHidden/>
              </w:rPr>
              <w:fldChar w:fldCharType="begin"/>
            </w:r>
            <w:r>
              <w:rPr>
                <w:noProof/>
                <w:webHidden/>
              </w:rPr>
              <w:instrText xml:space="preserve"> PAGEREF _Toc399425132 \h </w:instrText>
            </w:r>
            <w:r>
              <w:rPr>
                <w:noProof/>
                <w:webHidden/>
              </w:rPr>
            </w:r>
            <w:r>
              <w:rPr>
                <w:noProof/>
                <w:webHidden/>
              </w:rPr>
              <w:fldChar w:fldCharType="separate"/>
            </w:r>
            <w:r>
              <w:rPr>
                <w:noProof/>
                <w:webHidden/>
              </w:rPr>
              <w:t>10</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3" w:history="1">
            <w:r w:rsidRPr="009450C6">
              <w:rPr>
                <w:rStyle w:val="Hyperlink"/>
                <w:noProof/>
              </w:rPr>
              <w:t>Drug product</w:t>
            </w:r>
            <w:r>
              <w:rPr>
                <w:noProof/>
                <w:webHidden/>
              </w:rPr>
              <w:tab/>
            </w:r>
            <w:r>
              <w:rPr>
                <w:noProof/>
                <w:webHidden/>
              </w:rPr>
              <w:fldChar w:fldCharType="begin"/>
            </w:r>
            <w:r>
              <w:rPr>
                <w:noProof/>
                <w:webHidden/>
              </w:rPr>
              <w:instrText xml:space="preserve"> PAGEREF _Toc399425133 \h </w:instrText>
            </w:r>
            <w:r>
              <w:rPr>
                <w:noProof/>
                <w:webHidden/>
              </w:rPr>
            </w:r>
            <w:r>
              <w:rPr>
                <w:noProof/>
                <w:webHidden/>
              </w:rPr>
              <w:fldChar w:fldCharType="separate"/>
            </w:r>
            <w:r>
              <w:rPr>
                <w:noProof/>
                <w:webHidden/>
              </w:rPr>
              <w:t>11</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4" w:history="1">
            <w:r w:rsidRPr="009450C6">
              <w:rPr>
                <w:rStyle w:val="Hyperlink"/>
                <w:noProof/>
              </w:rPr>
              <w:t>Biopharmaceutics</w:t>
            </w:r>
            <w:r>
              <w:rPr>
                <w:noProof/>
                <w:webHidden/>
              </w:rPr>
              <w:tab/>
            </w:r>
            <w:r>
              <w:rPr>
                <w:noProof/>
                <w:webHidden/>
              </w:rPr>
              <w:fldChar w:fldCharType="begin"/>
            </w:r>
            <w:r>
              <w:rPr>
                <w:noProof/>
                <w:webHidden/>
              </w:rPr>
              <w:instrText xml:space="preserve"> PAGEREF _Toc399425134 \h </w:instrText>
            </w:r>
            <w:r>
              <w:rPr>
                <w:noProof/>
                <w:webHidden/>
              </w:rPr>
            </w:r>
            <w:r>
              <w:rPr>
                <w:noProof/>
                <w:webHidden/>
              </w:rPr>
              <w:fldChar w:fldCharType="separate"/>
            </w:r>
            <w:r>
              <w:rPr>
                <w:noProof/>
                <w:webHidden/>
              </w:rPr>
              <w:t>12</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5" w:history="1">
            <w:r w:rsidRPr="009450C6">
              <w:rPr>
                <w:rStyle w:val="Hyperlink"/>
                <w:noProof/>
              </w:rPr>
              <w:t>Quality summary and conclusions</w:t>
            </w:r>
            <w:r>
              <w:rPr>
                <w:noProof/>
                <w:webHidden/>
              </w:rPr>
              <w:tab/>
            </w:r>
            <w:r>
              <w:rPr>
                <w:noProof/>
                <w:webHidden/>
              </w:rPr>
              <w:fldChar w:fldCharType="begin"/>
            </w:r>
            <w:r>
              <w:rPr>
                <w:noProof/>
                <w:webHidden/>
              </w:rPr>
              <w:instrText xml:space="preserve"> PAGEREF _Toc399425135 \h </w:instrText>
            </w:r>
            <w:r>
              <w:rPr>
                <w:noProof/>
                <w:webHidden/>
              </w:rPr>
            </w:r>
            <w:r>
              <w:rPr>
                <w:noProof/>
                <w:webHidden/>
              </w:rPr>
              <w:fldChar w:fldCharType="separate"/>
            </w:r>
            <w:r>
              <w:rPr>
                <w:noProof/>
                <w:webHidden/>
              </w:rPr>
              <w:t>12</w:t>
            </w:r>
            <w:r>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36" w:history="1">
            <w:r w:rsidRPr="009450C6">
              <w:rPr>
                <w:rStyle w:val="Hyperlink"/>
                <w:noProof/>
              </w:rPr>
              <w:t>III. Nonclinical findings</w:t>
            </w:r>
            <w:r>
              <w:rPr>
                <w:noProof/>
                <w:webHidden/>
              </w:rPr>
              <w:tab/>
            </w:r>
            <w:r>
              <w:rPr>
                <w:noProof/>
                <w:webHidden/>
              </w:rPr>
              <w:fldChar w:fldCharType="begin"/>
            </w:r>
            <w:r>
              <w:rPr>
                <w:noProof/>
                <w:webHidden/>
              </w:rPr>
              <w:instrText xml:space="preserve"> PAGEREF _Toc399425136 \h </w:instrText>
            </w:r>
            <w:r>
              <w:rPr>
                <w:noProof/>
                <w:webHidden/>
              </w:rPr>
            </w:r>
            <w:r>
              <w:rPr>
                <w:noProof/>
                <w:webHidden/>
              </w:rPr>
              <w:fldChar w:fldCharType="separate"/>
            </w:r>
            <w:r>
              <w:rPr>
                <w:noProof/>
                <w:webHidden/>
              </w:rPr>
              <w:t>12</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7" w:history="1">
            <w:r w:rsidRPr="009450C6">
              <w:rPr>
                <w:rStyle w:val="Hyperlink"/>
                <w:noProof/>
              </w:rPr>
              <w:t>Introduction</w:t>
            </w:r>
            <w:r>
              <w:rPr>
                <w:noProof/>
                <w:webHidden/>
              </w:rPr>
              <w:tab/>
            </w:r>
            <w:r>
              <w:rPr>
                <w:noProof/>
                <w:webHidden/>
              </w:rPr>
              <w:fldChar w:fldCharType="begin"/>
            </w:r>
            <w:r>
              <w:rPr>
                <w:noProof/>
                <w:webHidden/>
              </w:rPr>
              <w:instrText xml:space="preserve"> PAGEREF _Toc399425137 \h </w:instrText>
            </w:r>
            <w:r>
              <w:rPr>
                <w:noProof/>
                <w:webHidden/>
              </w:rPr>
            </w:r>
            <w:r>
              <w:rPr>
                <w:noProof/>
                <w:webHidden/>
              </w:rPr>
              <w:fldChar w:fldCharType="separate"/>
            </w:r>
            <w:r>
              <w:rPr>
                <w:noProof/>
                <w:webHidden/>
              </w:rPr>
              <w:t>12</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8" w:history="1">
            <w:r w:rsidRPr="009450C6">
              <w:rPr>
                <w:rStyle w:val="Hyperlink"/>
                <w:noProof/>
              </w:rPr>
              <w:t>Pharmacology</w:t>
            </w:r>
            <w:r>
              <w:rPr>
                <w:noProof/>
                <w:webHidden/>
              </w:rPr>
              <w:tab/>
            </w:r>
            <w:r>
              <w:rPr>
                <w:noProof/>
                <w:webHidden/>
              </w:rPr>
              <w:fldChar w:fldCharType="begin"/>
            </w:r>
            <w:r>
              <w:rPr>
                <w:noProof/>
                <w:webHidden/>
              </w:rPr>
              <w:instrText xml:space="preserve"> PAGEREF _Toc399425138 \h </w:instrText>
            </w:r>
            <w:r>
              <w:rPr>
                <w:noProof/>
                <w:webHidden/>
              </w:rPr>
            </w:r>
            <w:r>
              <w:rPr>
                <w:noProof/>
                <w:webHidden/>
              </w:rPr>
              <w:fldChar w:fldCharType="separate"/>
            </w:r>
            <w:r>
              <w:rPr>
                <w:noProof/>
                <w:webHidden/>
              </w:rPr>
              <w:t>12</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39" w:history="1">
            <w:r w:rsidRPr="009450C6">
              <w:rPr>
                <w:rStyle w:val="Hyperlink"/>
                <w:noProof/>
              </w:rPr>
              <w:t>Pharmacokinetics</w:t>
            </w:r>
            <w:r>
              <w:rPr>
                <w:noProof/>
                <w:webHidden/>
              </w:rPr>
              <w:tab/>
            </w:r>
            <w:r>
              <w:rPr>
                <w:noProof/>
                <w:webHidden/>
              </w:rPr>
              <w:fldChar w:fldCharType="begin"/>
            </w:r>
            <w:r>
              <w:rPr>
                <w:noProof/>
                <w:webHidden/>
              </w:rPr>
              <w:instrText xml:space="preserve"> PAGEREF _Toc399425139 \h </w:instrText>
            </w:r>
            <w:r>
              <w:rPr>
                <w:noProof/>
                <w:webHidden/>
              </w:rPr>
            </w:r>
            <w:r>
              <w:rPr>
                <w:noProof/>
                <w:webHidden/>
              </w:rPr>
              <w:fldChar w:fldCharType="separate"/>
            </w:r>
            <w:r>
              <w:rPr>
                <w:noProof/>
                <w:webHidden/>
              </w:rPr>
              <w:t>16</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0" w:history="1">
            <w:r w:rsidRPr="009450C6">
              <w:rPr>
                <w:rStyle w:val="Hyperlink"/>
                <w:noProof/>
              </w:rPr>
              <w:t>Toxicology</w:t>
            </w:r>
            <w:r>
              <w:rPr>
                <w:noProof/>
                <w:webHidden/>
              </w:rPr>
              <w:tab/>
            </w:r>
            <w:r>
              <w:rPr>
                <w:noProof/>
                <w:webHidden/>
              </w:rPr>
              <w:fldChar w:fldCharType="begin"/>
            </w:r>
            <w:r>
              <w:rPr>
                <w:noProof/>
                <w:webHidden/>
              </w:rPr>
              <w:instrText xml:space="preserve"> PAGEREF _Toc399425140 \h </w:instrText>
            </w:r>
            <w:r>
              <w:rPr>
                <w:noProof/>
                <w:webHidden/>
              </w:rPr>
            </w:r>
            <w:r>
              <w:rPr>
                <w:noProof/>
                <w:webHidden/>
              </w:rPr>
              <w:fldChar w:fldCharType="separate"/>
            </w:r>
            <w:r>
              <w:rPr>
                <w:noProof/>
                <w:webHidden/>
              </w:rPr>
              <w:t>17</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1" w:history="1">
            <w:r w:rsidRPr="009450C6">
              <w:rPr>
                <w:rStyle w:val="Hyperlink"/>
                <w:noProof/>
              </w:rPr>
              <w:t>Nonclinical summary and conclusions</w:t>
            </w:r>
            <w:r>
              <w:rPr>
                <w:noProof/>
                <w:webHidden/>
              </w:rPr>
              <w:tab/>
            </w:r>
            <w:r>
              <w:rPr>
                <w:noProof/>
                <w:webHidden/>
              </w:rPr>
              <w:fldChar w:fldCharType="begin"/>
            </w:r>
            <w:r>
              <w:rPr>
                <w:noProof/>
                <w:webHidden/>
              </w:rPr>
              <w:instrText xml:space="preserve"> PAGEREF _Toc399425141 \h </w:instrText>
            </w:r>
            <w:r>
              <w:rPr>
                <w:noProof/>
                <w:webHidden/>
              </w:rPr>
            </w:r>
            <w:r>
              <w:rPr>
                <w:noProof/>
                <w:webHidden/>
              </w:rPr>
              <w:fldChar w:fldCharType="separate"/>
            </w:r>
            <w:r>
              <w:rPr>
                <w:noProof/>
                <w:webHidden/>
              </w:rPr>
              <w:t>19</w:t>
            </w:r>
            <w:r>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42" w:history="1">
            <w:r w:rsidRPr="009450C6">
              <w:rPr>
                <w:rStyle w:val="Hyperlink"/>
                <w:noProof/>
              </w:rPr>
              <w:t>IV. Clinical findings</w:t>
            </w:r>
            <w:r>
              <w:rPr>
                <w:noProof/>
                <w:webHidden/>
              </w:rPr>
              <w:tab/>
            </w:r>
            <w:r>
              <w:rPr>
                <w:noProof/>
                <w:webHidden/>
              </w:rPr>
              <w:fldChar w:fldCharType="begin"/>
            </w:r>
            <w:r>
              <w:rPr>
                <w:noProof/>
                <w:webHidden/>
              </w:rPr>
              <w:instrText xml:space="preserve"> PAGEREF _Toc399425142 \h </w:instrText>
            </w:r>
            <w:r>
              <w:rPr>
                <w:noProof/>
                <w:webHidden/>
              </w:rPr>
            </w:r>
            <w:r>
              <w:rPr>
                <w:noProof/>
                <w:webHidden/>
              </w:rPr>
              <w:fldChar w:fldCharType="separate"/>
            </w:r>
            <w:r>
              <w:rPr>
                <w:noProof/>
                <w:webHidden/>
              </w:rPr>
              <w:t>21</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3" w:history="1">
            <w:r w:rsidRPr="009450C6">
              <w:rPr>
                <w:rStyle w:val="Hyperlink"/>
                <w:noProof/>
              </w:rPr>
              <w:t>Introduction</w:t>
            </w:r>
            <w:r>
              <w:rPr>
                <w:noProof/>
                <w:webHidden/>
              </w:rPr>
              <w:tab/>
            </w:r>
            <w:r>
              <w:rPr>
                <w:noProof/>
                <w:webHidden/>
              </w:rPr>
              <w:fldChar w:fldCharType="begin"/>
            </w:r>
            <w:r>
              <w:rPr>
                <w:noProof/>
                <w:webHidden/>
              </w:rPr>
              <w:instrText xml:space="preserve"> PAGEREF _Toc399425143 \h </w:instrText>
            </w:r>
            <w:r>
              <w:rPr>
                <w:noProof/>
                <w:webHidden/>
              </w:rPr>
            </w:r>
            <w:r>
              <w:rPr>
                <w:noProof/>
                <w:webHidden/>
              </w:rPr>
              <w:fldChar w:fldCharType="separate"/>
            </w:r>
            <w:r>
              <w:rPr>
                <w:noProof/>
                <w:webHidden/>
              </w:rPr>
              <w:t>21</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4" w:history="1">
            <w:r w:rsidRPr="009450C6">
              <w:rPr>
                <w:rStyle w:val="Hyperlink"/>
                <w:noProof/>
              </w:rPr>
              <w:t>Pharmacokinetics / pharmacodynamics</w:t>
            </w:r>
            <w:r>
              <w:rPr>
                <w:noProof/>
                <w:webHidden/>
              </w:rPr>
              <w:tab/>
            </w:r>
            <w:r>
              <w:rPr>
                <w:noProof/>
                <w:webHidden/>
              </w:rPr>
              <w:fldChar w:fldCharType="begin"/>
            </w:r>
            <w:r>
              <w:rPr>
                <w:noProof/>
                <w:webHidden/>
              </w:rPr>
              <w:instrText xml:space="preserve"> PAGEREF _Toc399425144 \h </w:instrText>
            </w:r>
            <w:r>
              <w:rPr>
                <w:noProof/>
                <w:webHidden/>
              </w:rPr>
            </w:r>
            <w:r>
              <w:rPr>
                <w:noProof/>
                <w:webHidden/>
              </w:rPr>
              <w:fldChar w:fldCharType="separate"/>
            </w:r>
            <w:r>
              <w:rPr>
                <w:noProof/>
                <w:webHidden/>
              </w:rPr>
              <w:t>23</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5" w:history="1">
            <w:r w:rsidRPr="009450C6">
              <w:rPr>
                <w:rStyle w:val="Hyperlink"/>
                <w:noProof/>
              </w:rPr>
              <w:t>Dosage selection for the pivotal studies</w:t>
            </w:r>
            <w:r>
              <w:rPr>
                <w:noProof/>
                <w:webHidden/>
              </w:rPr>
              <w:tab/>
            </w:r>
            <w:r>
              <w:rPr>
                <w:noProof/>
                <w:webHidden/>
              </w:rPr>
              <w:fldChar w:fldCharType="begin"/>
            </w:r>
            <w:r>
              <w:rPr>
                <w:noProof/>
                <w:webHidden/>
              </w:rPr>
              <w:instrText xml:space="preserve"> PAGEREF _Toc399425145 \h </w:instrText>
            </w:r>
            <w:r>
              <w:rPr>
                <w:noProof/>
                <w:webHidden/>
              </w:rPr>
            </w:r>
            <w:r>
              <w:rPr>
                <w:noProof/>
                <w:webHidden/>
              </w:rPr>
              <w:fldChar w:fldCharType="separate"/>
            </w:r>
            <w:r>
              <w:rPr>
                <w:noProof/>
                <w:webHidden/>
              </w:rPr>
              <w:t>24</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6" w:history="1">
            <w:r w:rsidRPr="009450C6">
              <w:rPr>
                <w:rStyle w:val="Hyperlink"/>
                <w:noProof/>
              </w:rPr>
              <w:t>Efficacy</w:t>
            </w:r>
            <w:r>
              <w:rPr>
                <w:noProof/>
                <w:webHidden/>
              </w:rPr>
              <w:tab/>
            </w:r>
            <w:r>
              <w:rPr>
                <w:noProof/>
                <w:webHidden/>
              </w:rPr>
              <w:fldChar w:fldCharType="begin"/>
            </w:r>
            <w:r>
              <w:rPr>
                <w:noProof/>
                <w:webHidden/>
              </w:rPr>
              <w:instrText xml:space="preserve"> PAGEREF _Toc399425146 \h </w:instrText>
            </w:r>
            <w:r>
              <w:rPr>
                <w:noProof/>
                <w:webHidden/>
              </w:rPr>
            </w:r>
            <w:r>
              <w:rPr>
                <w:noProof/>
                <w:webHidden/>
              </w:rPr>
              <w:fldChar w:fldCharType="separate"/>
            </w:r>
            <w:r>
              <w:rPr>
                <w:noProof/>
                <w:webHidden/>
              </w:rPr>
              <w:t>25</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7" w:history="1">
            <w:r w:rsidRPr="009450C6">
              <w:rPr>
                <w:rStyle w:val="Hyperlink"/>
                <w:noProof/>
              </w:rPr>
              <w:t>Safety</w:t>
            </w:r>
            <w:r>
              <w:rPr>
                <w:noProof/>
                <w:webHidden/>
              </w:rPr>
              <w:tab/>
            </w:r>
            <w:r>
              <w:rPr>
                <w:noProof/>
                <w:webHidden/>
              </w:rPr>
              <w:fldChar w:fldCharType="begin"/>
            </w:r>
            <w:r>
              <w:rPr>
                <w:noProof/>
                <w:webHidden/>
              </w:rPr>
              <w:instrText xml:space="preserve"> PAGEREF _Toc399425147 \h </w:instrText>
            </w:r>
            <w:r>
              <w:rPr>
                <w:noProof/>
                <w:webHidden/>
              </w:rPr>
            </w:r>
            <w:r>
              <w:rPr>
                <w:noProof/>
                <w:webHidden/>
              </w:rPr>
              <w:fldChar w:fldCharType="separate"/>
            </w:r>
            <w:r>
              <w:rPr>
                <w:noProof/>
                <w:webHidden/>
              </w:rPr>
              <w:t>26</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8" w:history="1">
            <w:r w:rsidRPr="009450C6">
              <w:rPr>
                <w:rStyle w:val="Hyperlink"/>
                <w:noProof/>
              </w:rPr>
              <w:t>First round benefit-risk assessment</w:t>
            </w:r>
            <w:r>
              <w:rPr>
                <w:noProof/>
                <w:webHidden/>
              </w:rPr>
              <w:tab/>
            </w:r>
            <w:r>
              <w:rPr>
                <w:noProof/>
                <w:webHidden/>
              </w:rPr>
              <w:fldChar w:fldCharType="begin"/>
            </w:r>
            <w:r>
              <w:rPr>
                <w:noProof/>
                <w:webHidden/>
              </w:rPr>
              <w:instrText xml:space="preserve"> PAGEREF _Toc399425148 \h </w:instrText>
            </w:r>
            <w:r>
              <w:rPr>
                <w:noProof/>
                <w:webHidden/>
              </w:rPr>
            </w:r>
            <w:r>
              <w:rPr>
                <w:noProof/>
                <w:webHidden/>
              </w:rPr>
              <w:fldChar w:fldCharType="separate"/>
            </w:r>
            <w:r>
              <w:rPr>
                <w:noProof/>
                <w:webHidden/>
              </w:rPr>
              <w:t>27</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49" w:history="1">
            <w:r w:rsidRPr="009450C6">
              <w:rPr>
                <w:rStyle w:val="Hyperlink"/>
                <w:noProof/>
              </w:rPr>
              <w:t>First round recommendation regarding authorisation</w:t>
            </w:r>
            <w:r>
              <w:rPr>
                <w:noProof/>
                <w:webHidden/>
              </w:rPr>
              <w:tab/>
            </w:r>
            <w:r>
              <w:rPr>
                <w:noProof/>
                <w:webHidden/>
              </w:rPr>
              <w:fldChar w:fldCharType="begin"/>
            </w:r>
            <w:r>
              <w:rPr>
                <w:noProof/>
                <w:webHidden/>
              </w:rPr>
              <w:instrText xml:space="preserve"> PAGEREF _Toc399425149 \h </w:instrText>
            </w:r>
            <w:r>
              <w:rPr>
                <w:noProof/>
                <w:webHidden/>
              </w:rPr>
            </w:r>
            <w:r>
              <w:rPr>
                <w:noProof/>
                <w:webHidden/>
              </w:rPr>
              <w:fldChar w:fldCharType="separate"/>
            </w:r>
            <w:r>
              <w:rPr>
                <w:noProof/>
                <w:webHidden/>
              </w:rPr>
              <w:t>28</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0" w:history="1">
            <w:r w:rsidRPr="009450C6">
              <w:rPr>
                <w:rStyle w:val="Hyperlink"/>
                <w:noProof/>
              </w:rPr>
              <w:t>Clinical questions</w:t>
            </w:r>
            <w:r>
              <w:rPr>
                <w:noProof/>
                <w:webHidden/>
              </w:rPr>
              <w:tab/>
            </w:r>
            <w:r>
              <w:rPr>
                <w:noProof/>
                <w:webHidden/>
              </w:rPr>
              <w:fldChar w:fldCharType="begin"/>
            </w:r>
            <w:r>
              <w:rPr>
                <w:noProof/>
                <w:webHidden/>
              </w:rPr>
              <w:instrText xml:space="preserve"> PAGEREF _Toc399425150 \h </w:instrText>
            </w:r>
            <w:r>
              <w:rPr>
                <w:noProof/>
                <w:webHidden/>
              </w:rPr>
            </w:r>
            <w:r>
              <w:rPr>
                <w:noProof/>
                <w:webHidden/>
              </w:rPr>
              <w:fldChar w:fldCharType="separate"/>
            </w:r>
            <w:r>
              <w:rPr>
                <w:noProof/>
                <w:webHidden/>
              </w:rPr>
              <w:t>29</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1" w:history="1">
            <w:r w:rsidRPr="009450C6">
              <w:rPr>
                <w:rStyle w:val="Hyperlink"/>
                <w:noProof/>
              </w:rPr>
              <w:t>Second round benefit-risk assessment</w:t>
            </w:r>
            <w:r>
              <w:rPr>
                <w:noProof/>
                <w:webHidden/>
              </w:rPr>
              <w:tab/>
            </w:r>
            <w:r>
              <w:rPr>
                <w:noProof/>
                <w:webHidden/>
              </w:rPr>
              <w:fldChar w:fldCharType="begin"/>
            </w:r>
            <w:r>
              <w:rPr>
                <w:noProof/>
                <w:webHidden/>
              </w:rPr>
              <w:instrText xml:space="preserve"> PAGEREF _Toc399425151 \h </w:instrText>
            </w:r>
            <w:r>
              <w:rPr>
                <w:noProof/>
                <w:webHidden/>
              </w:rPr>
            </w:r>
            <w:r>
              <w:rPr>
                <w:noProof/>
                <w:webHidden/>
              </w:rPr>
              <w:fldChar w:fldCharType="separate"/>
            </w:r>
            <w:r>
              <w:rPr>
                <w:noProof/>
                <w:webHidden/>
              </w:rPr>
              <w:t>29</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2" w:history="1">
            <w:r w:rsidRPr="009450C6">
              <w:rPr>
                <w:rStyle w:val="Hyperlink"/>
                <w:noProof/>
              </w:rPr>
              <w:t>Second round recommendation regarding authorisation</w:t>
            </w:r>
            <w:r>
              <w:rPr>
                <w:noProof/>
                <w:webHidden/>
              </w:rPr>
              <w:tab/>
            </w:r>
            <w:r>
              <w:rPr>
                <w:noProof/>
                <w:webHidden/>
              </w:rPr>
              <w:fldChar w:fldCharType="begin"/>
            </w:r>
            <w:r>
              <w:rPr>
                <w:noProof/>
                <w:webHidden/>
              </w:rPr>
              <w:instrText xml:space="preserve"> PAGEREF _Toc399425152 \h </w:instrText>
            </w:r>
            <w:r>
              <w:rPr>
                <w:noProof/>
                <w:webHidden/>
              </w:rPr>
            </w:r>
            <w:r>
              <w:rPr>
                <w:noProof/>
                <w:webHidden/>
              </w:rPr>
              <w:fldChar w:fldCharType="separate"/>
            </w:r>
            <w:r>
              <w:rPr>
                <w:noProof/>
                <w:webHidden/>
              </w:rPr>
              <w:t>30</w:t>
            </w:r>
            <w:r>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53" w:history="1">
            <w:r w:rsidRPr="009450C6">
              <w:rPr>
                <w:rStyle w:val="Hyperlink"/>
                <w:noProof/>
              </w:rPr>
              <w:t>V. Pharmacovigilance findings</w:t>
            </w:r>
            <w:r>
              <w:rPr>
                <w:noProof/>
                <w:webHidden/>
              </w:rPr>
              <w:tab/>
            </w:r>
            <w:r>
              <w:rPr>
                <w:noProof/>
                <w:webHidden/>
              </w:rPr>
              <w:fldChar w:fldCharType="begin"/>
            </w:r>
            <w:r>
              <w:rPr>
                <w:noProof/>
                <w:webHidden/>
              </w:rPr>
              <w:instrText xml:space="preserve"> PAGEREF _Toc399425153 \h </w:instrText>
            </w:r>
            <w:r>
              <w:rPr>
                <w:noProof/>
                <w:webHidden/>
              </w:rPr>
            </w:r>
            <w:r>
              <w:rPr>
                <w:noProof/>
                <w:webHidden/>
              </w:rPr>
              <w:fldChar w:fldCharType="separate"/>
            </w:r>
            <w:r>
              <w:rPr>
                <w:noProof/>
                <w:webHidden/>
              </w:rPr>
              <w:t>30</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4" w:history="1">
            <w:r w:rsidRPr="009450C6">
              <w:rPr>
                <w:rStyle w:val="Hyperlink"/>
                <w:noProof/>
                <w:lang w:eastAsia="en-AU"/>
              </w:rPr>
              <w:t>Risk management plan</w:t>
            </w:r>
            <w:r>
              <w:rPr>
                <w:noProof/>
                <w:webHidden/>
              </w:rPr>
              <w:tab/>
            </w:r>
            <w:r>
              <w:rPr>
                <w:noProof/>
                <w:webHidden/>
              </w:rPr>
              <w:fldChar w:fldCharType="begin"/>
            </w:r>
            <w:r>
              <w:rPr>
                <w:noProof/>
                <w:webHidden/>
              </w:rPr>
              <w:instrText xml:space="preserve"> PAGEREF _Toc399425154 \h </w:instrText>
            </w:r>
            <w:r>
              <w:rPr>
                <w:noProof/>
                <w:webHidden/>
              </w:rPr>
            </w:r>
            <w:r>
              <w:rPr>
                <w:noProof/>
                <w:webHidden/>
              </w:rPr>
              <w:fldChar w:fldCharType="separate"/>
            </w:r>
            <w:r>
              <w:rPr>
                <w:noProof/>
                <w:webHidden/>
              </w:rPr>
              <w:t>30</w:t>
            </w:r>
            <w:r>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55" w:history="1">
            <w:r w:rsidRPr="009450C6">
              <w:rPr>
                <w:rStyle w:val="Hyperlink"/>
                <w:noProof/>
              </w:rPr>
              <w:t>VI. Overall conclusion and risk/benefit assessment</w:t>
            </w:r>
            <w:r>
              <w:rPr>
                <w:noProof/>
                <w:webHidden/>
              </w:rPr>
              <w:tab/>
            </w:r>
            <w:r>
              <w:rPr>
                <w:noProof/>
                <w:webHidden/>
              </w:rPr>
              <w:fldChar w:fldCharType="begin"/>
            </w:r>
            <w:r>
              <w:rPr>
                <w:noProof/>
                <w:webHidden/>
              </w:rPr>
              <w:instrText xml:space="preserve"> PAGEREF _Toc399425155 \h </w:instrText>
            </w:r>
            <w:r>
              <w:rPr>
                <w:noProof/>
                <w:webHidden/>
              </w:rPr>
            </w:r>
            <w:r>
              <w:rPr>
                <w:noProof/>
                <w:webHidden/>
              </w:rPr>
              <w:fldChar w:fldCharType="separate"/>
            </w:r>
            <w:r>
              <w:rPr>
                <w:noProof/>
                <w:webHidden/>
              </w:rPr>
              <w:t>35</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6" w:history="1">
            <w:r w:rsidRPr="009450C6">
              <w:rPr>
                <w:rStyle w:val="Hyperlink"/>
                <w:noProof/>
              </w:rPr>
              <w:t>Quality</w:t>
            </w:r>
            <w:r>
              <w:rPr>
                <w:noProof/>
                <w:webHidden/>
              </w:rPr>
              <w:tab/>
            </w:r>
            <w:r>
              <w:rPr>
                <w:noProof/>
                <w:webHidden/>
              </w:rPr>
              <w:fldChar w:fldCharType="begin"/>
            </w:r>
            <w:r>
              <w:rPr>
                <w:noProof/>
                <w:webHidden/>
              </w:rPr>
              <w:instrText xml:space="preserve"> PAGEREF _Toc399425156 \h </w:instrText>
            </w:r>
            <w:r>
              <w:rPr>
                <w:noProof/>
                <w:webHidden/>
              </w:rPr>
            </w:r>
            <w:r>
              <w:rPr>
                <w:noProof/>
                <w:webHidden/>
              </w:rPr>
              <w:fldChar w:fldCharType="separate"/>
            </w:r>
            <w:r>
              <w:rPr>
                <w:noProof/>
                <w:webHidden/>
              </w:rPr>
              <w:t>35</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7" w:history="1">
            <w:r w:rsidRPr="009450C6">
              <w:rPr>
                <w:rStyle w:val="Hyperlink"/>
                <w:noProof/>
              </w:rPr>
              <w:t>Nonclinical</w:t>
            </w:r>
            <w:r>
              <w:rPr>
                <w:noProof/>
                <w:webHidden/>
              </w:rPr>
              <w:tab/>
            </w:r>
            <w:r>
              <w:rPr>
                <w:noProof/>
                <w:webHidden/>
              </w:rPr>
              <w:fldChar w:fldCharType="begin"/>
            </w:r>
            <w:r>
              <w:rPr>
                <w:noProof/>
                <w:webHidden/>
              </w:rPr>
              <w:instrText xml:space="preserve"> PAGEREF _Toc399425157 \h </w:instrText>
            </w:r>
            <w:r>
              <w:rPr>
                <w:noProof/>
                <w:webHidden/>
              </w:rPr>
            </w:r>
            <w:r>
              <w:rPr>
                <w:noProof/>
                <w:webHidden/>
              </w:rPr>
              <w:fldChar w:fldCharType="separate"/>
            </w:r>
            <w:r>
              <w:rPr>
                <w:noProof/>
                <w:webHidden/>
              </w:rPr>
              <w:t>35</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8" w:history="1">
            <w:r w:rsidRPr="009450C6">
              <w:rPr>
                <w:rStyle w:val="Hyperlink"/>
                <w:noProof/>
              </w:rPr>
              <w:t>Clinical</w:t>
            </w:r>
            <w:r>
              <w:rPr>
                <w:noProof/>
                <w:webHidden/>
              </w:rPr>
              <w:tab/>
            </w:r>
            <w:r>
              <w:rPr>
                <w:noProof/>
                <w:webHidden/>
              </w:rPr>
              <w:fldChar w:fldCharType="begin"/>
            </w:r>
            <w:r>
              <w:rPr>
                <w:noProof/>
                <w:webHidden/>
              </w:rPr>
              <w:instrText xml:space="preserve"> PAGEREF _Toc399425158 \h </w:instrText>
            </w:r>
            <w:r>
              <w:rPr>
                <w:noProof/>
                <w:webHidden/>
              </w:rPr>
            </w:r>
            <w:r>
              <w:rPr>
                <w:noProof/>
                <w:webHidden/>
              </w:rPr>
              <w:fldChar w:fldCharType="separate"/>
            </w:r>
            <w:r>
              <w:rPr>
                <w:noProof/>
                <w:webHidden/>
              </w:rPr>
              <w:t>35</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59" w:history="1">
            <w:r w:rsidRPr="009450C6">
              <w:rPr>
                <w:rStyle w:val="Hyperlink"/>
                <w:noProof/>
                <w:lang w:eastAsia="en-AU"/>
              </w:rPr>
              <w:t>Risk management plan</w:t>
            </w:r>
            <w:r>
              <w:rPr>
                <w:noProof/>
                <w:webHidden/>
              </w:rPr>
              <w:tab/>
            </w:r>
            <w:r>
              <w:rPr>
                <w:noProof/>
                <w:webHidden/>
              </w:rPr>
              <w:fldChar w:fldCharType="begin"/>
            </w:r>
            <w:r>
              <w:rPr>
                <w:noProof/>
                <w:webHidden/>
              </w:rPr>
              <w:instrText xml:space="preserve"> PAGEREF _Toc399425159 \h </w:instrText>
            </w:r>
            <w:r>
              <w:rPr>
                <w:noProof/>
                <w:webHidden/>
              </w:rPr>
            </w:r>
            <w:r>
              <w:rPr>
                <w:noProof/>
                <w:webHidden/>
              </w:rPr>
              <w:fldChar w:fldCharType="separate"/>
            </w:r>
            <w:r>
              <w:rPr>
                <w:noProof/>
                <w:webHidden/>
              </w:rPr>
              <w:t>46</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60" w:history="1">
            <w:r w:rsidRPr="009450C6">
              <w:rPr>
                <w:rStyle w:val="Hyperlink"/>
                <w:noProof/>
              </w:rPr>
              <w:t>Risk-benefit analysis</w:t>
            </w:r>
            <w:r>
              <w:rPr>
                <w:noProof/>
                <w:webHidden/>
              </w:rPr>
              <w:tab/>
            </w:r>
            <w:r>
              <w:rPr>
                <w:noProof/>
                <w:webHidden/>
              </w:rPr>
              <w:fldChar w:fldCharType="begin"/>
            </w:r>
            <w:r>
              <w:rPr>
                <w:noProof/>
                <w:webHidden/>
              </w:rPr>
              <w:instrText xml:space="preserve"> PAGEREF _Toc399425160 \h </w:instrText>
            </w:r>
            <w:r>
              <w:rPr>
                <w:noProof/>
                <w:webHidden/>
              </w:rPr>
            </w:r>
            <w:r>
              <w:rPr>
                <w:noProof/>
                <w:webHidden/>
              </w:rPr>
              <w:fldChar w:fldCharType="separate"/>
            </w:r>
            <w:r>
              <w:rPr>
                <w:noProof/>
                <w:webHidden/>
              </w:rPr>
              <w:t>47</w:t>
            </w:r>
            <w:r>
              <w:rPr>
                <w:noProof/>
                <w:webHidden/>
              </w:rPr>
              <w:fldChar w:fldCharType="end"/>
            </w:r>
          </w:hyperlink>
        </w:p>
        <w:p w:rsidR="00475AC5" w:rsidRDefault="00475AC5">
          <w:pPr>
            <w:pStyle w:val="TOC3"/>
            <w:rPr>
              <w:rFonts w:asciiTheme="minorHAnsi" w:eastAsiaTheme="minorEastAsia" w:hAnsiTheme="minorHAnsi" w:cstheme="minorBidi"/>
              <w:noProof/>
              <w:lang w:eastAsia="en-AU"/>
            </w:rPr>
          </w:pPr>
          <w:hyperlink w:anchor="_Toc399425161" w:history="1">
            <w:r w:rsidRPr="009450C6">
              <w:rPr>
                <w:rStyle w:val="Hyperlink"/>
                <w:noProof/>
              </w:rPr>
              <w:t>Outcome</w:t>
            </w:r>
            <w:r>
              <w:rPr>
                <w:noProof/>
                <w:webHidden/>
              </w:rPr>
              <w:tab/>
            </w:r>
            <w:r>
              <w:rPr>
                <w:noProof/>
                <w:webHidden/>
              </w:rPr>
              <w:fldChar w:fldCharType="begin"/>
            </w:r>
            <w:r>
              <w:rPr>
                <w:noProof/>
                <w:webHidden/>
              </w:rPr>
              <w:instrText xml:space="preserve"> PAGEREF _Toc399425161 \h </w:instrText>
            </w:r>
            <w:r>
              <w:rPr>
                <w:noProof/>
                <w:webHidden/>
              </w:rPr>
            </w:r>
            <w:r>
              <w:rPr>
                <w:noProof/>
                <w:webHidden/>
              </w:rPr>
              <w:fldChar w:fldCharType="separate"/>
            </w:r>
            <w:r>
              <w:rPr>
                <w:noProof/>
                <w:webHidden/>
              </w:rPr>
              <w:t>56</w:t>
            </w:r>
            <w:r>
              <w:rPr>
                <w:noProof/>
                <w:webHidden/>
              </w:rPr>
              <w:fldChar w:fldCharType="end"/>
            </w:r>
          </w:hyperlink>
        </w:p>
        <w:p w:rsidR="00475AC5" w:rsidRDefault="00475AC5">
          <w:pPr>
            <w:pStyle w:val="TOC2"/>
            <w:tabs>
              <w:tab w:val="left" w:pos="2448"/>
            </w:tabs>
            <w:rPr>
              <w:rFonts w:asciiTheme="minorHAnsi" w:eastAsiaTheme="minorEastAsia" w:hAnsiTheme="minorHAnsi" w:cstheme="minorBidi"/>
              <w:b w:val="0"/>
              <w:noProof/>
              <w:sz w:val="22"/>
              <w:lang w:eastAsia="en-AU"/>
            </w:rPr>
          </w:pPr>
          <w:hyperlink w:anchor="_Toc399425162" w:history="1">
            <w:r w:rsidRPr="009450C6">
              <w:rPr>
                <w:rStyle w:val="Hyperlink"/>
                <w:noProof/>
              </w:rPr>
              <w:t>Attachment 1.</w:t>
            </w:r>
            <w:r>
              <w:rPr>
                <w:rFonts w:asciiTheme="minorHAnsi" w:eastAsiaTheme="minorEastAsia" w:hAnsiTheme="minorHAnsi" w:cstheme="minorBidi"/>
                <w:b w:val="0"/>
                <w:noProof/>
                <w:sz w:val="22"/>
                <w:lang w:eastAsia="en-AU"/>
              </w:rPr>
              <w:tab/>
            </w:r>
            <w:r w:rsidRPr="009450C6">
              <w:rPr>
                <w:rStyle w:val="Hyperlink"/>
                <w:noProof/>
              </w:rPr>
              <w:t>Product Information</w:t>
            </w:r>
            <w:r>
              <w:rPr>
                <w:noProof/>
                <w:webHidden/>
              </w:rPr>
              <w:tab/>
            </w:r>
            <w:r>
              <w:rPr>
                <w:noProof/>
                <w:webHidden/>
              </w:rPr>
              <w:fldChar w:fldCharType="begin"/>
            </w:r>
            <w:r>
              <w:rPr>
                <w:noProof/>
                <w:webHidden/>
              </w:rPr>
              <w:instrText xml:space="preserve"> PAGEREF _Toc399425162 \h </w:instrText>
            </w:r>
            <w:r>
              <w:rPr>
                <w:noProof/>
                <w:webHidden/>
              </w:rPr>
            </w:r>
            <w:r>
              <w:rPr>
                <w:noProof/>
                <w:webHidden/>
              </w:rPr>
              <w:fldChar w:fldCharType="separate"/>
            </w:r>
            <w:r>
              <w:rPr>
                <w:noProof/>
                <w:webHidden/>
              </w:rPr>
              <w:t>56</w:t>
            </w:r>
            <w:r>
              <w:rPr>
                <w:noProof/>
                <w:webHidden/>
              </w:rPr>
              <w:fldChar w:fldCharType="end"/>
            </w:r>
          </w:hyperlink>
        </w:p>
        <w:p w:rsidR="00475AC5" w:rsidRDefault="00475AC5">
          <w:pPr>
            <w:pStyle w:val="TOC2"/>
            <w:rPr>
              <w:rFonts w:asciiTheme="minorHAnsi" w:eastAsiaTheme="minorEastAsia" w:hAnsiTheme="minorHAnsi" w:cstheme="minorBidi"/>
              <w:b w:val="0"/>
              <w:noProof/>
              <w:sz w:val="22"/>
              <w:lang w:eastAsia="en-AU"/>
            </w:rPr>
          </w:pPr>
          <w:hyperlink w:anchor="_Toc399425163" w:history="1">
            <w:r w:rsidRPr="009450C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_Toc399425163 \h </w:instrText>
            </w:r>
            <w:r>
              <w:rPr>
                <w:noProof/>
                <w:webHidden/>
              </w:rPr>
            </w:r>
            <w:r>
              <w:rPr>
                <w:noProof/>
                <w:webHidden/>
              </w:rPr>
              <w:fldChar w:fldCharType="separate"/>
            </w:r>
            <w:r>
              <w:rPr>
                <w:noProof/>
                <w:webHidden/>
              </w:rPr>
              <w:t>56</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1F6307" w:rsidRPr="001F6307" w:rsidRDefault="001F6307" w:rsidP="001F6307">
      <w:pPr>
        <w:keepNext/>
        <w:keepLines/>
        <w:spacing w:before="480"/>
        <w:outlineLvl w:val="1"/>
        <w:rPr>
          <w:rFonts w:ascii="Arial" w:eastAsia="Times New Roman" w:hAnsi="Arial"/>
          <w:b/>
          <w:bCs/>
          <w:sz w:val="32"/>
          <w:szCs w:val="26"/>
        </w:rPr>
      </w:pPr>
      <w:bookmarkStart w:id="4" w:name="_Toc351716269"/>
      <w:bookmarkStart w:id="5" w:name="_Toc351718881"/>
      <w:bookmarkStart w:id="6" w:name="_Toc355338616"/>
      <w:bookmarkStart w:id="7" w:name="_Toc356306144"/>
      <w:bookmarkStart w:id="8" w:name="_Toc395872547"/>
      <w:bookmarkStart w:id="9" w:name="_Toc399425125"/>
      <w:bookmarkEnd w:id="1"/>
      <w:bookmarkEnd w:id="3"/>
      <w:bookmarkEnd w:id="0"/>
      <w:r w:rsidRPr="001F6307">
        <w:rPr>
          <w:rFonts w:ascii="Arial" w:eastAsia="Times New Roman" w:hAnsi="Arial"/>
          <w:b/>
          <w:bCs/>
          <w:sz w:val="32"/>
          <w:szCs w:val="26"/>
        </w:rPr>
        <w:lastRenderedPageBreak/>
        <w:t>List of abbreviations</w:t>
      </w:r>
      <w:bookmarkEnd w:id="4"/>
      <w:bookmarkEnd w:id="5"/>
      <w:bookmarkEnd w:id="6"/>
      <w:bookmarkEnd w:id="7"/>
      <w:bookmarkEnd w:id="8"/>
      <w:bookmarkEnd w:id="9"/>
    </w:p>
    <w:tbl>
      <w:tblPr>
        <w:tblStyle w:val="TableTGAblue"/>
        <w:tblW w:w="0" w:type="auto"/>
        <w:tblLook w:val="04A0" w:firstRow="1" w:lastRow="0" w:firstColumn="1" w:lastColumn="0" w:noHBand="0" w:noVBand="1"/>
      </w:tblPr>
      <w:tblGrid>
        <w:gridCol w:w="1890"/>
        <w:gridCol w:w="6830"/>
      </w:tblGrid>
      <w:tr w:rsidR="001F6307" w:rsidRPr="001F6307" w:rsidTr="00D411F4">
        <w:trPr>
          <w:cnfStyle w:val="100000000000" w:firstRow="1" w:lastRow="0" w:firstColumn="0" w:lastColumn="0" w:oddVBand="0" w:evenVBand="0" w:oddHBand="0" w:evenHBand="0" w:firstRowFirstColumn="0" w:firstRowLastColumn="0" w:lastRowFirstColumn="0" w:lastRowLastColumn="0"/>
        </w:trPr>
        <w:tc>
          <w:tcPr>
            <w:tcW w:w="1809" w:type="dxa"/>
          </w:tcPr>
          <w:p w:rsidR="001F6307" w:rsidRPr="001F6307" w:rsidRDefault="001F6307" w:rsidP="00D411F4">
            <w:r w:rsidRPr="001F6307">
              <w:t>Abbreviation</w:t>
            </w:r>
          </w:p>
        </w:tc>
        <w:tc>
          <w:tcPr>
            <w:tcW w:w="6911" w:type="dxa"/>
          </w:tcPr>
          <w:p w:rsidR="001F6307" w:rsidRPr="001F6307" w:rsidRDefault="001F6307" w:rsidP="00D411F4">
            <w:r w:rsidRPr="001F6307">
              <w:t>Meaning</w:t>
            </w:r>
          </w:p>
        </w:tc>
      </w:tr>
      <w:tr w:rsidR="001F6307" w:rsidRPr="001F6307" w:rsidTr="00D411F4">
        <w:tc>
          <w:tcPr>
            <w:tcW w:w="1809" w:type="dxa"/>
          </w:tcPr>
          <w:p w:rsidR="001F6307" w:rsidRPr="001F6307" w:rsidRDefault="001F6307" w:rsidP="00D411F4">
            <w:r w:rsidRPr="001F6307">
              <w:t>ADA</w:t>
            </w:r>
          </w:p>
        </w:tc>
        <w:tc>
          <w:tcPr>
            <w:tcW w:w="6911" w:type="dxa"/>
          </w:tcPr>
          <w:p w:rsidR="001F6307" w:rsidRPr="001F6307" w:rsidRDefault="001F6307" w:rsidP="00D411F4">
            <w:proofErr w:type="spellStart"/>
            <w:r w:rsidRPr="001F6307">
              <w:t>anti drug</w:t>
            </w:r>
            <w:proofErr w:type="spellEnd"/>
            <w:r w:rsidRPr="001F6307">
              <w:t xml:space="preserve"> antibody</w:t>
            </w:r>
          </w:p>
        </w:tc>
      </w:tr>
      <w:tr w:rsidR="001F6307" w:rsidRPr="001F6307" w:rsidTr="00D411F4">
        <w:tc>
          <w:tcPr>
            <w:tcW w:w="1809" w:type="dxa"/>
          </w:tcPr>
          <w:p w:rsidR="001F6307" w:rsidRPr="001F6307" w:rsidRDefault="001F6307" w:rsidP="00D411F4">
            <w:r w:rsidRPr="001F6307">
              <w:t>AE</w:t>
            </w:r>
          </w:p>
        </w:tc>
        <w:tc>
          <w:tcPr>
            <w:tcW w:w="6911" w:type="dxa"/>
          </w:tcPr>
          <w:p w:rsidR="001F6307" w:rsidRPr="001F6307" w:rsidRDefault="001F6307" w:rsidP="00D411F4">
            <w:r w:rsidRPr="001F6307">
              <w:t>adverse event</w:t>
            </w:r>
          </w:p>
        </w:tc>
      </w:tr>
      <w:tr w:rsidR="001F6307" w:rsidRPr="001F6307" w:rsidTr="00D411F4">
        <w:tc>
          <w:tcPr>
            <w:tcW w:w="1809" w:type="dxa"/>
          </w:tcPr>
          <w:p w:rsidR="001F6307" w:rsidRPr="001F6307" w:rsidRDefault="001F6307" w:rsidP="00D411F4">
            <w:r w:rsidRPr="001F6307">
              <w:t>ADCC</w:t>
            </w:r>
          </w:p>
        </w:tc>
        <w:tc>
          <w:tcPr>
            <w:tcW w:w="6911" w:type="dxa"/>
          </w:tcPr>
          <w:p w:rsidR="001F6307" w:rsidRPr="001F6307" w:rsidRDefault="001F6307" w:rsidP="00D411F4">
            <w:r w:rsidRPr="001F6307">
              <w:t>antibody dependent cell mediated cytotoxicity</w:t>
            </w:r>
          </w:p>
        </w:tc>
      </w:tr>
      <w:tr w:rsidR="001F6307" w:rsidRPr="001F6307" w:rsidTr="00D411F4">
        <w:tc>
          <w:tcPr>
            <w:tcW w:w="1809" w:type="dxa"/>
          </w:tcPr>
          <w:p w:rsidR="001F6307" w:rsidRPr="001F6307" w:rsidRDefault="001F6307" w:rsidP="00D411F4">
            <w:r w:rsidRPr="001F6307">
              <w:t>ADCP</w:t>
            </w:r>
          </w:p>
        </w:tc>
        <w:tc>
          <w:tcPr>
            <w:tcW w:w="6911" w:type="dxa"/>
          </w:tcPr>
          <w:p w:rsidR="001F6307" w:rsidRPr="001F6307" w:rsidRDefault="001F6307" w:rsidP="00D411F4">
            <w:r w:rsidRPr="001F6307">
              <w:t>antibody dependent cellular phagocytosis</w:t>
            </w:r>
          </w:p>
        </w:tc>
      </w:tr>
      <w:tr w:rsidR="001F6307" w:rsidRPr="001F6307" w:rsidTr="00D411F4">
        <w:tc>
          <w:tcPr>
            <w:tcW w:w="1809" w:type="dxa"/>
          </w:tcPr>
          <w:p w:rsidR="001F6307" w:rsidRPr="001F6307" w:rsidRDefault="001F6307" w:rsidP="00D411F4">
            <w:r w:rsidRPr="001F6307">
              <w:t>ASA</w:t>
            </w:r>
          </w:p>
        </w:tc>
        <w:tc>
          <w:tcPr>
            <w:tcW w:w="6911" w:type="dxa"/>
          </w:tcPr>
          <w:p w:rsidR="001F6307" w:rsidRPr="001F6307" w:rsidRDefault="001F6307" w:rsidP="00D411F4">
            <w:r w:rsidRPr="001F6307">
              <w:t>Australian Specific Annex</w:t>
            </w:r>
          </w:p>
        </w:tc>
      </w:tr>
      <w:tr w:rsidR="001F6307" w:rsidRPr="001F6307" w:rsidTr="00D411F4">
        <w:tc>
          <w:tcPr>
            <w:tcW w:w="1809" w:type="dxa"/>
          </w:tcPr>
          <w:p w:rsidR="001F6307" w:rsidRPr="001F6307" w:rsidRDefault="001F6307" w:rsidP="00D411F4">
            <w:r w:rsidRPr="001F6307">
              <w:t>AUC</w:t>
            </w:r>
          </w:p>
        </w:tc>
        <w:tc>
          <w:tcPr>
            <w:tcW w:w="6911" w:type="dxa"/>
          </w:tcPr>
          <w:p w:rsidR="001F6307" w:rsidRPr="001F6307" w:rsidRDefault="001F6307" w:rsidP="00D411F4">
            <w:r w:rsidRPr="001F6307">
              <w:t>area under the plasma concentration-time curve</w:t>
            </w:r>
          </w:p>
        </w:tc>
      </w:tr>
      <w:tr w:rsidR="001F6307" w:rsidRPr="001F6307" w:rsidTr="00D411F4">
        <w:tc>
          <w:tcPr>
            <w:tcW w:w="1809" w:type="dxa"/>
          </w:tcPr>
          <w:p w:rsidR="001F6307" w:rsidRPr="001F6307" w:rsidRDefault="001F6307" w:rsidP="00D411F4">
            <w:proofErr w:type="spellStart"/>
            <w:r w:rsidRPr="001F6307">
              <w:t>C</w:t>
            </w:r>
            <w:r w:rsidRPr="001F6307">
              <w:rPr>
                <w:vertAlign w:val="subscript"/>
              </w:rPr>
              <w:t>trough</w:t>
            </w:r>
            <w:proofErr w:type="spellEnd"/>
          </w:p>
        </w:tc>
        <w:tc>
          <w:tcPr>
            <w:tcW w:w="6911" w:type="dxa"/>
          </w:tcPr>
          <w:p w:rsidR="001F6307" w:rsidRPr="001F6307" w:rsidRDefault="001F6307" w:rsidP="00D411F4">
            <w:r w:rsidRPr="001F6307">
              <w:t>trough plasma drug concentration (measured concentration at the end of a dosing interval at steady state [taken directly before next administration])</w:t>
            </w:r>
          </w:p>
        </w:tc>
      </w:tr>
      <w:tr w:rsidR="001F6307" w:rsidRPr="001F6307" w:rsidTr="00D411F4">
        <w:tc>
          <w:tcPr>
            <w:tcW w:w="1809" w:type="dxa"/>
          </w:tcPr>
          <w:p w:rsidR="001F6307" w:rsidRPr="001F6307" w:rsidRDefault="001F6307" w:rsidP="00D411F4">
            <w:r w:rsidRPr="001F6307">
              <w:t>CDC</w:t>
            </w:r>
          </w:p>
        </w:tc>
        <w:tc>
          <w:tcPr>
            <w:tcW w:w="6911" w:type="dxa"/>
          </w:tcPr>
          <w:p w:rsidR="001F6307" w:rsidRPr="001F6307" w:rsidRDefault="001F6307" w:rsidP="00D411F4">
            <w:r w:rsidRPr="001F6307">
              <w:t>complement dependent cytotoxicity</w:t>
            </w:r>
          </w:p>
        </w:tc>
      </w:tr>
      <w:tr w:rsidR="001F6307" w:rsidRPr="001F6307" w:rsidTr="00D411F4">
        <w:tc>
          <w:tcPr>
            <w:tcW w:w="1809" w:type="dxa"/>
          </w:tcPr>
          <w:p w:rsidR="001F6307" w:rsidRPr="001F6307" w:rsidRDefault="001F6307" w:rsidP="00D411F4">
            <w:r w:rsidRPr="001F6307">
              <w:t>CHO</w:t>
            </w:r>
          </w:p>
        </w:tc>
        <w:tc>
          <w:tcPr>
            <w:tcW w:w="6911" w:type="dxa"/>
          </w:tcPr>
          <w:p w:rsidR="001F6307" w:rsidRPr="001F6307" w:rsidRDefault="001F6307" w:rsidP="00D411F4">
            <w:r w:rsidRPr="001F6307">
              <w:t>Chinese hamster ovary</w:t>
            </w:r>
          </w:p>
        </w:tc>
      </w:tr>
      <w:tr w:rsidR="001F6307" w:rsidRPr="001F6307" w:rsidTr="00D411F4">
        <w:tc>
          <w:tcPr>
            <w:tcW w:w="1809" w:type="dxa"/>
          </w:tcPr>
          <w:p w:rsidR="001F6307" w:rsidRPr="001F6307" w:rsidRDefault="001F6307" w:rsidP="00D411F4">
            <w:r w:rsidRPr="001F6307">
              <w:t>CIRS</w:t>
            </w:r>
          </w:p>
        </w:tc>
        <w:tc>
          <w:tcPr>
            <w:tcW w:w="6911" w:type="dxa"/>
          </w:tcPr>
          <w:p w:rsidR="001F6307" w:rsidRPr="001F6307" w:rsidRDefault="001F6307" w:rsidP="00D411F4">
            <w:r w:rsidRPr="001F6307">
              <w:t>cumulative illness rating scale</w:t>
            </w:r>
          </w:p>
        </w:tc>
      </w:tr>
      <w:tr w:rsidR="001F6307" w:rsidRPr="001F6307" w:rsidTr="00D411F4">
        <w:tc>
          <w:tcPr>
            <w:tcW w:w="1809" w:type="dxa"/>
          </w:tcPr>
          <w:p w:rsidR="001F6307" w:rsidRPr="001F6307" w:rsidRDefault="001F6307" w:rsidP="00D411F4">
            <w:r w:rsidRPr="001F6307">
              <w:t>CL</w:t>
            </w:r>
          </w:p>
        </w:tc>
        <w:tc>
          <w:tcPr>
            <w:tcW w:w="6911" w:type="dxa"/>
          </w:tcPr>
          <w:p w:rsidR="001F6307" w:rsidRPr="001F6307" w:rsidRDefault="001F6307" w:rsidP="00D411F4">
            <w:r w:rsidRPr="001F6307">
              <w:t>total body clearance of the drug from plasma</w:t>
            </w:r>
          </w:p>
        </w:tc>
      </w:tr>
      <w:tr w:rsidR="001F6307" w:rsidRPr="001F6307" w:rsidTr="00D411F4">
        <w:tc>
          <w:tcPr>
            <w:tcW w:w="1809" w:type="dxa"/>
          </w:tcPr>
          <w:p w:rsidR="001F6307" w:rsidRPr="001F6307" w:rsidRDefault="001F6307" w:rsidP="00D411F4">
            <w:proofErr w:type="spellStart"/>
            <w:r w:rsidRPr="001F6307">
              <w:t>CL</w:t>
            </w:r>
            <w:r w:rsidRPr="001F6307">
              <w:rPr>
                <w:vertAlign w:val="subscript"/>
              </w:rPr>
              <w:t>inf</w:t>
            </w:r>
            <w:proofErr w:type="spellEnd"/>
          </w:p>
        </w:tc>
        <w:tc>
          <w:tcPr>
            <w:tcW w:w="6911" w:type="dxa"/>
          </w:tcPr>
          <w:p w:rsidR="001F6307" w:rsidRPr="001F6307" w:rsidRDefault="001F6307" w:rsidP="00D411F4">
            <w:r w:rsidRPr="001F6307">
              <w:t>steady state clearance</w:t>
            </w:r>
          </w:p>
        </w:tc>
      </w:tr>
      <w:tr w:rsidR="001F6307" w:rsidRPr="001F6307" w:rsidTr="00D411F4">
        <w:tc>
          <w:tcPr>
            <w:tcW w:w="1809" w:type="dxa"/>
          </w:tcPr>
          <w:p w:rsidR="001F6307" w:rsidRPr="001F6307" w:rsidRDefault="001F6307" w:rsidP="00D411F4">
            <w:r w:rsidRPr="001F6307">
              <w:t>CL</w:t>
            </w:r>
            <w:r w:rsidRPr="001F6307">
              <w:rPr>
                <w:vertAlign w:val="subscript"/>
              </w:rPr>
              <w:t>T</w:t>
            </w:r>
          </w:p>
        </w:tc>
        <w:tc>
          <w:tcPr>
            <w:tcW w:w="6911" w:type="dxa"/>
          </w:tcPr>
          <w:p w:rsidR="001F6307" w:rsidRPr="001F6307" w:rsidRDefault="001F6307" w:rsidP="00D411F4">
            <w:r w:rsidRPr="001F6307">
              <w:t>initial time dependent clearance</w:t>
            </w:r>
          </w:p>
        </w:tc>
      </w:tr>
      <w:tr w:rsidR="001F6307" w:rsidRPr="001F6307" w:rsidTr="00D411F4">
        <w:tc>
          <w:tcPr>
            <w:tcW w:w="1809" w:type="dxa"/>
          </w:tcPr>
          <w:p w:rsidR="001F6307" w:rsidRPr="001F6307" w:rsidRDefault="001F6307" w:rsidP="00D411F4">
            <w:proofErr w:type="spellStart"/>
            <w:r w:rsidRPr="001F6307">
              <w:t>Clb</w:t>
            </w:r>
            <w:proofErr w:type="spellEnd"/>
          </w:p>
        </w:tc>
        <w:tc>
          <w:tcPr>
            <w:tcW w:w="6911" w:type="dxa"/>
          </w:tcPr>
          <w:p w:rsidR="001F6307" w:rsidRPr="001F6307" w:rsidRDefault="001F6307" w:rsidP="00D411F4">
            <w:proofErr w:type="spellStart"/>
            <w:r w:rsidRPr="001F6307">
              <w:t>chlorambucil</w:t>
            </w:r>
            <w:proofErr w:type="spellEnd"/>
          </w:p>
        </w:tc>
      </w:tr>
      <w:tr w:rsidR="001F6307" w:rsidRPr="001F6307" w:rsidTr="00D411F4">
        <w:tc>
          <w:tcPr>
            <w:tcW w:w="1809" w:type="dxa"/>
          </w:tcPr>
          <w:p w:rsidR="001F6307" w:rsidRPr="001F6307" w:rsidRDefault="001F6307" w:rsidP="00D411F4">
            <w:r w:rsidRPr="001F6307">
              <w:t>CLL</w:t>
            </w:r>
          </w:p>
        </w:tc>
        <w:tc>
          <w:tcPr>
            <w:tcW w:w="6911" w:type="dxa"/>
          </w:tcPr>
          <w:p w:rsidR="001F6307" w:rsidRPr="001F6307" w:rsidRDefault="001F6307" w:rsidP="00D411F4">
            <w:r w:rsidRPr="001F6307">
              <w:rPr>
                <w:rFonts w:eastAsia="MS Mincho"/>
                <w:lang w:eastAsia="ja-JP"/>
              </w:rPr>
              <w:t>chronic lymphocytic leukaemia</w:t>
            </w:r>
          </w:p>
        </w:tc>
      </w:tr>
      <w:tr w:rsidR="001F6307" w:rsidRPr="001F6307" w:rsidTr="00D411F4">
        <w:tc>
          <w:tcPr>
            <w:tcW w:w="1809" w:type="dxa"/>
          </w:tcPr>
          <w:p w:rsidR="001F6307" w:rsidRPr="001F6307" w:rsidRDefault="001F6307" w:rsidP="00D411F4">
            <w:proofErr w:type="spellStart"/>
            <w:r w:rsidRPr="001F6307">
              <w:t>Cmax</w:t>
            </w:r>
            <w:proofErr w:type="spellEnd"/>
          </w:p>
        </w:tc>
        <w:tc>
          <w:tcPr>
            <w:tcW w:w="6911" w:type="dxa"/>
          </w:tcPr>
          <w:p w:rsidR="001F6307" w:rsidRPr="001F6307" w:rsidRDefault="001F6307" w:rsidP="00D411F4">
            <w:r w:rsidRPr="001F6307">
              <w:t>maximum plasma drug concentration</w:t>
            </w:r>
          </w:p>
        </w:tc>
      </w:tr>
      <w:tr w:rsidR="001F6307" w:rsidRPr="001F6307" w:rsidTr="00D411F4">
        <w:tc>
          <w:tcPr>
            <w:tcW w:w="1809" w:type="dxa"/>
          </w:tcPr>
          <w:p w:rsidR="001F6307" w:rsidRPr="001F6307" w:rsidRDefault="001F6307" w:rsidP="00D411F4">
            <w:r w:rsidRPr="001F6307">
              <w:t>CNS</w:t>
            </w:r>
          </w:p>
        </w:tc>
        <w:tc>
          <w:tcPr>
            <w:tcW w:w="6911" w:type="dxa"/>
          </w:tcPr>
          <w:p w:rsidR="001F6307" w:rsidRPr="001F6307" w:rsidRDefault="001F6307" w:rsidP="00D411F4">
            <w:r w:rsidRPr="001F6307">
              <w:t>central nervous system</w:t>
            </w:r>
          </w:p>
        </w:tc>
      </w:tr>
      <w:tr w:rsidR="001F6307" w:rsidRPr="001F6307" w:rsidTr="00D411F4">
        <w:tc>
          <w:tcPr>
            <w:tcW w:w="1809" w:type="dxa"/>
          </w:tcPr>
          <w:p w:rsidR="001F6307" w:rsidRPr="001F6307" w:rsidRDefault="001F6307" w:rsidP="00D411F4">
            <w:r w:rsidRPr="001F6307">
              <w:t>CR</w:t>
            </w:r>
          </w:p>
        </w:tc>
        <w:tc>
          <w:tcPr>
            <w:tcW w:w="6911" w:type="dxa"/>
          </w:tcPr>
          <w:p w:rsidR="001F6307" w:rsidRPr="001F6307" w:rsidRDefault="001F6307" w:rsidP="00D411F4">
            <w:r w:rsidRPr="001F6307">
              <w:t>complete remission</w:t>
            </w:r>
          </w:p>
        </w:tc>
      </w:tr>
      <w:tr w:rsidR="001F6307" w:rsidRPr="001F6307" w:rsidTr="00D411F4">
        <w:tc>
          <w:tcPr>
            <w:tcW w:w="1809" w:type="dxa"/>
          </w:tcPr>
          <w:p w:rsidR="001F6307" w:rsidRPr="001F6307" w:rsidRDefault="001F6307" w:rsidP="00D411F4">
            <w:r w:rsidRPr="001F6307">
              <w:t>CTCAE</w:t>
            </w:r>
          </w:p>
        </w:tc>
        <w:tc>
          <w:tcPr>
            <w:tcW w:w="6911" w:type="dxa"/>
          </w:tcPr>
          <w:p w:rsidR="001F6307" w:rsidRPr="001F6307" w:rsidRDefault="001F6307" w:rsidP="00D411F4">
            <w:r w:rsidRPr="001F6307">
              <w:t>Common Terminology Criteria for Adverse Events</w:t>
            </w:r>
          </w:p>
        </w:tc>
      </w:tr>
      <w:tr w:rsidR="001F6307" w:rsidRPr="001F6307" w:rsidTr="00D411F4">
        <w:tc>
          <w:tcPr>
            <w:tcW w:w="1809" w:type="dxa"/>
          </w:tcPr>
          <w:p w:rsidR="001F6307" w:rsidRPr="001F6307" w:rsidRDefault="001F6307" w:rsidP="00D411F4">
            <w:r w:rsidRPr="001F6307">
              <w:t>DLBCL</w:t>
            </w:r>
          </w:p>
        </w:tc>
        <w:tc>
          <w:tcPr>
            <w:tcW w:w="6911" w:type="dxa"/>
          </w:tcPr>
          <w:p w:rsidR="001F6307" w:rsidRPr="001F6307" w:rsidRDefault="001F6307" w:rsidP="00D411F4">
            <w:r w:rsidRPr="001F6307">
              <w:t>diffuse large B cell lymphoma</w:t>
            </w:r>
          </w:p>
        </w:tc>
      </w:tr>
      <w:tr w:rsidR="001F6307" w:rsidRPr="001F6307" w:rsidTr="00D411F4">
        <w:tc>
          <w:tcPr>
            <w:tcW w:w="1809" w:type="dxa"/>
          </w:tcPr>
          <w:p w:rsidR="001F6307" w:rsidRPr="001F6307" w:rsidRDefault="001F6307" w:rsidP="00D411F4">
            <w:r w:rsidRPr="001F6307">
              <w:t>ECG</w:t>
            </w:r>
          </w:p>
        </w:tc>
        <w:tc>
          <w:tcPr>
            <w:tcW w:w="6911" w:type="dxa"/>
          </w:tcPr>
          <w:p w:rsidR="001F6307" w:rsidRPr="001F6307" w:rsidRDefault="001F6307" w:rsidP="00D411F4">
            <w:r w:rsidRPr="001F6307">
              <w:t>electrocardiogram</w:t>
            </w:r>
          </w:p>
        </w:tc>
      </w:tr>
      <w:tr w:rsidR="001F6307" w:rsidRPr="001F6307" w:rsidTr="00D411F4">
        <w:tc>
          <w:tcPr>
            <w:tcW w:w="1809" w:type="dxa"/>
          </w:tcPr>
          <w:p w:rsidR="001F6307" w:rsidRPr="001F6307" w:rsidRDefault="001F6307" w:rsidP="00D411F4">
            <w:r w:rsidRPr="001F6307">
              <w:t>EFS</w:t>
            </w:r>
          </w:p>
        </w:tc>
        <w:tc>
          <w:tcPr>
            <w:tcW w:w="6911" w:type="dxa"/>
          </w:tcPr>
          <w:p w:rsidR="001F6307" w:rsidRPr="001F6307" w:rsidRDefault="001F6307" w:rsidP="00D411F4">
            <w:r w:rsidRPr="001F6307">
              <w:t>event free survival</w:t>
            </w:r>
          </w:p>
        </w:tc>
      </w:tr>
      <w:tr w:rsidR="001F6307" w:rsidRPr="001F6307" w:rsidTr="00D411F4">
        <w:tc>
          <w:tcPr>
            <w:tcW w:w="1809" w:type="dxa"/>
          </w:tcPr>
          <w:p w:rsidR="001F6307" w:rsidRPr="001F6307" w:rsidRDefault="001F6307" w:rsidP="00D411F4">
            <w:r w:rsidRPr="001F6307">
              <w:t>ELISA</w:t>
            </w:r>
          </w:p>
        </w:tc>
        <w:tc>
          <w:tcPr>
            <w:tcW w:w="6911" w:type="dxa"/>
          </w:tcPr>
          <w:p w:rsidR="001F6307" w:rsidRPr="001F6307" w:rsidRDefault="001F6307" w:rsidP="00D411F4">
            <w:r w:rsidRPr="001F6307">
              <w:t xml:space="preserve">enzyme linked </w:t>
            </w:r>
            <w:proofErr w:type="spellStart"/>
            <w:r w:rsidRPr="001F6307">
              <w:t>immunosorbent</w:t>
            </w:r>
            <w:proofErr w:type="spellEnd"/>
            <w:r w:rsidRPr="001F6307">
              <w:t xml:space="preserve"> assay</w:t>
            </w:r>
          </w:p>
        </w:tc>
      </w:tr>
      <w:tr w:rsidR="001F6307" w:rsidRPr="001F6307" w:rsidTr="00D411F4">
        <w:tc>
          <w:tcPr>
            <w:tcW w:w="1809" w:type="dxa"/>
          </w:tcPr>
          <w:p w:rsidR="001F6307" w:rsidRPr="001F6307" w:rsidRDefault="001F6307" w:rsidP="00D411F4">
            <w:r w:rsidRPr="001F6307">
              <w:t>GCB</w:t>
            </w:r>
          </w:p>
        </w:tc>
        <w:tc>
          <w:tcPr>
            <w:tcW w:w="6911" w:type="dxa"/>
          </w:tcPr>
          <w:p w:rsidR="001F6307" w:rsidRPr="001F6307" w:rsidRDefault="001F6307" w:rsidP="00D411F4">
            <w:r w:rsidRPr="001F6307">
              <w:t>germinal centre B</w:t>
            </w:r>
          </w:p>
        </w:tc>
      </w:tr>
      <w:tr w:rsidR="001F6307" w:rsidRPr="001F6307" w:rsidTr="00D411F4">
        <w:tc>
          <w:tcPr>
            <w:tcW w:w="1809" w:type="dxa"/>
          </w:tcPr>
          <w:p w:rsidR="001F6307" w:rsidRPr="001F6307" w:rsidRDefault="001F6307" w:rsidP="00D411F4">
            <w:proofErr w:type="spellStart"/>
            <w:r w:rsidRPr="001F6307">
              <w:lastRenderedPageBreak/>
              <w:t>GClb</w:t>
            </w:r>
            <w:proofErr w:type="spellEnd"/>
          </w:p>
        </w:tc>
        <w:tc>
          <w:tcPr>
            <w:tcW w:w="6911" w:type="dxa"/>
          </w:tcPr>
          <w:p w:rsidR="001F6307" w:rsidRPr="001F6307" w:rsidRDefault="001F6307" w:rsidP="00D411F4">
            <w:proofErr w:type="spellStart"/>
            <w:r w:rsidRPr="001F6307">
              <w:t>obinutuzumab</w:t>
            </w:r>
            <w:proofErr w:type="spellEnd"/>
            <w:r w:rsidRPr="001F6307">
              <w:t xml:space="preserve"> (</w:t>
            </w:r>
            <w:proofErr w:type="spellStart"/>
            <w:r w:rsidRPr="001F6307">
              <w:t>Gazyva</w:t>
            </w:r>
            <w:proofErr w:type="spellEnd"/>
            <w:r w:rsidRPr="001F6307">
              <w:t xml:space="preserve">) in combination with </w:t>
            </w:r>
            <w:proofErr w:type="spellStart"/>
            <w:r w:rsidRPr="001F6307">
              <w:t>chlorambucil</w:t>
            </w:r>
            <w:proofErr w:type="spellEnd"/>
            <w:r w:rsidRPr="001F6307">
              <w:t xml:space="preserve"> (</w:t>
            </w:r>
            <w:proofErr w:type="spellStart"/>
            <w:r w:rsidRPr="001F6307">
              <w:t>Clb</w:t>
            </w:r>
            <w:proofErr w:type="spellEnd"/>
            <w:r w:rsidRPr="001F6307">
              <w:t>)</w:t>
            </w:r>
          </w:p>
        </w:tc>
      </w:tr>
      <w:tr w:rsidR="001F6307" w:rsidRPr="001F6307" w:rsidTr="00D411F4">
        <w:tc>
          <w:tcPr>
            <w:tcW w:w="1809" w:type="dxa"/>
          </w:tcPr>
          <w:p w:rsidR="001F6307" w:rsidRPr="001F6307" w:rsidRDefault="001F6307" w:rsidP="00D411F4">
            <w:r w:rsidRPr="001F6307">
              <w:t>GI</w:t>
            </w:r>
          </w:p>
        </w:tc>
        <w:tc>
          <w:tcPr>
            <w:tcW w:w="6911" w:type="dxa"/>
          </w:tcPr>
          <w:p w:rsidR="001F6307" w:rsidRPr="001F6307" w:rsidRDefault="001F6307" w:rsidP="00D411F4">
            <w:r w:rsidRPr="001F6307">
              <w:t>gastrointestinal</w:t>
            </w:r>
          </w:p>
        </w:tc>
      </w:tr>
      <w:tr w:rsidR="001F6307" w:rsidRPr="001F6307" w:rsidTr="00D411F4">
        <w:tc>
          <w:tcPr>
            <w:tcW w:w="1809" w:type="dxa"/>
          </w:tcPr>
          <w:p w:rsidR="001F6307" w:rsidRPr="001F6307" w:rsidRDefault="001F6307" w:rsidP="00D411F4">
            <w:r w:rsidRPr="001F6307">
              <w:t>HAHA</w:t>
            </w:r>
          </w:p>
        </w:tc>
        <w:tc>
          <w:tcPr>
            <w:tcW w:w="6911" w:type="dxa"/>
          </w:tcPr>
          <w:p w:rsidR="001F6307" w:rsidRPr="001F6307" w:rsidRDefault="001F6307" w:rsidP="00D411F4">
            <w:r w:rsidRPr="001F6307">
              <w:t>human anti human antibodies</w:t>
            </w:r>
          </w:p>
        </w:tc>
      </w:tr>
      <w:tr w:rsidR="001F6307" w:rsidRPr="001F6307" w:rsidTr="00D411F4">
        <w:tc>
          <w:tcPr>
            <w:tcW w:w="1809" w:type="dxa"/>
          </w:tcPr>
          <w:p w:rsidR="001F6307" w:rsidRPr="001F6307" w:rsidRDefault="001F6307" w:rsidP="00D411F4">
            <w:r w:rsidRPr="001F6307">
              <w:t>HCCF</w:t>
            </w:r>
          </w:p>
        </w:tc>
        <w:tc>
          <w:tcPr>
            <w:tcW w:w="6911" w:type="dxa"/>
          </w:tcPr>
          <w:p w:rsidR="001F6307" w:rsidRPr="001F6307" w:rsidRDefault="001F6307" w:rsidP="00D411F4">
            <w:r w:rsidRPr="001F6307">
              <w:t>harvested cell culture fluid</w:t>
            </w:r>
          </w:p>
        </w:tc>
      </w:tr>
      <w:tr w:rsidR="001F6307" w:rsidRPr="001F6307" w:rsidTr="00D411F4">
        <w:tc>
          <w:tcPr>
            <w:tcW w:w="1809" w:type="dxa"/>
          </w:tcPr>
          <w:p w:rsidR="001F6307" w:rsidRPr="001F6307" w:rsidRDefault="001F6307" w:rsidP="00D411F4">
            <w:r w:rsidRPr="001F6307">
              <w:t>HR</w:t>
            </w:r>
          </w:p>
        </w:tc>
        <w:tc>
          <w:tcPr>
            <w:tcW w:w="6911" w:type="dxa"/>
          </w:tcPr>
          <w:p w:rsidR="001F6307" w:rsidRPr="001F6307" w:rsidRDefault="001F6307" w:rsidP="00D411F4">
            <w:r w:rsidRPr="001F6307">
              <w:t>hazard ratio</w:t>
            </w:r>
          </w:p>
        </w:tc>
      </w:tr>
      <w:tr w:rsidR="001F6307" w:rsidRPr="001F6307" w:rsidTr="00D411F4">
        <w:tc>
          <w:tcPr>
            <w:tcW w:w="1809" w:type="dxa"/>
          </w:tcPr>
          <w:p w:rsidR="001F6307" w:rsidRPr="001F6307" w:rsidRDefault="001F6307" w:rsidP="00D411F4">
            <w:r w:rsidRPr="001F6307">
              <w:t>IRC</w:t>
            </w:r>
          </w:p>
        </w:tc>
        <w:tc>
          <w:tcPr>
            <w:tcW w:w="6911" w:type="dxa"/>
          </w:tcPr>
          <w:p w:rsidR="001F6307" w:rsidRPr="001F6307" w:rsidRDefault="001F6307" w:rsidP="00D411F4">
            <w:r w:rsidRPr="001F6307">
              <w:t>independent review committee</w:t>
            </w:r>
          </w:p>
        </w:tc>
      </w:tr>
      <w:tr w:rsidR="001F6307" w:rsidRPr="001F6307" w:rsidTr="00D411F4">
        <w:tc>
          <w:tcPr>
            <w:tcW w:w="1809" w:type="dxa"/>
          </w:tcPr>
          <w:p w:rsidR="001F6307" w:rsidRPr="001F6307" w:rsidRDefault="001F6307" w:rsidP="00D411F4">
            <w:r w:rsidRPr="001F6307">
              <w:t>IRR</w:t>
            </w:r>
          </w:p>
        </w:tc>
        <w:tc>
          <w:tcPr>
            <w:tcW w:w="6911" w:type="dxa"/>
          </w:tcPr>
          <w:p w:rsidR="001F6307" w:rsidRPr="001F6307" w:rsidRDefault="001F6307" w:rsidP="00D411F4">
            <w:r w:rsidRPr="001F6307">
              <w:t>infusion related reaction</w:t>
            </w:r>
          </w:p>
        </w:tc>
      </w:tr>
      <w:tr w:rsidR="001F6307" w:rsidRPr="001F6307" w:rsidTr="00D411F4">
        <w:tc>
          <w:tcPr>
            <w:tcW w:w="1809" w:type="dxa"/>
          </w:tcPr>
          <w:p w:rsidR="001F6307" w:rsidRPr="001F6307" w:rsidRDefault="001F6307" w:rsidP="00D411F4">
            <w:r w:rsidRPr="001F6307">
              <w:t>IV</w:t>
            </w:r>
          </w:p>
        </w:tc>
        <w:tc>
          <w:tcPr>
            <w:tcW w:w="6911" w:type="dxa"/>
          </w:tcPr>
          <w:p w:rsidR="001F6307" w:rsidRPr="001F6307" w:rsidRDefault="001F6307" w:rsidP="00D411F4">
            <w:r w:rsidRPr="001F6307">
              <w:t>intravenous</w:t>
            </w:r>
          </w:p>
        </w:tc>
      </w:tr>
      <w:tr w:rsidR="001F6307" w:rsidRPr="001F6307" w:rsidTr="00D411F4">
        <w:tc>
          <w:tcPr>
            <w:tcW w:w="1809" w:type="dxa"/>
          </w:tcPr>
          <w:p w:rsidR="001F6307" w:rsidRPr="001F6307" w:rsidRDefault="001F6307" w:rsidP="00D411F4">
            <w:r w:rsidRPr="001F6307">
              <w:t>KD</w:t>
            </w:r>
          </w:p>
        </w:tc>
        <w:tc>
          <w:tcPr>
            <w:tcW w:w="6911" w:type="dxa"/>
          </w:tcPr>
          <w:p w:rsidR="001F6307" w:rsidRPr="001F6307" w:rsidRDefault="001F6307" w:rsidP="00D411F4">
            <w:r w:rsidRPr="001F6307">
              <w:t>dissociation constant</w:t>
            </w:r>
          </w:p>
        </w:tc>
      </w:tr>
      <w:tr w:rsidR="001F6307" w:rsidRPr="001F6307" w:rsidTr="00D411F4">
        <w:tc>
          <w:tcPr>
            <w:tcW w:w="1809" w:type="dxa"/>
          </w:tcPr>
          <w:p w:rsidR="001F6307" w:rsidRPr="001F6307" w:rsidRDefault="001F6307" w:rsidP="00D411F4">
            <w:proofErr w:type="spellStart"/>
            <w:r w:rsidRPr="001F6307">
              <w:t>k</w:t>
            </w:r>
            <w:r w:rsidRPr="001F6307">
              <w:rPr>
                <w:vertAlign w:val="subscript"/>
              </w:rPr>
              <w:t>des</w:t>
            </w:r>
            <w:proofErr w:type="spellEnd"/>
          </w:p>
        </w:tc>
        <w:tc>
          <w:tcPr>
            <w:tcW w:w="6911" w:type="dxa"/>
          </w:tcPr>
          <w:p w:rsidR="001F6307" w:rsidRPr="001F6307" w:rsidRDefault="001F6307" w:rsidP="00D411F4">
            <w:r w:rsidRPr="001F6307">
              <w:t>decay co-efficient of time dependent clearance</w:t>
            </w:r>
          </w:p>
        </w:tc>
      </w:tr>
      <w:tr w:rsidR="001F6307" w:rsidRPr="001F6307" w:rsidTr="00D411F4">
        <w:tc>
          <w:tcPr>
            <w:tcW w:w="1809" w:type="dxa"/>
          </w:tcPr>
          <w:p w:rsidR="001F6307" w:rsidRPr="001F6307" w:rsidRDefault="001F6307" w:rsidP="00D411F4">
            <w:r w:rsidRPr="001F6307">
              <w:t>MCB</w:t>
            </w:r>
          </w:p>
        </w:tc>
        <w:tc>
          <w:tcPr>
            <w:tcW w:w="6911" w:type="dxa"/>
          </w:tcPr>
          <w:p w:rsidR="001F6307" w:rsidRPr="001F6307" w:rsidRDefault="001F6307" w:rsidP="00D411F4">
            <w:r w:rsidRPr="001F6307">
              <w:t>master cell bank</w:t>
            </w:r>
          </w:p>
        </w:tc>
      </w:tr>
      <w:tr w:rsidR="001F6307" w:rsidRPr="001F6307" w:rsidTr="00D411F4">
        <w:tc>
          <w:tcPr>
            <w:tcW w:w="1809" w:type="dxa"/>
          </w:tcPr>
          <w:p w:rsidR="001F6307" w:rsidRPr="001F6307" w:rsidRDefault="001F6307" w:rsidP="00D411F4">
            <w:r w:rsidRPr="001F6307">
              <w:t>MRD</w:t>
            </w:r>
          </w:p>
        </w:tc>
        <w:tc>
          <w:tcPr>
            <w:tcW w:w="6911" w:type="dxa"/>
          </w:tcPr>
          <w:p w:rsidR="001F6307" w:rsidRPr="001F6307" w:rsidRDefault="001F6307" w:rsidP="00D411F4">
            <w:r w:rsidRPr="001F6307">
              <w:t>minimal residual disease</w:t>
            </w:r>
          </w:p>
        </w:tc>
      </w:tr>
      <w:tr w:rsidR="001F6307" w:rsidRPr="001F6307" w:rsidTr="00D411F4">
        <w:tc>
          <w:tcPr>
            <w:tcW w:w="1809" w:type="dxa"/>
          </w:tcPr>
          <w:p w:rsidR="001F6307" w:rsidRPr="001F6307" w:rsidRDefault="001F6307" w:rsidP="00D411F4">
            <w:r w:rsidRPr="001F6307">
              <w:t>NCI</w:t>
            </w:r>
          </w:p>
        </w:tc>
        <w:tc>
          <w:tcPr>
            <w:tcW w:w="6911" w:type="dxa"/>
          </w:tcPr>
          <w:p w:rsidR="001F6307" w:rsidRPr="001F6307" w:rsidRDefault="001F6307" w:rsidP="00D411F4">
            <w:r w:rsidRPr="001F6307">
              <w:t>National Cancer Institute</w:t>
            </w:r>
          </w:p>
        </w:tc>
      </w:tr>
      <w:tr w:rsidR="001F6307" w:rsidRPr="001F6307" w:rsidTr="00D411F4">
        <w:tc>
          <w:tcPr>
            <w:tcW w:w="1809" w:type="dxa"/>
          </w:tcPr>
          <w:p w:rsidR="001F6307" w:rsidRPr="001F6307" w:rsidRDefault="001F6307" w:rsidP="00D411F4">
            <w:r w:rsidRPr="001F6307">
              <w:t>NHL</w:t>
            </w:r>
          </w:p>
        </w:tc>
        <w:tc>
          <w:tcPr>
            <w:tcW w:w="6911" w:type="dxa"/>
          </w:tcPr>
          <w:p w:rsidR="001F6307" w:rsidRPr="001F6307" w:rsidRDefault="001F6307" w:rsidP="00D411F4">
            <w:r w:rsidRPr="001F6307">
              <w:t>Non Hodgkin lymphoma</w:t>
            </w:r>
          </w:p>
        </w:tc>
      </w:tr>
      <w:tr w:rsidR="001F6307" w:rsidRPr="001F6307" w:rsidTr="00D411F4">
        <w:tc>
          <w:tcPr>
            <w:tcW w:w="1809" w:type="dxa"/>
          </w:tcPr>
          <w:p w:rsidR="001F6307" w:rsidRPr="001F6307" w:rsidRDefault="001F6307" w:rsidP="00D411F4">
            <w:r w:rsidRPr="001F6307">
              <w:t>OB</w:t>
            </w:r>
          </w:p>
        </w:tc>
        <w:tc>
          <w:tcPr>
            <w:tcW w:w="6911" w:type="dxa"/>
          </w:tcPr>
          <w:p w:rsidR="001F6307" w:rsidRPr="001F6307" w:rsidRDefault="001F6307" w:rsidP="00D411F4">
            <w:proofErr w:type="spellStart"/>
            <w:r w:rsidRPr="001F6307">
              <w:t>obinutuzumab</w:t>
            </w:r>
            <w:proofErr w:type="spellEnd"/>
          </w:p>
        </w:tc>
      </w:tr>
      <w:tr w:rsidR="001F6307" w:rsidRPr="001F6307" w:rsidTr="00D411F4">
        <w:tc>
          <w:tcPr>
            <w:tcW w:w="1809" w:type="dxa"/>
          </w:tcPr>
          <w:p w:rsidR="001F6307" w:rsidRPr="001F6307" w:rsidRDefault="001F6307" w:rsidP="00D411F4">
            <w:r w:rsidRPr="001F6307">
              <w:t>OS</w:t>
            </w:r>
          </w:p>
        </w:tc>
        <w:tc>
          <w:tcPr>
            <w:tcW w:w="6911" w:type="dxa"/>
          </w:tcPr>
          <w:p w:rsidR="001F6307" w:rsidRPr="001F6307" w:rsidRDefault="001F6307" w:rsidP="00D411F4">
            <w:r w:rsidRPr="001F6307">
              <w:t>overall survival</w:t>
            </w:r>
          </w:p>
        </w:tc>
      </w:tr>
      <w:tr w:rsidR="001F6307" w:rsidRPr="001F6307" w:rsidTr="00D411F4">
        <w:tc>
          <w:tcPr>
            <w:tcW w:w="1809" w:type="dxa"/>
          </w:tcPr>
          <w:p w:rsidR="001F6307" w:rsidRPr="001F6307" w:rsidRDefault="001F6307" w:rsidP="00D411F4">
            <w:r w:rsidRPr="001F6307">
              <w:t>PD</w:t>
            </w:r>
          </w:p>
        </w:tc>
        <w:tc>
          <w:tcPr>
            <w:tcW w:w="6911" w:type="dxa"/>
          </w:tcPr>
          <w:p w:rsidR="001F6307" w:rsidRPr="001F6307" w:rsidRDefault="001F6307" w:rsidP="00D411F4">
            <w:proofErr w:type="spellStart"/>
            <w:r w:rsidRPr="001F6307">
              <w:t>pharmacodynamic</w:t>
            </w:r>
            <w:proofErr w:type="spellEnd"/>
            <w:r w:rsidRPr="001F6307">
              <w:t>(s)</w:t>
            </w:r>
          </w:p>
        </w:tc>
      </w:tr>
      <w:tr w:rsidR="001F6307" w:rsidRPr="001F6307" w:rsidTr="00D411F4">
        <w:tc>
          <w:tcPr>
            <w:tcW w:w="1809" w:type="dxa"/>
          </w:tcPr>
          <w:p w:rsidR="001F6307" w:rsidRPr="001F6307" w:rsidRDefault="001F6307" w:rsidP="00D411F4">
            <w:r w:rsidRPr="001F6307">
              <w:t>PFS</w:t>
            </w:r>
          </w:p>
        </w:tc>
        <w:tc>
          <w:tcPr>
            <w:tcW w:w="6911" w:type="dxa"/>
          </w:tcPr>
          <w:p w:rsidR="001F6307" w:rsidRPr="001F6307" w:rsidRDefault="001F6307" w:rsidP="00D411F4">
            <w:r w:rsidRPr="001F6307">
              <w:t>progression free survival</w:t>
            </w:r>
          </w:p>
        </w:tc>
      </w:tr>
      <w:tr w:rsidR="001F6307" w:rsidRPr="001F6307" w:rsidTr="00D411F4">
        <w:tc>
          <w:tcPr>
            <w:tcW w:w="1809" w:type="dxa"/>
          </w:tcPr>
          <w:p w:rsidR="001F6307" w:rsidRPr="001F6307" w:rsidRDefault="001F6307" w:rsidP="00D411F4">
            <w:r w:rsidRPr="001F6307">
              <w:t>PI</w:t>
            </w:r>
          </w:p>
        </w:tc>
        <w:tc>
          <w:tcPr>
            <w:tcW w:w="6911" w:type="dxa"/>
          </w:tcPr>
          <w:p w:rsidR="001F6307" w:rsidRPr="001F6307" w:rsidRDefault="001F6307" w:rsidP="00D411F4">
            <w:r w:rsidRPr="001F6307">
              <w:t>Product Information</w:t>
            </w:r>
          </w:p>
        </w:tc>
      </w:tr>
      <w:tr w:rsidR="001F6307" w:rsidRPr="001F6307" w:rsidTr="00D411F4">
        <w:tc>
          <w:tcPr>
            <w:tcW w:w="1809" w:type="dxa"/>
          </w:tcPr>
          <w:p w:rsidR="001F6307" w:rsidRPr="001F6307" w:rsidRDefault="001F6307" w:rsidP="00D411F4">
            <w:r w:rsidRPr="001F6307">
              <w:t>PK</w:t>
            </w:r>
          </w:p>
        </w:tc>
        <w:tc>
          <w:tcPr>
            <w:tcW w:w="6911" w:type="dxa"/>
          </w:tcPr>
          <w:p w:rsidR="001F6307" w:rsidRPr="001F6307" w:rsidRDefault="001F6307" w:rsidP="00D411F4">
            <w:r w:rsidRPr="001F6307">
              <w:t>pharmacokinetic(s)</w:t>
            </w:r>
          </w:p>
        </w:tc>
      </w:tr>
      <w:tr w:rsidR="001F6307" w:rsidRPr="001F6307" w:rsidTr="00D411F4">
        <w:tc>
          <w:tcPr>
            <w:tcW w:w="1809" w:type="dxa"/>
          </w:tcPr>
          <w:p w:rsidR="001F6307" w:rsidRPr="001F6307" w:rsidRDefault="001F6307" w:rsidP="00D411F4">
            <w:r w:rsidRPr="001F6307">
              <w:t>PML</w:t>
            </w:r>
          </w:p>
        </w:tc>
        <w:tc>
          <w:tcPr>
            <w:tcW w:w="6911" w:type="dxa"/>
          </w:tcPr>
          <w:p w:rsidR="001F6307" w:rsidRPr="001F6307" w:rsidRDefault="001F6307" w:rsidP="00D411F4">
            <w:r w:rsidRPr="001F6307">
              <w:t xml:space="preserve">progressive multifocal </w:t>
            </w:r>
            <w:proofErr w:type="spellStart"/>
            <w:r w:rsidRPr="001F6307">
              <w:t>leukoencephalopathy</w:t>
            </w:r>
            <w:proofErr w:type="spellEnd"/>
          </w:p>
        </w:tc>
      </w:tr>
      <w:tr w:rsidR="001F6307" w:rsidRPr="001F6307" w:rsidTr="00D411F4">
        <w:tc>
          <w:tcPr>
            <w:tcW w:w="1809" w:type="dxa"/>
          </w:tcPr>
          <w:p w:rsidR="001F6307" w:rsidRPr="001F6307" w:rsidRDefault="001F6307" w:rsidP="00D411F4">
            <w:r w:rsidRPr="001F6307">
              <w:t>PR</w:t>
            </w:r>
          </w:p>
        </w:tc>
        <w:tc>
          <w:tcPr>
            <w:tcW w:w="6911" w:type="dxa"/>
          </w:tcPr>
          <w:p w:rsidR="001F6307" w:rsidRPr="001F6307" w:rsidRDefault="001F6307" w:rsidP="00D411F4">
            <w:r w:rsidRPr="001F6307">
              <w:t>partial remission</w:t>
            </w:r>
          </w:p>
        </w:tc>
      </w:tr>
      <w:tr w:rsidR="001F6307" w:rsidRPr="001F6307" w:rsidTr="00D411F4">
        <w:tc>
          <w:tcPr>
            <w:tcW w:w="1809" w:type="dxa"/>
          </w:tcPr>
          <w:p w:rsidR="001F6307" w:rsidRPr="001F6307" w:rsidRDefault="001F6307" w:rsidP="00D411F4">
            <w:r w:rsidRPr="001F6307">
              <w:t>Q</w:t>
            </w:r>
          </w:p>
        </w:tc>
        <w:tc>
          <w:tcPr>
            <w:tcW w:w="6911" w:type="dxa"/>
          </w:tcPr>
          <w:p w:rsidR="001F6307" w:rsidRPr="001F6307" w:rsidRDefault="001F6307" w:rsidP="00D411F4">
            <w:r w:rsidRPr="001F6307">
              <w:t>inter compartmental clearance</w:t>
            </w:r>
          </w:p>
        </w:tc>
      </w:tr>
      <w:tr w:rsidR="001F6307" w:rsidRPr="001F6307" w:rsidTr="00D411F4">
        <w:tc>
          <w:tcPr>
            <w:tcW w:w="1809" w:type="dxa"/>
          </w:tcPr>
          <w:p w:rsidR="001F6307" w:rsidRPr="001F6307" w:rsidRDefault="001F6307" w:rsidP="00D411F4">
            <w:proofErr w:type="spellStart"/>
            <w:r w:rsidRPr="001F6307">
              <w:t>RClb</w:t>
            </w:r>
            <w:proofErr w:type="spellEnd"/>
          </w:p>
        </w:tc>
        <w:tc>
          <w:tcPr>
            <w:tcW w:w="6911" w:type="dxa"/>
          </w:tcPr>
          <w:p w:rsidR="001F6307" w:rsidRPr="001F6307" w:rsidRDefault="001F6307" w:rsidP="00D411F4">
            <w:r w:rsidRPr="001F6307">
              <w:t xml:space="preserve">rituximab in combination with </w:t>
            </w:r>
            <w:proofErr w:type="spellStart"/>
            <w:r w:rsidRPr="001F6307">
              <w:t>chlorambucil</w:t>
            </w:r>
            <w:proofErr w:type="spellEnd"/>
            <w:r w:rsidRPr="001F6307">
              <w:t xml:space="preserve"> (</w:t>
            </w:r>
            <w:proofErr w:type="spellStart"/>
            <w:r w:rsidRPr="001F6307">
              <w:t>Clb</w:t>
            </w:r>
            <w:proofErr w:type="spellEnd"/>
            <w:r w:rsidRPr="001F6307">
              <w:t>)</w:t>
            </w:r>
          </w:p>
        </w:tc>
      </w:tr>
      <w:tr w:rsidR="001F6307" w:rsidRPr="001F6307" w:rsidTr="00D411F4">
        <w:tc>
          <w:tcPr>
            <w:tcW w:w="1809" w:type="dxa"/>
          </w:tcPr>
          <w:p w:rsidR="001F6307" w:rsidRPr="001F6307" w:rsidRDefault="001F6307" w:rsidP="00D411F4">
            <w:r w:rsidRPr="001F6307">
              <w:t>RMP</w:t>
            </w:r>
          </w:p>
        </w:tc>
        <w:tc>
          <w:tcPr>
            <w:tcW w:w="6911" w:type="dxa"/>
          </w:tcPr>
          <w:p w:rsidR="001F6307" w:rsidRPr="001F6307" w:rsidRDefault="001F6307" w:rsidP="00D411F4">
            <w:r w:rsidRPr="001F6307">
              <w:t>Risk Management Plan</w:t>
            </w:r>
          </w:p>
        </w:tc>
      </w:tr>
      <w:tr w:rsidR="001F6307" w:rsidRPr="001F6307" w:rsidTr="00D411F4">
        <w:tc>
          <w:tcPr>
            <w:tcW w:w="1809" w:type="dxa"/>
          </w:tcPr>
          <w:p w:rsidR="001F6307" w:rsidRPr="001F6307" w:rsidRDefault="001F6307" w:rsidP="00D411F4">
            <w:r w:rsidRPr="001F6307">
              <w:t>SAP</w:t>
            </w:r>
          </w:p>
        </w:tc>
        <w:tc>
          <w:tcPr>
            <w:tcW w:w="6911" w:type="dxa"/>
          </w:tcPr>
          <w:p w:rsidR="001F6307" w:rsidRPr="001F6307" w:rsidRDefault="001F6307" w:rsidP="00D411F4">
            <w:r w:rsidRPr="001F6307">
              <w:t>safety analysis population</w:t>
            </w:r>
          </w:p>
        </w:tc>
      </w:tr>
      <w:tr w:rsidR="001F6307" w:rsidRPr="001F6307" w:rsidTr="00D411F4">
        <w:tc>
          <w:tcPr>
            <w:tcW w:w="1809" w:type="dxa"/>
          </w:tcPr>
          <w:p w:rsidR="001F6307" w:rsidRPr="001F6307" w:rsidRDefault="001F6307" w:rsidP="00D411F4">
            <w:r w:rsidRPr="001F6307">
              <w:lastRenderedPageBreak/>
              <w:t>SC</w:t>
            </w:r>
          </w:p>
        </w:tc>
        <w:tc>
          <w:tcPr>
            <w:tcW w:w="6911" w:type="dxa"/>
          </w:tcPr>
          <w:p w:rsidR="001F6307" w:rsidRPr="001F6307" w:rsidRDefault="001F6307" w:rsidP="00D411F4">
            <w:r w:rsidRPr="001F6307">
              <w:t>subcutaneous</w:t>
            </w:r>
          </w:p>
        </w:tc>
      </w:tr>
      <w:tr w:rsidR="001F6307" w:rsidRPr="001F6307" w:rsidTr="00D411F4">
        <w:tc>
          <w:tcPr>
            <w:tcW w:w="1809" w:type="dxa"/>
          </w:tcPr>
          <w:p w:rsidR="001F6307" w:rsidRPr="001F6307" w:rsidRDefault="001F6307" w:rsidP="00D411F4">
            <w:r w:rsidRPr="001F6307">
              <w:t>t</w:t>
            </w:r>
            <w:r w:rsidRPr="001F6307">
              <w:rPr>
                <w:vertAlign w:val="subscript"/>
              </w:rPr>
              <w:t>1/2</w:t>
            </w:r>
          </w:p>
        </w:tc>
        <w:tc>
          <w:tcPr>
            <w:tcW w:w="6911" w:type="dxa"/>
          </w:tcPr>
          <w:p w:rsidR="001F6307" w:rsidRPr="001F6307" w:rsidRDefault="001F6307" w:rsidP="00D411F4">
            <w:r w:rsidRPr="001F6307">
              <w:t>elimination half life</w:t>
            </w:r>
          </w:p>
        </w:tc>
      </w:tr>
      <w:tr w:rsidR="001F6307" w:rsidRPr="001F6307" w:rsidTr="00D411F4">
        <w:tc>
          <w:tcPr>
            <w:tcW w:w="1809" w:type="dxa"/>
          </w:tcPr>
          <w:p w:rsidR="001F6307" w:rsidRPr="001F6307" w:rsidRDefault="001F6307" w:rsidP="00D411F4">
            <w:r w:rsidRPr="001F6307">
              <w:t>TGI</w:t>
            </w:r>
          </w:p>
        </w:tc>
        <w:tc>
          <w:tcPr>
            <w:tcW w:w="6911" w:type="dxa"/>
          </w:tcPr>
          <w:p w:rsidR="001F6307" w:rsidRPr="001F6307" w:rsidRDefault="001F6307" w:rsidP="00D411F4">
            <w:r w:rsidRPr="001F6307">
              <w:t>tumour growth inhibition</w:t>
            </w:r>
          </w:p>
        </w:tc>
      </w:tr>
      <w:tr w:rsidR="001F6307" w:rsidRPr="001F6307" w:rsidTr="00D411F4">
        <w:tc>
          <w:tcPr>
            <w:tcW w:w="1809" w:type="dxa"/>
          </w:tcPr>
          <w:p w:rsidR="001F6307" w:rsidRPr="001F6307" w:rsidRDefault="001F6307" w:rsidP="00D411F4">
            <w:r w:rsidRPr="001F6307">
              <w:t>TLS</w:t>
            </w:r>
          </w:p>
        </w:tc>
        <w:tc>
          <w:tcPr>
            <w:tcW w:w="6911" w:type="dxa"/>
          </w:tcPr>
          <w:p w:rsidR="001F6307" w:rsidRPr="001F6307" w:rsidRDefault="001F6307" w:rsidP="00D411F4">
            <w:r w:rsidRPr="001F6307">
              <w:t xml:space="preserve">tumour </w:t>
            </w:r>
            <w:proofErr w:type="spellStart"/>
            <w:r w:rsidRPr="001F6307">
              <w:t>lysis</w:t>
            </w:r>
            <w:proofErr w:type="spellEnd"/>
            <w:r w:rsidRPr="001F6307">
              <w:t xml:space="preserve"> syndrome</w:t>
            </w:r>
          </w:p>
        </w:tc>
      </w:tr>
      <w:tr w:rsidR="001F6307" w:rsidRPr="001F6307" w:rsidTr="00D411F4">
        <w:tc>
          <w:tcPr>
            <w:tcW w:w="1809" w:type="dxa"/>
          </w:tcPr>
          <w:p w:rsidR="001F6307" w:rsidRPr="001F6307" w:rsidRDefault="001F6307" w:rsidP="00D411F4">
            <w:r w:rsidRPr="001F6307">
              <w:t>V</w:t>
            </w:r>
            <w:r w:rsidRPr="001F6307">
              <w:rPr>
                <w:vertAlign w:val="subscript"/>
              </w:rPr>
              <w:t>1</w:t>
            </w:r>
          </w:p>
        </w:tc>
        <w:tc>
          <w:tcPr>
            <w:tcW w:w="6911" w:type="dxa"/>
          </w:tcPr>
          <w:p w:rsidR="001F6307" w:rsidRPr="001F6307" w:rsidRDefault="001F6307" w:rsidP="00D411F4">
            <w:r w:rsidRPr="001F6307">
              <w:t>central volume of distribution</w:t>
            </w:r>
          </w:p>
        </w:tc>
      </w:tr>
      <w:tr w:rsidR="001F6307" w:rsidRPr="001F6307" w:rsidTr="00D411F4">
        <w:tc>
          <w:tcPr>
            <w:tcW w:w="1809" w:type="dxa"/>
          </w:tcPr>
          <w:p w:rsidR="001F6307" w:rsidRPr="001F6307" w:rsidRDefault="001F6307" w:rsidP="00D411F4">
            <w:r w:rsidRPr="001F6307">
              <w:t>V</w:t>
            </w:r>
            <w:r w:rsidRPr="001F6307">
              <w:rPr>
                <w:vertAlign w:val="subscript"/>
              </w:rPr>
              <w:t>2</w:t>
            </w:r>
          </w:p>
        </w:tc>
        <w:tc>
          <w:tcPr>
            <w:tcW w:w="6911" w:type="dxa"/>
          </w:tcPr>
          <w:p w:rsidR="001F6307" w:rsidRPr="001F6307" w:rsidRDefault="001F6307" w:rsidP="00D411F4">
            <w:r w:rsidRPr="001F6307">
              <w:t>peripheral volume of distribution</w:t>
            </w:r>
          </w:p>
        </w:tc>
      </w:tr>
      <w:tr w:rsidR="001F6307" w:rsidRPr="001F6307" w:rsidTr="00D411F4">
        <w:tc>
          <w:tcPr>
            <w:tcW w:w="1809" w:type="dxa"/>
          </w:tcPr>
          <w:p w:rsidR="001F6307" w:rsidRPr="001F6307" w:rsidRDefault="001F6307" w:rsidP="00D411F4">
            <w:proofErr w:type="spellStart"/>
            <w:r w:rsidRPr="001F6307">
              <w:t>V</w:t>
            </w:r>
            <w:r w:rsidRPr="001F6307">
              <w:rPr>
                <w:vertAlign w:val="subscript"/>
              </w:rPr>
              <w:t>ss</w:t>
            </w:r>
            <w:proofErr w:type="spellEnd"/>
          </w:p>
        </w:tc>
        <w:tc>
          <w:tcPr>
            <w:tcW w:w="6911" w:type="dxa"/>
          </w:tcPr>
          <w:p w:rsidR="001F6307" w:rsidRPr="001F6307" w:rsidRDefault="001F6307" w:rsidP="00D411F4">
            <w:r w:rsidRPr="001F6307">
              <w:t>volume of distribution at steady state</w:t>
            </w:r>
          </w:p>
        </w:tc>
      </w:tr>
      <w:tr w:rsidR="001F6307" w:rsidRPr="001F6307" w:rsidTr="00D411F4">
        <w:tc>
          <w:tcPr>
            <w:tcW w:w="1809" w:type="dxa"/>
          </w:tcPr>
          <w:p w:rsidR="001F6307" w:rsidRPr="001F6307" w:rsidRDefault="001F6307" w:rsidP="00D411F4">
            <w:r w:rsidRPr="001F6307">
              <w:t>WCB</w:t>
            </w:r>
          </w:p>
        </w:tc>
        <w:tc>
          <w:tcPr>
            <w:tcW w:w="6911" w:type="dxa"/>
          </w:tcPr>
          <w:p w:rsidR="001F6307" w:rsidRPr="001F6307" w:rsidRDefault="001F6307" w:rsidP="00D411F4">
            <w:r w:rsidRPr="001F6307">
              <w:t>working cell bank</w:t>
            </w:r>
          </w:p>
        </w:tc>
      </w:tr>
    </w:tbl>
    <w:p w:rsidR="001F6307" w:rsidRPr="001F6307" w:rsidRDefault="001F6307" w:rsidP="001F6307">
      <w:r w:rsidRPr="001F6307">
        <w:br w:type="page"/>
      </w:r>
    </w:p>
    <w:p w:rsidR="001F6307" w:rsidRPr="001F6307" w:rsidRDefault="001F6307" w:rsidP="00D411F4">
      <w:pPr>
        <w:pStyle w:val="Heading2"/>
      </w:pPr>
      <w:bookmarkStart w:id="10" w:name="_Toc395872548"/>
      <w:bookmarkStart w:id="11" w:name="_Toc399425126"/>
      <w:r w:rsidRPr="001F6307">
        <w:lastRenderedPageBreak/>
        <w:t>I. Introduction to product submission</w:t>
      </w:r>
      <w:bookmarkEnd w:id="10"/>
      <w:bookmarkEnd w:id="11"/>
    </w:p>
    <w:p w:rsidR="001F6307" w:rsidRPr="001F6307" w:rsidRDefault="001F6307" w:rsidP="00D411F4">
      <w:pPr>
        <w:pStyle w:val="Heading3"/>
        <w:rPr>
          <w:lang w:eastAsia="en-AU"/>
        </w:rPr>
      </w:pPr>
      <w:bookmarkStart w:id="12" w:name="_Toc247691502"/>
      <w:bookmarkStart w:id="13" w:name="_Toc314842483"/>
      <w:bookmarkStart w:id="14" w:name="_Toc395872549"/>
      <w:bookmarkStart w:id="15" w:name="_Toc399425127"/>
      <w:r w:rsidRPr="001F6307">
        <w:rPr>
          <w:lang w:eastAsia="en-AU"/>
        </w:rPr>
        <w:t xml:space="preserve">Submission </w:t>
      </w:r>
      <w:r w:rsidR="00D411F4">
        <w:rPr>
          <w:lang w:eastAsia="en-AU"/>
        </w:rPr>
        <w:t>d</w:t>
      </w:r>
      <w:r w:rsidRPr="001F6307">
        <w:rPr>
          <w:lang w:eastAsia="en-AU"/>
        </w:rPr>
        <w:t>etails</w:t>
      </w:r>
      <w:bookmarkEnd w:id="12"/>
      <w:bookmarkEnd w:id="13"/>
      <w:bookmarkEnd w:id="14"/>
      <w:bookmarkEnd w:id="15"/>
    </w:p>
    <w:tbl>
      <w:tblPr>
        <w:tblW w:w="9497" w:type="dxa"/>
        <w:tblInd w:w="108" w:type="dxa"/>
        <w:tblLook w:val="01E0" w:firstRow="1" w:lastRow="1" w:firstColumn="1" w:lastColumn="1" w:noHBand="0" w:noVBand="0"/>
      </w:tblPr>
      <w:tblGrid>
        <w:gridCol w:w="2907"/>
        <w:gridCol w:w="6590"/>
      </w:tblGrid>
      <w:tr w:rsidR="001F6307" w:rsidRPr="001F6307" w:rsidTr="00EB11CF">
        <w:trPr>
          <w:trHeight w:hRule="exact" w:val="454"/>
        </w:trPr>
        <w:tc>
          <w:tcPr>
            <w:tcW w:w="2907" w:type="dxa"/>
          </w:tcPr>
          <w:p w:rsidR="001F6307" w:rsidRPr="001F6307" w:rsidRDefault="001F6307" w:rsidP="001F6307">
            <w:pPr>
              <w:rPr>
                <w:i/>
              </w:rPr>
            </w:pPr>
            <w:r w:rsidRPr="001F6307">
              <w:rPr>
                <w:i/>
              </w:rPr>
              <w:t>Type of submission:</w:t>
            </w:r>
          </w:p>
        </w:tc>
        <w:tc>
          <w:tcPr>
            <w:tcW w:w="6590" w:type="dxa"/>
          </w:tcPr>
          <w:p w:rsidR="001F6307" w:rsidRPr="001F6307" w:rsidRDefault="001F6307" w:rsidP="001F6307">
            <w:r w:rsidRPr="001F6307">
              <w:t>New biological entity</w:t>
            </w:r>
          </w:p>
        </w:tc>
      </w:tr>
      <w:tr w:rsidR="001F6307" w:rsidRPr="001F6307" w:rsidTr="00EB11CF">
        <w:trPr>
          <w:trHeight w:hRule="exact" w:val="454"/>
        </w:trPr>
        <w:tc>
          <w:tcPr>
            <w:tcW w:w="2907" w:type="dxa"/>
          </w:tcPr>
          <w:p w:rsidR="001F6307" w:rsidRPr="001F6307" w:rsidRDefault="001F6307" w:rsidP="001F6307">
            <w:r w:rsidRPr="001F6307">
              <w:rPr>
                <w:i/>
              </w:rPr>
              <w:t>Decision</w:t>
            </w:r>
            <w:r w:rsidRPr="001F6307">
              <w:t>:</w:t>
            </w:r>
          </w:p>
        </w:tc>
        <w:tc>
          <w:tcPr>
            <w:tcW w:w="6590" w:type="dxa"/>
          </w:tcPr>
          <w:p w:rsidR="001F6307" w:rsidRPr="001F6307" w:rsidRDefault="001F6307" w:rsidP="001F6307">
            <w:r w:rsidRPr="001F6307">
              <w:t>Approved</w:t>
            </w:r>
          </w:p>
        </w:tc>
      </w:tr>
      <w:tr w:rsidR="001F6307" w:rsidRPr="001F6307" w:rsidTr="00EB11CF">
        <w:trPr>
          <w:trHeight w:hRule="exact" w:val="454"/>
        </w:trPr>
        <w:tc>
          <w:tcPr>
            <w:tcW w:w="2907" w:type="dxa"/>
          </w:tcPr>
          <w:p w:rsidR="001F6307" w:rsidRPr="001F6307" w:rsidRDefault="001F6307" w:rsidP="001F6307">
            <w:pPr>
              <w:rPr>
                <w:i/>
              </w:rPr>
            </w:pPr>
            <w:r w:rsidRPr="001F6307">
              <w:rPr>
                <w:i/>
              </w:rPr>
              <w:t>Date of decision:</w:t>
            </w:r>
          </w:p>
        </w:tc>
        <w:tc>
          <w:tcPr>
            <w:tcW w:w="6590" w:type="dxa"/>
          </w:tcPr>
          <w:p w:rsidR="001F6307" w:rsidRPr="001F6307" w:rsidRDefault="001F6307" w:rsidP="001F6307">
            <w:r w:rsidRPr="001F6307">
              <w:t>7 May 2014</w:t>
            </w:r>
          </w:p>
        </w:tc>
      </w:tr>
    </w:tbl>
    <w:p w:rsidR="001F6307" w:rsidRPr="001F6307" w:rsidRDefault="001F6307" w:rsidP="001F6307"/>
    <w:tbl>
      <w:tblPr>
        <w:tblW w:w="9214" w:type="dxa"/>
        <w:tblInd w:w="108" w:type="dxa"/>
        <w:tblLook w:val="01E0" w:firstRow="1" w:lastRow="1" w:firstColumn="1" w:lastColumn="1" w:noHBand="0" w:noVBand="0"/>
      </w:tblPr>
      <w:tblGrid>
        <w:gridCol w:w="2907"/>
        <w:gridCol w:w="6307"/>
      </w:tblGrid>
      <w:tr w:rsidR="001F6307" w:rsidRPr="001F6307" w:rsidTr="00EB11CF">
        <w:tc>
          <w:tcPr>
            <w:tcW w:w="2907" w:type="dxa"/>
          </w:tcPr>
          <w:p w:rsidR="001F6307" w:rsidRPr="001F6307" w:rsidRDefault="001F6307" w:rsidP="001F6307">
            <w:pPr>
              <w:rPr>
                <w:i/>
              </w:rPr>
            </w:pPr>
            <w:r w:rsidRPr="001F6307">
              <w:rPr>
                <w:i/>
              </w:rPr>
              <w:t>Active ingredient:</w:t>
            </w:r>
          </w:p>
        </w:tc>
        <w:tc>
          <w:tcPr>
            <w:tcW w:w="6307" w:type="dxa"/>
          </w:tcPr>
          <w:p w:rsidR="001F6307" w:rsidRPr="001F6307" w:rsidRDefault="001F6307" w:rsidP="001F6307">
            <w:proofErr w:type="spellStart"/>
            <w:r w:rsidRPr="001F6307">
              <w:t>Obinutuzumab</w:t>
            </w:r>
            <w:proofErr w:type="spellEnd"/>
          </w:p>
        </w:tc>
      </w:tr>
      <w:tr w:rsidR="001F6307" w:rsidRPr="001F6307" w:rsidTr="00EB11CF">
        <w:tc>
          <w:tcPr>
            <w:tcW w:w="2907" w:type="dxa"/>
          </w:tcPr>
          <w:p w:rsidR="001F6307" w:rsidRPr="001F6307" w:rsidRDefault="001F6307" w:rsidP="001F6307">
            <w:pPr>
              <w:rPr>
                <w:i/>
              </w:rPr>
            </w:pPr>
            <w:r w:rsidRPr="001F6307">
              <w:rPr>
                <w:i/>
              </w:rPr>
              <w:t>Product name:</w:t>
            </w:r>
          </w:p>
        </w:tc>
        <w:tc>
          <w:tcPr>
            <w:tcW w:w="6307" w:type="dxa"/>
          </w:tcPr>
          <w:p w:rsidR="001F6307" w:rsidRPr="001F6307" w:rsidRDefault="001F6307" w:rsidP="001F6307">
            <w:proofErr w:type="spellStart"/>
            <w:r w:rsidRPr="001F6307">
              <w:t>Gazyva</w:t>
            </w:r>
            <w:proofErr w:type="spellEnd"/>
          </w:p>
        </w:tc>
      </w:tr>
      <w:tr w:rsidR="001F6307" w:rsidRPr="001F6307" w:rsidTr="00EB11CF">
        <w:tc>
          <w:tcPr>
            <w:tcW w:w="2907" w:type="dxa"/>
          </w:tcPr>
          <w:p w:rsidR="001F6307" w:rsidRPr="001F6307" w:rsidRDefault="001F6307" w:rsidP="001F6307">
            <w:pPr>
              <w:rPr>
                <w:i/>
              </w:rPr>
            </w:pPr>
            <w:r w:rsidRPr="001F6307">
              <w:rPr>
                <w:i/>
              </w:rPr>
              <w:t>Sponsor’s name and address:</w:t>
            </w:r>
          </w:p>
        </w:tc>
        <w:tc>
          <w:tcPr>
            <w:tcW w:w="6307" w:type="dxa"/>
          </w:tcPr>
          <w:p w:rsidR="001F6307" w:rsidRPr="001F6307" w:rsidRDefault="001F6307" w:rsidP="001F6307">
            <w:r w:rsidRPr="001F6307">
              <w:t>Roche Products Pty Ltd</w:t>
            </w:r>
          </w:p>
          <w:p w:rsidR="001F6307" w:rsidRPr="001F6307" w:rsidRDefault="001F6307" w:rsidP="001F6307">
            <w:r w:rsidRPr="001F6307">
              <w:t>4-10 Inman Road</w:t>
            </w:r>
          </w:p>
          <w:p w:rsidR="001F6307" w:rsidRPr="001F6307" w:rsidRDefault="001F6307" w:rsidP="001F6307">
            <w:r w:rsidRPr="001F6307">
              <w:t>PO Box 255</w:t>
            </w:r>
          </w:p>
          <w:p w:rsidR="001F6307" w:rsidRPr="001F6307" w:rsidRDefault="001F6307" w:rsidP="001F6307">
            <w:r w:rsidRPr="001F6307">
              <w:t>Dee Why NSW 2099</w:t>
            </w:r>
          </w:p>
        </w:tc>
      </w:tr>
      <w:tr w:rsidR="001F6307" w:rsidRPr="001F6307" w:rsidTr="00EB11CF">
        <w:tc>
          <w:tcPr>
            <w:tcW w:w="2907" w:type="dxa"/>
          </w:tcPr>
          <w:p w:rsidR="001F6307" w:rsidRPr="001F6307" w:rsidRDefault="001F6307" w:rsidP="001F6307">
            <w:pPr>
              <w:rPr>
                <w:i/>
              </w:rPr>
            </w:pPr>
            <w:r w:rsidRPr="001F6307">
              <w:rPr>
                <w:i/>
              </w:rPr>
              <w:t>Dose form:</w:t>
            </w:r>
          </w:p>
        </w:tc>
        <w:tc>
          <w:tcPr>
            <w:tcW w:w="6307" w:type="dxa"/>
          </w:tcPr>
          <w:p w:rsidR="001F6307" w:rsidRPr="001F6307" w:rsidRDefault="001F6307" w:rsidP="001F6307">
            <w:r w:rsidRPr="001F6307">
              <w:t>Concentrate solution for infusion</w:t>
            </w:r>
          </w:p>
        </w:tc>
      </w:tr>
      <w:tr w:rsidR="001F6307" w:rsidRPr="001F6307" w:rsidTr="00EB11CF">
        <w:tc>
          <w:tcPr>
            <w:tcW w:w="2907" w:type="dxa"/>
          </w:tcPr>
          <w:p w:rsidR="001F6307" w:rsidRPr="001F6307" w:rsidRDefault="001F6307" w:rsidP="001F6307">
            <w:pPr>
              <w:rPr>
                <w:i/>
              </w:rPr>
            </w:pPr>
            <w:r w:rsidRPr="001F6307">
              <w:rPr>
                <w:i/>
              </w:rPr>
              <w:t xml:space="preserve">Strength: </w:t>
            </w:r>
          </w:p>
        </w:tc>
        <w:tc>
          <w:tcPr>
            <w:tcW w:w="6307" w:type="dxa"/>
          </w:tcPr>
          <w:p w:rsidR="001F6307" w:rsidRPr="001F6307" w:rsidRDefault="001F6307" w:rsidP="001F6307">
            <w:r w:rsidRPr="001F6307">
              <w:t>1000 mg</w:t>
            </w:r>
          </w:p>
        </w:tc>
      </w:tr>
      <w:tr w:rsidR="001F6307" w:rsidRPr="001F6307" w:rsidTr="00EB11CF">
        <w:tc>
          <w:tcPr>
            <w:tcW w:w="2907" w:type="dxa"/>
          </w:tcPr>
          <w:p w:rsidR="001F6307" w:rsidRPr="001F6307" w:rsidRDefault="001F6307" w:rsidP="001F6307">
            <w:pPr>
              <w:rPr>
                <w:i/>
              </w:rPr>
            </w:pPr>
            <w:r w:rsidRPr="001F6307">
              <w:rPr>
                <w:i/>
              </w:rPr>
              <w:t>Container:</w:t>
            </w:r>
          </w:p>
        </w:tc>
        <w:tc>
          <w:tcPr>
            <w:tcW w:w="6307" w:type="dxa"/>
          </w:tcPr>
          <w:p w:rsidR="001F6307" w:rsidRPr="001F6307" w:rsidRDefault="001F6307" w:rsidP="001F6307">
            <w:r w:rsidRPr="001F6307">
              <w:t>Vial</w:t>
            </w:r>
          </w:p>
        </w:tc>
      </w:tr>
      <w:tr w:rsidR="001F6307" w:rsidRPr="001F6307" w:rsidTr="00EB11CF">
        <w:tc>
          <w:tcPr>
            <w:tcW w:w="2907" w:type="dxa"/>
          </w:tcPr>
          <w:p w:rsidR="001F6307" w:rsidRPr="001F6307" w:rsidRDefault="001F6307" w:rsidP="001F6307">
            <w:pPr>
              <w:rPr>
                <w:i/>
              </w:rPr>
            </w:pPr>
            <w:r w:rsidRPr="001F6307">
              <w:rPr>
                <w:i/>
              </w:rPr>
              <w:t>Pack size:</w:t>
            </w:r>
          </w:p>
        </w:tc>
        <w:tc>
          <w:tcPr>
            <w:tcW w:w="6307" w:type="dxa"/>
          </w:tcPr>
          <w:p w:rsidR="001F6307" w:rsidRPr="001F6307" w:rsidRDefault="001F6307" w:rsidP="001F6307">
            <w:r w:rsidRPr="001F6307">
              <w:t>1 vial</w:t>
            </w:r>
          </w:p>
        </w:tc>
      </w:tr>
      <w:tr w:rsidR="001F6307" w:rsidRPr="001F6307" w:rsidTr="00EB11CF">
        <w:tc>
          <w:tcPr>
            <w:tcW w:w="2907" w:type="dxa"/>
          </w:tcPr>
          <w:p w:rsidR="001F6307" w:rsidRPr="001F6307" w:rsidRDefault="001F6307" w:rsidP="001F6307">
            <w:pPr>
              <w:rPr>
                <w:i/>
              </w:rPr>
            </w:pPr>
            <w:r w:rsidRPr="001F6307">
              <w:rPr>
                <w:i/>
              </w:rPr>
              <w:t>Approved therapeutic use:</w:t>
            </w:r>
          </w:p>
        </w:tc>
        <w:tc>
          <w:tcPr>
            <w:tcW w:w="6307" w:type="dxa"/>
          </w:tcPr>
          <w:p w:rsidR="001F6307" w:rsidRPr="001F6307" w:rsidRDefault="001F6307" w:rsidP="001F6307">
            <w:pPr>
              <w:rPr>
                <w:rFonts w:eastAsia="MS Mincho"/>
                <w:lang w:eastAsia="ja-JP"/>
              </w:rPr>
            </w:pPr>
            <w:proofErr w:type="spellStart"/>
            <w:r w:rsidRPr="001F6307">
              <w:rPr>
                <w:rFonts w:eastAsia="MS Mincho"/>
                <w:lang w:eastAsia="ja-JP"/>
              </w:rPr>
              <w:t>Gazyva</w:t>
            </w:r>
            <w:proofErr w:type="spellEnd"/>
            <w:r w:rsidRPr="001F6307">
              <w:rPr>
                <w:rFonts w:eastAsia="MS Mincho"/>
                <w:lang w:eastAsia="ja-JP"/>
              </w:rPr>
              <w:t xml:space="preserve"> in combination with </w:t>
            </w:r>
            <w:proofErr w:type="spellStart"/>
            <w:r w:rsidRPr="001F6307">
              <w:rPr>
                <w:rFonts w:eastAsia="MS Mincho"/>
                <w:lang w:eastAsia="ja-JP"/>
              </w:rPr>
              <w:t>chlorambucil</w:t>
            </w:r>
            <w:proofErr w:type="spellEnd"/>
            <w:r w:rsidRPr="001F6307">
              <w:rPr>
                <w:rFonts w:eastAsia="MS Mincho"/>
                <w:lang w:eastAsia="ja-JP"/>
              </w:rPr>
              <w:t xml:space="preserve"> is indicated for the treatment of patients with previously untreated chronic lymphocytic leukaemia (CLL).</w:t>
            </w:r>
          </w:p>
        </w:tc>
      </w:tr>
      <w:tr w:rsidR="001F6307" w:rsidRPr="001F6307" w:rsidTr="00EB11CF">
        <w:tc>
          <w:tcPr>
            <w:tcW w:w="2907" w:type="dxa"/>
          </w:tcPr>
          <w:p w:rsidR="001F6307" w:rsidRPr="001F6307" w:rsidRDefault="001F6307" w:rsidP="001F6307">
            <w:pPr>
              <w:rPr>
                <w:i/>
              </w:rPr>
            </w:pPr>
            <w:r w:rsidRPr="001F6307">
              <w:rPr>
                <w:i/>
              </w:rPr>
              <w:t>Route(s) of administration:</w:t>
            </w:r>
          </w:p>
        </w:tc>
        <w:tc>
          <w:tcPr>
            <w:tcW w:w="6307" w:type="dxa"/>
          </w:tcPr>
          <w:p w:rsidR="001F6307" w:rsidRPr="001F6307" w:rsidRDefault="001F6307" w:rsidP="001F6307">
            <w:r w:rsidRPr="001F6307">
              <w:t>Intravenous (IV) infusion</w:t>
            </w:r>
          </w:p>
        </w:tc>
      </w:tr>
      <w:tr w:rsidR="001F6307" w:rsidRPr="001F6307" w:rsidTr="00EB11CF">
        <w:tc>
          <w:tcPr>
            <w:tcW w:w="2907" w:type="dxa"/>
          </w:tcPr>
          <w:p w:rsidR="001F6307" w:rsidRPr="001F6307" w:rsidRDefault="001F6307" w:rsidP="001F6307">
            <w:pPr>
              <w:rPr>
                <w:i/>
              </w:rPr>
            </w:pPr>
            <w:r w:rsidRPr="001F6307">
              <w:rPr>
                <w:i/>
              </w:rPr>
              <w:t>Dosage:</w:t>
            </w:r>
          </w:p>
        </w:tc>
        <w:tc>
          <w:tcPr>
            <w:tcW w:w="6307" w:type="dxa"/>
          </w:tcPr>
          <w:p w:rsidR="001F6307" w:rsidRPr="001F6307" w:rsidRDefault="001F6307" w:rsidP="001F6307">
            <w:r w:rsidRPr="001F6307">
              <w:t>1000 mg administered on Day 1-2, Day 8 and Day 15 of the first 28 day treatment cycle followed by 1000 mg administered on Day 1 only for each subsequent treatment cycle (Cycles 2 to 6).</w:t>
            </w:r>
          </w:p>
        </w:tc>
      </w:tr>
      <w:tr w:rsidR="001F6307" w:rsidRPr="001F6307" w:rsidTr="00EB11CF">
        <w:tc>
          <w:tcPr>
            <w:tcW w:w="2907" w:type="dxa"/>
          </w:tcPr>
          <w:p w:rsidR="001F6307" w:rsidRPr="001F6307" w:rsidRDefault="001F6307" w:rsidP="001F6307">
            <w:pPr>
              <w:rPr>
                <w:i/>
              </w:rPr>
            </w:pPr>
            <w:r w:rsidRPr="001F6307">
              <w:rPr>
                <w:i/>
              </w:rPr>
              <w:t>ARTG number (s):</w:t>
            </w:r>
          </w:p>
        </w:tc>
        <w:tc>
          <w:tcPr>
            <w:tcW w:w="6307" w:type="dxa"/>
          </w:tcPr>
          <w:p w:rsidR="001F6307" w:rsidRPr="001F6307" w:rsidRDefault="001F6307" w:rsidP="001F6307">
            <w:r w:rsidRPr="001F6307">
              <w:t>210562</w:t>
            </w:r>
          </w:p>
        </w:tc>
      </w:tr>
    </w:tbl>
    <w:p w:rsidR="001F6307" w:rsidRPr="001F6307" w:rsidRDefault="001F6307" w:rsidP="00D411F4">
      <w:pPr>
        <w:pStyle w:val="Heading3"/>
      </w:pPr>
      <w:bookmarkStart w:id="16" w:name="_Toc247691503"/>
      <w:bookmarkStart w:id="17" w:name="_Toc314842484"/>
      <w:bookmarkStart w:id="18" w:name="_Toc395872550"/>
      <w:bookmarkStart w:id="19" w:name="_Toc399425128"/>
      <w:r w:rsidRPr="001F6307">
        <w:t xml:space="preserve">Product </w:t>
      </w:r>
      <w:r w:rsidR="00D411F4">
        <w:t>b</w:t>
      </w:r>
      <w:r w:rsidRPr="001F6307">
        <w:t>ackground</w:t>
      </w:r>
      <w:bookmarkEnd w:id="16"/>
      <w:bookmarkEnd w:id="17"/>
      <w:bookmarkEnd w:id="18"/>
      <w:bookmarkEnd w:id="19"/>
    </w:p>
    <w:p w:rsidR="001F6307" w:rsidRPr="001F6307" w:rsidRDefault="001F6307" w:rsidP="00D411F4">
      <w:r w:rsidRPr="001F6307">
        <w:t xml:space="preserve">This </w:t>
      </w:r>
      <w:proofErr w:type="spellStart"/>
      <w:r w:rsidRPr="001F6307">
        <w:t>AusPAR</w:t>
      </w:r>
      <w:proofErr w:type="spellEnd"/>
      <w:r w:rsidRPr="001F6307">
        <w:t xml:space="preserve"> describes the application by Roche Products Pty Ltd to register </w:t>
      </w:r>
      <w:proofErr w:type="spellStart"/>
      <w:r w:rsidRPr="001F6307">
        <w:t>obinutuzumab</w:t>
      </w:r>
      <w:proofErr w:type="spellEnd"/>
      <w:r w:rsidRPr="001F6307">
        <w:t xml:space="preserve"> (trade name </w:t>
      </w:r>
      <w:proofErr w:type="spellStart"/>
      <w:r w:rsidRPr="001F6307">
        <w:t>Gazyva</w:t>
      </w:r>
      <w:proofErr w:type="spellEnd"/>
      <w:r w:rsidRPr="001F6307">
        <w:t xml:space="preserve">). The proposed indication is </w:t>
      </w:r>
      <w:proofErr w:type="spellStart"/>
      <w:r w:rsidRPr="001F6307">
        <w:t>Gazyva</w:t>
      </w:r>
      <w:proofErr w:type="spellEnd"/>
      <w:r w:rsidRPr="001F6307">
        <w:t xml:space="preserve"> in combination with </w:t>
      </w:r>
      <w:proofErr w:type="spellStart"/>
      <w:r w:rsidRPr="001F6307">
        <w:t>chlorambucil</w:t>
      </w:r>
      <w:proofErr w:type="spellEnd"/>
      <w:r w:rsidRPr="001F6307">
        <w:t xml:space="preserve"> (</w:t>
      </w:r>
      <w:proofErr w:type="spellStart"/>
      <w:r w:rsidRPr="001F6307">
        <w:t>Clb</w:t>
      </w:r>
      <w:proofErr w:type="spellEnd"/>
      <w:r w:rsidRPr="001F6307">
        <w:t>) (</w:t>
      </w:r>
      <w:proofErr w:type="spellStart"/>
      <w:r w:rsidRPr="001F6307">
        <w:t>Gazyva</w:t>
      </w:r>
      <w:proofErr w:type="spellEnd"/>
      <w:r w:rsidRPr="001F6307">
        <w:t xml:space="preserve"> + </w:t>
      </w:r>
      <w:proofErr w:type="spellStart"/>
      <w:r w:rsidRPr="001F6307">
        <w:t>Clb</w:t>
      </w:r>
      <w:proofErr w:type="spellEnd"/>
      <w:r w:rsidRPr="001F6307">
        <w:t xml:space="preserve"> = </w:t>
      </w:r>
      <w:proofErr w:type="spellStart"/>
      <w:r w:rsidRPr="001F6307">
        <w:t>GClb</w:t>
      </w:r>
      <w:proofErr w:type="spellEnd"/>
      <w:r w:rsidRPr="001F6307">
        <w:t>) for the treatment of patients with previously untreated chronic lymphocytic leukaemia (CLL).</w:t>
      </w:r>
    </w:p>
    <w:p w:rsidR="001F6307" w:rsidRPr="001F6307" w:rsidRDefault="001F6307" w:rsidP="00D411F4">
      <w:proofErr w:type="spellStart"/>
      <w:r w:rsidRPr="001F6307">
        <w:t>Obinutuzumab</w:t>
      </w:r>
      <w:proofErr w:type="spellEnd"/>
      <w:r w:rsidRPr="001F6307">
        <w:t xml:space="preserve"> (OB) is a novel humanised type II </w:t>
      </w:r>
      <w:proofErr w:type="spellStart"/>
      <w:r w:rsidRPr="001F6307">
        <w:t>glyco</w:t>
      </w:r>
      <w:proofErr w:type="spellEnd"/>
      <w:r w:rsidRPr="001F6307">
        <w:t xml:space="preserve">-engineered monoclonal antibody directed against the CD20 antigen which is found on most malignant and benign cells of B cell origin. OB was derived by humanisation of the parental B-Ly1 mouse antibody and subsequent </w:t>
      </w:r>
      <w:proofErr w:type="spellStart"/>
      <w:r w:rsidRPr="001F6307">
        <w:t>glyco</w:t>
      </w:r>
      <w:proofErr w:type="spellEnd"/>
      <w:r w:rsidRPr="001F6307">
        <w:t xml:space="preserve">-engineering leading to the following characteristics: high affinity binding to the CD20 antigen; low complement dependent cytotoxicity activity; high direct </w:t>
      </w:r>
      <w:r w:rsidRPr="001F6307">
        <w:lastRenderedPageBreak/>
        <w:t xml:space="preserve">cell death induction; high antibody dependent cellular cytotoxicity and antibody dependent cellular phagocytosis. </w:t>
      </w:r>
      <w:r w:rsidRPr="001F6307">
        <w:rPr>
          <w:i/>
        </w:rPr>
        <w:t>In vitro</w:t>
      </w:r>
      <w:r w:rsidRPr="001F6307">
        <w:t xml:space="preserve"> data indicates that compared to existing CD20 antibodies OB demonstrates enhanced ability to induce direct cell death in the immune effector cell activation translating into superior B cell depletion and </w:t>
      </w:r>
      <w:proofErr w:type="spellStart"/>
      <w:r w:rsidRPr="001F6307">
        <w:t>anti tumour</w:t>
      </w:r>
      <w:proofErr w:type="spellEnd"/>
      <w:r w:rsidRPr="001F6307">
        <w:t xml:space="preserve"> efficacy. OB is being developed for the treatment of various haematological malignancies including CLL and Non Hodgkin lymphoma (NHL). </w:t>
      </w:r>
    </w:p>
    <w:p w:rsidR="001F6307" w:rsidRPr="001F6307" w:rsidRDefault="001F6307" w:rsidP="00D411F4">
      <w:r w:rsidRPr="001F6307">
        <w:t xml:space="preserve">OB is to be supplied in a single dose vial containing 40 ml of preservative free concentrate solution for infusion. Each vial contains 1000 mg of OB (25 mg/ml). OB is to be administered as an IV infusion with appropriate prophylaxis for infusion related reactions (IRRs). Isotonic 0.9% sodium chloride solution should be used as the infusion vehicle. Planned dosage is for Cycle 1, 1000 mg administered on Days 1 and 2, Day 8 and Day 15 of the first 28 day treatment followed by 1000 mg administered on Day 1 only for each subsequent cycle of 28 days. </w:t>
      </w:r>
    </w:p>
    <w:p w:rsidR="001F6307" w:rsidRPr="001F6307" w:rsidRDefault="001F6307" w:rsidP="00D411F4">
      <w:pPr>
        <w:pStyle w:val="Heading3"/>
      </w:pPr>
      <w:bookmarkStart w:id="20" w:name="_Toc314842485"/>
      <w:bookmarkStart w:id="21" w:name="_Toc395872551"/>
      <w:bookmarkStart w:id="22" w:name="_Toc247691504"/>
      <w:bookmarkStart w:id="23" w:name="_Toc399425129"/>
      <w:r w:rsidRPr="001F6307">
        <w:t xml:space="preserve">Regulatory </w:t>
      </w:r>
      <w:r w:rsidR="00D411F4">
        <w:t>s</w:t>
      </w:r>
      <w:r w:rsidRPr="001F6307">
        <w:t>tatus</w:t>
      </w:r>
      <w:bookmarkEnd w:id="20"/>
      <w:bookmarkEnd w:id="21"/>
      <w:bookmarkEnd w:id="23"/>
      <w:r w:rsidRPr="001F6307">
        <w:t xml:space="preserve"> </w:t>
      </w:r>
      <w:bookmarkEnd w:id="22"/>
    </w:p>
    <w:p w:rsidR="001F6307" w:rsidRPr="001F6307" w:rsidRDefault="001F6307" w:rsidP="00D411F4">
      <w:bookmarkStart w:id="24" w:name="_Toc247691505"/>
      <w:bookmarkStart w:id="25" w:name="_Toc314842486"/>
      <w:r w:rsidRPr="001F6307">
        <w:t xml:space="preserve">The international regulatory status for </w:t>
      </w:r>
      <w:proofErr w:type="spellStart"/>
      <w:r w:rsidRPr="001F6307">
        <w:t>Gazyva</w:t>
      </w:r>
      <w:proofErr w:type="spellEnd"/>
      <w:r w:rsidRPr="001F6307">
        <w:t xml:space="preserve"> at the time of the Australian submission on 7 June 2013 to the TGA is shown in Table 1.</w:t>
      </w:r>
    </w:p>
    <w:p w:rsidR="001F6307" w:rsidRPr="001F6307" w:rsidRDefault="001F6307" w:rsidP="00D411F4">
      <w:pPr>
        <w:pStyle w:val="TableTitle"/>
      </w:pPr>
      <w:proofErr w:type="gramStart"/>
      <w:r w:rsidRPr="001F6307">
        <w:t xml:space="preserve">Table 1: International regulatory status for </w:t>
      </w:r>
      <w:proofErr w:type="spellStart"/>
      <w:r w:rsidRPr="001F6307">
        <w:t>Gazyva</w:t>
      </w:r>
      <w:proofErr w:type="spellEnd"/>
      <w:r w:rsidRPr="001F6307">
        <w:t xml:space="preserve"> (</w:t>
      </w:r>
      <w:proofErr w:type="spellStart"/>
      <w:r w:rsidRPr="001F6307">
        <w:t>obinutuzumab</w:t>
      </w:r>
      <w:proofErr w:type="spellEnd"/>
      <w:r w:rsidRPr="001F6307">
        <w:t>) at the time of Australian submission.</w:t>
      </w:r>
      <w:proofErr w:type="gramEnd"/>
    </w:p>
    <w:p w:rsidR="001F6307" w:rsidRPr="001F6307" w:rsidRDefault="001F6307" w:rsidP="00D411F4">
      <w:r>
        <w:rPr>
          <w:noProof/>
          <w:lang w:eastAsia="en-AU"/>
        </w:rPr>
        <w:drawing>
          <wp:inline distT="0" distB="0" distL="0" distR="0" wp14:anchorId="249691BF" wp14:editId="3F621F68">
            <wp:extent cx="4752975" cy="2790825"/>
            <wp:effectExtent l="0" t="0" r="9525" b="9525"/>
            <wp:docPr id="57" name="Picture 57" descr="Table 1: International regulatory status for Gazyva (obinutuzumab) at the time of Australian submission." title="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Table 1: International regulatory status for Gazyva (obinutuzumab) at the time of Australian submiss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2975" cy="2790825"/>
                    </a:xfrm>
                    <a:prstGeom prst="rect">
                      <a:avLst/>
                    </a:prstGeom>
                    <a:noFill/>
                    <a:ln>
                      <a:noFill/>
                    </a:ln>
                  </pic:spPr>
                </pic:pic>
              </a:graphicData>
            </a:graphic>
          </wp:inline>
        </w:drawing>
      </w:r>
    </w:p>
    <w:p w:rsidR="001F6307" w:rsidRPr="001F6307" w:rsidRDefault="001F6307" w:rsidP="00D411F4">
      <w:pPr>
        <w:pStyle w:val="Heading3"/>
      </w:pPr>
      <w:bookmarkStart w:id="26" w:name="_Toc395872552"/>
      <w:bookmarkStart w:id="27" w:name="_Toc399425130"/>
      <w:r w:rsidRPr="001F6307">
        <w:t>Product Information</w:t>
      </w:r>
      <w:bookmarkEnd w:id="24"/>
      <w:bookmarkEnd w:id="25"/>
      <w:bookmarkEnd w:id="26"/>
      <w:bookmarkEnd w:id="27"/>
    </w:p>
    <w:p w:rsidR="001F6307" w:rsidRPr="001F6307" w:rsidRDefault="001F6307" w:rsidP="00D411F4">
      <w:pPr>
        <w:rPr>
          <w:b/>
          <w:bCs/>
        </w:rPr>
      </w:pPr>
      <w:bookmarkStart w:id="28" w:name="_Toc247691506"/>
      <w:bookmarkStart w:id="29" w:name="_Toc314842487"/>
      <w:r w:rsidRPr="001F6307">
        <w:t xml:space="preserve">The approved Product Information (PI) current at the time this </w:t>
      </w:r>
      <w:proofErr w:type="spellStart"/>
      <w:r w:rsidRPr="001F6307">
        <w:t>AusPAR</w:t>
      </w:r>
      <w:proofErr w:type="spellEnd"/>
      <w:r w:rsidRPr="001F6307">
        <w:t xml:space="preserve"> was prepared can be found as Attachment 1. For the most recent PI please refer to the TGA website at &lt;</w:t>
      </w:r>
      <w:hyperlink r:id="rId18" w:history="1">
        <w:r w:rsidRPr="001F6307">
          <w:rPr>
            <w:color w:val="0000FF"/>
            <w:u w:val="single"/>
          </w:rPr>
          <w:t>http://www.tga.gov.au/hp/information-medicines-pi.htm</w:t>
        </w:r>
      </w:hyperlink>
      <w:r w:rsidRPr="001F6307">
        <w:t>&gt;.</w:t>
      </w:r>
    </w:p>
    <w:p w:rsidR="001F6307" w:rsidRPr="001F6307" w:rsidRDefault="001F6307" w:rsidP="00D411F4">
      <w:pPr>
        <w:pStyle w:val="Heading2"/>
      </w:pPr>
      <w:bookmarkStart w:id="30" w:name="_Toc395872553"/>
      <w:bookmarkStart w:id="31" w:name="_Toc399425131"/>
      <w:r w:rsidRPr="001F6307">
        <w:lastRenderedPageBreak/>
        <w:t>II. Quality findings</w:t>
      </w:r>
      <w:bookmarkEnd w:id="28"/>
      <w:bookmarkEnd w:id="29"/>
      <w:bookmarkEnd w:id="30"/>
      <w:bookmarkEnd w:id="31"/>
    </w:p>
    <w:p w:rsidR="001F6307" w:rsidRPr="001F6307" w:rsidRDefault="001F6307" w:rsidP="00D411F4">
      <w:pPr>
        <w:pStyle w:val="Heading3"/>
      </w:pPr>
      <w:bookmarkStart w:id="32" w:name="_Toc247691507"/>
      <w:bookmarkStart w:id="33" w:name="_Toc314842488"/>
      <w:bookmarkStart w:id="34" w:name="_Toc395872554"/>
      <w:bookmarkStart w:id="35" w:name="_Toc399425132"/>
      <w:r w:rsidRPr="001F6307">
        <w:t xml:space="preserve">Drug </w:t>
      </w:r>
      <w:r w:rsidR="00D411F4">
        <w:t>s</w:t>
      </w:r>
      <w:r w:rsidRPr="001F6307">
        <w:t xml:space="preserve">ubstance (Active </w:t>
      </w:r>
      <w:r w:rsidR="00D411F4">
        <w:t>i</w:t>
      </w:r>
      <w:r w:rsidRPr="001F6307">
        <w:t>ngredient)</w:t>
      </w:r>
      <w:bookmarkEnd w:id="32"/>
      <w:bookmarkEnd w:id="33"/>
      <w:bookmarkEnd w:id="34"/>
      <w:bookmarkEnd w:id="35"/>
    </w:p>
    <w:p w:rsidR="001F6307" w:rsidRPr="001F6307" w:rsidRDefault="001F6307" w:rsidP="00D411F4">
      <w:pPr>
        <w:pStyle w:val="Heading4"/>
      </w:pPr>
      <w:r w:rsidRPr="001F6307">
        <w:t>Structure</w:t>
      </w:r>
    </w:p>
    <w:p w:rsidR="001F6307" w:rsidRPr="001F6307" w:rsidRDefault="001F6307" w:rsidP="00D411F4">
      <w:r w:rsidRPr="001F6307">
        <w:t>The drug substance has the following structure as shown in Figures 1 and 2.</w:t>
      </w:r>
    </w:p>
    <w:p w:rsidR="001F6307" w:rsidRPr="001F6307" w:rsidRDefault="001F6307" w:rsidP="00D411F4">
      <w:pPr>
        <w:pStyle w:val="FigureTitle"/>
      </w:pPr>
      <w:r w:rsidRPr="001F6307">
        <w:t xml:space="preserve">Figure 1: Amino acid sequence of the light chains of </w:t>
      </w:r>
      <w:proofErr w:type="spellStart"/>
      <w:r w:rsidRPr="001F6307">
        <w:t>obinutuzumab</w:t>
      </w:r>
      <w:proofErr w:type="spellEnd"/>
      <w:r w:rsidRPr="001F6307">
        <w:t>.</w:t>
      </w:r>
    </w:p>
    <w:p w:rsidR="001F6307" w:rsidRPr="001F6307" w:rsidRDefault="001F6307" w:rsidP="00D411F4">
      <w:r>
        <w:rPr>
          <w:noProof/>
          <w:lang w:eastAsia="en-AU"/>
        </w:rPr>
        <w:drawing>
          <wp:inline distT="0" distB="0" distL="0" distR="0" wp14:anchorId="3E51F1AD" wp14:editId="68B14945">
            <wp:extent cx="4343400" cy="1057275"/>
            <wp:effectExtent l="0" t="0" r="0" b="9525"/>
            <wp:docPr id="56" name="Picture 56" descr="Figure 1: Amino acid sequence of the light chains of obinutuzumab." title="Figure 1: Amino acid sequence of the light chains of obinutu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1057275"/>
                    </a:xfrm>
                    <a:prstGeom prst="rect">
                      <a:avLst/>
                    </a:prstGeom>
                    <a:noFill/>
                    <a:ln>
                      <a:noFill/>
                    </a:ln>
                  </pic:spPr>
                </pic:pic>
              </a:graphicData>
            </a:graphic>
          </wp:inline>
        </w:drawing>
      </w:r>
    </w:p>
    <w:p w:rsidR="001F6307" w:rsidRPr="001F6307" w:rsidRDefault="001F6307" w:rsidP="00D411F4">
      <w:pPr>
        <w:pStyle w:val="FigureDescription"/>
      </w:pPr>
      <w:r w:rsidRPr="001F6307">
        <w:t xml:space="preserve">The calculated molecular mass of the light chain is 23,943 Da (cysteine residues are in the reduced form). Complementarity-determining regions are shown in </w:t>
      </w:r>
      <w:r w:rsidRPr="001F6307">
        <w:rPr>
          <w:b/>
        </w:rPr>
        <w:t>bold</w:t>
      </w:r>
      <w:r w:rsidRPr="001F6307">
        <w:t>.</w:t>
      </w:r>
    </w:p>
    <w:p w:rsidR="001F6307" w:rsidRPr="001F6307" w:rsidRDefault="001F6307" w:rsidP="00947317">
      <w:pPr>
        <w:pStyle w:val="FigureTitle"/>
      </w:pPr>
      <w:r w:rsidRPr="001F6307">
        <w:t xml:space="preserve">Figure 2: Amino acid sequence of the heavy chains of </w:t>
      </w:r>
      <w:proofErr w:type="spellStart"/>
      <w:r w:rsidRPr="001F6307">
        <w:t>obinutuzumab</w:t>
      </w:r>
      <w:proofErr w:type="spellEnd"/>
      <w:r w:rsidRPr="001F6307">
        <w:t>.</w:t>
      </w:r>
    </w:p>
    <w:p w:rsidR="001F6307" w:rsidRPr="001F6307" w:rsidRDefault="001F6307" w:rsidP="00947317">
      <w:r>
        <w:rPr>
          <w:noProof/>
          <w:lang w:eastAsia="en-AU"/>
        </w:rPr>
        <w:drawing>
          <wp:inline distT="0" distB="0" distL="0" distR="0" wp14:anchorId="76EE8A78" wp14:editId="384319C0">
            <wp:extent cx="4343400" cy="1876425"/>
            <wp:effectExtent l="0" t="0" r="0" b="9525"/>
            <wp:docPr id="55" name="Picture 55" descr="Figure 2: Amino acid sequence of the heavy chains of obinutuzumab." title="Figure 2: Amino acid sequence of the heavy chains of obinutu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3400" cy="1876425"/>
                    </a:xfrm>
                    <a:prstGeom prst="rect">
                      <a:avLst/>
                    </a:prstGeom>
                    <a:noFill/>
                    <a:ln>
                      <a:noFill/>
                    </a:ln>
                  </pic:spPr>
                </pic:pic>
              </a:graphicData>
            </a:graphic>
          </wp:inline>
        </w:drawing>
      </w:r>
    </w:p>
    <w:p w:rsidR="001F6307" w:rsidRPr="001F6307" w:rsidRDefault="001F6307" w:rsidP="00947317">
      <w:pPr>
        <w:pStyle w:val="FigureDescription"/>
      </w:pPr>
      <w:r w:rsidRPr="001F6307">
        <w:t>The calculated molecular mass of the heavy chain without carbohydrate, with N-terminal glutamine and with C-terminal lysine residue is 49,234 Da (cysteine residues are in the reduced form).</w:t>
      </w:r>
    </w:p>
    <w:p w:rsidR="001F6307" w:rsidRPr="001F6307" w:rsidRDefault="001F6307" w:rsidP="00947317">
      <w:pPr>
        <w:pStyle w:val="FigureDescription"/>
      </w:pPr>
      <w:r w:rsidRPr="001F6307">
        <w:t>Complementarity-determining regions are shown in</w:t>
      </w:r>
      <w:r w:rsidRPr="001F6307">
        <w:rPr>
          <w:b/>
        </w:rPr>
        <w:t xml:space="preserve"> bold</w:t>
      </w:r>
      <w:r w:rsidRPr="001F6307">
        <w:t>.</w:t>
      </w:r>
    </w:p>
    <w:p w:rsidR="001F6307" w:rsidRPr="001F6307" w:rsidRDefault="001F6307" w:rsidP="00947317">
      <w:pPr>
        <w:pStyle w:val="FigureDescription"/>
      </w:pPr>
      <w:r w:rsidRPr="001F6307">
        <w:t xml:space="preserve">The glycosylation site at Asn299 is shown as </w:t>
      </w:r>
      <w:r w:rsidRPr="001F6307">
        <w:rPr>
          <w:u w:val="single"/>
        </w:rPr>
        <w:t>N</w:t>
      </w:r>
      <w:r w:rsidRPr="001F6307">
        <w:t>.</w:t>
      </w:r>
    </w:p>
    <w:p w:rsidR="001F6307" w:rsidRPr="001F6307" w:rsidRDefault="001F6307" w:rsidP="00947317">
      <w:pPr>
        <w:pStyle w:val="Heading4"/>
      </w:pPr>
      <w:r w:rsidRPr="001F6307">
        <w:t>Manufacture</w:t>
      </w:r>
    </w:p>
    <w:p w:rsidR="001F6307" w:rsidRPr="001F6307" w:rsidRDefault="001F6307" w:rsidP="00947317">
      <w:r w:rsidRPr="001F6307">
        <w:t>OB is manufactured in a bioreactor using a suspension adapted Chinese hamster ovary (CHO) cell line. The source of the cells is a vial of the working cell bank (WCB), which is thawed and cultivated in shake flasks.</w:t>
      </w:r>
    </w:p>
    <w:p w:rsidR="001F6307" w:rsidRPr="001F6307" w:rsidRDefault="001F6307" w:rsidP="00947317">
      <w:r w:rsidRPr="001F6307">
        <w:t>Each cell culture harvest is purified separately.</w:t>
      </w:r>
    </w:p>
    <w:p w:rsidR="001F6307" w:rsidRPr="001F6307" w:rsidRDefault="001F6307" w:rsidP="00947317">
      <w:pPr>
        <w:pStyle w:val="Heading5"/>
      </w:pPr>
      <w:r w:rsidRPr="001F6307">
        <w:t>Overview</w:t>
      </w:r>
    </w:p>
    <w:p w:rsidR="001F6307" w:rsidRPr="001F6307" w:rsidRDefault="001F6307" w:rsidP="00947317">
      <w:r w:rsidRPr="001F6307">
        <w:t>OB is produced in a fed batch process using the WCB as starting material, which is derived from the master cell bank (MCB). The antibody is secreted into the cell culture medium.</w:t>
      </w:r>
    </w:p>
    <w:p w:rsidR="001F6307" w:rsidRPr="001F6307" w:rsidRDefault="001F6307" w:rsidP="00947317">
      <w:r w:rsidRPr="001F6307">
        <w:t>For the prod</w:t>
      </w:r>
      <w:r w:rsidRPr="00947317">
        <w:t>u</w:t>
      </w:r>
      <w:r w:rsidRPr="001F6307">
        <w:t>ction of OB, a vial of the WCB is thawed. The cells are then cultivated in shake flasks and bioreactors with increasing volumes.</w:t>
      </w:r>
    </w:p>
    <w:p w:rsidR="001F6307" w:rsidRPr="001F6307" w:rsidRDefault="001F6307" w:rsidP="00947317">
      <w:r w:rsidRPr="001F6307">
        <w:t>The production culture is harvested using centrifugation and filtered prior to purification of OB.</w:t>
      </w:r>
    </w:p>
    <w:p w:rsidR="001F6307" w:rsidRPr="001F6307" w:rsidRDefault="001F6307" w:rsidP="00947317">
      <w:r w:rsidRPr="001F6307">
        <w:lastRenderedPageBreak/>
        <w:t>The OB purification process consists of a series of chromatography, viral inactivation, filtration, and ultrafiltration/</w:t>
      </w:r>
      <w:proofErr w:type="spellStart"/>
      <w:r w:rsidRPr="001F6307">
        <w:t>diafiltration</w:t>
      </w:r>
      <w:proofErr w:type="spellEnd"/>
      <w:r w:rsidRPr="001F6307">
        <w:t xml:space="preserve"> steps. The Drug Substance solution is filtered into stainless steel freezing containers.</w:t>
      </w:r>
    </w:p>
    <w:p w:rsidR="001F6307" w:rsidRPr="001F6307" w:rsidRDefault="001F6307" w:rsidP="001F6307">
      <w:r w:rsidRPr="001F6307">
        <w:t>Cell banking processes are satisfactory.</w:t>
      </w:r>
    </w:p>
    <w:p w:rsidR="001F6307" w:rsidRPr="001F6307" w:rsidRDefault="001F6307" w:rsidP="001F6307">
      <w:r w:rsidRPr="001F6307">
        <w:t>All viral/prion safety issues have been addressed, including use of animal-derived excipients, supplements in the fermentation process and in cell banking.</w:t>
      </w:r>
    </w:p>
    <w:p w:rsidR="001F6307" w:rsidRPr="001F6307" w:rsidRDefault="001F6307" w:rsidP="00947317">
      <w:pPr>
        <w:pStyle w:val="Heading4"/>
      </w:pPr>
      <w:r w:rsidRPr="001F6307">
        <w:t xml:space="preserve">Physical and </w:t>
      </w:r>
      <w:r w:rsidR="00947317">
        <w:t>c</w:t>
      </w:r>
      <w:r w:rsidRPr="001F6307">
        <w:t xml:space="preserve">hemical </w:t>
      </w:r>
      <w:r w:rsidR="00947317" w:rsidRPr="00947317">
        <w:t>p</w:t>
      </w:r>
      <w:r w:rsidRPr="00947317">
        <w:t>roperties</w:t>
      </w:r>
    </w:p>
    <w:p w:rsidR="001F6307" w:rsidRPr="001F6307" w:rsidRDefault="001F6307" w:rsidP="00947317">
      <w:r w:rsidRPr="001F6307">
        <w:t xml:space="preserve">OB is based on a human IgG1 (κ) framework. The recombinant antibody consists of two heavy chains and two light chains with inter and intra chain </w:t>
      </w:r>
      <w:proofErr w:type="spellStart"/>
      <w:r w:rsidRPr="001F6307">
        <w:t>disulfide</w:t>
      </w:r>
      <w:proofErr w:type="spellEnd"/>
      <w:r w:rsidRPr="001F6307">
        <w:t xml:space="preserve"> bonds that are typical of IgG1 antibodies. The CH2 domain of each heavy chain has a single conserved glycosylation site at Asn299 predominantly with </w:t>
      </w:r>
      <w:proofErr w:type="spellStart"/>
      <w:r w:rsidRPr="001F6307">
        <w:t>biantennary</w:t>
      </w:r>
      <w:proofErr w:type="spellEnd"/>
      <w:r w:rsidRPr="001F6307">
        <w:t xml:space="preserve"> complex and hybrid type N-</w:t>
      </w:r>
      <w:proofErr w:type="spellStart"/>
      <w:r w:rsidRPr="001F6307">
        <w:t>glycans</w:t>
      </w:r>
      <w:proofErr w:type="spellEnd"/>
      <w:r w:rsidRPr="001F6307">
        <w:t xml:space="preserve"> with reduced levels of core </w:t>
      </w:r>
      <w:proofErr w:type="spellStart"/>
      <w:r w:rsidRPr="001F6307">
        <w:t>fucosylation</w:t>
      </w:r>
      <w:proofErr w:type="spellEnd"/>
      <w:r w:rsidRPr="001F6307">
        <w:t xml:space="preserve">. The calculated molecular mass of intact OB is 146 </w:t>
      </w:r>
      <w:proofErr w:type="spellStart"/>
      <w:r w:rsidRPr="001F6307">
        <w:t>kDa</w:t>
      </w:r>
      <w:proofErr w:type="spellEnd"/>
      <w:r w:rsidRPr="001F6307">
        <w:t xml:space="preserve"> (peptide chains only, with heavy chain C-terminal lysine residue, with heavy chain N-terminal glutamines).</w:t>
      </w:r>
    </w:p>
    <w:p w:rsidR="001F6307" w:rsidRPr="001F6307" w:rsidRDefault="001F6307" w:rsidP="00947317">
      <w:r w:rsidRPr="001F6307">
        <w:t>The characterisation of OB assesses the physicochemical, biological and immunochemical characteristics of OB and is divided into two major subsections:</w:t>
      </w:r>
    </w:p>
    <w:p w:rsidR="001F6307" w:rsidRPr="001F6307" w:rsidRDefault="001F6307" w:rsidP="00947317">
      <w:pPr>
        <w:pStyle w:val="ListBullet"/>
      </w:pPr>
      <w:r w:rsidRPr="001F6307">
        <w:t>Physicochemical characteristics which provide a detailed assessment of five OB registration batches including molecular size distribution, charge heterogeneity, molecular structure, and oligosaccharide analysis.</w:t>
      </w:r>
    </w:p>
    <w:p w:rsidR="001F6307" w:rsidRPr="001F6307" w:rsidRDefault="001F6307" w:rsidP="00947317">
      <w:pPr>
        <w:pStyle w:val="ListBullet"/>
      </w:pPr>
      <w:r w:rsidRPr="001F6307">
        <w:t>Biological and immunochemical characteristics, which include assessments of OB’s ability to bind CD20, bind Fc receptors, and induce effector functions.</w:t>
      </w:r>
    </w:p>
    <w:p w:rsidR="001F6307" w:rsidRPr="001F6307" w:rsidRDefault="001F6307" w:rsidP="00947317">
      <w:pPr>
        <w:pStyle w:val="Heading3"/>
      </w:pPr>
      <w:bookmarkStart w:id="36" w:name="_Toc247691508"/>
      <w:bookmarkStart w:id="37" w:name="_Toc314842490"/>
      <w:bookmarkStart w:id="38" w:name="_Toc395872555"/>
      <w:bookmarkStart w:id="39" w:name="_Toc399425133"/>
      <w:r w:rsidRPr="001F6307">
        <w:t xml:space="preserve">Drug </w:t>
      </w:r>
      <w:r w:rsidR="00947317" w:rsidRPr="00947317">
        <w:t>p</w:t>
      </w:r>
      <w:r w:rsidRPr="00947317">
        <w:t>roduct</w:t>
      </w:r>
      <w:bookmarkEnd w:id="36"/>
      <w:bookmarkEnd w:id="37"/>
      <w:bookmarkEnd w:id="38"/>
      <w:bookmarkEnd w:id="39"/>
    </w:p>
    <w:p w:rsidR="001F6307" w:rsidRPr="001F6307" w:rsidRDefault="001F6307" w:rsidP="00947317">
      <w:r w:rsidRPr="001F6307">
        <w:t>OB is provided as a sterile, colourless to slightly brownish, preservative free liquid solution in 50 mL single dose vials. The concentrate is diluted in 0.9% (w/v) sodium chloride solution prior to administration.</w:t>
      </w:r>
    </w:p>
    <w:p w:rsidR="001F6307" w:rsidRPr="001F6307" w:rsidRDefault="001F6307" w:rsidP="00947317">
      <w:pPr>
        <w:pStyle w:val="Heading4"/>
      </w:pPr>
      <w:r w:rsidRPr="001F6307">
        <w:t>Manufacture</w:t>
      </w:r>
    </w:p>
    <w:p w:rsidR="001F6307" w:rsidRPr="001F6307" w:rsidRDefault="001F6307" w:rsidP="00947317">
      <w:r w:rsidRPr="001F6307">
        <w:t>The manufacture of OB drug product consists of three major steps:</w:t>
      </w:r>
    </w:p>
    <w:p w:rsidR="001F6307" w:rsidRPr="001F6307" w:rsidRDefault="001F6307" w:rsidP="00947317">
      <w:pPr>
        <w:pStyle w:val="Numberbullet0"/>
      </w:pPr>
      <w:r w:rsidRPr="001F6307">
        <w:t>Thawing of drug substance, filtration and filling;</w:t>
      </w:r>
    </w:p>
    <w:p w:rsidR="001F6307" w:rsidRPr="001F6307" w:rsidRDefault="001F6307" w:rsidP="00947317">
      <w:pPr>
        <w:pStyle w:val="Numberbullet0"/>
      </w:pPr>
      <w:r w:rsidRPr="001F6307">
        <w:t>Stoppering/capping;</w:t>
      </w:r>
    </w:p>
    <w:p w:rsidR="001F6307" w:rsidRPr="001F6307" w:rsidRDefault="001F6307" w:rsidP="00947317">
      <w:pPr>
        <w:pStyle w:val="Numberbullet0"/>
      </w:pPr>
      <w:r w:rsidRPr="001F6307">
        <w:t>Labelling and packaging.</w:t>
      </w:r>
    </w:p>
    <w:p w:rsidR="001F6307" w:rsidRPr="001F6307" w:rsidRDefault="001F6307" w:rsidP="00947317">
      <w:pPr>
        <w:pStyle w:val="Heading4"/>
      </w:pPr>
      <w:r w:rsidRPr="001F6307">
        <w:t>Stability</w:t>
      </w:r>
    </w:p>
    <w:p w:rsidR="001F6307" w:rsidRPr="001F6307" w:rsidRDefault="001F6307" w:rsidP="00947317">
      <w:r w:rsidRPr="001F6307">
        <w:t xml:space="preserve">Stability data have been generated under accelerated and real time conditions to characterise the stability profile of the product. </w:t>
      </w:r>
      <w:proofErr w:type="spellStart"/>
      <w:r w:rsidRPr="001F6307">
        <w:t>Photostability</w:t>
      </w:r>
      <w:proofErr w:type="spellEnd"/>
      <w:r w:rsidRPr="001F6307">
        <w:t xml:space="preserve"> data indicate that the product is not </w:t>
      </w:r>
      <w:proofErr w:type="spellStart"/>
      <w:r w:rsidRPr="001F6307">
        <w:t>photostable</w:t>
      </w:r>
      <w:proofErr w:type="spellEnd"/>
      <w:r w:rsidRPr="001F6307">
        <w:t>.</w:t>
      </w:r>
    </w:p>
    <w:p w:rsidR="001F6307" w:rsidRPr="001F6307" w:rsidRDefault="001F6307" w:rsidP="00947317">
      <w:r w:rsidRPr="001F6307">
        <w:t>The proposed shelf life is 3 years when stored at 2°C-8°C.</w:t>
      </w:r>
    </w:p>
    <w:p w:rsidR="001F6307" w:rsidRPr="001F6307" w:rsidRDefault="001F6307" w:rsidP="00947317">
      <w:r w:rsidRPr="001F6307">
        <w:t>In use stability data have also been submitted. The proposed shelf life and storage conditions for the diluted product are 24 h when stored at 2°C-8°C, followed by 24 h not above 30°C, followed by the administration duration of maximum 24 h.</w:t>
      </w:r>
    </w:p>
    <w:p w:rsidR="001F6307" w:rsidRPr="001F6307" w:rsidRDefault="001F6307" w:rsidP="00947317">
      <w:r w:rsidRPr="001F6307">
        <w:t>The proposed maximum overall allowable temperature excursions during activities such as secondary packaging, labelling, transport and handling are 7 days at 25°C and 7 days at 30°C and 22 days at -20°C (including two freeze/thaw cycles).</w:t>
      </w:r>
    </w:p>
    <w:p w:rsidR="001F6307" w:rsidRPr="001F6307" w:rsidRDefault="001F6307" w:rsidP="00947317">
      <w:pPr>
        <w:pStyle w:val="Heading3"/>
      </w:pPr>
      <w:bookmarkStart w:id="40" w:name="_Toc314842491"/>
      <w:bookmarkStart w:id="41" w:name="_Toc395872556"/>
      <w:bookmarkStart w:id="42" w:name="_Toc399425134"/>
      <w:proofErr w:type="spellStart"/>
      <w:r w:rsidRPr="001F6307">
        <w:lastRenderedPageBreak/>
        <w:t>Biopharmaceutics</w:t>
      </w:r>
      <w:bookmarkEnd w:id="40"/>
      <w:bookmarkEnd w:id="41"/>
      <w:bookmarkEnd w:id="42"/>
      <w:proofErr w:type="spellEnd"/>
    </w:p>
    <w:p w:rsidR="001F6307" w:rsidRPr="001F6307" w:rsidRDefault="001F6307" w:rsidP="00947317">
      <w:proofErr w:type="spellStart"/>
      <w:r w:rsidRPr="001F6307">
        <w:t>Biopharmaceutic</w:t>
      </w:r>
      <w:proofErr w:type="spellEnd"/>
      <w:r w:rsidRPr="001F6307">
        <w:t xml:space="preserve"> data are not required for this product as it is a monoclonal antibody and is given by IV infusion.</w:t>
      </w:r>
    </w:p>
    <w:p w:rsidR="001F6307" w:rsidRPr="001F6307" w:rsidRDefault="001F6307" w:rsidP="00947317">
      <w:pPr>
        <w:pStyle w:val="Heading3"/>
      </w:pPr>
      <w:bookmarkStart w:id="43" w:name="_Toc247691509"/>
      <w:bookmarkStart w:id="44" w:name="_Toc314842493"/>
      <w:bookmarkStart w:id="45" w:name="_Toc395872557"/>
      <w:bookmarkStart w:id="46" w:name="_Toc399425135"/>
      <w:r w:rsidRPr="001F6307">
        <w:t xml:space="preserve">Quality </w:t>
      </w:r>
      <w:r w:rsidR="00947317">
        <w:t>s</w:t>
      </w:r>
      <w:r w:rsidRPr="001F6307">
        <w:t xml:space="preserve">ummary and </w:t>
      </w:r>
      <w:r w:rsidR="00947317">
        <w:t>c</w:t>
      </w:r>
      <w:r w:rsidRPr="001F6307">
        <w:t>onclusions</w:t>
      </w:r>
      <w:bookmarkEnd w:id="43"/>
      <w:bookmarkEnd w:id="44"/>
      <w:bookmarkEnd w:id="45"/>
      <w:bookmarkEnd w:id="46"/>
    </w:p>
    <w:p w:rsidR="001F6307" w:rsidRPr="001F6307" w:rsidRDefault="001F6307" w:rsidP="00947317">
      <w:r w:rsidRPr="001F6307">
        <w:t xml:space="preserve">The evaluator recommends that </w:t>
      </w:r>
      <w:proofErr w:type="spellStart"/>
      <w:r w:rsidRPr="001F6307">
        <w:t>Gazyva</w:t>
      </w:r>
      <w:proofErr w:type="spellEnd"/>
      <w:r w:rsidRPr="001F6307">
        <w:t xml:space="preserve"> </w:t>
      </w:r>
      <w:proofErr w:type="spellStart"/>
      <w:r w:rsidRPr="001F6307">
        <w:t>obinutuzumab</w:t>
      </w:r>
      <w:proofErr w:type="spellEnd"/>
      <w:r w:rsidRPr="001F6307">
        <w:t xml:space="preserve"> (</w:t>
      </w:r>
      <w:proofErr w:type="spellStart"/>
      <w:r w:rsidRPr="001F6307">
        <w:t>rch</w:t>
      </w:r>
      <w:proofErr w:type="spellEnd"/>
      <w:r w:rsidRPr="001F6307">
        <w:t>) 1000 mg/40 mL concentrate solution for infusion should be approved.</w:t>
      </w:r>
    </w:p>
    <w:p w:rsidR="001F6307" w:rsidRPr="001F6307" w:rsidRDefault="001F6307" w:rsidP="00947317">
      <w:pPr>
        <w:pStyle w:val="Heading2"/>
      </w:pPr>
      <w:bookmarkStart w:id="47" w:name="_Toc196046439"/>
      <w:bookmarkStart w:id="48" w:name="_Toc247691510"/>
      <w:bookmarkStart w:id="49" w:name="_Toc314842494"/>
      <w:bookmarkStart w:id="50" w:name="_Toc395872558"/>
      <w:bookmarkStart w:id="51" w:name="_Toc399425136"/>
      <w:r w:rsidRPr="001F6307">
        <w:t>III. Nonclinical</w:t>
      </w:r>
      <w:bookmarkEnd w:id="47"/>
      <w:r w:rsidRPr="001F6307">
        <w:t xml:space="preserve"> findings</w:t>
      </w:r>
      <w:bookmarkEnd w:id="48"/>
      <w:bookmarkEnd w:id="49"/>
      <w:bookmarkEnd w:id="50"/>
      <w:bookmarkEnd w:id="51"/>
    </w:p>
    <w:p w:rsidR="001F6307" w:rsidRPr="001F6307" w:rsidRDefault="001F6307" w:rsidP="00947317">
      <w:pPr>
        <w:pStyle w:val="Heading3"/>
      </w:pPr>
      <w:bookmarkStart w:id="52" w:name="_Toc247691511"/>
      <w:bookmarkStart w:id="53" w:name="_Toc314842495"/>
      <w:bookmarkStart w:id="54" w:name="_Toc395872559"/>
      <w:bookmarkStart w:id="55" w:name="_Toc399425137"/>
      <w:r w:rsidRPr="001F6307">
        <w:t>Introduction</w:t>
      </w:r>
      <w:bookmarkEnd w:id="52"/>
      <w:bookmarkEnd w:id="53"/>
      <w:bookmarkEnd w:id="54"/>
      <w:bookmarkEnd w:id="55"/>
    </w:p>
    <w:p w:rsidR="001F6307" w:rsidRPr="001F6307" w:rsidRDefault="001F6307" w:rsidP="00947317">
      <w:r w:rsidRPr="001F6307">
        <w:t xml:space="preserve">The sponsor has applied to register the new biological entity, OB, for the treatment of patients with previously untreated CLL. The recommended dosage of </w:t>
      </w:r>
      <w:proofErr w:type="spellStart"/>
      <w:r w:rsidRPr="001F6307">
        <w:t>Gazyva</w:t>
      </w:r>
      <w:proofErr w:type="spellEnd"/>
      <w:r w:rsidRPr="001F6307">
        <w:t xml:space="preserve"> is 1000 mg administered on Day 1-2 (100 mg Day 1, 900 mg Day 2), Day 8 (1000 mg) and Day 15 (1000 mg) of the first 28 day treatment cycle, followed by 1000 mg administered on Day 1 only for each subsequent 28 day treatment cycle (Cycles 2 to 6). Infusion rates vary starting at 25 mg/h for initial (day 1) treatment, then 50 mg/h on Day 2 with incremental increases of 50 mg/h every 30 minutes to a maximum rate of 400 mg/h. On Days 8, 15 and 1 (new/second cycle), the initial rate started at 100 mg/h increasing at 100 mg/h every 30 minutes to a maximum of 400 mg/h. The duration of treatment was six treatment cycles, each of 28 day duration. </w:t>
      </w:r>
    </w:p>
    <w:p w:rsidR="001F6307" w:rsidRPr="001F6307" w:rsidRDefault="001F6307" w:rsidP="00947317">
      <w:r w:rsidRPr="001F6307">
        <w:t>Nonclinical data included studies in the areas of pharmacology, pharmacokinetics (PK), repeat-dose toxicity and reproductive toxicity (</w:t>
      </w:r>
      <w:proofErr w:type="spellStart"/>
      <w:r w:rsidRPr="001F6307">
        <w:t>embryofoetal</w:t>
      </w:r>
      <w:proofErr w:type="spellEnd"/>
      <w:r w:rsidRPr="001F6307">
        <w:t xml:space="preserve">). Nonclinical studies were limited by the pharmacology of OB (seen with similar drug from this class) that does not bind to rodent or canine CD20 homologues. The toxicity program was conducted using </w:t>
      </w:r>
      <w:proofErr w:type="spellStart"/>
      <w:r w:rsidRPr="001F6307">
        <w:t>cynomolgus</w:t>
      </w:r>
      <w:proofErr w:type="spellEnd"/>
      <w:r w:rsidRPr="001F6307">
        <w:t xml:space="preserve"> monkeys (high degree of CD20 homology with humans), with pivotal studies conducted according to expected standards (GLP). The dossier was generally in accordance with the EU guidance on nonclinical safety evaluation of biotechnology-derived pharmaceuticals.</w:t>
      </w:r>
      <w:r w:rsidRPr="001F6307">
        <w:rPr>
          <w:vertAlign w:val="superscript"/>
        </w:rPr>
        <w:footnoteReference w:id="1"/>
      </w:r>
      <w:r w:rsidRPr="001F6307">
        <w:t xml:space="preserve"> </w:t>
      </w:r>
    </w:p>
    <w:p w:rsidR="001F6307" w:rsidRPr="001F6307" w:rsidRDefault="001F6307" w:rsidP="00947317">
      <w:r w:rsidRPr="001F6307">
        <w:t xml:space="preserve">The pharmacology data submitted in this application consisted of over 100 references, which covered an amount of specific and general information on OB and related substances. It was determined that the use of the sponsor expert report covering the pharmacology literature was valid since its pharmacological activity was well known and this approach would assist in the timely completion of the report. </w:t>
      </w:r>
    </w:p>
    <w:p w:rsidR="001F6307" w:rsidRPr="001F6307" w:rsidRDefault="001F6307" w:rsidP="00947317">
      <w:pPr>
        <w:pStyle w:val="Heading3"/>
      </w:pPr>
      <w:bookmarkStart w:id="56" w:name="_Toc247691512"/>
      <w:bookmarkStart w:id="57" w:name="_Toc314842496"/>
      <w:bookmarkStart w:id="58" w:name="_Toc395872560"/>
      <w:bookmarkStart w:id="59" w:name="_Toc399425138"/>
      <w:r w:rsidRPr="001F6307">
        <w:t>Pharmacology</w:t>
      </w:r>
      <w:bookmarkEnd w:id="56"/>
      <w:bookmarkEnd w:id="57"/>
      <w:bookmarkEnd w:id="58"/>
      <w:bookmarkEnd w:id="59"/>
    </w:p>
    <w:p w:rsidR="001F6307" w:rsidRPr="001F6307" w:rsidRDefault="001F6307" w:rsidP="00947317">
      <w:pPr>
        <w:pStyle w:val="Heading4"/>
      </w:pPr>
      <w:r w:rsidRPr="001F6307">
        <w:t>Primary pharmacology</w:t>
      </w:r>
    </w:p>
    <w:p w:rsidR="001F6307" w:rsidRPr="001F6307" w:rsidRDefault="001F6307" w:rsidP="00947317">
      <w:r w:rsidRPr="001F6307">
        <w:t xml:space="preserve">CLL is characterised by the progressive accumulation of leukemic cells in the peripheral blood, bone marrow and lymphoid tissue that morphologically appear as small, mature looking lymphocytes with dense nuclei lacking discernible nucleoli. The disease has a characteristic </w:t>
      </w:r>
      <w:proofErr w:type="spellStart"/>
      <w:r w:rsidRPr="001F6307">
        <w:t>immunophenotype</w:t>
      </w:r>
      <w:proofErr w:type="spellEnd"/>
      <w:r w:rsidRPr="001F6307">
        <w:t xml:space="preserve"> characterised by </w:t>
      </w:r>
      <w:proofErr w:type="spellStart"/>
      <w:r w:rsidRPr="001F6307">
        <w:t>coexpression</w:t>
      </w:r>
      <w:proofErr w:type="spellEnd"/>
      <w:r w:rsidRPr="001F6307">
        <w:t xml:space="preserve"> of CD5 (T cell antigen) and the B cell surface antigens CD19, CD20 and CD23, and low levels of surface immunoglobulin, CD20 and CD79b compared to normal B cells (Clinical Overview). </w:t>
      </w:r>
    </w:p>
    <w:p w:rsidR="001F6307" w:rsidRPr="001F6307" w:rsidRDefault="001F6307" w:rsidP="00947317">
      <w:r w:rsidRPr="001F6307">
        <w:lastRenderedPageBreak/>
        <w:t xml:space="preserve">OB is a humanised </w:t>
      </w:r>
      <w:proofErr w:type="spellStart"/>
      <w:r w:rsidRPr="001F6307">
        <w:t>glycoengineered</w:t>
      </w:r>
      <w:proofErr w:type="spellEnd"/>
      <w:r w:rsidRPr="001F6307">
        <w:t xml:space="preserve"> Type II CD20 monoclonal antibody of the IgG1 </w:t>
      </w:r>
      <w:proofErr w:type="spellStart"/>
      <w:r w:rsidRPr="001F6307">
        <w:t>isotype</w:t>
      </w:r>
      <w:proofErr w:type="spellEnd"/>
      <w:r w:rsidRPr="001F6307">
        <w:t xml:space="preserve">. It was derived by humanisation of the parental B-Ly1 mouse antibody and is characterised by a </w:t>
      </w:r>
      <w:proofErr w:type="spellStart"/>
      <w:r w:rsidRPr="001F6307">
        <w:t>glycoengineered</w:t>
      </w:r>
      <w:proofErr w:type="spellEnd"/>
      <w:r w:rsidRPr="001F6307">
        <w:t xml:space="preserve"> Fc-part (resulting in higher </w:t>
      </w:r>
      <w:proofErr w:type="spellStart"/>
      <w:r w:rsidRPr="001F6307">
        <w:t>FcγRIIIa</w:t>
      </w:r>
      <w:proofErr w:type="spellEnd"/>
      <w:r w:rsidRPr="001F6307">
        <w:t xml:space="preserve"> and </w:t>
      </w:r>
      <w:proofErr w:type="spellStart"/>
      <w:r w:rsidRPr="001F6307">
        <w:t>FcγRIIIb</w:t>
      </w:r>
      <w:proofErr w:type="spellEnd"/>
      <w:r w:rsidRPr="001F6307">
        <w:t xml:space="preserve"> affinity) to enhance its antibody dependent cell mediated cytotoxicity (ADCC) activity. </w:t>
      </w:r>
    </w:p>
    <w:p w:rsidR="001F6307" w:rsidRPr="001F6307" w:rsidRDefault="001F6307" w:rsidP="00947317">
      <w:r w:rsidRPr="001F6307">
        <w:t xml:space="preserve">The CD20 antigen is a transmembrane antigen that is expressed on the surface of malignant and non-malignant pre and mature B lymphocytes, but not on haematopoietic stem cells, pro B cells, normal plasma cells, or other normal tissues. CD20 is believed to exist predominantly as a tetramer on the cell surface and is usually not to shed or internalised upon antibody binding making it an attractive target for cancer immunotherapy. </w:t>
      </w:r>
    </w:p>
    <w:p w:rsidR="001F6307" w:rsidRPr="001F6307" w:rsidRDefault="001F6307" w:rsidP="00947317">
      <w:r w:rsidRPr="001F6307">
        <w:t xml:space="preserve">Classification of CD20 antibodies as Type I (rituximab, </w:t>
      </w:r>
      <w:proofErr w:type="spellStart"/>
      <w:r w:rsidRPr="001F6307">
        <w:t>ofatumumab</w:t>
      </w:r>
      <w:proofErr w:type="spellEnd"/>
      <w:r w:rsidRPr="001F6307">
        <w:t xml:space="preserve">, </w:t>
      </w:r>
      <w:proofErr w:type="spellStart"/>
      <w:r w:rsidRPr="001F6307">
        <w:t>veltuzumab</w:t>
      </w:r>
      <w:proofErr w:type="spellEnd"/>
      <w:r w:rsidRPr="001F6307">
        <w:t xml:space="preserve"> and </w:t>
      </w:r>
      <w:proofErr w:type="spellStart"/>
      <w:r w:rsidRPr="001F6307">
        <w:t>ocrelizumab</w:t>
      </w:r>
      <w:proofErr w:type="spellEnd"/>
      <w:r w:rsidRPr="001F6307">
        <w:t xml:space="preserve">) or Type II (OB and </w:t>
      </w:r>
      <w:proofErr w:type="spellStart"/>
      <w:r w:rsidRPr="001F6307">
        <w:t>tositumomab</w:t>
      </w:r>
      <w:proofErr w:type="spellEnd"/>
      <w:r w:rsidRPr="001F6307">
        <w:t xml:space="preserve">) CD20 antibodies is based on binding and their primary mechanism for killing of CD20 positive B cells. Type I and Type II CD20 antibodies differ in their ability to induce CD20 translocation (Type I does, Type II does not) into large lipid rafts within the plasma membrane upon binding, which enhances the recruitment and activation of complement. The complement dependent cytotoxicity (CDC) activity of Type I CD20 antibodies is enhanced when compared to Type II CD20 antibodies. Type I and Type II CD20 antibodies also differ in their capacity to bind to B cells, with B cells binding twice as many Type I CD20 antibody molecules than Type II CD20 antibody molecules; clinical relevance or biological significance of this difference is unclear. However, Type II antibodies are more potent than Type I antibodies in inducing </w:t>
      </w:r>
      <w:proofErr w:type="spellStart"/>
      <w:r w:rsidRPr="001F6307">
        <w:t>homotypic</w:t>
      </w:r>
      <w:proofErr w:type="spellEnd"/>
      <w:r w:rsidRPr="001F6307">
        <w:t xml:space="preserve"> aggregation and direct cell death. The ADCC and antibody dependent cellular phagocytosis (ADCP) activity of CD20 antibodies is mediated by the interaction of their Fc regions with </w:t>
      </w:r>
      <w:proofErr w:type="spellStart"/>
      <w:r w:rsidRPr="001F6307">
        <w:t>FcγRIIIa</w:t>
      </w:r>
      <w:proofErr w:type="spellEnd"/>
      <w:r w:rsidRPr="001F6307">
        <w:t xml:space="preserve"> and not impacted by the Type I or Type II character of the antibody. </w:t>
      </w:r>
    </w:p>
    <w:p w:rsidR="001F6307" w:rsidRPr="001F6307" w:rsidRDefault="001F6307" w:rsidP="00947317">
      <w:r w:rsidRPr="001F6307">
        <w:t xml:space="preserve">Nonclinical </w:t>
      </w:r>
      <w:r w:rsidRPr="001F6307">
        <w:rPr>
          <w:i/>
        </w:rPr>
        <w:t xml:space="preserve">in vitro </w:t>
      </w:r>
      <w:r w:rsidRPr="001F6307">
        <w:t xml:space="preserve">studies, using a variety of assays, were conducted to characterise OB activity and compare it to other monoclonal antibodies (for example, rituximab). OB bound with high affinity and selectivity to CD20 protein expressed on malignant and non-malignant B cells. The binding affinity (KD value) of OB for human CD20 cells was estimated to be ~4.0 </w:t>
      </w:r>
      <w:proofErr w:type="spellStart"/>
      <w:r w:rsidRPr="001F6307">
        <w:t>nM</w:t>
      </w:r>
      <w:proofErr w:type="spellEnd"/>
      <w:r w:rsidRPr="001F6307">
        <w:t xml:space="preserve">, with rituximab found to have a similar KD value of ~4.5 </w:t>
      </w:r>
      <w:proofErr w:type="spellStart"/>
      <w:r w:rsidRPr="001F6307">
        <w:t>nM</w:t>
      </w:r>
      <w:proofErr w:type="spellEnd"/>
      <w:r w:rsidRPr="001F6307">
        <w:t xml:space="preserve">. As stated above, activity of CD20 antibodies is mediated by the interaction of their Fc regions with </w:t>
      </w:r>
      <w:proofErr w:type="spellStart"/>
      <w:r w:rsidRPr="001F6307">
        <w:t>FcγRIIIa</w:t>
      </w:r>
      <w:proofErr w:type="spellEnd"/>
      <w:r w:rsidRPr="001F6307">
        <w:t xml:space="preserve"> and data from a binding study comparing OB and rituximab found KD values for OB of 55 </w:t>
      </w:r>
      <w:proofErr w:type="spellStart"/>
      <w:r w:rsidRPr="001F6307">
        <w:t>nM</w:t>
      </w:r>
      <w:proofErr w:type="spellEnd"/>
      <w:r w:rsidRPr="001F6307">
        <w:t xml:space="preserve"> (low affinity site) and 270 </w:t>
      </w:r>
      <w:proofErr w:type="spellStart"/>
      <w:r w:rsidRPr="001F6307">
        <w:t>nM</w:t>
      </w:r>
      <w:proofErr w:type="spellEnd"/>
      <w:r w:rsidRPr="001F6307">
        <w:t xml:space="preserve"> (high affinity site) compared to rituximab values of 660 </w:t>
      </w:r>
      <w:proofErr w:type="spellStart"/>
      <w:r w:rsidRPr="001F6307">
        <w:t>nM</w:t>
      </w:r>
      <w:proofErr w:type="spellEnd"/>
      <w:r w:rsidRPr="001F6307">
        <w:t xml:space="preserve"> (low affinity site) and 2 µM (high affinity site). Binding to </w:t>
      </w:r>
      <w:proofErr w:type="spellStart"/>
      <w:r w:rsidRPr="001F6307">
        <w:t>FcγRIIb</w:t>
      </w:r>
      <w:proofErr w:type="spellEnd"/>
      <w:r w:rsidRPr="001F6307">
        <w:t xml:space="preserve"> (inhibitory human receptor) was not affected by </w:t>
      </w:r>
      <w:proofErr w:type="spellStart"/>
      <w:r w:rsidRPr="001F6307">
        <w:t>glycoengineering</w:t>
      </w:r>
      <w:proofErr w:type="spellEnd"/>
      <w:r w:rsidRPr="001F6307">
        <w:t>.</w:t>
      </w:r>
    </w:p>
    <w:p w:rsidR="001F6307" w:rsidRPr="001F6307" w:rsidRDefault="001F6307" w:rsidP="001F6307">
      <w:r w:rsidRPr="001F6307">
        <w:rPr>
          <w:i/>
        </w:rPr>
        <w:t>In vitro</w:t>
      </w:r>
      <w:r w:rsidRPr="001F6307">
        <w:t xml:space="preserve"> studies with OB identified the effectiveness of the </w:t>
      </w:r>
      <w:proofErr w:type="spellStart"/>
      <w:r w:rsidRPr="001F6307">
        <w:t>glycoengineered</w:t>
      </w:r>
      <w:proofErr w:type="spellEnd"/>
      <w:r w:rsidRPr="001F6307">
        <w:t xml:space="preserve"> Fc part to enhance its ADCC activity. </w:t>
      </w:r>
      <w:r w:rsidRPr="001F6307">
        <w:rPr>
          <w:i/>
        </w:rPr>
        <w:t>In vitro</w:t>
      </w:r>
      <w:r w:rsidRPr="001F6307">
        <w:t xml:space="preserve"> data on ADCC activity from a series of assays showed OB more potent (5 to 100 fold) than rituximab, with the increased potency linked to the enhanced affinity of OB binding to </w:t>
      </w:r>
      <w:proofErr w:type="spellStart"/>
      <w:r w:rsidRPr="001F6307">
        <w:t>FcγRIIIa</w:t>
      </w:r>
      <w:proofErr w:type="spellEnd"/>
      <w:r w:rsidRPr="001F6307">
        <w:t xml:space="preserve">. However, </w:t>
      </w:r>
      <w:r w:rsidRPr="001F6307">
        <w:rPr>
          <w:i/>
        </w:rPr>
        <w:t>in vivo</w:t>
      </w:r>
      <w:r w:rsidRPr="001F6307">
        <w:t xml:space="preserve"> studies in </w:t>
      </w:r>
      <w:proofErr w:type="spellStart"/>
      <w:r w:rsidRPr="001F6307">
        <w:t>xenograft</w:t>
      </w:r>
      <w:proofErr w:type="spellEnd"/>
      <w:r w:rsidRPr="001F6307">
        <w:t xml:space="preserve"> tumour models in SCID mice showed no difference in tumour growth inhibition between OB and non </w:t>
      </w:r>
      <w:proofErr w:type="spellStart"/>
      <w:r w:rsidRPr="001F6307">
        <w:t>glycoengineered</w:t>
      </w:r>
      <w:proofErr w:type="spellEnd"/>
      <w:r w:rsidRPr="001F6307">
        <w:t xml:space="preserve"> wild type OB. </w:t>
      </w:r>
    </w:p>
    <w:p w:rsidR="001F6307" w:rsidRPr="001F6307" w:rsidRDefault="001F6307" w:rsidP="00947317">
      <w:r w:rsidRPr="001F6307">
        <w:rPr>
          <w:i/>
        </w:rPr>
        <w:t>In vitro</w:t>
      </w:r>
      <w:r w:rsidRPr="001F6307">
        <w:t xml:space="preserve"> studies on the influence of OB on macrophage/monocyte ADCC/ADCP activity included an analysis of the effect of non </w:t>
      </w:r>
      <w:proofErr w:type="spellStart"/>
      <w:r w:rsidRPr="001F6307">
        <w:t>glycoengineered</w:t>
      </w:r>
      <w:proofErr w:type="spellEnd"/>
      <w:r w:rsidRPr="001F6307">
        <w:t xml:space="preserve"> OB (wild type) on macrophage (M1 and M2c) binding in the presence of competing immunoglobulins (REDIMUNE). </w:t>
      </w:r>
      <w:proofErr w:type="spellStart"/>
      <w:r w:rsidRPr="001F6307">
        <w:t>Glycoengineered</w:t>
      </w:r>
      <w:proofErr w:type="spellEnd"/>
      <w:r w:rsidRPr="001F6307">
        <w:t xml:space="preserve"> OB was more effective at binding to M1/M2c in the presence of immunoglobulins, but both forms of OB had similar binding profile in the absence of immunoglobulins; </w:t>
      </w:r>
      <w:proofErr w:type="spellStart"/>
      <w:r w:rsidRPr="001F6307">
        <w:t>glycoengineering</w:t>
      </w:r>
      <w:proofErr w:type="spellEnd"/>
      <w:r w:rsidRPr="001F6307">
        <w:t xml:space="preserve"> influenced the extent of binding. The phagocytic activity of macrophages (M2c&gt;M1) was enhanced with the use of </w:t>
      </w:r>
      <w:proofErr w:type="spellStart"/>
      <w:r w:rsidRPr="001F6307">
        <w:t>glycoengineered</w:t>
      </w:r>
      <w:proofErr w:type="spellEnd"/>
      <w:r w:rsidRPr="001F6307">
        <w:t xml:space="preserve"> over wild type OB in the presence of immunoglobulins; this effect could be associated with the enhanced release of nitric oxide induced by </w:t>
      </w:r>
      <w:proofErr w:type="spellStart"/>
      <w:r w:rsidRPr="001F6307">
        <w:t>glycoengineered</w:t>
      </w:r>
      <w:proofErr w:type="spellEnd"/>
      <w:r w:rsidRPr="001F6307">
        <w:t xml:space="preserve"> over wild type OB. </w:t>
      </w:r>
    </w:p>
    <w:p w:rsidR="001F6307" w:rsidRPr="001F6307" w:rsidRDefault="001F6307" w:rsidP="00947317">
      <w:r w:rsidRPr="001F6307">
        <w:t xml:space="preserve">Cell binding experiments with OB and rituximab at CD20 epitopes found a degree of overlap, with OB shifting towards the C-terminus of CD20 and rituximab orientated more </w:t>
      </w:r>
      <w:proofErr w:type="gramStart"/>
      <w:r w:rsidRPr="001F6307">
        <w:lastRenderedPageBreak/>
        <w:t>towards</w:t>
      </w:r>
      <w:proofErr w:type="gramEnd"/>
      <w:r w:rsidRPr="001F6307">
        <w:t xml:space="preserve"> the core of the CD20 epitope. These differences in orientation contribute to the Type I or Type II character of OB and rituximab, and may explain the differences in nonclinical and clinical behaviour of OB and rituximab. </w:t>
      </w:r>
    </w:p>
    <w:p w:rsidR="001F6307" w:rsidRPr="001F6307" w:rsidRDefault="001F6307" w:rsidP="00947317">
      <w:r w:rsidRPr="001F6307">
        <w:t>Cytotoxicity mechanisms for OB and related monoclonal antibodies were examined using a range of approaches. Examination of CDC activity of OB and rituximab in NHL cell lines (different CD20 expression levels, 105 to &gt;106 receptors/cell) revealed substantially lower (102 to 104 fold) CDC activity in cultures ex</w:t>
      </w:r>
      <w:r w:rsidRPr="00947317">
        <w:t>p</w:t>
      </w:r>
      <w:r w:rsidRPr="001F6307">
        <w:t xml:space="preserve">osed to OB when compared to rituximab; OB was capable of mediating CDC activity at saturating concentrations in the µg/mL range. Work with OB and rituximab in Z138 and SU-DHL-4 cell lines on CDC activity supported these outcomes. </w:t>
      </w:r>
    </w:p>
    <w:p w:rsidR="001F6307" w:rsidRPr="001F6307" w:rsidRDefault="001F6307" w:rsidP="00947317">
      <w:r w:rsidRPr="001F6307">
        <w:t>Induction of direct cell death by CD20 antibodies in NHL cell lines (</w:t>
      </w:r>
      <w:r w:rsidRPr="001F6307">
        <w:rPr>
          <w:i/>
        </w:rPr>
        <w:t>in vitro</w:t>
      </w:r>
      <w:r w:rsidRPr="001F6307">
        <w:t xml:space="preserve">) related to mechanism/s involving apoptosis and non-apoptotic cell death, but the exact weighting of these mechanisms is uncertain. Studies with OB and rituximab showed OB was consistently better than rituximab at inducing early and late stage cell death in a range of cell lines (NHL cells: diffuse large B cell lymphoma [DLBCL] cells, germinal centre B [GCB] cell like, </w:t>
      </w:r>
      <w:proofErr w:type="spellStart"/>
      <w:r w:rsidRPr="001F6307">
        <w:t>Raji</w:t>
      </w:r>
      <w:proofErr w:type="spellEnd"/>
      <w:r w:rsidRPr="001F6307">
        <w:t xml:space="preserve"> cells, WIL2S cells, Z138 M CL cells). </w:t>
      </w:r>
      <w:r w:rsidRPr="001F6307">
        <w:rPr>
          <w:i/>
        </w:rPr>
        <w:t>Ex vivo</w:t>
      </w:r>
      <w:r w:rsidRPr="001F6307">
        <w:t xml:space="preserve"> studies with malignant B cells (derived from blood samples from NHL patients) found induction of cell death more prominent in OB incubated samples than rituximab treated samples.</w:t>
      </w:r>
    </w:p>
    <w:p w:rsidR="001F6307" w:rsidRPr="001F6307" w:rsidRDefault="001F6307" w:rsidP="00947317">
      <w:r w:rsidRPr="001F6307">
        <w:t xml:space="preserve">The use of the </w:t>
      </w:r>
      <w:proofErr w:type="spellStart"/>
      <w:r w:rsidRPr="001F6307">
        <w:t>cynomolgus</w:t>
      </w:r>
      <w:proofErr w:type="spellEnd"/>
      <w:r w:rsidRPr="001F6307">
        <w:t xml:space="preserve"> monkey as the appropriate species for OB was based on a number of considerations: </w:t>
      </w:r>
    </w:p>
    <w:p w:rsidR="001F6307" w:rsidRPr="001F6307" w:rsidRDefault="001F6307" w:rsidP="00947317">
      <w:pPr>
        <w:pStyle w:val="ListBullet"/>
      </w:pPr>
      <w:r w:rsidRPr="001F6307">
        <w:t xml:space="preserve">OB does not recognise rodent CD20 due to differences in epitope sequences. </w:t>
      </w:r>
    </w:p>
    <w:p w:rsidR="001F6307" w:rsidRPr="001F6307" w:rsidRDefault="001F6307" w:rsidP="00947317">
      <w:pPr>
        <w:pStyle w:val="ListBullet"/>
      </w:pPr>
      <w:r w:rsidRPr="001F6307">
        <w:t xml:space="preserve">Human and </w:t>
      </w:r>
      <w:proofErr w:type="spellStart"/>
      <w:r w:rsidRPr="001F6307">
        <w:t>cynomolgus</w:t>
      </w:r>
      <w:proofErr w:type="spellEnd"/>
      <w:r w:rsidRPr="001F6307">
        <w:t xml:space="preserve"> monkey CD20 have similar (97%) sequence homology and complete (100%) identity in the binding epitope for OB. </w:t>
      </w:r>
    </w:p>
    <w:p w:rsidR="001F6307" w:rsidRPr="001F6307" w:rsidRDefault="001F6307" w:rsidP="00947317">
      <w:pPr>
        <w:pStyle w:val="ListBullet"/>
      </w:pPr>
      <w:r w:rsidRPr="001F6307">
        <w:t xml:space="preserve">OB has comparable binding affinity to CD20 on B cell lines in both humans and </w:t>
      </w:r>
      <w:proofErr w:type="spellStart"/>
      <w:r w:rsidRPr="001F6307">
        <w:t>cynomolgus</w:t>
      </w:r>
      <w:proofErr w:type="spellEnd"/>
      <w:r w:rsidRPr="001F6307">
        <w:t xml:space="preserve"> monkeys, although CD20 expression on </w:t>
      </w:r>
      <w:proofErr w:type="spellStart"/>
      <w:r w:rsidRPr="001F6307">
        <w:t>cynomolgus</w:t>
      </w:r>
      <w:proofErr w:type="spellEnd"/>
      <w:r w:rsidRPr="001F6307">
        <w:t xml:space="preserve"> monkey B cells was greater (2-3 times) than on human B cells. </w:t>
      </w:r>
    </w:p>
    <w:p w:rsidR="001F6307" w:rsidRPr="001F6307" w:rsidRDefault="001F6307" w:rsidP="00947317">
      <w:pPr>
        <w:pStyle w:val="ListBullet"/>
      </w:pPr>
      <w:r w:rsidRPr="001F6307">
        <w:t xml:space="preserve">Analysis of </w:t>
      </w:r>
      <w:proofErr w:type="spellStart"/>
      <w:r w:rsidRPr="001F6307">
        <w:t>FcγRIIIa</w:t>
      </w:r>
      <w:proofErr w:type="spellEnd"/>
      <w:r w:rsidRPr="001F6307">
        <w:t xml:space="preserve"> receptor region (sequencing/alignment) showed &gt;90% homology between humans and </w:t>
      </w:r>
      <w:proofErr w:type="spellStart"/>
      <w:r w:rsidRPr="001F6307">
        <w:t>cynomolgus</w:t>
      </w:r>
      <w:proofErr w:type="spellEnd"/>
      <w:r w:rsidRPr="001F6307">
        <w:t xml:space="preserve"> monkeys. </w:t>
      </w:r>
    </w:p>
    <w:p w:rsidR="001F6307" w:rsidRPr="001F6307" w:rsidRDefault="001F6307" w:rsidP="00947317">
      <w:pPr>
        <w:pStyle w:val="ListBullet"/>
      </w:pPr>
      <w:r w:rsidRPr="001F6307">
        <w:t xml:space="preserve">OB has similar binding affinity to human and </w:t>
      </w:r>
      <w:proofErr w:type="spellStart"/>
      <w:r w:rsidRPr="001F6307">
        <w:t>cynomolgus</w:t>
      </w:r>
      <w:proofErr w:type="spellEnd"/>
      <w:r w:rsidRPr="001F6307">
        <w:t xml:space="preserve"> monkey neonatal Fc receptor. </w:t>
      </w:r>
    </w:p>
    <w:p w:rsidR="001F6307" w:rsidRPr="001F6307" w:rsidRDefault="001F6307" w:rsidP="00947317">
      <w:pPr>
        <w:pStyle w:val="ListBullet"/>
      </w:pPr>
      <w:proofErr w:type="spellStart"/>
      <w:r w:rsidRPr="001F6307">
        <w:t>Glycoengineered</w:t>
      </w:r>
      <w:proofErr w:type="spellEnd"/>
      <w:r w:rsidRPr="001F6307">
        <w:t xml:space="preserve"> OB binding to </w:t>
      </w:r>
      <w:proofErr w:type="spellStart"/>
      <w:r w:rsidRPr="001F6307">
        <w:t>FcγRIIIa</w:t>
      </w:r>
      <w:proofErr w:type="spellEnd"/>
      <w:r w:rsidRPr="001F6307">
        <w:t xml:space="preserve"> receptor induced comparable effects in humans and </w:t>
      </w:r>
      <w:proofErr w:type="spellStart"/>
      <w:r w:rsidRPr="001F6307">
        <w:t>cynomolgus</w:t>
      </w:r>
      <w:proofErr w:type="spellEnd"/>
      <w:r w:rsidRPr="001F6307">
        <w:t xml:space="preserve"> monkeys, for example, ADCC activity of NK cells. </w:t>
      </w:r>
    </w:p>
    <w:p w:rsidR="001F6307" w:rsidRPr="001F6307" w:rsidRDefault="001F6307" w:rsidP="00947317">
      <w:pPr>
        <w:pStyle w:val="ListBullet"/>
      </w:pPr>
      <w:r w:rsidRPr="001F6307">
        <w:t xml:space="preserve">OB recognition of Type II epitope is conserved in B cells from </w:t>
      </w:r>
      <w:proofErr w:type="spellStart"/>
      <w:r w:rsidRPr="001F6307">
        <w:t>cynomolgus</w:t>
      </w:r>
      <w:proofErr w:type="spellEnd"/>
      <w:r w:rsidRPr="001F6307">
        <w:t xml:space="preserve"> monkeys. </w:t>
      </w:r>
    </w:p>
    <w:p w:rsidR="001F6307" w:rsidRPr="001F6307" w:rsidRDefault="001F6307" w:rsidP="00947317">
      <w:pPr>
        <w:pStyle w:val="ListBullet"/>
      </w:pPr>
      <w:r w:rsidRPr="001F6307">
        <w:t xml:space="preserve">OB induced B cell depletion in </w:t>
      </w:r>
      <w:proofErr w:type="spellStart"/>
      <w:r w:rsidRPr="001F6307">
        <w:t>cynomolgus</w:t>
      </w:r>
      <w:proofErr w:type="spellEnd"/>
      <w:r w:rsidRPr="001F6307">
        <w:t xml:space="preserve"> monkeys, mirrored that seen in humans. </w:t>
      </w:r>
    </w:p>
    <w:p w:rsidR="001F6307" w:rsidRPr="001F6307" w:rsidRDefault="001F6307" w:rsidP="00947317">
      <w:r w:rsidRPr="001F6307">
        <w:t xml:space="preserve">Based on these considerations the </w:t>
      </w:r>
      <w:proofErr w:type="spellStart"/>
      <w:r w:rsidRPr="001F6307">
        <w:t>cynomolgus</w:t>
      </w:r>
      <w:proofErr w:type="spellEnd"/>
      <w:r w:rsidRPr="001F6307">
        <w:t xml:space="preserve"> monkey is considered an appropriate species for testing. </w:t>
      </w:r>
    </w:p>
    <w:p w:rsidR="001F6307" w:rsidRPr="001F6307" w:rsidRDefault="001F6307" w:rsidP="00947317">
      <w:r w:rsidRPr="001F6307">
        <w:t xml:space="preserve">Nonclinical </w:t>
      </w:r>
      <w:r w:rsidRPr="001F6307">
        <w:rPr>
          <w:i/>
        </w:rPr>
        <w:t>in vivo</w:t>
      </w:r>
      <w:r w:rsidRPr="001F6307">
        <w:t xml:space="preserve"> studies were conducted in </w:t>
      </w:r>
      <w:proofErr w:type="spellStart"/>
      <w:r w:rsidRPr="001F6307">
        <w:t>xenograft</w:t>
      </w:r>
      <w:proofErr w:type="spellEnd"/>
      <w:r w:rsidRPr="001F6307">
        <w:t xml:space="preserve"> models of NHL in severe combined </w:t>
      </w:r>
      <w:proofErr w:type="spellStart"/>
      <w:r w:rsidRPr="001F6307">
        <w:t>immunodeficient</w:t>
      </w:r>
      <w:proofErr w:type="spellEnd"/>
      <w:r w:rsidRPr="001F6307">
        <w:t xml:space="preserve"> mice and hCD16 transgenic mice that express the human high affinity </w:t>
      </w:r>
      <w:proofErr w:type="spellStart"/>
      <w:r w:rsidRPr="001F6307">
        <w:t>FcγRIIIa</w:t>
      </w:r>
      <w:proofErr w:type="spellEnd"/>
      <w:r w:rsidRPr="001F6307">
        <w:t xml:space="preserve"> receptor on NK cells. B cell depletion was studied in fully </w:t>
      </w:r>
      <w:proofErr w:type="spellStart"/>
      <w:r w:rsidRPr="001F6307">
        <w:t>immunocompetent</w:t>
      </w:r>
      <w:proofErr w:type="spellEnd"/>
      <w:r w:rsidRPr="001F6307">
        <w:t xml:space="preserve"> human CD20 transgenic mice and </w:t>
      </w:r>
      <w:proofErr w:type="spellStart"/>
      <w:r w:rsidRPr="001F6307">
        <w:t>cynomolgus</w:t>
      </w:r>
      <w:proofErr w:type="spellEnd"/>
      <w:r w:rsidRPr="001F6307">
        <w:t xml:space="preserve"> monkeys. OB (at 30-60 mg/kg once weekly, corresponding to trough levels of ~200-500 </w:t>
      </w:r>
      <w:proofErr w:type="spellStart"/>
      <w:r w:rsidRPr="001F6307">
        <w:t>μg</w:t>
      </w:r>
      <w:proofErr w:type="spellEnd"/>
      <w:r w:rsidRPr="001F6307">
        <w:t>/mL, compared to the clinical mean trough plasma drug concentration (</w:t>
      </w:r>
      <w:proofErr w:type="spellStart"/>
      <w:r w:rsidRPr="001F6307">
        <w:t>C</w:t>
      </w:r>
      <w:r w:rsidRPr="001F6307">
        <w:rPr>
          <w:vertAlign w:val="subscript"/>
        </w:rPr>
        <w:t>trough</w:t>
      </w:r>
      <w:proofErr w:type="spellEnd"/>
      <w:r w:rsidRPr="001F6307">
        <w:t xml:space="preserve">) of 250 </w:t>
      </w:r>
      <w:proofErr w:type="spellStart"/>
      <w:r w:rsidRPr="001F6307">
        <w:t>μg</w:t>
      </w:r>
      <w:proofErr w:type="spellEnd"/>
      <w:r w:rsidRPr="001F6307">
        <w:t xml:space="preserve">/mL in CLL patients) mediated statistically significant and dose dependent, anti </w:t>
      </w:r>
      <w:proofErr w:type="spellStart"/>
      <w:r w:rsidRPr="001F6307">
        <w:t>tumoural</w:t>
      </w:r>
      <w:proofErr w:type="spellEnd"/>
      <w:r w:rsidRPr="001F6307">
        <w:t xml:space="preserve"> efficacy in several NHL subcutaneous and disseminated </w:t>
      </w:r>
      <w:proofErr w:type="spellStart"/>
      <w:r w:rsidRPr="001F6307">
        <w:t>xenograft</w:t>
      </w:r>
      <w:proofErr w:type="spellEnd"/>
      <w:r w:rsidRPr="001F6307">
        <w:t xml:space="preserve"> models. In most studies, OB was found to be more efficacious than rituximab at the same doses. The </w:t>
      </w:r>
      <w:r w:rsidRPr="001F6307">
        <w:rPr>
          <w:i/>
        </w:rPr>
        <w:t>in vivo</w:t>
      </w:r>
      <w:r w:rsidRPr="001F6307">
        <w:t xml:space="preserve"> mechanism of action of OB in </w:t>
      </w:r>
      <w:proofErr w:type="spellStart"/>
      <w:r w:rsidRPr="001F6307">
        <w:t>xenograft</w:t>
      </w:r>
      <w:proofErr w:type="spellEnd"/>
      <w:r w:rsidRPr="001F6307">
        <w:t xml:space="preserve"> models has not been fully understood.</w:t>
      </w:r>
    </w:p>
    <w:p w:rsidR="001F6307" w:rsidRPr="001F6307" w:rsidRDefault="001F6307" w:rsidP="00947317">
      <w:r w:rsidRPr="001F6307">
        <w:lastRenderedPageBreak/>
        <w:t>A study examining OB, a non-</w:t>
      </w:r>
      <w:proofErr w:type="spellStart"/>
      <w:r w:rsidRPr="001F6307">
        <w:t>glycoengineered</w:t>
      </w:r>
      <w:proofErr w:type="spellEnd"/>
      <w:r w:rsidRPr="001F6307">
        <w:t xml:space="preserve"> wild type version of OB, rituximab, and </w:t>
      </w:r>
      <w:proofErr w:type="spellStart"/>
      <w:r w:rsidRPr="001F6307">
        <w:t>ofatumumab</w:t>
      </w:r>
      <w:proofErr w:type="spellEnd"/>
      <w:r w:rsidRPr="001F6307">
        <w:t xml:space="preserve"> compared weekly dosing of 30 mg/kg (q7d × 3, IV) in the SC SU-DHL-4 model in hCD16 transgenic SCID mice. All antibody treated groups mediated a significant anti </w:t>
      </w:r>
      <w:proofErr w:type="spellStart"/>
      <w:r w:rsidRPr="001F6307">
        <w:t>tumoural</w:t>
      </w:r>
      <w:proofErr w:type="spellEnd"/>
      <w:r w:rsidRPr="001F6307">
        <w:t xml:space="preserve"> effect, with OB and the non-</w:t>
      </w:r>
      <w:proofErr w:type="spellStart"/>
      <w:r w:rsidRPr="001F6307">
        <w:t>glycoengineered</w:t>
      </w:r>
      <w:proofErr w:type="spellEnd"/>
      <w:r w:rsidRPr="001F6307">
        <w:t xml:space="preserve"> wild type version of OB mediating the best anti </w:t>
      </w:r>
      <w:proofErr w:type="spellStart"/>
      <w:r w:rsidRPr="001F6307">
        <w:t>tumoural</w:t>
      </w:r>
      <w:proofErr w:type="spellEnd"/>
      <w:r w:rsidRPr="001F6307">
        <w:t xml:space="preserve"> efficacy with tumour growth inhibition (TGI) &gt; 110% at Day 49. At termination of the study (Day 80) almost all animals treated with OB and the non-</w:t>
      </w:r>
      <w:proofErr w:type="spellStart"/>
      <w:r w:rsidRPr="001F6307">
        <w:t>glycoengineered</w:t>
      </w:r>
      <w:proofErr w:type="spellEnd"/>
      <w:r w:rsidRPr="001F6307">
        <w:t xml:space="preserve"> wild type version of OB showed a complete remission without tumour re-growth. These data indicate that the efficacy in the SU-DHL-4 model is not impacted by </w:t>
      </w:r>
      <w:proofErr w:type="spellStart"/>
      <w:r w:rsidRPr="001F6307">
        <w:t>glycoengineering</w:t>
      </w:r>
      <w:proofErr w:type="spellEnd"/>
      <w:r w:rsidRPr="001F6307">
        <w:t xml:space="preserve">. In contrast, only 5 of 9 animals treated with rituximab and 4 of 9 animals treated with </w:t>
      </w:r>
      <w:proofErr w:type="spellStart"/>
      <w:r w:rsidRPr="001F6307">
        <w:t>ofatumumab</w:t>
      </w:r>
      <w:proofErr w:type="spellEnd"/>
      <w:r w:rsidRPr="001F6307">
        <w:t xml:space="preserve"> were tumour free at study termination. These data established OB as more efficacious when compared to the two Type I CD20 antibodies rituximab and </w:t>
      </w:r>
      <w:proofErr w:type="spellStart"/>
      <w:r w:rsidRPr="001F6307">
        <w:t>ofatumumab</w:t>
      </w:r>
      <w:proofErr w:type="spellEnd"/>
      <w:r w:rsidRPr="001F6307">
        <w:t>.</w:t>
      </w:r>
    </w:p>
    <w:p w:rsidR="001F6307" w:rsidRPr="001F6307" w:rsidRDefault="001F6307" w:rsidP="00947317">
      <w:r w:rsidRPr="001F6307">
        <w:t xml:space="preserve">Specific pharmacological studies examining the effects of OB (10 or 30 mg/kg) and rituximab (10 mg/kg) on B cell counts in </w:t>
      </w:r>
      <w:proofErr w:type="spellStart"/>
      <w:r w:rsidRPr="001F6307">
        <w:t>cynomolgus</w:t>
      </w:r>
      <w:proofErr w:type="spellEnd"/>
      <w:r w:rsidRPr="001F6307">
        <w:t xml:space="preserve"> monkeys (dosed twice IV, 7 days apart) found peripheral blood B cells were reduced by over 95% with both OB and rituximab at all </w:t>
      </w:r>
      <w:proofErr w:type="spellStart"/>
      <w:r w:rsidRPr="001F6307">
        <w:t>timepoints</w:t>
      </w:r>
      <w:proofErr w:type="spellEnd"/>
      <w:r w:rsidRPr="001F6307">
        <w:t xml:space="preserve"> evaluated after Day 2; OB was more effective at depleting B cells from the lymph nodes of </w:t>
      </w:r>
      <w:proofErr w:type="spellStart"/>
      <w:r w:rsidRPr="001F6307">
        <w:t>cynomolgus</w:t>
      </w:r>
      <w:proofErr w:type="spellEnd"/>
      <w:r w:rsidRPr="001F6307">
        <w:t xml:space="preserve"> monkeys compared to rituximab and B cells took longer to return to pre dose levels in animals dosed with OB. Exposure levels at 10 mg/kg were comparable between OB and rituximab. </w:t>
      </w:r>
      <w:proofErr w:type="spellStart"/>
      <w:r w:rsidRPr="001F6307">
        <w:t>Anti drug</w:t>
      </w:r>
      <w:proofErr w:type="spellEnd"/>
      <w:r w:rsidRPr="001F6307">
        <w:t xml:space="preserve"> antibodies (ADA) were detected in animals at the lower (10 mg/kg) dose of both OB (1/3) and rituximab (1/2), but not at the higher dose (30 mg/kg) of OB.</w:t>
      </w:r>
    </w:p>
    <w:p w:rsidR="001F6307" w:rsidRPr="001F6307" w:rsidRDefault="001F6307" w:rsidP="00947317">
      <w:r w:rsidRPr="001F6307">
        <w:t>An examination (all at 30 mg/kg, 2 doses IV) of B cell effects of either OB, non-</w:t>
      </w:r>
      <w:proofErr w:type="spellStart"/>
      <w:r w:rsidRPr="001F6307">
        <w:t>glycoengineered</w:t>
      </w:r>
      <w:proofErr w:type="spellEnd"/>
      <w:r w:rsidRPr="001F6307">
        <w:t xml:space="preserve"> wild type OB or rituximab showed OB, as well as non-</w:t>
      </w:r>
      <w:proofErr w:type="spellStart"/>
      <w:r w:rsidRPr="001F6307">
        <w:t>glycoengineered</w:t>
      </w:r>
      <w:proofErr w:type="spellEnd"/>
      <w:r w:rsidRPr="001F6307">
        <w:t xml:space="preserve"> wild type OB, have a greater ability (intensity and duration) for depleting B cells from both blood and lymph nodes of </w:t>
      </w:r>
      <w:proofErr w:type="spellStart"/>
      <w:r w:rsidRPr="001F6307">
        <w:t>cynomolgus</w:t>
      </w:r>
      <w:proofErr w:type="spellEnd"/>
      <w:r w:rsidRPr="001F6307">
        <w:t xml:space="preserve"> monkeys compared to rituximab. It was suggested that the difference in effectiveness of OB and non-</w:t>
      </w:r>
      <w:proofErr w:type="spellStart"/>
      <w:r w:rsidRPr="001F6307">
        <w:t>glycoengineered</w:t>
      </w:r>
      <w:proofErr w:type="spellEnd"/>
      <w:r w:rsidRPr="001F6307">
        <w:t xml:space="preserve"> wild type OB over </w:t>
      </w:r>
      <w:proofErr w:type="spellStart"/>
      <w:r w:rsidRPr="001F6307">
        <w:t>ritixumab</w:t>
      </w:r>
      <w:proofErr w:type="spellEnd"/>
      <w:r w:rsidRPr="001F6307">
        <w:t xml:space="preserve"> was likely due to their Type II character. Exposure profiles for OB and non-</w:t>
      </w:r>
      <w:proofErr w:type="spellStart"/>
      <w:r w:rsidRPr="001F6307">
        <w:t>glycoengineered</w:t>
      </w:r>
      <w:proofErr w:type="spellEnd"/>
      <w:r w:rsidRPr="001F6307">
        <w:t xml:space="preserve"> wild type OB showed no differences, while lower observed exposure of rituximab may be ADA formation related (leads to accelerated clearance). The clearance of rituximab through ADA formation may influence the activity of rituximab and be the cause of lower activity. Quantitative levels of binding affinity to effector receptors for both rituximab and OB could also affect efficacy. </w:t>
      </w:r>
    </w:p>
    <w:p w:rsidR="001F6307" w:rsidRPr="001F6307" w:rsidRDefault="001F6307" w:rsidP="00947317">
      <w:r w:rsidRPr="001F6307">
        <w:t xml:space="preserve">Analysis of the immune (humoral) competency of B cell depletion (by OB or rituximab) in </w:t>
      </w:r>
      <w:proofErr w:type="spellStart"/>
      <w:r w:rsidRPr="001F6307">
        <w:t>cynomolgus</w:t>
      </w:r>
      <w:proofErr w:type="spellEnd"/>
      <w:r w:rsidRPr="001F6307">
        <w:t xml:space="preserve"> monkeys found vehicle control and rituximab administration had little impact on both the de novo and measles/rubella memory recall antibody responses, while OB attenuated the de novo response, but spared protective memory recall responses to measles/rubella. Blocking of de novo humoral antibody responses could be attributed to the increased extent of endogenous B cell depletion (by OB) and/or the augmented capacity of OB to reduce activated, CD20 expressing B cells. </w:t>
      </w:r>
    </w:p>
    <w:p w:rsidR="001F6307" w:rsidRPr="001F6307" w:rsidRDefault="001F6307" w:rsidP="00947317">
      <w:r w:rsidRPr="001F6307">
        <w:t xml:space="preserve">OB induced depletion of B cells has also been shown in repeat dose toxicity studies in </w:t>
      </w:r>
      <w:proofErr w:type="spellStart"/>
      <w:r w:rsidRPr="001F6307">
        <w:t>cynomolgus</w:t>
      </w:r>
      <w:proofErr w:type="spellEnd"/>
      <w:r w:rsidRPr="001F6307">
        <w:t xml:space="preserve"> monkeys, with partial/full recovery to </w:t>
      </w:r>
      <w:proofErr w:type="spellStart"/>
      <w:r w:rsidRPr="001F6307">
        <w:t>pre treatment</w:t>
      </w:r>
      <w:proofErr w:type="spellEnd"/>
      <w:r w:rsidRPr="001F6307">
        <w:t xml:space="preserve"> levels dependent on the recovery period. </w:t>
      </w:r>
    </w:p>
    <w:p w:rsidR="001F6307" w:rsidRPr="001F6307" w:rsidRDefault="001F6307" w:rsidP="00947317">
      <w:pPr>
        <w:pStyle w:val="Heading4"/>
      </w:pPr>
      <w:r w:rsidRPr="001F6307">
        <w:t>Secondary pharmacodynamics and safety pharmacology</w:t>
      </w:r>
    </w:p>
    <w:p w:rsidR="001F6307" w:rsidRPr="001F6307" w:rsidRDefault="001F6307" w:rsidP="00947317">
      <w:r w:rsidRPr="001F6307">
        <w:t>No specific secondary and safety pharmacology studies were presented. Adverse effects secondary to the primary pharmacological effect of depletion of B cells, such as opportunistic infections and immune complex mediated glomerulonephritis and hypersensitivity reactions, were observed in repeat dose toxicity studies in monkeys. However, these types of effects in an animal species by a humanised antibody may not be predicative</w:t>
      </w:r>
      <w:r w:rsidR="00947317">
        <w:t xml:space="preserve"> of the same effects in humans.</w:t>
      </w:r>
    </w:p>
    <w:p w:rsidR="001F6307" w:rsidRPr="001F6307" w:rsidRDefault="001F6307" w:rsidP="00947317">
      <w:r w:rsidRPr="001F6307">
        <w:lastRenderedPageBreak/>
        <w:t xml:space="preserve">Repeat dose toxicity studies in monkeys showed no clinical signs indicative of central nervous system (CNS) effects. Blood pressure was unaffected and electrocardiogram (ECG) recordings showed no abnormalities. There was no evidence of renal and respiratory abnormalities. </w:t>
      </w:r>
    </w:p>
    <w:p w:rsidR="001F6307" w:rsidRPr="001F6307" w:rsidRDefault="001F6307" w:rsidP="00947317">
      <w:r w:rsidRPr="001F6307">
        <w:t xml:space="preserve">Examination of cross reactivity of OB binding in </w:t>
      </w:r>
      <w:proofErr w:type="spellStart"/>
      <w:r w:rsidRPr="001F6307">
        <w:t>cynomolgus</w:t>
      </w:r>
      <w:proofErr w:type="spellEnd"/>
      <w:r w:rsidRPr="001F6307">
        <w:t xml:space="preserve"> monkey tissues found predictable binding to lymphocytes/lymphoid tissues in a number of organs, and unpredicted binding to endothelium (membrane/cytoplasm) of tissues. Examination of cross reactivity of OB binding in normal human tissues (</w:t>
      </w:r>
      <w:proofErr w:type="spellStart"/>
      <w:r w:rsidRPr="001F6307">
        <w:t>cryosections</w:t>
      </w:r>
      <w:proofErr w:type="spellEnd"/>
      <w:r w:rsidRPr="001F6307">
        <w:t xml:space="preserve">) identified resident lymphocytes in lymphoid tissues as the primary sites, which was broadly similar to the binding profile for OB in </w:t>
      </w:r>
      <w:proofErr w:type="spellStart"/>
      <w:r w:rsidRPr="001F6307">
        <w:t>cynomolgus</w:t>
      </w:r>
      <w:proofErr w:type="spellEnd"/>
      <w:r w:rsidRPr="001F6307">
        <w:t xml:space="preserve"> monkeys. A range of tissues were predictable targets of OB binding, but unanticipated binding occurred at membrane/cytoplasm of liver, salivary glands and lung. Toxicity studies did not reveal any specific adverse effects in organs/tissues identified as having unanticipated binding, although direct binding of OB to endothelium as the cause of arteritis cannot be excluded. </w:t>
      </w:r>
    </w:p>
    <w:p w:rsidR="001F6307" w:rsidRPr="001F6307" w:rsidRDefault="001F6307" w:rsidP="00947317">
      <w:r w:rsidRPr="001F6307">
        <w:rPr>
          <w:i/>
        </w:rPr>
        <w:t>In vitro</w:t>
      </w:r>
      <w:r w:rsidRPr="001F6307">
        <w:t xml:space="preserve"> assays with human whole blood showed that OB (24h exposure) induced release of cytokines (IL-6, IL-8 and TNF-α) over a clinically relevant concentration range of 0.1-100 µg/mL, while an initial assay at higher concentrations (up to 200 µg/mL) of OB with a shorter exposure (incubation) period of 2 h had limited effect. This suggests the length of infusion period could influence the potential for initial infusion related cytokine release and its related adverse effects. OB was compared with </w:t>
      </w:r>
      <w:proofErr w:type="spellStart"/>
      <w:r w:rsidRPr="001F6307">
        <w:t>alemtuzumab</w:t>
      </w:r>
      <w:proofErr w:type="spellEnd"/>
      <w:r w:rsidRPr="001F6307">
        <w:t xml:space="preserve"> (humanised anti CD52 IgG1, positive comparator), </w:t>
      </w:r>
      <w:proofErr w:type="spellStart"/>
      <w:r w:rsidRPr="001F6307">
        <w:t>cetuximab</w:t>
      </w:r>
      <w:proofErr w:type="spellEnd"/>
      <w:r w:rsidRPr="001F6307">
        <w:t xml:space="preserve"> (anti epidermal growth factor receptor [EGFR], negative comparator) and TGN1412 like (</w:t>
      </w:r>
      <w:proofErr w:type="spellStart"/>
      <w:r w:rsidRPr="001F6307">
        <w:t>superagonistic</w:t>
      </w:r>
      <w:proofErr w:type="spellEnd"/>
      <w:r w:rsidRPr="001F6307">
        <w:t xml:space="preserve"> anti CD28 monoclonal antibody, an assay control) for their ability to stimulate release of cytokines from human whole blood. </w:t>
      </w:r>
      <w:proofErr w:type="spellStart"/>
      <w:r w:rsidRPr="001F6307">
        <w:t>Alemtuzumab</w:t>
      </w:r>
      <w:proofErr w:type="spellEnd"/>
      <w:r w:rsidRPr="001F6307">
        <w:t xml:space="preserve"> and TGN1412 like monoclonal antibody also induced release of cytokines with the positive comparator </w:t>
      </w:r>
      <w:proofErr w:type="spellStart"/>
      <w:r w:rsidRPr="001F6307">
        <w:t>alemtuzumab</w:t>
      </w:r>
      <w:proofErr w:type="spellEnd"/>
      <w:r w:rsidRPr="001F6307">
        <w:t xml:space="preserve"> inducing higher cytokine release levels when compare to OB in a majority of blood samples (8/10); these elevated levels were within the same order of magnitude. The likelihood of infusion related reactions could be considered as high, which is a valid reason for premedication with a corticosteroid. </w:t>
      </w:r>
    </w:p>
    <w:p w:rsidR="001F6307" w:rsidRPr="001F6307" w:rsidRDefault="001F6307" w:rsidP="00947317">
      <w:pPr>
        <w:pStyle w:val="Heading3"/>
      </w:pPr>
      <w:bookmarkStart w:id="60" w:name="_Toc247691513"/>
      <w:bookmarkStart w:id="61" w:name="_Toc314842497"/>
      <w:bookmarkStart w:id="62" w:name="_Toc395872561"/>
      <w:bookmarkStart w:id="63" w:name="_Toc399425139"/>
      <w:r w:rsidRPr="001F6307">
        <w:t>Pharmacokinetics</w:t>
      </w:r>
      <w:bookmarkEnd w:id="60"/>
      <w:bookmarkEnd w:id="61"/>
      <w:bookmarkEnd w:id="62"/>
      <w:bookmarkEnd w:id="63"/>
    </w:p>
    <w:p w:rsidR="001F6307" w:rsidRPr="001F6307" w:rsidRDefault="001F6307" w:rsidP="00947317">
      <w:bookmarkStart w:id="64" w:name="_Toc247691514"/>
      <w:bookmarkStart w:id="65" w:name="_Toc314842498"/>
      <w:r w:rsidRPr="001F6307">
        <w:t xml:space="preserve">PK of OB were studied in the </w:t>
      </w:r>
      <w:proofErr w:type="spellStart"/>
      <w:r w:rsidRPr="001F6307">
        <w:t>cynomolgus</w:t>
      </w:r>
      <w:proofErr w:type="spellEnd"/>
      <w:r w:rsidRPr="001F6307">
        <w:t xml:space="preserve"> monkey, which was the animal species used in toxicity studies. </w:t>
      </w:r>
    </w:p>
    <w:p w:rsidR="001F6307" w:rsidRPr="001F6307" w:rsidRDefault="001F6307" w:rsidP="00947317">
      <w:r w:rsidRPr="001F6307">
        <w:t>As a monoclonal antibody, the PK profile of OB in monkeys is characteristic of a large molecular protein, with a small volume of distribution (</w:t>
      </w:r>
      <w:proofErr w:type="spellStart"/>
      <w:r w:rsidRPr="001F6307">
        <w:t>V</w:t>
      </w:r>
      <w:r w:rsidRPr="001F6307">
        <w:rPr>
          <w:vertAlign w:val="subscript"/>
        </w:rPr>
        <w:t>ss</w:t>
      </w:r>
      <w:proofErr w:type="spellEnd"/>
      <w:r w:rsidRPr="001F6307">
        <w:t xml:space="preserve"> 59-63 mL/kg, slightly greater than the plasma volume), slow clearance (CL) (0.245-0.275 mL/h/kg) and long elimination </w:t>
      </w:r>
      <w:proofErr w:type="spellStart"/>
      <w:r w:rsidRPr="001F6307">
        <w:t>half life</w:t>
      </w:r>
      <w:proofErr w:type="spellEnd"/>
      <w:r w:rsidRPr="001F6307">
        <w:t xml:space="preserve"> (t</w:t>
      </w:r>
      <w:r w:rsidRPr="001F6307">
        <w:rPr>
          <w:vertAlign w:val="subscript"/>
        </w:rPr>
        <w:t>1/2</w:t>
      </w:r>
      <w:r w:rsidRPr="001F6307">
        <w:t>) (172-194 h) at an IV dose of 1 or 10 mg/kg. The clearance in monkeys was faster than in humans (0.085 L/day, equivalent to 0.05 ml/kg/h), and the elimination was faster than in humans (t</w:t>
      </w:r>
      <w:r w:rsidRPr="001F6307">
        <w:rPr>
          <w:vertAlign w:val="subscript"/>
        </w:rPr>
        <w:t>1/2</w:t>
      </w:r>
      <w:r w:rsidRPr="001F6307">
        <w:t xml:space="preserve"> 730 h). </w:t>
      </w:r>
    </w:p>
    <w:p w:rsidR="001F6307" w:rsidRPr="001F6307" w:rsidRDefault="001F6307" w:rsidP="00947317">
      <w:r w:rsidRPr="001F6307">
        <w:t>There were no dedicated studies examinin</w:t>
      </w:r>
      <w:r w:rsidRPr="00947317">
        <w:t>g</w:t>
      </w:r>
      <w:r w:rsidRPr="001F6307">
        <w:t xml:space="preserve"> tissue distribution of OB, which is acceptable for a monoclonal antibody. The small volume of distribution indicated limited tissue penetration, with OB likely to remain within the circulation. </w:t>
      </w:r>
    </w:p>
    <w:p w:rsidR="001F6307" w:rsidRPr="001F6307" w:rsidRDefault="001F6307" w:rsidP="00947317">
      <w:r w:rsidRPr="001F6307">
        <w:t xml:space="preserve">In repeat dose studies in </w:t>
      </w:r>
      <w:proofErr w:type="spellStart"/>
      <w:r w:rsidRPr="001F6307">
        <w:t>cynomolgus</w:t>
      </w:r>
      <w:proofErr w:type="spellEnd"/>
      <w:r w:rsidRPr="001F6307">
        <w:t xml:space="preserve"> monkeys, systemic exposures were generally dose proportional and increased by 2-3 </w:t>
      </w:r>
      <w:proofErr w:type="gramStart"/>
      <w:r w:rsidRPr="001F6307">
        <w:t>fold</w:t>
      </w:r>
      <w:proofErr w:type="gramEnd"/>
      <w:r w:rsidRPr="001F6307">
        <w:t xml:space="preserve"> after repeated dosing for 13 to 26 weeks. There was no gender difference. </w:t>
      </w:r>
    </w:p>
    <w:p w:rsidR="001F6307" w:rsidRPr="001F6307" w:rsidRDefault="001F6307" w:rsidP="00947317">
      <w:r w:rsidRPr="001F6307">
        <w:t xml:space="preserve">The PK profile in mice at 1 mg/kg was similar to the profile in monkeys, with </w:t>
      </w:r>
      <w:proofErr w:type="spellStart"/>
      <w:r w:rsidRPr="001F6307">
        <w:t>V</w:t>
      </w:r>
      <w:r w:rsidRPr="001F6307">
        <w:rPr>
          <w:vertAlign w:val="subscript"/>
        </w:rPr>
        <w:t>ss</w:t>
      </w:r>
      <w:proofErr w:type="spellEnd"/>
      <w:r w:rsidRPr="001F6307">
        <w:t xml:space="preserve"> 89mL/kg, CL 0.66 mL/h/kg and elimination t</w:t>
      </w:r>
      <w:r w:rsidRPr="001F6307">
        <w:rPr>
          <w:vertAlign w:val="subscript"/>
        </w:rPr>
        <w:t>1/2</w:t>
      </w:r>
      <w:r w:rsidRPr="001F6307">
        <w:t xml:space="preserve"> 125 h. A 10 fold increase in dose to 10 mg/kg in mice resulted in a slower clearance (CL 0.28 mL/h/kg, t</w:t>
      </w:r>
      <w:r w:rsidRPr="001F6307">
        <w:rPr>
          <w:vertAlign w:val="subscript"/>
        </w:rPr>
        <w:t>1/2</w:t>
      </w:r>
      <w:r w:rsidRPr="001F6307">
        <w:t xml:space="preserve"> 288 h) with only a minimal increase in </w:t>
      </w:r>
      <w:proofErr w:type="spellStart"/>
      <w:r w:rsidRPr="001F6307">
        <w:t>V</w:t>
      </w:r>
      <w:r w:rsidRPr="001F6307">
        <w:rPr>
          <w:vertAlign w:val="subscript"/>
        </w:rPr>
        <w:t>ss</w:t>
      </w:r>
      <w:proofErr w:type="spellEnd"/>
      <w:r w:rsidRPr="001F6307">
        <w:t xml:space="preserve"> (107 mL/kg). </w:t>
      </w:r>
    </w:p>
    <w:p w:rsidR="001F6307" w:rsidRPr="001F6307" w:rsidRDefault="001F6307" w:rsidP="00947317">
      <w:r w:rsidRPr="001F6307">
        <w:lastRenderedPageBreak/>
        <w:t xml:space="preserve">There were no studies examining the metabolism and excretion of OB, but as a protein OB is expected to be degraded to small peptides and individual amino acids. </w:t>
      </w:r>
    </w:p>
    <w:p w:rsidR="001F6307" w:rsidRPr="001F6307" w:rsidRDefault="001F6307" w:rsidP="00947317">
      <w:r w:rsidRPr="001F6307">
        <w:t xml:space="preserve">ADAs were detected in monkeys following repeated dosing at rates of ~15%. ADAs caused a reduction (dose related) in the plasma concentration of OB and consequently an increase in B cells with reducing levels of OB. </w:t>
      </w:r>
    </w:p>
    <w:p w:rsidR="001F6307" w:rsidRPr="001F6307" w:rsidRDefault="001F6307" w:rsidP="00947317">
      <w:pPr>
        <w:pStyle w:val="Heading4"/>
      </w:pPr>
      <w:bookmarkStart w:id="66" w:name="_Toc294861725"/>
      <w:r w:rsidRPr="001F6307">
        <w:t>PK drug interactions</w:t>
      </w:r>
      <w:bookmarkEnd w:id="66"/>
    </w:p>
    <w:p w:rsidR="001F6307" w:rsidRPr="001F6307" w:rsidRDefault="001F6307" w:rsidP="00947317">
      <w:r w:rsidRPr="001F6307">
        <w:t xml:space="preserve">No nonclinical drug-drug PK interaction studies have been performed. </w:t>
      </w:r>
      <w:bookmarkStart w:id="67" w:name="_Toc294861726"/>
      <w:bookmarkStart w:id="68" w:name="_Toc295290867"/>
      <w:bookmarkStart w:id="69" w:name="_Toc321998581"/>
      <w:r w:rsidRPr="001F6307">
        <w:t xml:space="preserve">This is acceptable for a monoclonal antibody. </w:t>
      </w:r>
    </w:p>
    <w:p w:rsidR="001F6307" w:rsidRPr="001F6307" w:rsidRDefault="001F6307" w:rsidP="00947317">
      <w:pPr>
        <w:pStyle w:val="Heading3"/>
      </w:pPr>
      <w:bookmarkStart w:id="70" w:name="_Toc395872562"/>
      <w:bookmarkStart w:id="71" w:name="_Toc399425140"/>
      <w:r w:rsidRPr="001F6307">
        <w:t>Toxicology</w:t>
      </w:r>
      <w:bookmarkEnd w:id="70"/>
      <w:bookmarkEnd w:id="71"/>
    </w:p>
    <w:p w:rsidR="001F6307" w:rsidRPr="001F6307" w:rsidRDefault="001F6307" w:rsidP="00947317">
      <w:pPr>
        <w:pStyle w:val="Heading4"/>
      </w:pPr>
      <w:r w:rsidRPr="001F6307">
        <w:t>Repeat dose toxicity</w:t>
      </w:r>
      <w:bookmarkEnd w:id="67"/>
      <w:bookmarkEnd w:id="68"/>
      <w:bookmarkEnd w:id="69"/>
    </w:p>
    <w:p w:rsidR="001F6307" w:rsidRPr="001F6307" w:rsidRDefault="001F6307" w:rsidP="00947317">
      <w:r w:rsidRPr="001F6307">
        <w:t xml:space="preserve">All toxicity studies were performed in </w:t>
      </w:r>
      <w:proofErr w:type="spellStart"/>
      <w:r w:rsidRPr="001F6307">
        <w:t>cynomolgus</w:t>
      </w:r>
      <w:proofErr w:type="spellEnd"/>
      <w:r w:rsidRPr="001F6307">
        <w:t xml:space="preserve"> monkeys as OB binds human and </w:t>
      </w:r>
      <w:proofErr w:type="spellStart"/>
      <w:r w:rsidRPr="001F6307">
        <w:t>cynomolgus</w:t>
      </w:r>
      <w:proofErr w:type="spellEnd"/>
      <w:r w:rsidRPr="001F6307">
        <w:t xml:space="preserve"> monkey CD20 but not rodent CD20. </w:t>
      </w:r>
    </w:p>
    <w:p w:rsidR="001F6307" w:rsidRPr="001F6307" w:rsidRDefault="001F6307" w:rsidP="001F6307">
      <w:r w:rsidRPr="001F6307">
        <w:t xml:space="preserve">No single dose toxicity studies were performed with OB. Findings in repeat dose toxicity studies were consistent with the pharmacological activities of </w:t>
      </w:r>
      <w:proofErr w:type="gramStart"/>
      <w:r w:rsidRPr="001F6307">
        <w:t>OB, that</w:t>
      </w:r>
      <w:proofErr w:type="gramEnd"/>
      <w:r w:rsidRPr="001F6307">
        <w:t xml:space="preserve"> is, depletion of B lymphocytes, and other findings secondary to B cell depletion. </w:t>
      </w:r>
    </w:p>
    <w:p w:rsidR="001F6307" w:rsidRPr="001F6307" w:rsidRDefault="001F6307" w:rsidP="00947317">
      <w:r w:rsidRPr="001F6307">
        <w:t xml:space="preserve">OB treatment resulted in complete and rapid B cell depletion in peripheral blood of </w:t>
      </w:r>
      <w:proofErr w:type="spellStart"/>
      <w:r w:rsidRPr="001F6307">
        <w:t>cynomolgus</w:t>
      </w:r>
      <w:proofErr w:type="spellEnd"/>
      <w:r w:rsidRPr="001F6307">
        <w:t xml:space="preserve"> monkeys after a single dose of &gt;1 mg/kg. B cell recovery started when serum concentrations fell under a concentration ~0.02 </w:t>
      </w:r>
      <w:proofErr w:type="spellStart"/>
      <w:r w:rsidRPr="001F6307">
        <w:t>μg</w:t>
      </w:r>
      <w:proofErr w:type="spellEnd"/>
      <w:r w:rsidRPr="001F6307">
        <w:t>/</w:t>
      </w:r>
      <w:proofErr w:type="spellStart"/>
      <w:r w:rsidRPr="001F6307">
        <w:t>mL.</w:t>
      </w:r>
      <w:proofErr w:type="spellEnd"/>
      <w:r w:rsidRPr="001F6307">
        <w:t xml:space="preserve"> In addition, there was also potent B cell depletion in lymphoid tissues, for example, spleen and lymph node, manifested as disappearance of germinal centres in the follicles of mesenteric and mandibular lymph nodes and spleen corresponding with complete B cell depletion in these organs in all dosed groups.</w:t>
      </w:r>
    </w:p>
    <w:p w:rsidR="001F6307" w:rsidRPr="001F6307" w:rsidRDefault="001F6307" w:rsidP="00947317">
      <w:r w:rsidRPr="001F6307">
        <w:t>There was no clear target organ of toxicity, with changes seen in organs (such as glomerulonephritis, arteritis/</w:t>
      </w:r>
      <w:proofErr w:type="spellStart"/>
      <w:r w:rsidRPr="001F6307">
        <w:t>periarteritis</w:t>
      </w:r>
      <w:proofErr w:type="spellEnd"/>
      <w:r w:rsidRPr="001F6307">
        <w:t>, mononuclear infiltrates in multiple organs in the 6 month study) considered secondary to immunogenic hypersensitivity reactions, although arteritis could be partially due to binding of OB to endothelium. Opportunistic infections were also seen, which would likely be associated with depressed immune function as a result of depletion of CD20 B cells.</w:t>
      </w:r>
    </w:p>
    <w:p w:rsidR="001F6307" w:rsidRPr="001F6307" w:rsidRDefault="001F6307" w:rsidP="00947317">
      <w:pPr>
        <w:pStyle w:val="Heading5"/>
      </w:pPr>
      <w:r w:rsidRPr="001F6307">
        <w:t>Relative exposure</w:t>
      </w:r>
    </w:p>
    <w:p w:rsidR="001F6307" w:rsidRPr="001F6307" w:rsidRDefault="001F6307" w:rsidP="00947317">
      <w:r w:rsidRPr="001F6307">
        <w:t xml:space="preserve">Exposure ratios have been calculated based on human values (area under the plasma concentration-time curve [AUC] 10113 </w:t>
      </w:r>
      <w:proofErr w:type="spellStart"/>
      <w:r w:rsidRPr="001F6307">
        <w:t>μg.d</w:t>
      </w:r>
      <w:proofErr w:type="spellEnd"/>
      <w:r w:rsidRPr="001F6307">
        <w:t xml:space="preserve">/mL and </w:t>
      </w:r>
      <w:proofErr w:type="gramStart"/>
      <w:r w:rsidRPr="001F6307">
        <w:t>maximum plasma drug concentration (</w:t>
      </w:r>
      <w:proofErr w:type="spellStart"/>
      <w:r w:rsidRPr="001F6307">
        <w:t>Cmax</w:t>
      </w:r>
      <w:proofErr w:type="spellEnd"/>
      <w:r w:rsidRPr="001F6307">
        <w:t xml:space="preserve">) 510.6 </w:t>
      </w:r>
      <w:proofErr w:type="spellStart"/>
      <w:r w:rsidRPr="001F6307">
        <w:t>μg</w:t>
      </w:r>
      <w:proofErr w:type="spellEnd"/>
      <w:r w:rsidRPr="001F6307">
        <w:t>/mL, conditional predictions from Study 21004</w:t>
      </w:r>
      <w:proofErr w:type="gramEnd"/>
      <w:r w:rsidRPr="001F6307">
        <w:t>) in the Population PK and PK-PD Analysis Report. The exposure based on AUC achieved in the monkey IV studies was up to 8 times the clinical exposure (Table 2).</w:t>
      </w:r>
    </w:p>
    <w:p w:rsidR="001F6307" w:rsidRPr="001F6307" w:rsidRDefault="001F6307" w:rsidP="00947317">
      <w:pPr>
        <w:pStyle w:val="TableTitle"/>
      </w:pPr>
      <w:r w:rsidRPr="001F6307">
        <w:lastRenderedPageBreak/>
        <w:t xml:space="preserve">Table 2: Relative exposure in repeat-dose toxicity studies in </w:t>
      </w:r>
      <w:proofErr w:type="spellStart"/>
      <w:r w:rsidRPr="001F6307">
        <w:t>cynomolgus</w:t>
      </w:r>
      <w:proofErr w:type="spellEnd"/>
      <w:r w:rsidRPr="001F6307">
        <w:t xml:space="preserve"> monkeys.</w:t>
      </w:r>
    </w:p>
    <w:p w:rsidR="001F6307" w:rsidRPr="001F6307" w:rsidRDefault="001F6307" w:rsidP="00947317">
      <w:r>
        <w:rPr>
          <w:noProof/>
          <w:lang w:eastAsia="en-AU"/>
        </w:rPr>
        <w:drawing>
          <wp:inline distT="0" distB="0" distL="0" distR="0" wp14:anchorId="579202F1" wp14:editId="1787B3B7">
            <wp:extent cx="4981575" cy="1962150"/>
            <wp:effectExtent l="0" t="0" r="9525" b="0"/>
            <wp:docPr id="54" name="Picture 54" descr="Table 2: Relative exposure in repeat-dose toxicity studies in cynomolgus monkeys." titl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Table 2: Relative exposure in repeat-dose toxicity studies in cynomolgus monkey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1575" cy="1962150"/>
                    </a:xfrm>
                    <a:prstGeom prst="rect">
                      <a:avLst/>
                    </a:prstGeom>
                    <a:noFill/>
                    <a:ln>
                      <a:noFill/>
                    </a:ln>
                  </pic:spPr>
                </pic:pic>
              </a:graphicData>
            </a:graphic>
          </wp:inline>
        </w:drawing>
      </w:r>
    </w:p>
    <w:p w:rsidR="001F6307" w:rsidRPr="001F6307" w:rsidRDefault="001F6307" w:rsidP="00947317">
      <w:pPr>
        <w:pStyle w:val="TableDescription"/>
      </w:pPr>
      <w:r w:rsidRPr="001F6307">
        <w:t>* AUC</w:t>
      </w:r>
      <w:r w:rsidRPr="001F6307">
        <w:rPr>
          <w:vertAlign w:val="subscript"/>
        </w:rPr>
        <w:t xml:space="preserve">0-4 weeks </w:t>
      </w:r>
      <w:r w:rsidRPr="001F6307">
        <w:t>= AUC</w:t>
      </w:r>
      <w:r w:rsidRPr="001F6307">
        <w:rPr>
          <w:vertAlign w:val="subscript"/>
        </w:rPr>
        <w:t xml:space="preserve">0-168h </w:t>
      </w:r>
      <w:r w:rsidRPr="001F6307">
        <w:t xml:space="preserve">x 4/24. # Ratio = </w:t>
      </w:r>
      <w:proofErr w:type="spellStart"/>
      <w:r w:rsidRPr="001F6307">
        <w:t>animal</w:t>
      </w:r>
      <w:proofErr w:type="gramStart"/>
      <w:r w:rsidRPr="001F6307">
        <w:t>:human</w:t>
      </w:r>
      <w:proofErr w:type="spellEnd"/>
      <w:proofErr w:type="gramEnd"/>
      <w:r w:rsidRPr="001F6307">
        <w:t xml:space="preserve"> plasma AUC</w:t>
      </w:r>
      <w:r w:rsidRPr="001F6307">
        <w:rPr>
          <w:vertAlign w:val="subscript"/>
        </w:rPr>
        <w:t>0-4 weeks</w:t>
      </w:r>
      <w:r w:rsidRPr="001F6307">
        <w:t>. Human AUC</w:t>
      </w:r>
      <w:r w:rsidRPr="001F6307">
        <w:rPr>
          <w:vertAlign w:val="subscript"/>
        </w:rPr>
        <w:t xml:space="preserve">0-4 weeks </w:t>
      </w:r>
      <w:r w:rsidRPr="001F6307">
        <w:t>= 10113 µ</w:t>
      </w:r>
      <w:proofErr w:type="spellStart"/>
      <w:r w:rsidRPr="001F6307">
        <w:t>g∙day</w:t>
      </w:r>
      <w:proofErr w:type="spellEnd"/>
      <w:r w:rsidRPr="001F6307">
        <w:t xml:space="preserve">/mL at the clinical dose of 1000 mg every 28 days. † </w:t>
      </w:r>
      <w:proofErr w:type="gramStart"/>
      <w:r w:rsidRPr="001F6307">
        <w:t>mg/animal/week</w:t>
      </w:r>
      <w:proofErr w:type="gramEnd"/>
      <w:r w:rsidRPr="001F6307">
        <w:t xml:space="preserve"> (~5 and 20 mg/kg/day).</w:t>
      </w:r>
    </w:p>
    <w:p w:rsidR="001F6307" w:rsidRPr="001F6307" w:rsidRDefault="001F6307" w:rsidP="00947317">
      <w:pPr>
        <w:pStyle w:val="Heading4"/>
      </w:pPr>
      <w:bookmarkStart w:id="72" w:name="_Toc294861729"/>
      <w:proofErr w:type="spellStart"/>
      <w:r w:rsidRPr="001F6307">
        <w:t>Genotoxicity</w:t>
      </w:r>
      <w:bookmarkEnd w:id="72"/>
      <w:proofErr w:type="spellEnd"/>
      <w:r w:rsidRPr="001F6307">
        <w:t xml:space="preserve"> and carcinogenicity</w:t>
      </w:r>
    </w:p>
    <w:p w:rsidR="001F6307" w:rsidRPr="001F6307" w:rsidRDefault="001F6307" w:rsidP="00947317">
      <w:r w:rsidRPr="001F6307">
        <w:t xml:space="preserve">No </w:t>
      </w:r>
      <w:proofErr w:type="spellStart"/>
      <w:r w:rsidRPr="001F6307">
        <w:t>genotoxicity</w:t>
      </w:r>
      <w:proofErr w:type="spellEnd"/>
      <w:r w:rsidRPr="001F6307">
        <w:t xml:space="preserve"> or carcinogenicity studies have been performed with </w:t>
      </w:r>
      <w:proofErr w:type="spellStart"/>
      <w:r w:rsidRPr="001F6307">
        <w:t>obitnutuzumab</w:t>
      </w:r>
      <w:proofErr w:type="spellEnd"/>
      <w:r w:rsidRPr="001F6307">
        <w:t xml:space="preserve">. This is acceptable for a </w:t>
      </w:r>
      <w:proofErr w:type="spellStart"/>
      <w:r w:rsidRPr="001F6307">
        <w:t>monocloncal</w:t>
      </w:r>
      <w:proofErr w:type="spellEnd"/>
      <w:r w:rsidRPr="001F6307">
        <w:t xml:space="preserve"> antibody, which does not possess stimulatory activities. </w:t>
      </w:r>
    </w:p>
    <w:p w:rsidR="001F6307" w:rsidRPr="001F6307" w:rsidRDefault="001F6307" w:rsidP="00947317">
      <w:pPr>
        <w:pStyle w:val="Heading4"/>
      </w:pPr>
      <w:r w:rsidRPr="001F6307">
        <w:t>Reproductive toxicity</w:t>
      </w:r>
    </w:p>
    <w:p w:rsidR="001F6307" w:rsidRPr="001F6307" w:rsidRDefault="001F6307" w:rsidP="00947317">
      <w:r w:rsidRPr="001F6307">
        <w:t>There was only one reproductive toxicity (</w:t>
      </w:r>
      <w:proofErr w:type="spellStart"/>
      <w:r w:rsidRPr="001F6307">
        <w:t>embryofoetal</w:t>
      </w:r>
      <w:proofErr w:type="spellEnd"/>
      <w:r w:rsidRPr="001F6307">
        <w:t xml:space="preserve"> and pre/postnatal development) study submitted. The absence of a fertility study was addressed in part by findings from the 6 month toxicity study, which showed no evidence of treatment related adverse effects on reproductive tissues/organs and female reproductive hormonal profile. </w:t>
      </w:r>
    </w:p>
    <w:p w:rsidR="001F6307" w:rsidRPr="00947317" w:rsidRDefault="001F6307" w:rsidP="00947317">
      <w:r w:rsidRPr="001F6307">
        <w:t xml:space="preserve">The </w:t>
      </w:r>
      <w:proofErr w:type="spellStart"/>
      <w:r w:rsidRPr="001F6307">
        <w:t>embryofoetal</w:t>
      </w:r>
      <w:proofErr w:type="spellEnd"/>
      <w:r w:rsidRPr="001F6307">
        <w:t xml:space="preserve"> development study with OB administered from gestation Day 20 to parturition found no evidence of </w:t>
      </w:r>
      <w:proofErr w:type="spellStart"/>
      <w:r w:rsidRPr="001F6307">
        <w:t>embryofoetal</w:t>
      </w:r>
      <w:proofErr w:type="spellEnd"/>
      <w:r w:rsidRPr="001F6307">
        <w:t xml:space="preserve"> toxicity or teratogenicity despite foetuses clearly being exposed to OB with infant blood samples taken </w:t>
      </w:r>
      <w:proofErr w:type="spellStart"/>
      <w:r w:rsidRPr="001F6307">
        <w:t>post partum</w:t>
      </w:r>
      <w:proofErr w:type="spellEnd"/>
      <w:r w:rsidRPr="001F6307">
        <w:t xml:space="preserve"> (Day 28) </w:t>
      </w:r>
      <w:proofErr w:type="gramStart"/>
      <w:r w:rsidRPr="001F6307">
        <w:t>showing</w:t>
      </w:r>
      <w:proofErr w:type="gramEnd"/>
      <w:r w:rsidRPr="001F6307">
        <w:t xml:space="preserve"> </w:t>
      </w:r>
      <w:proofErr w:type="spellStart"/>
      <w:r w:rsidRPr="001F6307">
        <w:t>Cmax</w:t>
      </w:r>
      <w:proofErr w:type="spellEnd"/>
      <w:r w:rsidRPr="001F6307">
        <w:t xml:space="preserve"> values up to 241 µg/m; infant blood samples showed declining OB levels to around 0.2 µg/mL by </w:t>
      </w:r>
      <w:proofErr w:type="spellStart"/>
      <w:r w:rsidRPr="001F6307">
        <w:t>post partum</w:t>
      </w:r>
      <w:proofErr w:type="spellEnd"/>
      <w:r w:rsidRPr="001F6307">
        <w:t xml:space="preserve"> day 168. Exposures achieved in mothers were 4-5 times the clinical exposure in CLL patients based on </w:t>
      </w:r>
      <w:proofErr w:type="spellStart"/>
      <w:r w:rsidRPr="001F6307">
        <w:t>Cmax</w:t>
      </w:r>
      <w:proofErr w:type="spellEnd"/>
      <w:r w:rsidRPr="001F6307">
        <w:t xml:space="preserve"> or AUC. </w:t>
      </w:r>
    </w:p>
    <w:p w:rsidR="001F6307" w:rsidRPr="001F6307" w:rsidRDefault="001F6307" w:rsidP="00947317">
      <w:pPr>
        <w:pStyle w:val="Heading5"/>
      </w:pPr>
      <w:r w:rsidRPr="001F6307">
        <w:t>Relative exposure</w:t>
      </w:r>
    </w:p>
    <w:p w:rsidR="001F6307" w:rsidRPr="001F6307" w:rsidRDefault="001F6307" w:rsidP="00947317">
      <w:r w:rsidRPr="001F6307">
        <w:t>Relative exposure is shown in Table 3.</w:t>
      </w:r>
    </w:p>
    <w:p w:rsidR="001F6307" w:rsidRPr="001F6307" w:rsidRDefault="001F6307" w:rsidP="00947317">
      <w:pPr>
        <w:pStyle w:val="TableTitle"/>
      </w:pPr>
      <w:proofErr w:type="gramStart"/>
      <w:r w:rsidRPr="001F6307">
        <w:t>Table 3: Relative exposure.</w:t>
      </w:r>
      <w:proofErr w:type="gramEnd"/>
    </w:p>
    <w:p w:rsidR="001F6307" w:rsidRPr="001F6307" w:rsidRDefault="001F6307" w:rsidP="00947317">
      <w:r>
        <w:rPr>
          <w:noProof/>
          <w:lang w:eastAsia="en-AU"/>
        </w:rPr>
        <w:drawing>
          <wp:inline distT="0" distB="0" distL="0" distR="0" wp14:anchorId="4C0636FE" wp14:editId="25787B01">
            <wp:extent cx="5029200" cy="657225"/>
            <wp:effectExtent l="0" t="0" r="0" b="9525"/>
            <wp:docPr id="53" name="Picture 53" descr="Table 3: Relative exposure." title="Table 3: Relativ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Table 3: Relative expos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657225"/>
                    </a:xfrm>
                    <a:prstGeom prst="rect">
                      <a:avLst/>
                    </a:prstGeom>
                    <a:noFill/>
                    <a:ln>
                      <a:noFill/>
                    </a:ln>
                  </pic:spPr>
                </pic:pic>
              </a:graphicData>
            </a:graphic>
          </wp:inline>
        </w:drawing>
      </w:r>
    </w:p>
    <w:p w:rsidR="001F6307" w:rsidRPr="001F6307" w:rsidRDefault="001F6307" w:rsidP="00947317">
      <w:pPr>
        <w:pStyle w:val="TableDescription"/>
      </w:pPr>
      <w:r w:rsidRPr="001F6307">
        <w:t xml:space="preserve"># </w:t>
      </w:r>
      <w:proofErr w:type="gramStart"/>
      <w:r w:rsidRPr="001F6307">
        <w:t>Based</w:t>
      </w:r>
      <w:proofErr w:type="gramEnd"/>
      <w:r w:rsidRPr="001F6307">
        <w:t xml:space="preserve"> on human </w:t>
      </w:r>
      <w:proofErr w:type="spellStart"/>
      <w:r w:rsidRPr="001F6307">
        <w:t>C</w:t>
      </w:r>
      <w:r w:rsidRPr="001F6307">
        <w:rPr>
          <w:vertAlign w:val="subscript"/>
        </w:rPr>
        <w:t>max</w:t>
      </w:r>
      <w:proofErr w:type="spellEnd"/>
      <w:r w:rsidRPr="001F6307">
        <w:t xml:space="preserve"> 510.6 </w:t>
      </w:r>
      <w:proofErr w:type="spellStart"/>
      <w:r w:rsidRPr="001F6307">
        <w:t>μg</w:t>
      </w:r>
      <w:proofErr w:type="spellEnd"/>
      <w:r w:rsidRPr="001F6307">
        <w:t>/mL and AUC</w:t>
      </w:r>
      <w:r w:rsidRPr="001F6307">
        <w:rPr>
          <w:vertAlign w:val="subscript"/>
        </w:rPr>
        <w:t>0-4 weeks</w:t>
      </w:r>
      <w:r w:rsidRPr="001F6307">
        <w:t>, 10113 µ</w:t>
      </w:r>
      <w:proofErr w:type="spellStart"/>
      <w:r w:rsidRPr="001F6307">
        <w:t>g∙day</w:t>
      </w:r>
      <w:proofErr w:type="spellEnd"/>
      <w:r w:rsidRPr="001F6307">
        <w:t xml:space="preserve">/mL in CLL patients. </w:t>
      </w:r>
    </w:p>
    <w:p w:rsidR="001F6307" w:rsidRPr="001F6307" w:rsidRDefault="001F6307" w:rsidP="00947317">
      <w:r w:rsidRPr="001F6307">
        <w:t xml:space="preserve">Concentrations of OB were very low in mother’s milk at mean values </w:t>
      </w:r>
      <w:proofErr w:type="gramStart"/>
      <w:r w:rsidRPr="001F6307">
        <w:t xml:space="preserve">of up to 0.2 µg/mL at 50 mg/kg on Day 28 </w:t>
      </w:r>
      <w:proofErr w:type="spellStart"/>
      <w:r w:rsidRPr="001F6307">
        <w:t>post partum</w:t>
      </w:r>
      <w:proofErr w:type="spellEnd"/>
      <w:r w:rsidRPr="001F6307">
        <w:t xml:space="preserve">, with mother milk/infant serum ratios around 0.001, suggesting </w:t>
      </w:r>
      <w:r w:rsidRPr="001F6307">
        <w:rPr>
          <w:i/>
        </w:rPr>
        <w:t>in utero</w:t>
      </w:r>
      <w:r w:rsidRPr="001F6307">
        <w:t xml:space="preserve"> exposure</w:t>
      </w:r>
      <w:proofErr w:type="gramEnd"/>
      <w:r w:rsidRPr="001F6307">
        <w:t>. ADAs were detected in adults and infants, but the presence of ADA did not appear to reduce systemic exposure and/or induce hypersensitivity reactions.</w:t>
      </w:r>
    </w:p>
    <w:p w:rsidR="001F6307" w:rsidRPr="001F6307" w:rsidRDefault="001F6307" w:rsidP="00947317">
      <w:r w:rsidRPr="001F6307">
        <w:t xml:space="preserve">Exposure to OB during gestation resulted in depletion of B lymphocytes in mothers and infants, which was reversible with B lymphocyte counts returning to almost normal levels in infants by 112 days (25 mg/kg) or 168 days (50 mg/kg) postpartum. This was similar to, but faster than, recoveries in adult monkeys observed in repeat dose studies. Signs of </w:t>
      </w:r>
      <w:r w:rsidRPr="001F6307">
        <w:lastRenderedPageBreak/>
        <w:t xml:space="preserve">opportunistic infection were evident in mothers and infants and consistent with findings from repeat dose toxicity studies. </w:t>
      </w:r>
      <w:proofErr w:type="spellStart"/>
      <w:r w:rsidRPr="001F6307">
        <w:t>Neurobehaviour</w:t>
      </w:r>
      <w:proofErr w:type="spellEnd"/>
      <w:r w:rsidRPr="001F6307">
        <w:t xml:space="preserve"> and skeletal development of infants were unaffected. T cell dependent antibody response was normal at around 6 months of age. </w:t>
      </w:r>
    </w:p>
    <w:p w:rsidR="001F6307" w:rsidRPr="001F6307" w:rsidRDefault="001F6307" w:rsidP="00947317">
      <w:r w:rsidRPr="001F6307">
        <w:t xml:space="preserve">The limited data set for reproductive toxicity of OB could be considered acceptable since other drugs in the same class lack specific reproductive toxicity (not teratogenic). The only observed adverse finding in the reproductive study was reversible depletion of B lymphocytes in mothers and infants. Also, the target population for the proposed indication of CLL has a median age of 65-70 years of age. </w:t>
      </w:r>
    </w:p>
    <w:p w:rsidR="001F6307" w:rsidRPr="001F6307" w:rsidRDefault="001F6307" w:rsidP="00947317">
      <w:pPr>
        <w:pStyle w:val="Heading5"/>
      </w:pPr>
      <w:r w:rsidRPr="001F6307">
        <w:t>Pregnancy classification</w:t>
      </w:r>
    </w:p>
    <w:p w:rsidR="001F6307" w:rsidRPr="001F6307" w:rsidRDefault="001F6307" w:rsidP="00947317">
      <w:r w:rsidRPr="001F6307">
        <w:t>The sponsor has proposed Pregnancy Category C,</w:t>
      </w:r>
      <w:r w:rsidRPr="001F6307">
        <w:rPr>
          <w:vertAlign w:val="superscript"/>
        </w:rPr>
        <w:footnoteReference w:id="2"/>
      </w:r>
      <w:r w:rsidRPr="001F6307">
        <w:t xml:space="preserve"> which is considered appropriate given the pharmacological effects on B lymphocytes.</w:t>
      </w:r>
    </w:p>
    <w:p w:rsidR="001F6307" w:rsidRPr="001F6307" w:rsidRDefault="001F6307" w:rsidP="00947317">
      <w:pPr>
        <w:pStyle w:val="Heading4"/>
      </w:pPr>
      <w:r w:rsidRPr="001F6307">
        <w:t xml:space="preserve">Local tolerance </w:t>
      </w:r>
    </w:p>
    <w:p w:rsidR="001F6307" w:rsidRPr="001F6307" w:rsidRDefault="001F6307" w:rsidP="00947317">
      <w:r w:rsidRPr="001F6307">
        <w:t xml:space="preserve">There was no evidence of local tissue damage at the injection site caused by the IV infusion/injection of OB in </w:t>
      </w:r>
      <w:proofErr w:type="spellStart"/>
      <w:r w:rsidRPr="001F6307">
        <w:t>cynomolgus</w:t>
      </w:r>
      <w:proofErr w:type="spellEnd"/>
      <w:r w:rsidRPr="001F6307">
        <w:t xml:space="preserve"> monkeys. OB did not cause haemolysis, precipitation or turbidity of human whole blood </w:t>
      </w:r>
      <w:r w:rsidRPr="001F6307">
        <w:rPr>
          <w:i/>
        </w:rPr>
        <w:t>in vitro</w:t>
      </w:r>
      <w:r w:rsidRPr="001F6307">
        <w:t xml:space="preserve">. </w:t>
      </w:r>
    </w:p>
    <w:p w:rsidR="001F6307" w:rsidRPr="001F6307" w:rsidRDefault="001F6307" w:rsidP="00947317">
      <w:pPr>
        <w:pStyle w:val="Heading4"/>
      </w:pPr>
      <w:r w:rsidRPr="001F6307">
        <w:t>Paediatric use</w:t>
      </w:r>
    </w:p>
    <w:p w:rsidR="001F6307" w:rsidRPr="001F6307" w:rsidRDefault="001F6307" w:rsidP="00947317">
      <w:r w:rsidRPr="001F6307">
        <w:t>OB is not proposed for paediatric use and no specific studies in juvenile animals were submitted.</w:t>
      </w:r>
    </w:p>
    <w:p w:rsidR="001F6307" w:rsidRPr="001F6307" w:rsidRDefault="001F6307" w:rsidP="00947317">
      <w:pPr>
        <w:pStyle w:val="Heading3"/>
      </w:pPr>
      <w:bookmarkStart w:id="73" w:name="_Toc247691515"/>
      <w:bookmarkStart w:id="74" w:name="_Toc314842499"/>
      <w:bookmarkStart w:id="75" w:name="_Toc395872563"/>
      <w:bookmarkStart w:id="76" w:name="_Toc399425141"/>
      <w:bookmarkEnd w:id="64"/>
      <w:bookmarkEnd w:id="65"/>
      <w:r w:rsidRPr="001F6307">
        <w:t xml:space="preserve">Nonclinical </w:t>
      </w:r>
      <w:r w:rsidR="00947317">
        <w:t>s</w:t>
      </w:r>
      <w:r w:rsidRPr="001F6307">
        <w:t xml:space="preserve">ummary and </w:t>
      </w:r>
      <w:r w:rsidR="00947317">
        <w:t>c</w:t>
      </w:r>
      <w:r w:rsidRPr="001F6307">
        <w:t>onclusions</w:t>
      </w:r>
      <w:bookmarkEnd w:id="73"/>
      <w:bookmarkEnd w:id="74"/>
      <w:bookmarkEnd w:id="75"/>
      <w:bookmarkEnd w:id="76"/>
    </w:p>
    <w:p w:rsidR="001F6307" w:rsidRPr="001F6307" w:rsidRDefault="001F6307" w:rsidP="00947317">
      <w:pPr>
        <w:pStyle w:val="Heading4"/>
      </w:pPr>
      <w:r w:rsidRPr="001F6307">
        <w:t>Summary</w:t>
      </w:r>
    </w:p>
    <w:p w:rsidR="001F6307" w:rsidRPr="001F6307" w:rsidRDefault="001F6307" w:rsidP="00947317">
      <w:pPr>
        <w:pStyle w:val="ListBullet"/>
      </w:pPr>
      <w:r w:rsidRPr="001F6307">
        <w:t xml:space="preserve">The sponsor has provided adequate studies on the pharmacology and PK, as well as toxicity studies including repeat-dose toxicity, reproductive toxicity and </w:t>
      </w:r>
      <w:proofErr w:type="spellStart"/>
      <w:r w:rsidRPr="001F6307">
        <w:t>immunotoxicity</w:t>
      </w:r>
      <w:proofErr w:type="spellEnd"/>
      <w:r w:rsidRPr="001F6307">
        <w:t>, according to relevant guidelines.</w:t>
      </w:r>
    </w:p>
    <w:p w:rsidR="001F6307" w:rsidRPr="001F6307" w:rsidRDefault="001F6307" w:rsidP="00947317">
      <w:pPr>
        <w:pStyle w:val="ListBullet"/>
      </w:pPr>
      <w:r w:rsidRPr="001F6307">
        <w:t xml:space="preserve">OB is a humanised </w:t>
      </w:r>
      <w:proofErr w:type="spellStart"/>
      <w:r w:rsidRPr="001F6307">
        <w:t>glycoengineered</w:t>
      </w:r>
      <w:proofErr w:type="spellEnd"/>
      <w:r w:rsidRPr="001F6307">
        <w:t xml:space="preserve"> Type II CD20 monoclonal antibody of the IgG1 </w:t>
      </w:r>
      <w:proofErr w:type="spellStart"/>
      <w:r w:rsidRPr="001F6307">
        <w:t>isotype</w:t>
      </w:r>
      <w:proofErr w:type="spellEnd"/>
      <w:r w:rsidRPr="001F6307">
        <w:t xml:space="preserve">. OB binds to CD20 membrane protein on B-cells with high selectivity and affinity at </w:t>
      </w:r>
      <w:proofErr w:type="spellStart"/>
      <w:r w:rsidRPr="001F6307">
        <w:t>nanomolar</w:t>
      </w:r>
      <w:proofErr w:type="spellEnd"/>
      <w:r w:rsidRPr="001F6307">
        <w:t xml:space="preserve"> concentrations. OB induced cell death was linked to ADCC and ADCP. </w:t>
      </w:r>
      <w:r w:rsidRPr="001F6307">
        <w:rPr>
          <w:i/>
        </w:rPr>
        <w:t>In vivo</w:t>
      </w:r>
      <w:r w:rsidRPr="001F6307">
        <w:t xml:space="preserve">, OB demonstrated the capacity to induce tumour remission and increase median and overall survival (OS) in NHL </w:t>
      </w:r>
      <w:proofErr w:type="spellStart"/>
      <w:r w:rsidRPr="001F6307">
        <w:t>xenograft</w:t>
      </w:r>
      <w:proofErr w:type="spellEnd"/>
      <w:r w:rsidRPr="001F6307">
        <w:t xml:space="preserve"> models. OB induced significant B cell depletion in peripheral blood and lymphoid tissue (spleen and lymph nodes) in </w:t>
      </w:r>
      <w:proofErr w:type="spellStart"/>
      <w:r w:rsidRPr="001F6307">
        <w:t>cynomolgus</w:t>
      </w:r>
      <w:proofErr w:type="spellEnd"/>
      <w:r w:rsidRPr="001F6307">
        <w:t xml:space="preserve"> monkeys and humanised CD20 transgenic mice. </w:t>
      </w:r>
    </w:p>
    <w:p w:rsidR="001F6307" w:rsidRPr="001F6307" w:rsidRDefault="001F6307" w:rsidP="00947317">
      <w:pPr>
        <w:pStyle w:val="ListBullet"/>
      </w:pPr>
      <w:r w:rsidRPr="001F6307">
        <w:t xml:space="preserve">Specific secondary and safety pharmacology studies were not provided in this submission. Related findings from toxicity and </w:t>
      </w:r>
      <w:r w:rsidRPr="001F6307">
        <w:rPr>
          <w:i/>
        </w:rPr>
        <w:t>in vitro</w:t>
      </w:r>
      <w:r w:rsidRPr="001F6307">
        <w:t xml:space="preserve"> assays included opportunistic infections, cytokine release, immune complex mediate effects and binding to endothelium of multiple tissues (in addition to lymphocytes). Infusion related reactions as a result of cytokine release could occur in patients. </w:t>
      </w:r>
    </w:p>
    <w:p w:rsidR="001F6307" w:rsidRPr="001F6307" w:rsidRDefault="001F6307" w:rsidP="00947317">
      <w:pPr>
        <w:pStyle w:val="ListBullet"/>
      </w:pPr>
      <w:r w:rsidRPr="001F6307">
        <w:t xml:space="preserve">PK data was primarily generated in </w:t>
      </w:r>
      <w:proofErr w:type="spellStart"/>
      <w:r w:rsidRPr="001F6307">
        <w:t>cynomolgus</w:t>
      </w:r>
      <w:proofErr w:type="spellEnd"/>
      <w:r w:rsidRPr="001F6307">
        <w:t xml:space="preserve"> monkeys (single/repeat dose studies). As a monoclonal antibody, the PK profile of OB in monkeys is characteristic of a large molecular protein, with a small volume of distribution, slow clearance, and long </w:t>
      </w:r>
      <w:proofErr w:type="spellStart"/>
      <w:r w:rsidRPr="001F6307">
        <w:t>half life</w:t>
      </w:r>
      <w:proofErr w:type="spellEnd"/>
      <w:r w:rsidRPr="001F6307">
        <w:t xml:space="preserve">. The clearance in monkeys was faster than in humans. Dosing monkeys with OB via </w:t>
      </w:r>
      <w:r w:rsidRPr="001F6307">
        <w:lastRenderedPageBreak/>
        <w:t>the subcutaneous (SC) route resulted in a bioavailability of ~50%. Repeat dose IV OB produced dose proportional increases over the dose range tested, showing slight drug accumulation without any apparent gender differences. Depletion of CD20 B cells was seen at all doses of OB tested, with kinetic modelling predicting B cell recovery when OB blood levels were &lt;0.02 µg/</w:t>
      </w:r>
      <w:proofErr w:type="spellStart"/>
      <w:r w:rsidRPr="001F6307">
        <w:t>mL.</w:t>
      </w:r>
      <w:proofErr w:type="spellEnd"/>
      <w:r w:rsidRPr="001F6307">
        <w:t xml:space="preserve"> </w:t>
      </w:r>
    </w:p>
    <w:p w:rsidR="001F6307" w:rsidRPr="001F6307" w:rsidRDefault="001F6307" w:rsidP="00947317">
      <w:pPr>
        <w:pStyle w:val="ListBullet"/>
      </w:pPr>
      <w:r w:rsidRPr="001F6307">
        <w:t xml:space="preserve">There was no single </w:t>
      </w:r>
      <w:r w:rsidRPr="00947317">
        <w:t>dose</w:t>
      </w:r>
      <w:r w:rsidRPr="001F6307">
        <w:t xml:space="preserve"> toxicity study included in this application.</w:t>
      </w:r>
    </w:p>
    <w:p w:rsidR="001F6307" w:rsidRPr="001F6307" w:rsidRDefault="001F6307" w:rsidP="00947317">
      <w:pPr>
        <w:pStyle w:val="ListBullet"/>
      </w:pPr>
      <w:r w:rsidRPr="001F6307">
        <w:t xml:space="preserve">Repeat dose toxicity studies were conducted in </w:t>
      </w:r>
      <w:proofErr w:type="spellStart"/>
      <w:r w:rsidRPr="001F6307">
        <w:t>cynomolgus</w:t>
      </w:r>
      <w:proofErr w:type="spellEnd"/>
      <w:r w:rsidRPr="001F6307">
        <w:t xml:space="preserve"> monkeys in compliance with GLP, with durations of up to 26 weeks (plus recovery) using the IV route (clinical route). A repeat dose toxicity study of 4 weeks duration using the SC route was also conducted in </w:t>
      </w:r>
      <w:proofErr w:type="spellStart"/>
      <w:r w:rsidRPr="001F6307">
        <w:t>cynomolgus</w:t>
      </w:r>
      <w:proofErr w:type="spellEnd"/>
      <w:r w:rsidRPr="001F6307">
        <w:t xml:space="preserve"> monkeys. There was clear evidence of CD20 cell depletion in all studies, which showed reversibility during the recovery period. ADAs were detected in the repeat dose toxicity studies. There was also evidence of systemic inflammation consistent with immune related hypersensitivity reactions, and opportunistic infections as a result of depressed immune function. There were no clear target organs, with changes to kidneys (glomerulonephritis) and arteries (arteritis/</w:t>
      </w:r>
      <w:proofErr w:type="spellStart"/>
      <w:r w:rsidRPr="001F6307">
        <w:t>periarteritis</w:t>
      </w:r>
      <w:proofErr w:type="spellEnd"/>
      <w:r w:rsidRPr="001F6307">
        <w:t xml:space="preserve">) secondary to immune complex mediated hypersensitivity, although arteritis could be partially attributable to OB binding to endothelium (as observed in </w:t>
      </w:r>
      <w:r w:rsidRPr="001F6307">
        <w:rPr>
          <w:i/>
        </w:rPr>
        <w:t>in vitro</w:t>
      </w:r>
      <w:r w:rsidRPr="001F6307">
        <w:t xml:space="preserve"> tissue binding assays). Exposures achieved in the pivotal monkey studies at the highest doses exceeded the clinical exposure levels (by up to 8 fold). </w:t>
      </w:r>
    </w:p>
    <w:p w:rsidR="001F6307" w:rsidRPr="001F6307" w:rsidRDefault="001F6307" w:rsidP="00947317">
      <w:pPr>
        <w:pStyle w:val="ListBullet"/>
      </w:pPr>
      <w:r w:rsidRPr="001F6307">
        <w:t xml:space="preserve">There were no </w:t>
      </w:r>
      <w:proofErr w:type="spellStart"/>
      <w:r w:rsidRPr="001F6307">
        <w:t>genotoxicity</w:t>
      </w:r>
      <w:proofErr w:type="spellEnd"/>
      <w:r w:rsidRPr="001F6307">
        <w:t xml:space="preserve"> or carcinogenicity studies included in this application. This is not considered a deficiency. </w:t>
      </w:r>
    </w:p>
    <w:p w:rsidR="001F6307" w:rsidRPr="001F6307" w:rsidRDefault="001F6307" w:rsidP="00947317">
      <w:pPr>
        <w:pStyle w:val="ListBullet"/>
      </w:pPr>
      <w:r w:rsidRPr="001F6307">
        <w:t xml:space="preserve">Data addressing reproductive toxicity examined only </w:t>
      </w:r>
      <w:proofErr w:type="spellStart"/>
      <w:r w:rsidRPr="001F6307">
        <w:t>embryofoetal</w:t>
      </w:r>
      <w:proofErr w:type="spellEnd"/>
      <w:r w:rsidRPr="001F6307">
        <w:t xml:space="preserve"> and pre/postnatal development. The limited reproductive toxicity assessment was compensated by findings from repeat dose toxicity studies, which showed no effects on reproductive organs. Findings in infants were limited to B cell depletion and secondary opportunistic infections or immune related hypersensitivity reactions. OB crossed the blood/placental barrier, with measurable amounts found in infants; very low levels of OB were found in breast milk. ADAs were detected in both adult and infant animals at similar frequencies (~15%), which is at a rate similar to </w:t>
      </w:r>
      <w:proofErr w:type="spellStart"/>
      <w:r w:rsidRPr="001F6307">
        <w:t>non pregnant</w:t>
      </w:r>
      <w:proofErr w:type="spellEnd"/>
      <w:r w:rsidRPr="001F6307">
        <w:t xml:space="preserve"> monkeys from repeat dose toxicity studies. Exposures in pregnant monkeys were 4-5 times the clinical exposure based on </w:t>
      </w:r>
      <w:proofErr w:type="spellStart"/>
      <w:r w:rsidRPr="001F6307">
        <w:t>Cmax</w:t>
      </w:r>
      <w:proofErr w:type="spellEnd"/>
      <w:r w:rsidRPr="001F6307">
        <w:t xml:space="preserve"> and AUC. </w:t>
      </w:r>
    </w:p>
    <w:p w:rsidR="001F6307" w:rsidRPr="001F6307" w:rsidRDefault="001F6307" w:rsidP="00947317">
      <w:pPr>
        <w:pStyle w:val="Heading4"/>
      </w:pPr>
      <w:r w:rsidRPr="001F6307">
        <w:t>Conclusions</w:t>
      </w:r>
    </w:p>
    <w:p w:rsidR="001F6307" w:rsidRPr="001F6307" w:rsidRDefault="001F6307" w:rsidP="00947317">
      <w:pPr>
        <w:pStyle w:val="ListBullet"/>
      </w:pPr>
      <w:r w:rsidRPr="001F6307">
        <w:t xml:space="preserve">According to EU guidelines the data presented is consistent with that required for a drug of this class with the exception for reproductive toxicity data, which only examined </w:t>
      </w:r>
      <w:proofErr w:type="spellStart"/>
      <w:r w:rsidRPr="001F6307">
        <w:t>embryofoetal</w:t>
      </w:r>
      <w:proofErr w:type="spellEnd"/>
      <w:r w:rsidRPr="001F6307">
        <w:t xml:space="preserve"> and pre/postnatal development. </w:t>
      </w:r>
    </w:p>
    <w:p w:rsidR="001F6307" w:rsidRPr="001F6307" w:rsidRDefault="001F6307" w:rsidP="00947317">
      <w:pPr>
        <w:pStyle w:val="ListBullet"/>
      </w:pPr>
      <w:r w:rsidRPr="001F6307">
        <w:t>Nonclinical primary pharmacology studies demonstrated the efficacy (B cell depletion) and support the use of OB for the proposed indication.</w:t>
      </w:r>
    </w:p>
    <w:p w:rsidR="001F6307" w:rsidRPr="001F6307" w:rsidRDefault="001F6307" w:rsidP="00947317">
      <w:pPr>
        <w:pStyle w:val="ListBullet"/>
      </w:pPr>
      <w:r w:rsidRPr="001F6307">
        <w:t xml:space="preserve">OB stimulates cytokine release from human blood in vitro over a clinically relevant concentration range, which could have safety implications (infusion related reactions) in patients. </w:t>
      </w:r>
    </w:p>
    <w:p w:rsidR="001F6307" w:rsidRPr="001F6307" w:rsidRDefault="001F6307" w:rsidP="00947317">
      <w:pPr>
        <w:pStyle w:val="ListBullet"/>
      </w:pPr>
      <w:r w:rsidRPr="001F6307">
        <w:t>There was no clear target organ of toxicity, with changes seen in organs (for example, glomerulonephritis, arteritis/</w:t>
      </w:r>
      <w:proofErr w:type="spellStart"/>
      <w:r w:rsidRPr="001F6307">
        <w:t>periarteritis</w:t>
      </w:r>
      <w:proofErr w:type="spellEnd"/>
      <w:r w:rsidRPr="001F6307">
        <w:t xml:space="preserve">) considered secondary to immunogenic hypersensitivity reactions although arteritis could be partially due to OB binding to endothelium. </w:t>
      </w:r>
    </w:p>
    <w:p w:rsidR="001F6307" w:rsidRPr="001F6307" w:rsidRDefault="001F6307" w:rsidP="00947317">
      <w:pPr>
        <w:pStyle w:val="ListBullet"/>
      </w:pPr>
      <w:proofErr w:type="spellStart"/>
      <w:r w:rsidRPr="001F6307">
        <w:t>Embryofoetal</w:t>
      </w:r>
      <w:proofErr w:type="spellEnd"/>
      <w:r w:rsidRPr="001F6307">
        <w:t xml:space="preserve"> and pre/postnatal development was unaffected except for the expected pharmacological effects. The limited reproductive toxicity assessment was compensated by repeat dose toxicity studies, which showed no effects on reproductive organs. </w:t>
      </w:r>
    </w:p>
    <w:p w:rsidR="001F6307" w:rsidRPr="001F6307" w:rsidRDefault="001F6307" w:rsidP="00947317">
      <w:pPr>
        <w:pStyle w:val="ListBullet"/>
      </w:pPr>
      <w:r w:rsidRPr="001F6307">
        <w:lastRenderedPageBreak/>
        <w:t>There are no objections on nonclinical grounds to the registration of OB for the proposed indication.</w:t>
      </w:r>
    </w:p>
    <w:p w:rsidR="001F6307" w:rsidRPr="001F6307" w:rsidRDefault="001F6307" w:rsidP="00947317">
      <w:pPr>
        <w:pStyle w:val="Heading2"/>
      </w:pPr>
      <w:bookmarkStart w:id="77" w:name="_Toc196046462"/>
      <w:bookmarkStart w:id="78" w:name="_Toc247691516"/>
      <w:bookmarkStart w:id="79" w:name="_Toc314842500"/>
      <w:bookmarkStart w:id="80" w:name="_Toc395872564"/>
      <w:bookmarkStart w:id="81" w:name="_Toc163441353"/>
      <w:bookmarkStart w:id="82" w:name="_Toc163441348"/>
      <w:bookmarkStart w:id="83" w:name="_Toc399425142"/>
      <w:r w:rsidRPr="001F6307">
        <w:t>IV. Clinical</w:t>
      </w:r>
      <w:bookmarkEnd w:id="77"/>
      <w:r w:rsidRPr="001F6307">
        <w:t xml:space="preserve"> findings</w:t>
      </w:r>
      <w:bookmarkEnd w:id="78"/>
      <w:bookmarkEnd w:id="79"/>
      <w:bookmarkEnd w:id="80"/>
      <w:bookmarkEnd w:id="83"/>
    </w:p>
    <w:p w:rsidR="001F6307" w:rsidRPr="001F6307" w:rsidRDefault="001F6307" w:rsidP="00947317">
      <w:bookmarkStart w:id="84" w:name="_Toc196046463"/>
      <w:r w:rsidRPr="001F6307">
        <w:t>A summary of the clinical findings is presented in this section. Further details of these clinical findings can be found in Attachment 2.</w:t>
      </w:r>
    </w:p>
    <w:p w:rsidR="001F6307" w:rsidRPr="001F6307" w:rsidRDefault="001F6307" w:rsidP="00947317">
      <w:pPr>
        <w:pStyle w:val="Heading3"/>
      </w:pPr>
      <w:bookmarkStart w:id="85" w:name="_Toc247691517"/>
      <w:bookmarkStart w:id="86" w:name="_Toc314842501"/>
      <w:bookmarkStart w:id="87" w:name="_Toc395872565"/>
      <w:bookmarkStart w:id="88" w:name="_Toc399425143"/>
      <w:r w:rsidRPr="001F6307">
        <w:t>Introduction</w:t>
      </w:r>
      <w:bookmarkEnd w:id="84"/>
      <w:bookmarkEnd w:id="85"/>
      <w:bookmarkEnd w:id="86"/>
      <w:bookmarkEnd w:id="87"/>
      <w:bookmarkEnd w:id="88"/>
    </w:p>
    <w:p w:rsidR="001F6307" w:rsidRPr="001F6307" w:rsidRDefault="001F6307" w:rsidP="00947317">
      <w:pPr>
        <w:pStyle w:val="Heading4"/>
      </w:pPr>
      <w:bookmarkStart w:id="89" w:name="_Toc196046464"/>
      <w:bookmarkStart w:id="90" w:name="_Toc247691518"/>
      <w:bookmarkStart w:id="91" w:name="_Toc314842502"/>
      <w:r w:rsidRPr="001F6307">
        <w:t>Clinical rationale</w:t>
      </w:r>
    </w:p>
    <w:p w:rsidR="001F6307" w:rsidRPr="001F6307" w:rsidRDefault="001F6307" w:rsidP="00947317">
      <w:r w:rsidRPr="001F6307">
        <w:t xml:space="preserve">CLL is a condition commonly affecting the elderly who frequently have associated co-morbidities which limit the nature of chemotherapy which can be administered to these patients. </w:t>
      </w:r>
      <w:proofErr w:type="spellStart"/>
      <w:r w:rsidRPr="001F6307">
        <w:t>Clb</w:t>
      </w:r>
      <w:proofErr w:type="spellEnd"/>
      <w:r w:rsidRPr="001F6307">
        <w:t xml:space="preserve"> has been a mainstay of treatment for these patients for many years being able to maintain disease control for prolonged periods of time but ultimately the disease remains incurable. More recent approaches to treatment including agents such as </w:t>
      </w:r>
      <w:proofErr w:type="spellStart"/>
      <w:r w:rsidRPr="001F6307">
        <w:t>fludarabine</w:t>
      </w:r>
      <w:proofErr w:type="spellEnd"/>
      <w:r w:rsidRPr="001F6307">
        <w:t xml:space="preserve"> and rituximab and other monoclonal antibodies have proven efficacious in combination associated with significantly higher incidence of adverse effects in the elderly patients. Accordingly, OB has been under development as a proposed alternative monoclonal antibody with potential for improved efficacy and acceptable safety. </w:t>
      </w:r>
    </w:p>
    <w:p w:rsidR="001F6307" w:rsidRPr="001F6307" w:rsidRDefault="001F6307" w:rsidP="00947317">
      <w:pPr>
        <w:pStyle w:val="Heading4"/>
      </w:pPr>
      <w:r w:rsidRPr="001F6307">
        <w:t>Contents of the clinical dossier at submission</w:t>
      </w:r>
    </w:p>
    <w:p w:rsidR="001F6307" w:rsidRPr="001F6307" w:rsidRDefault="001F6307" w:rsidP="00947317">
      <w:r w:rsidRPr="001F6307">
        <w:t xml:space="preserve">A total of five studies are presented including the pivotal Study B021004, and Phase I/II Studies B021000, B020999, B021003 and J021900. Full clinical reports and tabular summaries are provided with these studies. It is to be noted that only the pivotal study contains data of direct pertinence to the proposed indications. The remaining four studies effectively provide data with regards to PK and safety. There were a total of 38 patients with CLL who received OB monotherapy in the Phase I Study B021003 and Phase I/II Study B020999. These will be reviewed in the Clinical Efficacy section. Overview of the clinical studies provided in relation to </w:t>
      </w:r>
      <w:proofErr w:type="gramStart"/>
      <w:r w:rsidRPr="001F6307">
        <w:t>both PK</w:t>
      </w:r>
      <w:proofErr w:type="gramEnd"/>
      <w:r w:rsidRPr="001F6307">
        <w:t xml:space="preserve">/PD data as well as safety and efficacy data is indicated in Tables 4 and 5. </w:t>
      </w:r>
    </w:p>
    <w:p w:rsidR="001F6307" w:rsidRPr="001F6307" w:rsidRDefault="001F6307" w:rsidP="00947317">
      <w:pPr>
        <w:pStyle w:val="TableTitle"/>
      </w:pPr>
      <w:proofErr w:type="gramStart"/>
      <w:r w:rsidRPr="001F6307">
        <w:lastRenderedPageBreak/>
        <w:t>Table 4: Clinical studies contributing safety and efficacy data supporting the application for registration of OB in CLL.</w:t>
      </w:r>
      <w:proofErr w:type="gramEnd"/>
    </w:p>
    <w:p w:rsidR="001F6307" w:rsidRPr="001F6307" w:rsidRDefault="001F6307" w:rsidP="00947317">
      <w:r>
        <w:rPr>
          <w:noProof/>
          <w:lang w:eastAsia="en-AU"/>
        </w:rPr>
        <w:drawing>
          <wp:inline distT="0" distB="0" distL="0" distR="0" wp14:anchorId="6365AD73" wp14:editId="4EBBFCED">
            <wp:extent cx="3686175" cy="5143500"/>
            <wp:effectExtent l="0" t="0" r="9525" b="0"/>
            <wp:docPr id="52" name="Picture 52" descr="Table 4: Clinical studies contributing safety and efficacy data supporting the application for registration of OB in CLL."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Table 4: Clinical studies contributing safety and efficacy data supporting the application for registration of OB in C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6175" cy="5143500"/>
                    </a:xfrm>
                    <a:prstGeom prst="rect">
                      <a:avLst/>
                    </a:prstGeom>
                    <a:noFill/>
                    <a:ln>
                      <a:noFill/>
                    </a:ln>
                  </pic:spPr>
                </pic:pic>
              </a:graphicData>
            </a:graphic>
          </wp:inline>
        </w:drawing>
      </w:r>
    </w:p>
    <w:p w:rsidR="001F6307" w:rsidRPr="001F6307" w:rsidRDefault="001F6307" w:rsidP="00947317">
      <w:pPr>
        <w:pStyle w:val="TableTitle"/>
      </w:pPr>
      <w:r w:rsidRPr="001F6307">
        <w:t>Table 5: Overview of OB studies providing PK/PD data.</w:t>
      </w:r>
    </w:p>
    <w:p w:rsidR="001F6307" w:rsidRPr="001F6307" w:rsidRDefault="001F6307" w:rsidP="00947317">
      <w:r>
        <w:rPr>
          <w:noProof/>
          <w:lang w:eastAsia="en-AU"/>
        </w:rPr>
        <w:drawing>
          <wp:inline distT="0" distB="0" distL="0" distR="0" wp14:anchorId="1CE2FC5F" wp14:editId="4AF88E0B">
            <wp:extent cx="5391150" cy="3019425"/>
            <wp:effectExtent l="0" t="0" r="0" b="9525"/>
            <wp:docPr id="51" name="Picture 51" descr="Table 5: Overview of OB studies providing PK/PD data." title="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Table 5: Overview of OB studies providing PK/PD d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rsidR="001F6307" w:rsidRPr="001F6307" w:rsidRDefault="001F6307" w:rsidP="00947317">
      <w:pPr>
        <w:pStyle w:val="Heading4"/>
      </w:pPr>
      <w:r w:rsidRPr="001F6307">
        <w:lastRenderedPageBreak/>
        <w:t>Paediatric data</w:t>
      </w:r>
    </w:p>
    <w:p w:rsidR="001F6307" w:rsidRPr="001F6307" w:rsidRDefault="001F6307" w:rsidP="00947317">
      <w:r w:rsidRPr="001F6307">
        <w:t>Not applicable.</w:t>
      </w:r>
    </w:p>
    <w:p w:rsidR="001F6307" w:rsidRPr="001F6307" w:rsidRDefault="001F6307" w:rsidP="00947317">
      <w:pPr>
        <w:pStyle w:val="Heading4"/>
      </w:pPr>
      <w:r w:rsidRPr="001F6307">
        <w:t>Good clinical practice</w:t>
      </w:r>
    </w:p>
    <w:p w:rsidR="001F6307" w:rsidRPr="001F6307" w:rsidRDefault="001F6307" w:rsidP="00947317">
      <w:r w:rsidRPr="001F6307">
        <w:t>All aspects of good clinical practice were observed in the studies presented.</w:t>
      </w:r>
    </w:p>
    <w:p w:rsidR="001F6307" w:rsidRPr="001F6307" w:rsidRDefault="001F6307" w:rsidP="00947317">
      <w:pPr>
        <w:pStyle w:val="Heading3"/>
      </w:pPr>
      <w:bookmarkStart w:id="92" w:name="_Toc395872566"/>
      <w:bookmarkStart w:id="93" w:name="_Toc399425144"/>
      <w:r w:rsidRPr="001F6307">
        <w:t>Pharmacokinetics</w:t>
      </w:r>
      <w:bookmarkEnd w:id="81"/>
      <w:bookmarkEnd w:id="89"/>
      <w:bookmarkEnd w:id="90"/>
      <w:bookmarkEnd w:id="91"/>
      <w:r w:rsidRPr="001F6307">
        <w:t xml:space="preserve"> / </w:t>
      </w:r>
      <w:r w:rsidR="00947317">
        <w:t>p</w:t>
      </w:r>
      <w:r w:rsidRPr="001F6307">
        <w:t>harmacodynamics</w:t>
      </w:r>
      <w:bookmarkEnd w:id="92"/>
      <w:bookmarkEnd w:id="93"/>
    </w:p>
    <w:p w:rsidR="001F6307" w:rsidRPr="001F6307" w:rsidRDefault="001F6307" w:rsidP="00947317">
      <w:pPr>
        <w:pStyle w:val="Heading4"/>
      </w:pPr>
      <w:r w:rsidRPr="001F6307">
        <w:t xml:space="preserve">Studies providing data </w:t>
      </w:r>
    </w:p>
    <w:p w:rsidR="001F6307" w:rsidRPr="001F6307" w:rsidRDefault="001F6307" w:rsidP="00947317">
      <w:r w:rsidRPr="001F6307">
        <w:t xml:space="preserve">PK and PD data for this submission is provided from the five studies indicated in Table 5 that included PK, PD, and immunogenicity data. The studies involve the administration of OB to patients with NHL as well as CLL. It is noted that three of the studies involve monotherapy with OB but Study B021000 was a combination Phase II study involving the administration of concomitant chemotherapy. Data from four of the clinical studies, namely Studies B020999, B021003, B021000 and B021004, were combined in a population PK analysis and modelling. This provided the most comprehensive analysis of relevant PK and PD data for OB and will be the focus of this evaluation. It is to be noted that the serum sampling scheme for each of these studies is sufficient to enable the development of a population PK model as well as enabling a </w:t>
      </w:r>
      <w:proofErr w:type="spellStart"/>
      <w:r w:rsidRPr="001F6307">
        <w:t>non compartmental</w:t>
      </w:r>
      <w:proofErr w:type="spellEnd"/>
      <w:r w:rsidRPr="001F6307">
        <w:t xml:space="preserve"> analysis. This included data from both patients with NHL and CLL, OB monotherapy, and OB in combination with chemotherapy in order to conduct a population PK co-</w:t>
      </w:r>
      <w:proofErr w:type="spellStart"/>
      <w:r w:rsidRPr="001F6307">
        <w:t>variate</w:t>
      </w:r>
      <w:proofErr w:type="spellEnd"/>
      <w:r w:rsidRPr="001F6307">
        <w:t xml:space="preserve"> analysis to identify the main sources of OB PK variability. It was not considered appropriate to include the 12 patients from the Japanese study for the PK analysis since efficacy from this data was not used in the original submission and the safety data was not pooled from other studies.</w:t>
      </w:r>
    </w:p>
    <w:p w:rsidR="001F6307" w:rsidRPr="001F6307" w:rsidRDefault="001F6307" w:rsidP="00947317">
      <w:r w:rsidRPr="001F6307">
        <w:t>A two compartment population PK model with time dependent clearance describe OB concentration. Estimates were made from the following structural parameters: steady state clearance (</w:t>
      </w:r>
      <w:proofErr w:type="spellStart"/>
      <w:r w:rsidRPr="001F6307">
        <w:t>CL</w:t>
      </w:r>
      <w:r w:rsidRPr="001F6307">
        <w:rPr>
          <w:vertAlign w:val="subscript"/>
        </w:rPr>
        <w:t>inf</w:t>
      </w:r>
      <w:proofErr w:type="spellEnd"/>
      <w:r w:rsidRPr="001F6307">
        <w:t>), initial time dependent clearance (CL</w:t>
      </w:r>
      <w:r w:rsidRPr="001F6307">
        <w:rPr>
          <w:vertAlign w:val="subscript"/>
        </w:rPr>
        <w:t>T</w:t>
      </w:r>
      <w:r w:rsidRPr="001F6307">
        <w:t>), decay co-efficient of time dependent clearance (</w:t>
      </w:r>
      <w:proofErr w:type="spellStart"/>
      <w:r w:rsidRPr="001F6307">
        <w:t>k</w:t>
      </w:r>
      <w:r w:rsidRPr="001F6307">
        <w:rPr>
          <w:vertAlign w:val="subscript"/>
        </w:rPr>
        <w:t>des</w:t>
      </w:r>
      <w:proofErr w:type="spellEnd"/>
      <w:r w:rsidRPr="001F6307">
        <w:t>), central volume of distribution (V</w:t>
      </w:r>
      <w:r w:rsidRPr="001F6307">
        <w:rPr>
          <w:vertAlign w:val="subscript"/>
        </w:rPr>
        <w:t>1</w:t>
      </w:r>
      <w:r w:rsidRPr="001F6307">
        <w:t>) inter compartmental clearance (Q), and peripheral volume of distribution (V</w:t>
      </w:r>
      <w:r w:rsidRPr="001F6307">
        <w:rPr>
          <w:vertAlign w:val="subscript"/>
        </w:rPr>
        <w:t>2</w:t>
      </w:r>
      <w:r w:rsidRPr="001F6307">
        <w:t>). In the co-</w:t>
      </w:r>
      <w:proofErr w:type="spellStart"/>
      <w:r w:rsidRPr="001F6307">
        <w:t>variate</w:t>
      </w:r>
      <w:proofErr w:type="spellEnd"/>
      <w:r w:rsidRPr="001F6307">
        <w:t xml:space="preserve"> analysis the following co-</w:t>
      </w:r>
      <w:proofErr w:type="spellStart"/>
      <w:r w:rsidRPr="001F6307">
        <w:t>variates</w:t>
      </w:r>
      <w:proofErr w:type="spellEnd"/>
      <w:r w:rsidRPr="001F6307">
        <w:t xml:space="preserve"> were tested: weight, gender, age, normalised creatinine clearance, tumour size. Additionally body surface area, body mass index, baseline B cell and lymphocyte count and presence of human anti human antibodies (HAHAs) in Study B021004/CLL 11 were checked for influence on PK parameters by the diagnostic plots. </w:t>
      </w:r>
    </w:p>
    <w:p w:rsidR="001F6307" w:rsidRPr="001F6307" w:rsidRDefault="001F6307" w:rsidP="00947317">
      <w:r w:rsidRPr="001F6307">
        <w:t xml:space="preserve">Graphical analysis of the exposure/efficacy relationship was undertaken with the PK exposure derived from the population PK analysis. Similarly, graphical analysis of the exposure/safety relationship in the pivotal study was undertaken with PK exposure derived from the population PK analysis exploring neutrophil and B cell count time course with neutropenia and B cell count anticipated to be direct consequence of the mechanism of action. </w:t>
      </w:r>
    </w:p>
    <w:p w:rsidR="001F6307" w:rsidRPr="001F6307" w:rsidRDefault="001F6307" w:rsidP="00947317">
      <w:r w:rsidRPr="001F6307">
        <w:t xml:space="preserve">To assess immunogenicity, serum samples obtained during the treatment phase and follow up periods for the four included studies were analysed and assessed for HAHAs. Initially, a first generation HAHA assay was utilised for the three Studies B020999, B021000 and B021003. However, this proved to be extremely sensitive, although only one patient from these studies proved to have developed positive antibodies. A second generation ELISA with improved drug tolerance was developed and used for analysis of the pivotal study. </w:t>
      </w:r>
    </w:p>
    <w:p w:rsidR="001F6307" w:rsidRPr="001F6307" w:rsidRDefault="001F6307" w:rsidP="00947317">
      <w:r w:rsidRPr="001F6307">
        <w:t xml:space="preserve">A sophisticated method of PK analysis was utilised to maximise the information to be obtained from the PK and PD data. This involved a population PK modelling analysis by </w:t>
      </w:r>
      <w:r w:rsidRPr="001F6307">
        <w:lastRenderedPageBreak/>
        <w:t xml:space="preserve">pooling the serum OB concentration data from all four of the studies. Concentration/time course of OB was accurately described by a two-compartment PK model with time-dependent clearance and with the steady state PK parameters typical for monoclonal antibodies. </w:t>
      </w:r>
    </w:p>
    <w:p w:rsidR="001F6307" w:rsidRPr="001F6307" w:rsidRDefault="001F6307" w:rsidP="00947317">
      <w:pPr>
        <w:pStyle w:val="Heading4"/>
      </w:pPr>
      <w:r w:rsidRPr="001F6307">
        <w:t>Evaluator’s conclusions</w:t>
      </w:r>
    </w:p>
    <w:p w:rsidR="001F6307" w:rsidRPr="001F6307" w:rsidRDefault="001F6307" w:rsidP="00947317">
      <w:r w:rsidRPr="001F6307">
        <w:t xml:space="preserve">The PK of OB in CLL patients is best described by a two-compartment model with two clearance pathways: a time varying clearance pathway, and a linear clearance pathway. The time varying clearance pathway is predominant at the start of treatment is consistent with target mediated disposition where there is an abundance of target (CD20/+) cells at the start of treatment. As the target is saturated by the addition of OB, the target mediated disposition decreases; this is reflected by a decrease in the time-dependent clearance pathway. Consequently, this determines a principal aim of dosing is to saturate targets as quickly as possible. Accordingly, high doses of OB such as 1000 mg are required to minimise the impact of target mediated disposition. </w:t>
      </w:r>
    </w:p>
    <w:p w:rsidR="001F6307" w:rsidRPr="001F6307" w:rsidRDefault="001F6307" w:rsidP="00947317">
      <w:pPr>
        <w:pStyle w:val="Heading3"/>
      </w:pPr>
      <w:bookmarkStart w:id="94" w:name="_Toc395872567"/>
      <w:bookmarkStart w:id="95" w:name="_Toc399425145"/>
      <w:bookmarkEnd w:id="82"/>
      <w:r w:rsidRPr="001F6307">
        <w:t xml:space="preserve">Dosage </w:t>
      </w:r>
      <w:r w:rsidR="00947317">
        <w:t>s</w:t>
      </w:r>
      <w:r w:rsidRPr="001F6307">
        <w:t xml:space="preserve">election for the </w:t>
      </w:r>
      <w:r w:rsidR="00947317">
        <w:t>p</w:t>
      </w:r>
      <w:r w:rsidRPr="001F6307">
        <w:t xml:space="preserve">ivotal </w:t>
      </w:r>
      <w:r w:rsidR="00947317">
        <w:t>s</w:t>
      </w:r>
      <w:r w:rsidRPr="001F6307">
        <w:t>tudies</w:t>
      </w:r>
      <w:bookmarkEnd w:id="94"/>
      <w:bookmarkEnd w:id="95"/>
    </w:p>
    <w:p w:rsidR="001F6307" w:rsidRPr="001F6307" w:rsidRDefault="001F6307" w:rsidP="00947317">
      <w:r w:rsidRPr="001F6307">
        <w:t>Data from two clinical Studies B020999 and B021003 in NHL, CLL and DLBCL patients were used in conjunction with a PK model of OB to define the recommended dose used in the pivotal study. As discussed above, the PK of OB can be described using a two-compartment PK model. In addition, population PK analysis is undertaken in all serum OB data from the two clinical studies indicated above, in conjunction with data from Studies B02</w:t>
      </w:r>
      <w:r w:rsidR="00947317">
        <w:t>1000 and pivotal Study B021004.</w:t>
      </w:r>
    </w:p>
    <w:p w:rsidR="001F6307" w:rsidRPr="001F6307" w:rsidRDefault="001F6307" w:rsidP="00947317">
      <w:r w:rsidRPr="001F6307">
        <w:t>As discussed earlier, patients with a high initial tumour burden and high numbers of CD20+ tumour cells clear the drug from plasma at a higher rate in comparison to patients with a lower initial tumour burden. This is because the OB binds to the CD20+ tumour cells and is effectively removed from plasma. Once the majority of CD20+ cells are bound to OB, there is a significantly reduced impact of target mediated disposition on PK. Consequently, the underlying rationale in selecting an appropriate OB dosing schedule is to saturate the target as early and as quickly as possible in the majority of patients to minimise a target mediated disposition and to maintain this saturation over the complete treatment period while minimising AEs. With respect to the PK model, this means reducing the impact of the time varying clearance component as quickly as possible to ensure an adequate dose is delivered reg</w:t>
      </w:r>
      <w:r w:rsidR="00947317">
        <w:t>ardless of tumour burden.</w:t>
      </w:r>
    </w:p>
    <w:p w:rsidR="001F6307" w:rsidRPr="001F6307" w:rsidRDefault="001F6307" w:rsidP="00947317">
      <w:r w:rsidRPr="001F6307">
        <w:t>Reviewing the PK data from Studies B020999 and B021003, a total dose of 3000 mg of OB in Cycle 1 administered 1000 mg on Days 1, 8 and 15 were considered suitable, followed by 1000 mg on Cycle 2 onwards, both to maximise the potential to saturate the target for all patients regardless of tumour burden and to achieve consistent and high plasma concentrations. The observation of infusion related reactions to the first OB infusion resulted in adjustments to the Cycle 1 Day 1 dose to be actually administered over two days with 100 mg on Day 1 and 900 mg on Day 2. Accordingly, the recommended dose of OB for treatment in CLL patients is 1000 mg on Cycles 1, Days 1, 8 and 15 and Cycles 2-6 Day 1, with the first dose being administered over the first two days at 100 m</w:t>
      </w:r>
      <w:r w:rsidR="00947317">
        <w:t>g on Day 1 and 900 mg on Day 2.</w:t>
      </w:r>
    </w:p>
    <w:p w:rsidR="001F6307" w:rsidRPr="001F6307" w:rsidRDefault="001F6307" w:rsidP="00947317">
      <w:pPr>
        <w:pStyle w:val="Heading3"/>
      </w:pPr>
      <w:bookmarkStart w:id="96" w:name="_Toc163441372"/>
      <w:bookmarkStart w:id="97" w:name="_Toc196046485"/>
      <w:bookmarkStart w:id="98" w:name="_Toc247691521"/>
      <w:bookmarkStart w:id="99" w:name="_Toc314842504"/>
      <w:bookmarkStart w:id="100" w:name="_Toc395872568"/>
      <w:bookmarkStart w:id="101" w:name="_Toc399425146"/>
      <w:r w:rsidRPr="001F6307">
        <w:lastRenderedPageBreak/>
        <w:t>Efficacy</w:t>
      </w:r>
      <w:bookmarkEnd w:id="96"/>
      <w:bookmarkEnd w:id="97"/>
      <w:bookmarkEnd w:id="98"/>
      <w:bookmarkEnd w:id="99"/>
      <w:bookmarkEnd w:id="100"/>
      <w:bookmarkEnd w:id="101"/>
    </w:p>
    <w:p w:rsidR="001F6307" w:rsidRPr="001F6307" w:rsidRDefault="001F6307" w:rsidP="00947317">
      <w:pPr>
        <w:pStyle w:val="Heading4"/>
      </w:pPr>
      <w:bookmarkStart w:id="102" w:name="_Toc184439992"/>
      <w:bookmarkStart w:id="103" w:name="_Toc184440279"/>
      <w:bookmarkStart w:id="104" w:name="_Toc184444657"/>
      <w:bookmarkStart w:id="105" w:name="_Toc196046487"/>
      <w:r w:rsidRPr="001F6307">
        <w:t>Studies providing efficacy data</w:t>
      </w:r>
    </w:p>
    <w:p w:rsidR="001F6307" w:rsidRPr="001F6307" w:rsidRDefault="001F6307" w:rsidP="00947317">
      <w:r w:rsidRPr="001F6307">
        <w:t xml:space="preserve">The principal data to support the efficacy of OB in combination with </w:t>
      </w:r>
      <w:proofErr w:type="spellStart"/>
      <w:r w:rsidRPr="001F6307">
        <w:t>Clb</w:t>
      </w:r>
      <w:proofErr w:type="spellEnd"/>
      <w:r w:rsidRPr="001F6307">
        <w:t xml:space="preserve"> in previously untreated CLL patients are provided from the pivotal study, a Phase III trial B021004-CLL 11. This study was designed to include two stages:</w:t>
      </w:r>
    </w:p>
    <w:tbl>
      <w:tblPr>
        <w:tblStyle w:val="TableTGAblue"/>
        <w:tblW w:w="0" w:type="auto"/>
        <w:tblLook w:val="0480" w:firstRow="0" w:lastRow="0" w:firstColumn="1" w:lastColumn="0" w:noHBand="0" w:noVBand="1"/>
      </w:tblPr>
      <w:tblGrid>
        <w:gridCol w:w="1384"/>
        <w:gridCol w:w="7336"/>
      </w:tblGrid>
      <w:tr w:rsidR="001F6307" w:rsidRPr="001F6307" w:rsidTr="000F5A84">
        <w:tc>
          <w:tcPr>
            <w:tcW w:w="1384" w:type="dxa"/>
          </w:tcPr>
          <w:p w:rsidR="001F6307" w:rsidRPr="001F6307" w:rsidRDefault="001F6307" w:rsidP="000F5A84">
            <w:r w:rsidRPr="001F6307">
              <w:t>Stage 1a</w:t>
            </w:r>
          </w:p>
        </w:tc>
        <w:tc>
          <w:tcPr>
            <w:tcW w:w="7336" w:type="dxa"/>
          </w:tcPr>
          <w:p w:rsidR="001F6307" w:rsidRPr="001F6307" w:rsidRDefault="001F6307" w:rsidP="000F5A84">
            <w:r w:rsidRPr="001F6307">
              <w:t>A comparison of OB (</w:t>
            </w:r>
            <w:proofErr w:type="spellStart"/>
            <w:r w:rsidRPr="001F6307">
              <w:t>Gazyva</w:t>
            </w:r>
            <w:proofErr w:type="spellEnd"/>
            <w:r w:rsidRPr="001F6307">
              <w:t xml:space="preserve">) plus </w:t>
            </w:r>
            <w:proofErr w:type="spellStart"/>
            <w:r w:rsidRPr="001F6307">
              <w:t>chlorambucil</w:t>
            </w:r>
            <w:proofErr w:type="spellEnd"/>
            <w:r w:rsidRPr="001F6307">
              <w:t xml:space="preserve"> (</w:t>
            </w:r>
            <w:proofErr w:type="spellStart"/>
            <w:r w:rsidRPr="001F6307">
              <w:t>GClb</w:t>
            </w:r>
            <w:proofErr w:type="spellEnd"/>
            <w:r w:rsidRPr="001F6307">
              <w:t xml:space="preserve">) versus </w:t>
            </w:r>
            <w:proofErr w:type="spellStart"/>
            <w:r w:rsidRPr="001F6307">
              <w:t>chlorambucil</w:t>
            </w:r>
            <w:proofErr w:type="spellEnd"/>
            <w:r w:rsidRPr="001F6307">
              <w:t xml:space="preserve"> (</w:t>
            </w:r>
            <w:proofErr w:type="spellStart"/>
            <w:r w:rsidRPr="001F6307">
              <w:t>Clb</w:t>
            </w:r>
            <w:proofErr w:type="spellEnd"/>
            <w:r w:rsidRPr="001F6307">
              <w:t>) alone in the treatment of previously untreated CLL</w:t>
            </w:r>
          </w:p>
        </w:tc>
      </w:tr>
      <w:tr w:rsidR="001F6307" w:rsidRPr="001F6307" w:rsidTr="000F5A84">
        <w:tc>
          <w:tcPr>
            <w:tcW w:w="1384" w:type="dxa"/>
          </w:tcPr>
          <w:p w:rsidR="001F6307" w:rsidRPr="001F6307" w:rsidRDefault="001F6307" w:rsidP="000F5A84">
            <w:r w:rsidRPr="001F6307">
              <w:t>Stage 1b</w:t>
            </w:r>
          </w:p>
        </w:tc>
        <w:tc>
          <w:tcPr>
            <w:tcW w:w="7336" w:type="dxa"/>
          </w:tcPr>
          <w:p w:rsidR="001F6307" w:rsidRPr="001F6307" w:rsidRDefault="001F6307" w:rsidP="000F5A84">
            <w:r w:rsidRPr="001F6307">
              <w:t xml:space="preserve">A comparison of rituximab plus </w:t>
            </w:r>
            <w:proofErr w:type="spellStart"/>
            <w:r w:rsidRPr="001F6307">
              <w:t>chlorambucil</w:t>
            </w:r>
            <w:proofErr w:type="spellEnd"/>
            <w:r w:rsidRPr="001F6307">
              <w:t xml:space="preserve"> (</w:t>
            </w:r>
            <w:proofErr w:type="spellStart"/>
            <w:r w:rsidRPr="001F6307">
              <w:t>RClb</w:t>
            </w:r>
            <w:proofErr w:type="spellEnd"/>
            <w:r w:rsidRPr="001F6307">
              <w:t xml:space="preserve">) versus </w:t>
            </w:r>
            <w:proofErr w:type="spellStart"/>
            <w:r w:rsidRPr="001F6307">
              <w:t>chlorambucil</w:t>
            </w:r>
            <w:proofErr w:type="spellEnd"/>
            <w:r w:rsidRPr="001F6307">
              <w:t xml:space="preserve"> (</w:t>
            </w:r>
            <w:proofErr w:type="spellStart"/>
            <w:r w:rsidRPr="001F6307">
              <w:t>Clb</w:t>
            </w:r>
            <w:proofErr w:type="spellEnd"/>
            <w:r w:rsidRPr="001F6307">
              <w:t>) alone in the treatment of previously untreated CLL</w:t>
            </w:r>
          </w:p>
        </w:tc>
      </w:tr>
      <w:tr w:rsidR="001F6307" w:rsidRPr="001F6307" w:rsidTr="000F5A84">
        <w:tc>
          <w:tcPr>
            <w:tcW w:w="1384" w:type="dxa"/>
          </w:tcPr>
          <w:p w:rsidR="001F6307" w:rsidRPr="001F6307" w:rsidRDefault="001F6307" w:rsidP="000F5A84">
            <w:r w:rsidRPr="001F6307">
              <w:t>Stage 2</w:t>
            </w:r>
          </w:p>
        </w:tc>
        <w:tc>
          <w:tcPr>
            <w:tcW w:w="7336" w:type="dxa"/>
          </w:tcPr>
          <w:p w:rsidR="001F6307" w:rsidRPr="001F6307" w:rsidRDefault="001F6307" w:rsidP="000F5A84">
            <w:r w:rsidRPr="001F6307">
              <w:t xml:space="preserve">A comparison of </w:t>
            </w:r>
            <w:proofErr w:type="spellStart"/>
            <w:r w:rsidRPr="001F6307">
              <w:t>RClb</w:t>
            </w:r>
            <w:proofErr w:type="spellEnd"/>
            <w:r w:rsidRPr="001F6307">
              <w:t xml:space="preserve"> versus </w:t>
            </w:r>
            <w:proofErr w:type="spellStart"/>
            <w:r w:rsidRPr="001F6307">
              <w:t>GClb</w:t>
            </w:r>
            <w:proofErr w:type="spellEnd"/>
            <w:r w:rsidRPr="001F6307">
              <w:t xml:space="preserve"> in the treatment of previously untreated CLL</w:t>
            </w:r>
          </w:p>
        </w:tc>
      </w:tr>
    </w:tbl>
    <w:p w:rsidR="001F6307" w:rsidRPr="001F6307" w:rsidRDefault="001F6307" w:rsidP="000F5A84">
      <w:r w:rsidRPr="001F6307">
        <w:t>The results from this Stage 1a analysis of the pivotal study form the principal focus for this submission. It is to be noted that Stage 2 of the study was ongoing without data being made available at the time of the initial submission.</w:t>
      </w:r>
    </w:p>
    <w:p w:rsidR="001F6307" w:rsidRPr="001F6307" w:rsidRDefault="001F6307" w:rsidP="000F5A84">
      <w:r w:rsidRPr="001F6307">
        <w:t>Limited end of treatment response data available from a total of 38 patients with CLL received OB monotherapy in the Phase I Study B021003 and the Phase I/II Study B020999. Overall, there were no complete remissions (CRs) but in Study B020999, 8/13 patients (62%) participated in the Phase I part, and 3/20 patients (15%) participating in the Phase II part had a partial remission (PR) at the end of treatment as indicated in Table 6.</w:t>
      </w:r>
    </w:p>
    <w:p w:rsidR="001F6307" w:rsidRPr="001F6307" w:rsidRDefault="001F6307" w:rsidP="000F5A84">
      <w:pPr>
        <w:pStyle w:val="TableTitle"/>
      </w:pPr>
      <w:proofErr w:type="gramStart"/>
      <w:r w:rsidRPr="001F6307">
        <w:t>Table 6: Summary of end-of-treatment response in patients with relapsed/refractory CLL receiving OB monotherapy (Phase I/II results).</w:t>
      </w:r>
      <w:proofErr w:type="gramEnd"/>
    </w:p>
    <w:p w:rsidR="001F6307" w:rsidRPr="001F6307" w:rsidRDefault="001F6307" w:rsidP="000F5A84">
      <w:r>
        <w:rPr>
          <w:noProof/>
          <w:lang w:eastAsia="en-AU"/>
        </w:rPr>
        <w:drawing>
          <wp:inline distT="0" distB="0" distL="0" distR="0" wp14:anchorId="2A27CF12" wp14:editId="543FA843">
            <wp:extent cx="4305300" cy="2143125"/>
            <wp:effectExtent l="0" t="0" r="0" b="9525"/>
            <wp:docPr id="50" name="Picture 50" descr="Table 6: Summary of end-of-treatment response in patients with relapsed/refractory CLL receiving OB monotherapy (Phase I/II results)."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Table 6: Summary of end-of-treatment response in patients with relapsed/refractory CLL receiving OB monotherapy (Phase I/II resul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5300" cy="2143125"/>
                    </a:xfrm>
                    <a:prstGeom prst="rect">
                      <a:avLst/>
                    </a:prstGeom>
                    <a:noFill/>
                    <a:ln>
                      <a:noFill/>
                    </a:ln>
                  </pic:spPr>
                </pic:pic>
              </a:graphicData>
            </a:graphic>
          </wp:inline>
        </w:drawing>
      </w:r>
    </w:p>
    <w:p w:rsidR="001F6307" w:rsidRPr="001F6307" w:rsidRDefault="001F6307" w:rsidP="000F5A84">
      <w:pPr>
        <w:pStyle w:val="Heading4"/>
      </w:pPr>
      <w:r w:rsidRPr="001F6307">
        <w:t>Evaluator’s conclusions on efficacy</w:t>
      </w:r>
    </w:p>
    <w:p w:rsidR="001F6307" w:rsidRPr="001F6307" w:rsidRDefault="001F6307" w:rsidP="000F5A84">
      <w:pPr>
        <w:pStyle w:val="Heading5"/>
      </w:pPr>
      <w:r w:rsidRPr="001F6307">
        <w:t>Study B021004</w:t>
      </w:r>
    </w:p>
    <w:p w:rsidR="001F6307" w:rsidRPr="001F6307" w:rsidRDefault="001F6307" w:rsidP="000F5A84">
      <w:r w:rsidRPr="001F6307">
        <w:t xml:space="preserve">These data have shown that the combination of OB with </w:t>
      </w:r>
      <w:proofErr w:type="spellStart"/>
      <w:r w:rsidRPr="001F6307">
        <w:t>Clb</w:t>
      </w:r>
      <w:proofErr w:type="spellEnd"/>
      <w:r w:rsidRPr="001F6307">
        <w:t xml:space="preserve"> (that is, </w:t>
      </w:r>
      <w:proofErr w:type="spellStart"/>
      <w:r w:rsidRPr="001F6307">
        <w:t>GClb</w:t>
      </w:r>
      <w:proofErr w:type="spellEnd"/>
      <w:r w:rsidRPr="001F6307">
        <w:t xml:space="preserve">) results in a significant improvement in progression free survival (PFS) with a stratified HR of 0.14 and a median PFS of 23 months for the </w:t>
      </w:r>
      <w:proofErr w:type="spellStart"/>
      <w:r w:rsidRPr="001F6307">
        <w:t>GClb</w:t>
      </w:r>
      <w:proofErr w:type="spellEnd"/>
      <w:r w:rsidRPr="001F6307">
        <w:t xml:space="preserve"> arm compared to 10.9 months in the </w:t>
      </w:r>
      <w:proofErr w:type="spellStart"/>
      <w:r w:rsidRPr="001F6307">
        <w:t>Clb</w:t>
      </w:r>
      <w:proofErr w:type="spellEnd"/>
      <w:r w:rsidRPr="001F6307">
        <w:t xml:space="preserve"> arm. These data were confirmed by independent review committee (IRC) assessment. Similarly, results of secondary efficacy endpoints generally favoured the </w:t>
      </w:r>
      <w:proofErr w:type="spellStart"/>
      <w:r w:rsidRPr="001F6307">
        <w:t>GClb</w:t>
      </w:r>
      <w:proofErr w:type="spellEnd"/>
      <w:r w:rsidRPr="001F6307">
        <w:t xml:space="preserve"> combination at a significant level. The only </w:t>
      </w:r>
      <w:r w:rsidR="000F5A84">
        <w:t>area outstanding relates to OS.</w:t>
      </w:r>
    </w:p>
    <w:p w:rsidR="001F6307" w:rsidRPr="001F6307" w:rsidRDefault="001F6307" w:rsidP="000F5A84">
      <w:r w:rsidRPr="001F6307">
        <w:lastRenderedPageBreak/>
        <w:t xml:space="preserve">It is recognised that more aggressive therapies for CLL commonly result in improved PFS but less frequently for OS. OS data from this study will be of interest, although it is recognised that a proportion of patients on </w:t>
      </w:r>
      <w:proofErr w:type="spellStart"/>
      <w:r w:rsidRPr="001F6307">
        <w:t>Clb</w:t>
      </w:r>
      <w:proofErr w:type="spellEnd"/>
      <w:r w:rsidRPr="001F6307">
        <w:t xml:space="preserve"> initially also crossed over to the </w:t>
      </w:r>
      <w:proofErr w:type="spellStart"/>
      <w:r w:rsidRPr="001F6307">
        <w:t>GClb</w:t>
      </w:r>
      <w:proofErr w:type="spellEnd"/>
      <w:r w:rsidRPr="001F6307">
        <w:t xml:space="preserve"> and are likely to have also received other anti </w:t>
      </w:r>
      <w:proofErr w:type="spellStart"/>
      <w:r w:rsidRPr="001F6307">
        <w:t>leukaemic</w:t>
      </w:r>
      <w:proofErr w:type="spellEnd"/>
      <w:r w:rsidRPr="001F6307">
        <w:t xml:space="preserve"> therapy throughout the remainder of their illness. This will tend to have a masking effect on determination of potential differences in OS, but at the same time may well point to a suitable more conservative approach of long term management of elderly patients with CLL. </w:t>
      </w:r>
    </w:p>
    <w:p w:rsidR="001F6307" w:rsidRPr="001F6307" w:rsidRDefault="001F6307" w:rsidP="000F5A84">
      <w:pPr>
        <w:pStyle w:val="Heading5"/>
      </w:pPr>
      <w:r w:rsidRPr="001F6307">
        <w:t>Study B020999</w:t>
      </w:r>
    </w:p>
    <w:p w:rsidR="001F6307" w:rsidRPr="001F6307" w:rsidRDefault="001F6307" w:rsidP="000F5A84">
      <w:r w:rsidRPr="001F6307">
        <w:t xml:space="preserve">These data are difficult to assess based on the differences in patient population as well as the OB regimens comparing single agent OB to combination with </w:t>
      </w:r>
      <w:proofErr w:type="spellStart"/>
      <w:r w:rsidRPr="001F6307">
        <w:t>Clb</w:t>
      </w:r>
      <w:proofErr w:type="spellEnd"/>
      <w:r w:rsidRPr="001F6307">
        <w:t xml:space="preserve"> as well as a significant proportion of the patients in the supportive studies with CLL had recurrent or relapsed disease. The only conclusions to be drawn is that there is evidenced of a degree of efficacy for OB alone from the small data in the supportive studies.</w:t>
      </w:r>
    </w:p>
    <w:p w:rsidR="001F6307" w:rsidRPr="001F6307" w:rsidRDefault="001F6307" w:rsidP="000F5A84">
      <w:pPr>
        <w:pStyle w:val="Heading3"/>
      </w:pPr>
      <w:bookmarkStart w:id="106" w:name="_Toc163441378"/>
      <w:bookmarkStart w:id="107" w:name="_Toc196046495"/>
      <w:bookmarkStart w:id="108" w:name="_Toc247691522"/>
      <w:bookmarkStart w:id="109" w:name="_Toc314842505"/>
      <w:bookmarkStart w:id="110" w:name="_Toc395872569"/>
      <w:bookmarkStart w:id="111" w:name="_Toc399425147"/>
      <w:bookmarkEnd w:id="102"/>
      <w:bookmarkEnd w:id="103"/>
      <w:bookmarkEnd w:id="104"/>
      <w:bookmarkEnd w:id="105"/>
      <w:r w:rsidRPr="001F6307">
        <w:t>Safety</w:t>
      </w:r>
      <w:bookmarkEnd w:id="106"/>
      <w:bookmarkEnd w:id="107"/>
      <w:bookmarkEnd w:id="108"/>
      <w:bookmarkEnd w:id="109"/>
      <w:bookmarkEnd w:id="110"/>
      <w:bookmarkEnd w:id="111"/>
    </w:p>
    <w:p w:rsidR="001F6307" w:rsidRPr="001F6307" w:rsidRDefault="001F6307" w:rsidP="000F5A84">
      <w:pPr>
        <w:pStyle w:val="Heading4"/>
      </w:pPr>
      <w:bookmarkStart w:id="112" w:name="_Toc247691524"/>
      <w:bookmarkStart w:id="113" w:name="_Toc314842508"/>
      <w:bookmarkStart w:id="114" w:name="_Toc196046504"/>
      <w:bookmarkStart w:id="115" w:name="_Toc163441390"/>
      <w:r w:rsidRPr="001F6307">
        <w:t>Studies providing safety data</w:t>
      </w:r>
    </w:p>
    <w:p w:rsidR="001F6307" w:rsidRPr="001F6307" w:rsidRDefault="001F6307" w:rsidP="000F5A84">
      <w:r w:rsidRPr="001F6307">
        <w:t xml:space="preserve">Safety data provided in this submission principally is derived from the pivotal study B021004-CLL 11, specifically the Stage </w:t>
      </w:r>
      <w:proofErr w:type="spellStart"/>
      <w:r w:rsidRPr="001F6307">
        <w:t>Ia</w:t>
      </w:r>
      <w:proofErr w:type="spellEnd"/>
      <w:r w:rsidRPr="001F6307">
        <w:t xml:space="preserve"> component. Also providing supportive safety data were three studies in patients with CLL or NHL: B020999, B021003, and B021000. </w:t>
      </w:r>
    </w:p>
    <w:p w:rsidR="001F6307" w:rsidRPr="001F6307" w:rsidRDefault="001F6307" w:rsidP="000F5A84">
      <w:r w:rsidRPr="001F6307">
        <w:t>Safety data for the pivotal study is presented separately, while safety data for the monotherapy Studies B020999 and B021003 are combined, and safety data for the chemotherapy combination NHL Study B021000 is presented separately. The data from these four studies involved a total</w:t>
      </w:r>
      <w:r w:rsidR="000F5A84">
        <w:t xml:space="preserve"> of 648 patients exposed to OB.</w:t>
      </w:r>
    </w:p>
    <w:p w:rsidR="001F6307" w:rsidRPr="001F6307" w:rsidRDefault="001F6307" w:rsidP="000F5A84">
      <w:r w:rsidRPr="001F6307">
        <w:t xml:space="preserve">The safety analysis population (SAP) for each study included all patients who received at least one dose of study drug. Patient demographic data and baseline disease characteristics for the pivotal study were analysed for the intent to treat population to ensure consistency. </w:t>
      </w:r>
    </w:p>
    <w:p w:rsidR="001F6307" w:rsidRPr="001F6307" w:rsidRDefault="001F6307" w:rsidP="000F5A84">
      <w:r w:rsidRPr="001F6307">
        <w:t xml:space="preserve">It is to be noted that the patients involved in the pivotal trial all were previously untreated for CLL, whereas those patients in Studies B020999 and B021003 were relapsed and refractory patients with either CLL or NHL. This included a total of 38 patients with relapsed refractory CLL. There were a total of 205 relapsed or refractory NHL patients in these two studies. In Study B021000, 56 patients with relapsed refractory follicular lymphoma received either OB and CHOP or </w:t>
      </w:r>
      <w:proofErr w:type="spellStart"/>
      <w:r w:rsidRPr="001F6307">
        <w:t>fludarabine</w:t>
      </w:r>
      <w:proofErr w:type="spellEnd"/>
      <w:r w:rsidRPr="001F6307">
        <w:t xml:space="preserve"> and cyclophosphamide, and 81 patients with previously untreated follicular lymphoma received OB plus </w:t>
      </w:r>
      <w:proofErr w:type="spellStart"/>
      <w:r w:rsidRPr="001F6307">
        <w:t>bendamustine</w:t>
      </w:r>
      <w:proofErr w:type="spellEnd"/>
      <w:r w:rsidRPr="001F6307">
        <w:t>. Safety data from these two patient pop</w:t>
      </w:r>
      <w:r w:rsidR="000F5A84">
        <w:t>ulations were combined.</w:t>
      </w:r>
    </w:p>
    <w:p w:rsidR="001F6307" w:rsidRPr="001F6307" w:rsidRDefault="001F6307" w:rsidP="000F5A84">
      <w:r w:rsidRPr="001F6307">
        <w:t>Safety was assessed through collection of AEs, clinical examinations including vital signs, ECG, and physical exam, and laboratory test results including haematology coagulation, biochemistry, creatinine clearance, urine analysis, and HAHAs.</w:t>
      </w:r>
    </w:p>
    <w:p w:rsidR="001F6307" w:rsidRPr="001F6307" w:rsidRDefault="001F6307" w:rsidP="000F5A84">
      <w:r w:rsidRPr="001F6307">
        <w:t xml:space="preserve">Table 7 summarises the duration of reporting of AEs and serious AEs for the pivotal study. Rating of AEs was according to National Cancer Institute (NCI) criteria. A similar process was utilised for collection and assessment of safety data from the supporting studies. </w:t>
      </w:r>
    </w:p>
    <w:p w:rsidR="001F6307" w:rsidRPr="001F6307" w:rsidRDefault="001F6307" w:rsidP="000F5A84">
      <w:pPr>
        <w:pStyle w:val="TableTitle"/>
      </w:pPr>
      <w:proofErr w:type="gramStart"/>
      <w:r w:rsidRPr="001F6307">
        <w:lastRenderedPageBreak/>
        <w:t>Table 7: Duration and reporting of AEs for the pivotal study (BO21004).</w:t>
      </w:r>
      <w:proofErr w:type="gramEnd"/>
    </w:p>
    <w:p w:rsidR="001F6307" w:rsidRPr="001F6307" w:rsidRDefault="001F6307" w:rsidP="000F5A84">
      <w:r>
        <w:rPr>
          <w:noProof/>
          <w:lang w:eastAsia="en-AU"/>
        </w:rPr>
        <w:drawing>
          <wp:inline distT="0" distB="0" distL="0" distR="0" wp14:anchorId="43D4A062" wp14:editId="4F19A41F">
            <wp:extent cx="4467225" cy="2438400"/>
            <wp:effectExtent l="0" t="0" r="9525" b="0"/>
            <wp:docPr id="49" name="Picture 49" descr="Table 7: Duration and reporting of AEs for the pivotal study (BO21004)."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Table 7: Duration and reporting of AEs for the pivotal study (BO21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2438400"/>
                    </a:xfrm>
                    <a:prstGeom prst="rect">
                      <a:avLst/>
                    </a:prstGeom>
                    <a:noFill/>
                    <a:ln>
                      <a:noFill/>
                    </a:ln>
                  </pic:spPr>
                </pic:pic>
              </a:graphicData>
            </a:graphic>
          </wp:inline>
        </w:drawing>
      </w:r>
    </w:p>
    <w:p w:rsidR="001F6307" w:rsidRPr="001F6307" w:rsidRDefault="001F6307" w:rsidP="000F5A84">
      <w:pPr>
        <w:pStyle w:val="Heading4"/>
      </w:pPr>
      <w:r w:rsidRPr="001F6307">
        <w:t>Patient exposure</w:t>
      </w:r>
    </w:p>
    <w:p w:rsidR="001F6307" w:rsidRPr="001F6307" w:rsidRDefault="001F6307" w:rsidP="000F5A84">
      <w:r w:rsidRPr="001F6307">
        <w:t xml:space="preserve">The clinical </w:t>
      </w:r>
      <w:proofErr w:type="spellStart"/>
      <w:r w:rsidRPr="001F6307">
        <w:t>cut off</w:t>
      </w:r>
      <w:proofErr w:type="spellEnd"/>
      <w:r w:rsidRPr="001F6307">
        <w:t xml:space="preserve"> date was July 2012 and database lock was October 2012; 648 patients in pivotal and supporting studies had received at least one infusion of OB. The mean cumulative dose of OB was similar in all studies and populations. The median number of infusions was 8 in the pivotal study, 9 in Studies B020999 and B021003, and 10 in Study B021000.</w:t>
      </w:r>
    </w:p>
    <w:p w:rsidR="001F6307" w:rsidRPr="001F6307" w:rsidRDefault="001F6307" w:rsidP="000F5A84">
      <w:pPr>
        <w:pStyle w:val="Heading4"/>
      </w:pPr>
      <w:r w:rsidRPr="001F6307">
        <w:t>Post marketing data</w:t>
      </w:r>
    </w:p>
    <w:p w:rsidR="001F6307" w:rsidRPr="001F6307" w:rsidRDefault="001F6307" w:rsidP="000F5A84">
      <w:r w:rsidRPr="001F6307">
        <w:t>At the time of submission of the dossier in Australia there was no post marketing data available.</w:t>
      </w:r>
    </w:p>
    <w:p w:rsidR="001F6307" w:rsidRPr="001F6307" w:rsidRDefault="001F6307" w:rsidP="000F5A84">
      <w:pPr>
        <w:pStyle w:val="Heading4"/>
      </w:pPr>
      <w:r w:rsidRPr="001F6307">
        <w:t>Evaluator’s conclusions on safety</w:t>
      </w:r>
    </w:p>
    <w:p w:rsidR="001F6307" w:rsidRPr="001F6307" w:rsidRDefault="001F6307" w:rsidP="000F5A84">
      <w:r w:rsidRPr="001F6307">
        <w:t>The incidence and severity of adverse effects in the pivotal study was clearly greater in the OB combination arm with particular relationship to infusion related reactions. There was a very high incidence of this initially; however, this was ameliorated to some extent with appropriate prophylaxis and alteration in the initial dosing for the first cycle. Overall, it would appear that</w:t>
      </w:r>
      <w:r w:rsidRPr="000F5A84">
        <w:t xml:space="preserve"> </w:t>
      </w:r>
      <w:r w:rsidRPr="001F6307">
        <w:t>the tolerance for OB in older patients with associated co-morbidity is acceptable providing appropriate care is taken in relation to infusion related reactions.</w:t>
      </w:r>
    </w:p>
    <w:p w:rsidR="001F6307" w:rsidRPr="001F6307" w:rsidRDefault="001F6307" w:rsidP="000F5A84">
      <w:pPr>
        <w:pStyle w:val="Heading3"/>
      </w:pPr>
      <w:bookmarkStart w:id="116" w:name="_Toc395872570"/>
      <w:bookmarkStart w:id="117" w:name="_Toc399425148"/>
      <w:r w:rsidRPr="001F6307">
        <w:t xml:space="preserve">First </w:t>
      </w:r>
      <w:r w:rsidR="000F5A84">
        <w:t>r</w:t>
      </w:r>
      <w:r w:rsidRPr="001F6307">
        <w:t xml:space="preserve">ound </w:t>
      </w:r>
      <w:r w:rsidR="000F5A84">
        <w:t>b</w:t>
      </w:r>
      <w:r w:rsidRPr="001F6307">
        <w:t>enefit-</w:t>
      </w:r>
      <w:r w:rsidR="000F5A84">
        <w:t>r</w:t>
      </w:r>
      <w:r w:rsidRPr="001F6307">
        <w:t xml:space="preserve">isk </w:t>
      </w:r>
      <w:r w:rsidR="000F5A84">
        <w:t>a</w:t>
      </w:r>
      <w:r w:rsidRPr="001F6307">
        <w:t>ssessment</w:t>
      </w:r>
      <w:bookmarkEnd w:id="116"/>
      <w:bookmarkEnd w:id="117"/>
    </w:p>
    <w:p w:rsidR="001F6307" w:rsidRPr="001F6307" w:rsidRDefault="001F6307" w:rsidP="000F5A84">
      <w:pPr>
        <w:pStyle w:val="Heading4"/>
      </w:pPr>
      <w:r w:rsidRPr="001F6307">
        <w:t>First round assessment of benefits</w:t>
      </w:r>
    </w:p>
    <w:p w:rsidR="001F6307" w:rsidRPr="001F6307" w:rsidRDefault="001F6307" w:rsidP="000F5A84">
      <w:r w:rsidRPr="001F6307">
        <w:t xml:space="preserve">The pivotal Study B021004 is a well conducted but moderate sized multinational randomised trial that has demonstrated significant improvement in PFS for the combination of </w:t>
      </w:r>
      <w:proofErr w:type="spellStart"/>
      <w:r w:rsidRPr="001F6307">
        <w:t>GClb</w:t>
      </w:r>
      <w:proofErr w:type="spellEnd"/>
      <w:r w:rsidRPr="001F6307">
        <w:t xml:space="preserve"> compared to </w:t>
      </w:r>
      <w:proofErr w:type="spellStart"/>
      <w:r w:rsidRPr="001F6307">
        <w:t>Clb</w:t>
      </w:r>
      <w:proofErr w:type="spellEnd"/>
      <w:r w:rsidRPr="001F6307">
        <w:t xml:space="preserve"> alone in previously untreated CLL patients with co-existing medical conditions and/or renal impairment. The risk of disease progression or death was reduced by 86% when OB was combined with </w:t>
      </w:r>
      <w:proofErr w:type="spellStart"/>
      <w:r w:rsidRPr="001F6307">
        <w:t>Clb</w:t>
      </w:r>
      <w:proofErr w:type="spellEnd"/>
      <w:r w:rsidRPr="001F6307">
        <w:t xml:space="preserve"> and the Kaplan-Meier estimated median for investigator assessed PFS was 10.9 months in the </w:t>
      </w:r>
      <w:proofErr w:type="spellStart"/>
      <w:r w:rsidRPr="001F6307">
        <w:t>Clb</w:t>
      </w:r>
      <w:proofErr w:type="spellEnd"/>
      <w:r w:rsidRPr="001F6307">
        <w:t xml:space="preserve"> arm compared to 23 months in the </w:t>
      </w:r>
      <w:proofErr w:type="spellStart"/>
      <w:r w:rsidRPr="001F6307">
        <w:t>GClb</w:t>
      </w:r>
      <w:proofErr w:type="spellEnd"/>
      <w:r w:rsidRPr="001F6307">
        <w:t xml:space="preserve"> arm. IRC assessment corroborated this. Sensitivity and sub-group analyses as well as secondary efficacy parameters all support the benefit for </w:t>
      </w:r>
      <w:proofErr w:type="spellStart"/>
      <w:r w:rsidRPr="001F6307">
        <w:t>GClb</w:t>
      </w:r>
      <w:proofErr w:type="spellEnd"/>
      <w:r w:rsidRPr="001F6307">
        <w:t xml:space="preserve">. However, at this time OS data is immature and showed no apparent differences between the two arms of study. </w:t>
      </w:r>
    </w:p>
    <w:p w:rsidR="001F6307" w:rsidRPr="001F6307" w:rsidRDefault="001F6307" w:rsidP="000F5A84">
      <w:r w:rsidRPr="001F6307">
        <w:lastRenderedPageBreak/>
        <w:t xml:space="preserve">It is important to note that for elderly patients with co-morbidities, standard therapy is </w:t>
      </w:r>
      <w:proofErr w:type="spellStart"/>
      <w:r w:rsidRPr="001F6307">
        <w:t>Clb</w:t>
      </w:r>
      <w:proofErr w:type="spellEnd"/>
      <w:r w:rsidRPr="001F6307">
        <w:t xml:space="preserve">. Treatment goals are disease control and minimisation of symptoms. Other studies involving more aggressive therapies have demonstrated improvements in PFS without ultimate improvements in OS. It is not unreasonable to anticipate that this may well be the case for </w:t>
      </w:r>
      <w:proofErr w:type="spellStart"/>
      <w:r w:rsidRPr="001F6307">
        <w:t>GClb</w:t>
      </w:r>
      <w:proofErr w:type="spellEnd"/>
      <w:r w:rsidRPr="001F6307">
        <w:t xml:space="preserve"> in this patient population as those patients receiving </w:t>
      </w:r>
      <w:proofErr w:type="spellStart"/>
      <w:r w:rsidRPr="001F6307">
        <w:t>Clb</w:t>
      </w:r>
      <w:proofErr w:type="spellEnd"/>
      <w:r w:rsidRPr="001F6307">
        <w:t xml:space="preserve"> are likely to go on to various other treatments maintaining disease control comparable to that achieved with </w:t>
      </w:r>
      <w:proofErr w:type="spellStart"/>
      <w:r w:rsidRPr="001F6307">
        <w:t>GClb</w:t>
      </w:r>
      <w:proofErr w:type="spellEnd"/>
      <w:r w:rsidRPr="001F6307">
        <w:t xml:space="preserve">. </w:t>
      </w:r>
    </w:p>
    <w:p w:rsidR="001F6307" w:rsidRPr="001F6307" w:rsidRDefault="001F6307" w:rsidP="000F5A84">
      <w:r w:rsidRPr="001F6307">
        <w:t xml:space="preserve">Despite the improvement of PFS by meaningful addition of OB to </w:t>
      </w:r>
      <w:proofErr w:type="spellStart"/>
      <w:r w:rsidRPr="001F6307">
        <w:t>Clb</w:t>
      </w:r>
      <w:proofErr w:type="spellEnd"/>
      <w:r w:rsidRPr="001F6307">
        <w:t xml:space="preserve"> and the complete eradication of disease as determined by minimal residual disease (MRD) negative status achieved in 20% of patients, this just might be indicative of very prolonged disease free survival for these patents.</w:t>
      </w:r>
    </w:p>
    <w:p w:rsidR="001F6307" w:rsidRPr="001F6307" w:rsidRDefault="001F6307" w:rsidP="000F5A84">
      <w:pPr>
        <w:pStyle w:val="Heading4"/>
      </w:pPr>
      <w:r w:rsidRPr="001F6307">
        <w:t>First round assessment of risks</w:t>
      </w:r>
    </w:p>
    <w:p w:rsidR="001F6307" w:rsidRPr="001F6307" w:rsidRDefault="001F6307" w:rsidP="000F5A84">
      <w:r w:rsidRPr="001F6307">
        <w:t xml:space="preserve">In the pivotal study there </w:t>
      </w:r>
      <w:proofErr w:type="gramStart"/>
      <w:r w:rsidRPr="001F6307">
        <w:t>was</w:t>
      </w:r>
      <w:proofErr w:type="gramEnd"/>
      <w:r w:rsidRPr="001F6307">
        <w:t xml:space="preserve"> a greater proportion of patients in the </w:t>
      </w:r>
      <w:proofErr w:type="spellStart"/>
      <w:r w:rsidRPr="001F6307">
        <w:t>GClb</w:t>
      </w:r>
      <w:proofErr w:type="spellEnd"/>
      <w:r w:rsidRPr="001F6307">
        <w:t xml:space="preserve"> who experienced AEs being </w:t>
      </w:r>
      <w:proofErr w:type="spellStart"/>
      <w:r w:rsidRPr="001F6307">
        <w:t>Clb</w:t>
      </w:r>
      <w:proofErr w:type="spellEnd"/>
      <w:r w:rsidRPr="001F6307">
        <w:t xml:space="preserve"> 78% versus </w:t>
      </w:r>
      <w:proofErr w:type="spellStart"/>
      <w:r w:rsidRPr="001F6307">
        <w:t>GClb</w:t>
      </w:r>
      <w:proofErr w:type="spellEnd"/>
      <w:r w:rsidRPr="001F6307">
        <w:t xml:space="preserve"> 93%, Common Terminology Criteria for Adverse Events (CTCAE) grade III-V AEs </w:t>
      </w:r>
      <w:proofErr w:type="spellStart"/>
      <w:r w:rsidRPr="001F6307">
        <w:t>Clb</w:t>
      </w:r>
      <w:proofErr w:type="spellEnd"/>
      <w:r w:rsidRPr="001F6307">
        <w:t xml:space="preserve"> 47% versus </w:t>
      </w:r>
      <w:proofErr w:type="spellStart"/>
      <w:r w:rsidRPr="001F6307">
        <w:t>GClb</w:t>
      </w:r>
      <w:proofErr w:type="spellEnd"/>
      <w:r w:rsidRPr="001F6307">
        <w:t xml:space="preserve"> 69%, and serious AEs </w:t>
      </w:r>
      <w:proofErr w:type="spellStart"/>
      <w:r w:rsidRPr="001F6307">
        <w:t>Clb</w:t>
      </w:r>
      <w:proofErr w:type="spellEnd"/>
      <w:r w:rsidRPr="001F6307">
        <w:t xml:space="preserve"> 32% versus </w:t>
      </w:r>
      <w:proofErr w:type="spellStart"/>
      <w:r w:rsidRPr="001F6307">
        <w:t>GClb</w:t>
      </w:r>
      <w:proofErr w:type="spellEnd"/>
      <w:r w:rsidRPr="001F6307">
        <w:t xml:space="preserve"> 37%. This is particularly related to the high incidence of infusion related reactions, most particularly during Cycle 1 of therapy. Subsequent introduction of prophylactic corticosteroids adjusting dose schedule for 100 mg on Day 1 and 900 mg on Day 2 for Cycle 1 resulted in a reduction in the incidence of these adverse effects. </w:t>
      </w:r>
    </w:p>
    <w:p w:rsidR="001F6307" w:rsidRPr="001F6307" w:rsidRDefault="001F6307" w:rsidP="000F5A84">
      <w:r w:rsidRPr="001F6307">
        <w:t xml:space="preserve">Neutropenia was also of higher incidence for patients receiving </w:t>
      </w:r>
      <w:proofErr w:type="spellStart"/>
      <w:r w:rsidRPr="001F6307">
        <w:t>GClb</w:t>
      </w:r>
      <w:proofErr w:type="spellEnd"/>
      <w:r w:rsidRPr="001F6307">
        <w:t xml:space="preserve"> compared to </w:t>
      </w:r>
      <w:proofErr w:type="spellStart"/>
      <w:r w:rsidRPr="001F6307">
        <w:t>Clb</w:t>
      </w:r>
      <w:proofErr w:type="spellEnd"/>
      <w:r w:rsidRPr="001F6307">
        <w:t xml:space="preserve"> with grade III/IV AEs of neutropenia in 38% of patients on the combination compared to 18% on </w:t>
      </w:r>
      <w:proofErr w:type="spellStart"/>
      <w:r w:rsidRPr="001F6307">
        <w:t>Clb</w:t>
      </w:r>
      <w:proofErr w:type="spellEnd"/>
      <w:r w:rsidRPr="001F6307">
        <w:t xml:space="preserve">. However, it is of some interest that none of these proved fatal as there is no apparent increase in incidence of infections in the </w:t>
      </w:r>
      <w:proofErr w:type="spellStart"/>
      <w:r w:rsidRPr="001F6307">
        <w:t>GClb</w:t>
      </w:r>
      <w:proofErr w:type="spellEnd"/>
      <w:r w:rsidRPr="001F6307">
        <w:t xml:space="preserve"> arm. Similarly, tumour </w:t>
      </w:r>
      <w:proofErr w:type="spellStart"/>
      <w:r w:rsidRPr="001F6307">
        <w:t>lysis</w:t>
      </w:r>
      <w:proofErr w:type="spellEnd"/>
      <w:r w:rsidRPr="001F6307">
        <w:t xml:space="preserve"> syndrome (TLS) was more frequent among patients receiving the combination at 4% versus </w:t>
      </w:r>
      <w:proofErr w:type="spellStart"/>
      <w:r w:rsidRPr="001F6307">
        <w:t>Clb</w:t>
      </w:r>
      <w:proofErr w:type="spellEnd"/>
      <w:r w:rsidRPr="001F6307">
        <w:t xml:space="preserve"> alone at 1% but with appropriate prophylaxis and high hydration this syndrome is likely to be minimised. </w:t>
      </w:r>
    </w:p>
    <w:p w:rsidR="001F6307" w:rsidRPr="001F6307" w:rsidRDefault="001F6307" w:rsidP="000F5A84">
      <w:r w:rsidRPr="001F6307">
        <w:t xml:space="preserve">It was also noted in older patients adverse effects were more frequent but this was essentially similar for the two arms of study with the exception of those discussed above. </w:t>
      </w:r>
    </w:p>
    <w:p w:rsidR="001F6307" w:rsidRPr="001F6307" w:rsidRDefault="001F6307" w:rsidP="000F5A84">
      <w:r w:rsidRPr="001F6307">
        <w:t xml:space="preserve">Overall, the safety data for OB in combination with </w:t>
      </w:r>
      <w:proofErr w:type="spellStart"/>
      <w:r w:rsidRPr="001F6307">
        <w:t>Clb</w:t>
      </w:r>
      <w:proofErr w:type="spellEnd"/>
      <w:r w:rsidRPr="001F6307">
        <w:t xml:space="preserve"> clearly indicates a greater likelihood for adverse effects requiring appropriate prophylaxis and management as compared to </w:t>
      </w:r>
      <w:proofErr w:type="spellStart"/>
      <w:r w:rsidRPr="001F6307">
        <w:t>Clb</w:t>
      </w:r>
      <w:proofErr w:type="spellEnd"/>
      <w:r w:rsidRPr="001F6307">
        <w:t xml:space="preserve">. In view of the advanced age of the majority of patients with CLL receiving this therapy and relatively simple treatment with </w:t>
      </w:r>
      <w:proofErr w:type="spellStart"/>
      <w:r w:rsidRPr="001F6307">
        <w:t>Clb</w:t>
      </w:r>
      <w:proofErr w:type="spellEnd"/>
      <w:r w:rsidRPr="001F6307">
        <w:t xml:space="preserve"> as a single agent, there is a need for caution in easily recommending OB for all patients with previously untreated CLL particularly in the elderly and those with co-morbidities.</w:t>
      </w:r>
    </w:p>
    <w:p w:rsidR="001F6307" w:rsidRPr="001F6307" w:rsidRDefault="001F6307" w:rsidP="000F5A84">
      <w:pPr>
        <w:pStyle w:val="Heading4"/>
      </w:pPr>
      <w:r w:rsidRPr="001F6307">
        <w:t>First round assessment of benefit-risk balance</w:t>
      </w:r>
    </w:p>
    <w:p w:rsidR="001F6307" w:rsidRPr="001F6307" w:rsidRDefault="001F6307" w:rsidP="000F5A84">
      <w:r w:rsidRPr="001F6307">
        <w:t xml:space="preserve">As stated above, there are some difficulties in accepting a clear cut benefit over risk balance for the combination of OB with </w:t>
      </w:r>
      <w:proofErr w:type="spellStart"/>
      <w:r w:rsidRPr="001F6307">
        <w:t>Clb</w:t>
      </w:r>
      <w:proofErr w:type="spellEnd"/>
      <w:r w:rsidRPr="001F6307">
        <w:t xml:space="preserve"> as determined by the result of the pivotal trial. There will be considerable interest in comparing the results for the stage II component of this study presently underway, namely </w:t>
      </w:r>
      <w:proofErr w:type="spellStart"/>
      <w:r w:rsidRPr="001F6307">
        <w:t>GClb</w:t>
      </w:r>
      <w:proofErr w:type="spellEnd"/>
      <w:r w:rsidRPr="001F6307">
        <w:t xml:space="preserve"> versus </w:t>
      </w:r>
      <w:proofErr w:type="spellStart"/>
      <w:r w:rsidRPr="001F6307">
        <w:t>RClb</w:t>
      </w:r>
      <w:proofErr w:type="spellEnd"/>
      <w:r w:rsidRPr="001F6307">
        <w:t xml:space="preserve"> as the patients receiving OB in the </w:t>
      </w:r>
      <w:proofErr w:type="spellStart"/>
      <w:r w:rsidRPr="001F6307">
        <w:t>GClb</w:t>
      </w:r>
      <w:proofErr w:type="spellEnd"/>
      <w:r w:rsidRPr="001F6307">
        <w:t xml:space="preserve"> arm will be receiving relevant prophylaxis and altered schedule for Day 1 of therapy. Further comparison of the adverse effects for OB versus rituximab in this setting will give further clarity to the potential role of OB for the proposed indication. </w:t>
      </w:r>
    </w:p>
    <w:p w:rsidR="001F6307" w:rsidRPr="001F6307" w:rsidRDefault="001F6307" w:rsidP="000F5A84">
      <w:pPr>
        <w:pStyle w:val="Heading3"/>
      </w:pPr>
      <w:bookmarkStart w:id="118" w:name="_Toc395872571"/>
      <w:bookmarkStart w:id="119" w:name="_Toc399425149"/>
      <w:r w:rsidRPr="001F6307">
        <w:t xml:space="preserve">First </w:t>
      </w:r>
      <w:r w:rsidR="000F5A84">
        <w:t>r</w:t>
      </w:r>
      <w:r w:rsidRPr="001F6307">
        <w:t xml:space="preserve">ound </w:t>
      </w:r>
      <w:r w:rsidR="000F5A84">
        <w:t>r</w:t>
      </w:r>
      <w:r w:rsidRPr="001F6307">
        <w:t xml:space="preserve">ecommendation </w:t>
      </w:r>
      <w:r w:rsidR="000F5A84">
        <w:t>r</w:t>
      </w:r>
      <w:r w:rsidRPr="001F6307">
        <w:t xml:space="preserve">egarding </w:t>
      </w:r>
      <w:r w:rsidR="000F5A84">
        <w:t>a</w:t>
      </w:r>
      <w:r w:rsidRPr="001F6307">
        <w:t>uthorisation</w:t>
      </w:r>
      <w:bookmarkEnd w:id="118"/>
      <w:bookmarkEnd w:id="119"/>
    </w:p>
    <w:p w:rsidR="001F6307" w:rsidRPr="001F6307" w:rsidRDefault="001F6307" w:rsidP="000F5A84">
      <w:r w:rsidRPr="001F6307">
        <w:t xml:space="preserve">The data available certainly indicates that the addition of OB to </w:t>
      </w:r>
      <w:proofErr w:type="spellStart"/>
      <w:r w:rsidRPr="001F6307">
        <w:t>Clb</w:t>
      </w:r>
      <w:proofErr w:type="spellEnd"/>
      <w:r w:rsidRPr="001F6307">
        <w:t xml:space="preserve"> in patients with CLL who have increased risk factors was associated with a significant improvement in PFS and a proportion that will have very prolonged improvement in PFS as they become MRD </w:t>
      </w:r>
      <w:proofErr w:type="gramStart"/>
      <w:r w:rsidRPr="001F6307">
        <w:lastRenderedPageBreak/>
        <w:t>negative</w:t>
      </w:r>
      <w:proofErr w:type="gramEnd"/>
      <w:r w:rsidRPr="001F6307">
        <w:t xml:space="preserve">. Nevertheless, the adverse effect profile even with relevant prophylaxis is still somewhat greater for the combination compared to </w:t>
      </w:r>
      <w:proofErr w:type="spellStart"/>
      <w:r w:rsidRPr="001F6307">
        <w:t>Clb</w:t>
      </w:r>
      <w:proofErr w:type="spellEnd"/>
      <w:r w:rsidRPr="001F6307">
        <w:t xml:space="preserve"> alone and is not likely to translate into improved survival. As the combination of </w:t>
      </w:r>
      <w:proofErr w:type="spellStart"/>
      <w:r w:rsidRPr="001F6307">
        <w:t>RClb</w:t>
      </w:r>
      <w:proofErr w:type="spellEnd"/>
      <w:r w:rsidRPr="001F6307">
        <w:t xml:space="preserve"> is becoming increasingly common as a treatment for this patient population, results of the direct comparison of </w:t>
      </w:r>
      <w:proofErr w:type="spellStart"/>
      <w:r w:rsidRPr="001F6307">
        <w:t>GClb</w:t>
      </w:r>
      <w:proofErr w:type="spellEnd"/>
      <w:r w:rsidRPr="001F6307">
        <w:t xml:space="preserve"> to </w:t>
      </w:r>
      <w:proofErr w:type="spellStart"/>
      <w:r w:rsidRPr="001F6307">
        <w:t>RClb</w:t>
      </w:r>
      <w:proofErr w:type="spellEnd"/>
      <w:r w:rsidRPr="001F6307">
        <w:t xml:space="preserve"> is very pertinent. Accordingly, this reviewer is reluctant to recommend approval for OB for its proposed indication of </w:t>
      </w:r>
      <w:proofErr w:type="spellStart"/>
      <w:r w:rsidRPr="001F6307">
        <w:t>Gazyva</w:t>
      </w:r>
      <w:proofErr w:type="spellEnd"/>
      <w:r w:rsidRPr="001F6307">
        <w:t xml:space="preserve"> in combination with </w:t>
      </w:r>
      <w:proofErr w:type="spellStart"/>
      <w:r w:rsidRPr="001F6307">
        <w:t>Clb</w:t>
      </w:r>
      <w:proofErr w:type="spellEnd"/>
      <w:r w:rsidRPr="001F6307">
        <w:t xml:space="preserve"> for the treatment of patients with previously untreated CLL until the data from the randomised trial of </w:t>
      </w:r>
      <w:proofErr w:type="spellStart"/>
      <w:r w:rsidRPr="001F6307">
        <w:t>GClb</w:t>
      </w:r>
      <w:proofErr w:type="spellEnd"/>
      <w:r w:rsidRPr="001F6307">
        <w:t xml:space="preserve"> versus </w:t>
      </w:r>
      <w:proofErr w:type="spellStart"/>
      <w:r w:rsidRPr="001F6307">
        <w:t>RClb</w:t>
      </w:r>
      <w:proofErr w:type="spellEnd"/>
      <w:r w:rsidRPr="001F6307">
        <w:t xml:space="preserve"> (Stage 2) is available and more prolonged follow up of patients in the Phase IA of the pivotal study is available to perhaps better assess potential differences in survival. </w:t>
      </w:r>
    </w:p>
    <w:p w:rsidR="001F6307" w:rsidRPr="001F6307" w:rsidRDefault="001F6307" w:rsidP="000F5A84">
      <w:pPr>
        <w:pStyle w:val="Heading3"/>
      </w:pPr>
      <w:bookmarkStart w:id="120" w:name="_Toc395872572"/>
      <w:bookmarkStart w:id="121" w:name="_Toc399425150"/>
      <w:r w:rsidRPr="001F6307">
        <w:t xml:space="preserve">Clinical </w:t>
      </w:r>
      <w:r w:rsidR="000F5A84">
        <w:t>q</w:t>
      </w:r>
      <w:r w:rsidRPr="001F6307">
        <w:t>uestions</w:t>
      </w:r>
      <w:bookmarkEnd w:id="120"/>
      <w:bookmarkEnd w:id="121"/>
    </w:p>
    <w:p w:rsidR="001F6307" w:rsidRPr="001F6307" w:rsidRDefault="001F6307" w:rsidP="000F5A84">
      <w:r w:rsidRPr="001F6307">
        <w:t>Details of clinical questions and sponsor responses are included in the Extract from the Clinical Evaluation Report in Appendix 2.</w:t>
      </w:r>
    </w:p>
    <w:p w:rsidR="001F6307" w:rsidRPr="001F6307" w:rsidRDefault="001F6307" w:rsidP="000F5A84">
      <w:pPr>
        <w:pStyle w:val="Heading3"/>
      </w:pPr>
      <w:bookmarkStart w:id="122" w:name="_Toc395872573"/>
      <w:bookmarkStart w:id="123" w:name="_Toc399425151"/>
      <w:r w:rsidRPr="001F6307">
        <w:t xml:space="preserve">Second </w:t>
      </w:r>
      <w:r w:rsidR="000F5A84">
        <w:t>r</w:t>
      </w:r>
      <w:r w:rsidRPr="001F6307">
        <w:t xml:space="preserve">ound </w:t>
      </w:r>
      <w:r w:rsidR="000F5A84">
        <w:t>b</w:t>
      </w:r>
      <w:r w:rsidRPr="001F6307">
        <w:t>enefit-</w:t>
      </w:r>
      <w:r w:rsidR="000F5A84">
        <w:t>r</w:t>
      </w:r>
      <w:r w:rsidRPr="001F6307">
        <w:t xml:space="preserve">isk </w:t>
      </w:r>
      <w:r w:rsidR="000F5A84">
        <w:t>a</w:t>
      </w:r>
      <w:r w:rsidRPr="001F6307">
        <w:t>ssessment</w:t>
      </w:r>
      <w:bookmarkEnd w:id="122"/>
      <w:bookmarkEnd w:id="123"/>
    </w:p>
    <w:p w:rsidR="001F6307" w:rsidRPr="001F6307" w:rsidRDefault="001F6307" w:rsidP="000F5A84">
      <w:pPr>
        <w:pStyle w:val="Heading4"/>
      </w:pPr>
      <w:bookmarkStart w:id="124" w:name="_Toc272414709"/>
      <w:bookmarkStart w:id="125" w:name="_Toc290846349"/>
      <w:bookmarkStart w:id="126" w:name="_Toc378930819"/>
      <w:r w:rsidRPr="001F6307">
        <w:t>Second round assessment of benefits</w:t>
      </w:r>
      <w:bookmarkEnd w:id="124"/>
      <w:bookmarkEnd w:id="125"/>
      <w:bookmarkEnd w:id="126"/>
    </w:p>
    <w:p w:rsidR="001F6307" w:rsidRPr="001F6307" w:rsidRDefault="001F6307" w:rsidP="000F5A84">
      <w:r w:rsidRPr="001F6307">
        <w:t xml:space="preserve">After consideration of the responses to clinical questions, the benefits of </w:t>
      </w:r>
      <w:proofErr w:type="spellStart"/>
      <w:r w:rsidRPr="001F6307">
        <w:t>Gazyva</w:t>
      </w:r>
      <w:proofErr w:type="spellEnd"/>
      <w:r w:rsidRPr="001F6307">
        <w:t xml:space="preserve"> in the proposed usage are:</w:t>
      </w:r>
    </w:p>
    <w:p w:rsidR="001F6307" w:rsidRPr="001F6307" w:rsidRDefault="001F6307" w:rsidP="000F5A84">
      <w:pPr>
        <w:pStyle w:val="ListBullet"/>
      </w:pPr>
      <w:r w:rsidRPr="001F6307">
        <w:t xml:space="preserve">In patients with previously untreated CLL, with a cumulative illness rating scale (CIRS) score &gt;6 or creatinine clearance &lt;70 mL/min, or both, a significant improvement in PFS and OS is shown with the combination of </w:t>
      </w:r>
      <w:proofErr w:type="spellStart"/>
      <w:r w:rsidRPr="001F6307">
        <w:t>Gazyva</w:t>
      </w:r>
      <w:proofErr w:type="spellEnd"/>
      <w:r w:rsidRPr="001F6307">
        <w:t xml:space="preserve"> and </w:t>
      </w:r>
      <w:proofErr w:type="spellStart"/>
      <w:r w:rsidRPr="001F6307">
        <w:t>Clb</w:t>
      </w:r>
      <w:proofErr w:type="spellEnd"/>
      <w:r w:rsidRPr="001F6307">
        <w:t xml:space="preserve"> as compared with </w:t>
      </w:r>
      <w:proofErr w:type="spellStart"/>
      <w:r w:rsidRPr="001F6307">
        <w:t>Clb</w:t>
      </w:r>
      <w:proofErr w:type="spellEnd"/>
      <w:r w:rsidRPr="001F6307">
        <w:t xml:space="preserve"> alone.</w:t>
      </w:r>
    </w:p>
    <w:p w:rsidR="001F6307" w:rsidRPr="001F6307" w:rsidRDefault="001F6307" w:rsidP="000F5A84">
      <w:pPr>
        <w:pStyle w:val="ListBullet"/>
      </w:pPr>
      <w:r w:rsidRPr="001F6307">
        <w:t xml:space="preserve">In patients with previously untreated CLL, with a CIRS score &gt;6 or creatinine clearance &lt;70 mL/min, or both, a significant improvement in PFS is shown with the combination of </w:t>
      </w:r>
      <w:proofErr w:type="spellStart"/>
      <w:r w:rsidRPr="001F6307">
        <w:t>Gazyva</w:t>
      </w:r>
      <w:proofErr w:type="spellEnd"/>
      <w:r w:rsidRPr="001F6307">
        <w:t xml:space="preserve"> and </w:t>
      </w:r>
      <w:proofErr w:type="spellStart"/>
      <w:r w:rsidRPr="001F6307">
        <w:t>Clb</w:t>
      </w:r>
      <w:proofErr w:type="spellEnd"/>
      <w:r w:rsidRPr="001F6307">
        <w:t xml:space="preserve"> as compared to the combination of rituximab and </w:t>
      </w:r>
      <w:proofErr w:type="spellStart"/>
      <w:r w:rsidRPr="001F6307">
        <w:t>Clb</w:t>
      </w:r>
      <w:proofErr w:type="spellEnd"/>
      <w:r w:rsidRPr="001F6307">
        <w:t>. Data regarding OS is immature for these treatment groups.</w:t>
      </w:r>
    </w:p>
    <w:p w:rsidR="001F6307" w:rsidRPr="001F6307" w:rsidRDefault="001F6307" w:rsidP="000F5A84">
      <w:pPr>
        <w:pStyle w:val="Heading4"/>
      </w:pPr>
      <w:bookmarkStart w:id="127" w:name="_Toc272414710"/>
      <w:bookmarkStart w:id="128" w:name="_Toc290846350"/>
      <w:bookmarkStart w:id="129" w:name="_Toc378930820"/>
      <w:r w:rsidRPr="001F6307">
        <w:t>Second round assessment of risks</w:t>
      </w:r>
      <w:bookmarkEnd w:id="127"/>
      <w:bookmarkEnd w:id="128"/>
      <w:bookmarkEnd w:id="129"/>
    </w:p>
    <w:p w:rsidR="001F6307" w:rsidRPr="001F6307" w:rsidRDefault="001F6307" w:rsidP="000F5A84">
      <w:r w:rsidRPr="001F6307">
        <w:t xml:space="preserve">After consideration of the responses to clinical questions, the risks of </w:t>
      </w:r>
      <w:proofErr w:type="spellStart"/>
      <w:r w:rsidRPr="001F6307">
        <w:t>Gazyva</w:t>
      </w:r>
      <w:proofErr w:type="spellEnd"/>
      <w:r w:rsidRPr="001F6307">
        <w:t xml:space="preserve"> in the proposed usage are:</w:t>
      </w:r>
    </w:p>
    <w:p w:rsidR="001F6307" w:rsidRPr="001F6307" w:rsidRDefault="001F6307" w:rsidP="000F5A84">
      <w:pPr>
        <w:pStyle w:val="ListBullet"/>
      </w:pPr>
      <w:r w:rsidRPr="001F6307">
        <w:t xml:space="preserve">Progressive multifocal </w:t>
      </w:r>
      <w:proofErr w:type="spellStart"/>
      <w:r w:rsidRPr="001F6307">
        <w:t>leukoencephalopathy</w:t>
      </w:r>
      <w:proofErr w:type="spellEnd"/>
      <w:r w:rsidRPr="001F6307">
        <w:t xml:space="preserve"> (PML) and hepatitis B reactivation have occurred following </w:t>
      </w:r>
      <w:proofErr w:type="spellStart"/>
      <w:r w:rsidRPr="001F6307">
        <w:t>Gazyva</w:t>
      </w:r>
      <w:proofErr w:type="spellEnd"/>
      <w:r w:rsidRPr="001F6307">
        <w:t xml:space="preserve"> therapy, which warrant a black box warning;</w:t>
      </w:r>
    </w:p>
    <w:p w:rsidR="001F6307" w:rsidRPr="001F6307" w:rsidRDefault="001F6307" w:rsidP="000F5A84">
      <w:pPr>
        <w:pStyle w:val="ListBullet"/>
      </w:pPr>
      <w:r w:rsidRPr="001F6307">
        <w:t xml:space="preserve">AEs occurred more commonly in the </w:t>
      </w:r>
      <w:proofErr w:type="spellStart"/>
      <w:r w:rsidRPr="001F6307">
        <w:t>GClb</w:t>
      </w:r>
      <w:proofErr w:type="spellEnd"/>
      <w:r w:rsidRPr="001F6307">
        <w:t xml:space="preserve"> arm than the </w:t>
      </w:r>
      <w:proofErr w:type="spellStart"/>
      <w:r w:rsidRPr="001F6307">
        <w:t>Clb</w:t>
      </w:r>
      <w:proofErr w:type="spellEnd"/>
      <w:r w:rsidRPr="001F6307">
        <w:t xml:space="preserve"> or </w:t>
      </w:r>
      <w:proofErr w:type="spellStart"/>
      <w:r w:rsidRPr="001F6307">
        <w:t>RClb</w:t>
      </w:r>
      <w:proofErr w:type="spellEnd"/>
      <w:r w:rsidRPr="001F6307">
        <w:t xml:space="preserve"> arms, most frequently infusion related reactions;</w:t>
      </w:r>
    </w:p>
    <w:p w:rsidR="001F6307" w:rsidRPr="001F6307" w:rsidRDefault="001F6307" w:rsidP="000F5A84">
      <w:pPr>
        <w:pStyle w:val="ListBullet"/>
      </w:pPr>
      <w:r w:rsidRPr="001F6307">
        <w:t>TLS has been seen in subjects with a high tumour burden;</w:t>
      </w:r>
    </w:p>
    <w:p w:rsidR="001F6307" w:rsidRPr="001F6307" w:rsidRDefault="001F6307" w:rsidP="000F5A84">
      <w:pPr>
        <w:pStyle w:val="ListBullet"/>
      </w:pPr>
      <w:r w:rsidRPr="001F6307">
        <w:t xml:space="preserve">Serious new, or reactivated, bacterial viral or fungal infections may occur during, and following cessation of, </w:t>
      </w:r>
      <w:proofErr w:type="spellStart"/>
      <w:r w:rsidRPr="001F6307">
        <w:t>Gazyva</w:t>
      </w:r>
      <w:proofErr w:type="spellEnd"/>
      <w:r w:rsidRPr="001F6307">
        <w:t xml:space="preserve"> treatment;</w:t>
      </w:r>
    </w:p>
    <w:p w:rsidR="001F6307" w:rsidRPr="001F6307" w:rsidRDefault="001F6307" w:rsidP="000F5A84">
      <w:pPr>
        <w:pStyle w:val="ListBullet"/>
      </w:pPr>
      <w:r w:rsidRPr="001F6307">
        <w:t xml:space="preserve">Persistent, severe, </w:t>
      </w:r>
      <w:proofErr w:type="spellStart"/>
      <w:r w:rsidRPr="001F6307">
        <w:t>neutropaenia</w:t>
      </w:r>
      <w:proofErr w:type="spellEnd"/>
      <w:r w:rsidRPr="001F6307">
        <w:t xml:space="preserve"> or </w:t>
      </w:r>
      <w:proofErr w:type="spellStart"/>
      <w:r w:rsidRPr="001F6307">
        <w:t>neutropaenia</w:t>
      </w:r>
      <w:proofErr w:type="spellEnd"/>
      <w:r w:rsidRPr="001F6307">
        <w:t xml:space="preserve"> occurring during, and following cessation of, </w:t>
      </w:r>
      <w:proofErr w:type="spellStart"/>
      <w:r w:rsidRPr="001F6307">
        <w:t>Gazyva</w:t>
      </w:r>
      <w:proofErr w:type="spellEnd"/>
      <w:r w:rsidRPr="001F6307">
        <w:t xml:space="preserve"> therapy;</w:t>
      </w:r>
    </w:p>
    <w:p w:rsidR="001F6307" w:rsidRPr="001F6307" w:rsidRDefault="001F6307" w:rsidP="000F5A84">
      <w:pPr>
        <w:pStyle w:val="ListBullet"/>
      </w:pPr>
      <w:r w:rsidRPr="001F6307">
        <w:t xml:space="preserve">Severe grades of </w:t>
      </w:r>
      <w:proofErr w:type="spellStart"/>
      <w:r w:rsidRPr="001F6307">
        <w:t>thrombocytopaenia</w:t>
      </w:r>
      <w:proofErr w:type="spellEnd"/>
      <w:r w:rsidRPr="001F6307">
        <w:t>;</w:t>
      </w:r>
    </w:p>
    <w:p w:rsidR="001F6307" w:rsidRPr="001F6307" w:rsidRDefault="001F6307" w:rsidP="000F5A84">
      <w:pPr>
        <w:pStyle w:val="ListBullet"/>
      </w:pPr>
      <w:r w:rsidRPr="001F6307">
        <w:t>Worsening of pre-existing cardiac conditions, which may be fatal;</w:t>
      </w:r>
    </w:p>
    <w:p w:rsidR="001F6307" w:rsidRPr="001F6307" w:rsidRDefault="001F6307" w:rsidP="000F5A84">
      <w:pPr>
        <w:pStyle w:val="ListBullet"/>
      </w:pPr>
      <w:r w:rsidRPr="001F6307">
        <w:t xml:space="preserve">Hypersensitivity and anaphylaxis to </w:t>
      </w:r>
      <w:proofErr w:type="spellStart"/>
      <w:r w:rsidRPr="001F6307">
        <w:t>Gazyva</w:t>
      </w:r>
      <w:proofErr w:type="spellEnd"/>
      <w:r w:rsidRPr="001F6307">
        <w:t>, or Chinese hamster ovary (CHO) proteins;</w:t>
      </w:r>
    </w:p>
    <w:p w:rsidR="001F6307" w:rsidRPr="001F6307" w:rsidRDefault="001F6307" w:rsidP="000F5A84">
      <w:pPr>
        <w:pStyle w:val="ListBullet"/>
      </w:pPr>
      <w:r w:rsidRPr="001F6307">
        <w:t>The risk of AEs is increased with advancing age and worse renal function;</w:t>
      </w:r>
    </w:p>
    <w:p w:rsidR="001F6307" w:rsidRPr="001F6307" w:rsidRDefault="001F6307" w:rsidP="000F5A84">
      <w:pPr>
        <w:pStyle w:val="ListBullet"/>
      </w:pPr>
      <w:r w:rsidRPr="001F6307">
        <w:lastRenderedPageBreak/>
        <w:t>The premedication regimen to prevent infusion related reactions does not reduce the proportion of subjects that experience grades 3 or 4 events.</w:t>
      </w:r>
    </w:p>
    <w:p w:rsidR="001F6307" w:rsidRPr="001F6307" w:rsidRDefault="001F6307" w:rsidP="000F5A84">
      <w:pPr>
        <w:pStyle w:val="Heading4"/>
      </w:pPr>
      <w:bookmarkStart w:id="130" w:name="_Toc272414711"/>
      <w:bookmarkStart w:id="131" w:name="_Toc290846351"/>
      <w:bookmarkStart w:id="132" w:name="_Toc378930821"/>
      <w:r w:rsidRPr="001F6307">
        <w:t>Second round assessment of benefit-risk balance</w:t>
      </w:r>
      <w:bookmarkEnd w:id="130"/>
      <w:bookmarkEnd w:id="131"/>
      <w:bookmarkEnd w:id="132"/>
    </w:p>
    <w:p w:rsidR="001F6307" w:rsidRPr="001F6307" w:rsidRDefault="001F6307" w:rsidP="000F5A84">
      <w:r w:rsidRPr="001F6307">
        <w:t xml:space="preserve">The benefit-risk balance of </w:t>
      </w:r>
      <w:proofErr w:type="spellStart"/>
      <w:r w:rsidRPr="001F6307">
        <w:t>Gazyva</w:t>
      </w:r>
      <w:proofErr w:type="spellEnd"/>
      <w:r w:rsidRPr="001F6307">
        <w:t>, given the proposed usage, is favourable.</w:t>
      </w:r>
    </w:p>
    <w:p w:rsidR="001F6307" w:rsidRPr="001F6307" w:rsidRDefault="001F6307" w:rsidP="000F5A84">
      <w:pPr>
        <w:pStyle w:val="Heading3"/>
      </w:pPr>
      <w:bookmarkStart w:id="133" w:name="_Toc395872574"/>
      <w:bookmarkStart w:id="134" w:name="_Toc399425152"/>
      <w:r w:rsidRPr="001F6307">
        <w:t xml:space="preserve">Second </w:t>
      </w:r>
      <w:r w:rsidR="000F5A84">
        <w:t>r</w:t>
      </w:r>
      <w:r w:rsidRPr="001F6307">
        <w:t xml:space="preserve">ound </w:t>
      </w:r>
      <w:r w:rsidR="000F5A84">
        <w:t>r</w:t>
      </w:r>
      <w:r w:rsidRPr="001F6307">
        <w:t xml:space="preserve">ecommendation </w:t>
      </w:r>
      <w:r w:rsidR="000F5A84">
        <w:t>r</w:t>
      </w:r>
      <w:r w:rsidRPr="001F6307">
        <w:t xml:space="preserve">egarding </w:t>
      </w:r>
      <w:r w:rsidR="000F5A84">
        <w:t>a</w:t>
      </w:r>
      <w:r w:rsidRPr="001F6307">
        <w:t>uthorisation</w:t>
      </w:r>
      <w:bookmarkEnd w:id="133"/>
      <w:bookmarkEnd w:id="134"/>
    </w:p>
    <w:p w:rsidR="001F6307" w:rsidRPr="001F6307" w:rsidRDefault="001F6307" w:rsidP="000F5A84">
      <w:r w:rsidRPr="001F6307">
        <w:t>Following the sponsor’s responses, the recommendation is to approve authorisation.</w:t>
      </w:r>
    </w:p>
    <w:p w:rsidR="001F6307" w:rsidRPr="001F6307" w:rsidRDefault="001F6307" w:rsidP="000F5A84">
      <w:pPr>
        <w:pStyle w:val="Heading2"/>
      </w:pPr>
      <w:bookmarkStart w:id="135" w:name="_Toc395872575"/>
      <w:bookmarkStart w:id="136" w:name="_Toc399425153"/>
      <w:r w:rsidRPr="001F6307">
        <w:t xml:space="preserve">V. </w:t>
      </w:r>
      <w:proofErr w:type="spellStart"/>
      <w:r w:rsidRPr="001F6307">
        <w:t>Pharmacovigilance</w:t>
      </w:r>
      <w:proofErr w:type="spellEnd"/>
      <w:r w:rsidRPr="001F6307">
        <w:t xml:space="preserve"> findings</w:t>
      </w:r>
      <w:bookmarkEnd w:id="112"/>
      <w:bookmarkEnd w:id="113"/>
      <w:bookmarkEnd w:id="135"/>
      <w:bookmarkEnd w:id="136"/>
    </w:p>
    <w:p w:rsidR="001F6307" w:rsidRPr="001F6307" w:rsidRDefault="001F6307" w:rsidP="000F5A84">
      <w:pPr>
        <w:pStyle w:val="Heading3"/>
        <w:rPr>
          <w:lang w:eastAsia="en-AU"/>
        </w:rPr>
      </w:pPr>
      <w:bookmarkStart w:id="137" w:name="_Toc247691526"/>
      <w:bookmarkStart w:id="138" w:name="_Toc314842509"/>
      <w:bookmarkStart w:id="139" w:name="_Toc395872576"/>
      <w:bookmarkStart w:id="140" w:name="_Toc399425154"/>
      <w:r w:rsidRPr="001F6307">
        <w:rPr>
          <w:lang w:eastAsia="en-AU"/>
        </w:rPr>
        <w:t xml:space="preserve">Risk </w:t>
      </w:r>
      <w:r w:rsidR="000F5A84">
        <w:rPr>
          <w:lang w:eastAsia="en-AU"/>
        </w:rPr>
        <w:t>m</w:t>
      </w:r>
      <w:r w:rsidRPr="001F6307">
        <w:rPr>
          <w:lang w:eastAsia="en-AU"/>
        </w:rPr>
        <w:t xml:space="preserve">anagement </w:t>
      </w:r>
      <w:r w:rsidR="000F5A84">
        <w:rPr>
          <w:lang w:eastAsia="en-AU"/>
        </w:rPr>
        <w:t>p</w:t>
      </w:r>
      <w:r w:rsidRPr="001F6307">
        <w:rPr>
          <w:lang w:eastAsia="en-AU"/>
        </w:rPr>
        <w:t>lan</w:t>
      </w:r>
      <w:bookmarkEnd w:id="137"/>
      <w:bookmarkEnd w:id="138"/>
      <w:bookmarkEnd w:id="139"/>
      <w:bookmarkEnd w:id="140"/>
    </w:p>
    <w:p w:rsidR="001F6307" w:rsidRPr="001F6307" w:rsidRDefault="001F6307" w:rsidP="000F5A84">
      <w:pPr>
        <w:pStyle w:val="Heading4"/>
        <w:rPr>
          <w:lang w:eastAsia="en-AU"/>
        </w:rPr>
      </w:pPr>
      <w:r w:rsidRPr="001F6307">
        <w:rPr>
          <w:lang w:eastAsia="en-AU"/>
        </w:rPr>
        <w:t>Contents</w:t>
      </w:r>
    </w:p>
    <w:p w:rsidR="001F6307" w:rsidRPr="001F6307" w:rsidRDefault="001F6307" w:rsidP="000F5A84">
      <w:pPr>
        <w:rPr>
          <w:lang w:eastAsia="en-AU"/>
        </w:rPr>
      </w:pPr>
      <w:r w:rsidRPr="001F6307">
        <w:rPr>
          <w:lang w:eastAsia="en-AU"/>
        </w:rPr>
        <w:t xml:space="preserve">The sponsor submitted a Risk Management Plan </w:t>
      </w:r>
      <w:r w:rsidRPr="001F6307">
        <w:t>(</w:t>
      </w:r>
      <w:r w:rsidRPr="001F6307">
        <w:rPr>
          <w:lang w:eastAsia="en-AU"/>
        </w:rPr>
        <w:t>EU-RMP Version: 1.0 [Data lock point 2 July 2012] with an Australian Specific Annex (ASA) v1.0 [June 2013]</w:t>
      </w:r>
      <w:r w:rsidRPr="001F6307">
        <w:t>)</w:t>
      </w:r>
      <w:r w:rsidRPr="001F6307">
        <w:rPr>
          <w:i/>
          <w:color w:val="22ABFF"/>
          <w:szCs w:val="24"/>
        </w:rPr>
        <w:t xml:space="preserve"> </w:t>
      </w:r>
      <w:r w:rsidRPr="001F6307">
        <w:rPr>
          <w:lang w:eastAsia="en-AU"/>
        </w:rPr>
        <w:t>which was reviewed by the TGA’s Office of Product Review (OPR).</w:t>
      </w:r>
    </w:p>
    <w:p w:rsidR="001F6307" w:rsidRPr="001F6307" w:rsidRDefault="001F6307" w:rsidP="000F5A84">
      <w:pPr>
        <w:rPr>
          <w:highlight w:val="yellow"/>
        </w:rPr>
      </w:pPr>
      <w:r w:rsidRPr="001F6307">
        <w:t xml:space="preserve">The sponsor proposes routine </w:t>
      </w:r>
      <w:proofErr w:type="spellStart"/>
      <w:r w:rsidRPr="001F6307">
        <w:t>pharmacovigilance</w:t>
      </w:r>
      <w:proofErr w:type="spellEnd"/>
      <w:r w:rsidRPr="001F6307">
        <w:t xml:space="preserve"> activities to monitor all specified safety concerns. Additional </w:t>
      </w:r>
      <w:proofErr w:type="spellStart"/>
      <w:r w:rsidRPr="001F6307">
        <w:t>pharmacovigilance</w:t>
      </w:r>
      <w:proofErr w:type="spellEnd"/>
      <w:r w:rsidRPr="001F6307">
        <w:t xml:space="preserve"> is proposed for certain risks. Routine risk minimisation activities are proposed for all safety concerns except the risks of Prolonged B cell depletion, Immunogenicity, Second malignancies, Gastrointestinal (GI) perforation, and Immune mediated glomerulonephritis.</w:t>
      </w:r>
      <w:r w:rsidRPr="001F6307">
        <w:rPr>
          <w:highlight w:val="yellow"/>
        </w:rPr>
        <w:t xml:space="preserve"> </w:t>
      </w:r>
    </w:p>
    <w:p w:rsidR="001F6307" w:rsidRPr="001F6307" w:rsidRDefault="001F6307" w:rsidP="000F5A84">
      <w:pPr>
        <w:pStyle w:val="Heading4"/>
        <w:rPr>
          <w:lang w:eastAsia="en-AU"/>
        </w:rPr>
      </w:pPr>
      <w:r w:rsidRPr="001F6307">
        <w:rPr>
          <w:lang w:eastAsia="en-AU"/>
        </w:rPr>
        <w:t>Ongoing safety concerns</w:t>
      </w:r>
    </w:p>
    <w:p w:rsidR="001F6307" w:rsidRPr="001F6307" w:rsidRDefault="001F6307" w:rsidP="000F5A84">
      <w:pPr>
        <w:rPr>
          <w:lang w:eastAsia="en-AU"/>
        </w:rPr>
      </w:pPr>
      <w:r w:rsidRPr="001F6307">
        <w:rPr>
          <w:lang w:eastAsia="en-AU"/>
        </w:rPr>
        <w:t>The sponsor provided a summary of ongoing safety concerns which are shown at Table 8.</w:t>
      </w:r>
    </w:p>
    <w:p w:rsidR="001F6307" w:rsidRPr="001F6307" w:rsidRDefault="001F6307" w:rsidP="000F5A84">
      <w:pPr>
        <w:pStyle w:val="TableTitle"/>
      </w:pPr>
      <w:proofErr w:type="gramStart"/>
      <w:r w:rsidRPr="001F6307">
        <w:t xml:space="preserve">Table 8: Ongoing safety concerns for </w:t>
      </w:r>
      <w:proofErr w:type="spellStart"/>
      <w:r w:rsidRPr="001F6307">
        <w:t>Gazyva</w:t>
      </w:r>
      <w:proofErr w:type="spellEnd"/>
      <w:r w:rsidRPr="001F6307">
        <w:t>.</w:t>
      </w:r>
      <w:proofErr w:type="gramEnd"/>
    </w:p>
    <w:p w:rsidR="001F6307" w:rsidRPr="001F6307" w:rsidRDefault="001F6307" w:rsidP="000F5A84">
      <w:pPr>
        <w:rPr>
          <w:lang w:eastAsia="en-AU"/>
        </w:rPr>
      </w:pPr>
      <w:r>
        <w:rPr>
          <w:noProof/>
          <w:lang w:eastAsia="en-AU"/>
        </w:rPr>
        <w:drawing>
          <wp:inline distT="0" distB="0" distL="0" distR="0" wp14:anchorId="25BA0EE8" wp14:editId="6DDAA55B">
            <wp:extent cx="3676650" cy="2381250"/>
            <wp:effectExtent l="0" t="0" r="0" b="0"/>
            <wp:docPr id="48" name="Picture 48" descr="Table 8: Ongoing safety concerns for Gazyva."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able 8: Ongoing safety concerns for Gazyv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2381250"/>
                    </a:xfrm>
                    <a:prstGeom prst="rect">
                      <a:avLst/>
                    </a:prstGeom>
                    <a:noFill/>
                    <a:ln>
                      <a:noFill/>
                    </a:ln>
                  </pic:spPr>
                </pic:pic>
              </a:graphicData>
            </a:graphic>
          </wp:inline>
        </w:drawing>
      </w:r>
    </w:p>
    <w:p w:rsidR="001F6307" w:rsidRPr="001F6307" w:rsidRDefault="001F6307" w:rsidP="000F5A84">
      <w:pPr>
        <w:pStyle w:val="Heading4"/>
        <w:rPr>
          <w:lang w:eastAsia="en-AU"/>
        </w:rPr>
      </w:pPr>
      <w:bookmarkStart w:id="141" w:name="_Toc247691527"/>
      <w:r w:rsidRPr="001F6307">
        <w:rPr>
          <w:lang w:eastAsia="en-AU"/>
        </w:rPr>
        <w:t>Reconciliation of is</w:t>
      </w:r>
      <w:r w:rsidR="000F5A84">
        <w:rPr>
          <w:lang w:eastAsia="en-AU"/>
        </w:rPr>
        <w:t>sues outlined in the RMP report</w:t>
      </w:r>
    </w:p>
    <w:p w:rsidR="001F6307" w:rsidRPr="001F6307" w:rsidRDefault="001F6307" w:rsidP="000F5A84">
      <w:r w:rsidRPr="001F6307">
        <w:t>Reconciliation of issues outlined in the RMP report is as follows.</w:t>
      </w:r>
    </w:p>
    <w:p w:rsidR="001F6307" w:rsidRPr="001F6307" w:rsidRDefault="001F6307" w:rsidP="000F5A84">
      <w:pPr>
        <w:pStyle w:val="Heading5"/>
      </w:pPr>
      <w:r w:rsidRPr="001F6307">
        <w:lastRenderedPageBreak/>
        <w:t>Recommendation #1 in RMP evaluation report</w:t>
      </w:r>
    </w:p>
    <w:p w:rsidR="001F6307" w:rsidRPr="001F6307" w:rsidRDefault="001F6307" w:rsidP="000F5A84">
      <w:r w:rsidRPr="001F6307">
        <w:t>Safety considerations may be raised by the nonclinical and clinical evaluators through the consolidated Section 31 request and/or the nonclinical and clinical evaluation reports, respectively. It is important to ensure that the information provided in response to these includes a consideration of the relevance for the RMP, and any specific information needed to address this issue in the RMP. For any safety considerations so raised, the Delegate should provide information that is relevant and necessary to address the issue in the RMP.</w:t>
      </w:r>
    </w:p>
    <w:p w:rsidR="001F6307" w:rsidRPr="001F6307" w:rsidRDefault="001F6307" w:rsidP="000F5A84">
      <w:pPr>
        <w:pStyle w:val="Heading5"/>
      </w:pPr>
      <w:r w:rsidRPr="001F6307">
        <w:t>Sponsor response</w:t>
      </w:r>
    </w:p>
    <w:p w:rsidR="001F6307" w:rsidRPr="001F6307" w:rsidRDefault="001F6307" w:rsidP="000F5A84">
      <w:r w:rsidRPr="001F6307">
        <w:t>The sponsor acknowledges the need to consider, in the context of the RMP, the relevance of any safety considerations raised by clinical and nonclinical evaluators.</w:t>
      </w:r>
    </w:p>
    <w:p w:rsidR="001F6307" w:rsidRPr="001F6307" w:rsidRDefault="001F6307" w:rsidP="000F5A84">
      <w:r w:rsidRPr="001F6307">
        <w:t>Within the sponsor’s responses to the 20 RMP recommendations, the sponsor includes various commitments to amend the RMP when it is next updated and update the draft Australian PI.</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bookmarkStart w:id="142" w:name="_Toc314842510"/>
      <w:r w:rsidRPr="001F6307">
        <w:t>Recommendation #2 in RMP evaluation report</w:t>
      </w:r>
    </w:p>
    <w:p w:rsidR="001F6307" w:rsidRPr="001F6307" w:rsidRDefault="001F6307" w:rsidP="000F5A84">
      <w:r w:rsidRPr="001F6307">
        <w:t>It is recommended that the sponsor provides Australian specific information about the epidemiology of the target disease, and any other information required to evaluate the Australian specific context of this submission.</w:t>
      </w:r>
    </w:p>
    <w:p w:rsidR="001F6307" w:rsidRPr="001F6307" w:rsidRDefault="001F6307" w:rsidP="000F5A84">
      <w:pPr>
        <w:pStyle w:val="Heading5"/>
      </w:pPr>
      <w:r w:rsidRPr="001F6307">
        <w:t>Sponsor response</w:t>
      </w:r>
    </w:p>
    <w:p w:rsidR="001F6307" w:rsidRPr="001F6307" w:rsidRDefault="001F6307" w:rsidP="000F5A84">
      <w:r w:rsidRPr="001F6307">
        <w:t>According to the latest Australian Institute of Health and Welfare statistics (ICD-10 code C91.1),</w:t>
      </w:r>
      <w:r w:rsidRPr="001F6307">
        <w:rPr>
          <w:vertAlign w:val="superscript"/>
        </w:rPr>
        <w:footnoteReference w:id="3"/>
      </w:r>
      <w:r w:rsidRPr="001F6307">
        <w:t xml:space="preserve"> there were 1,062 cases of CLL in Australia during 2009. For 2012, this number rose to an estimated 1,230 cases. Mean age of diagnosis is about 70 years. There were 309 deaths from CLL in Australia during 2007. For 2010, this number had risen to an estimated 354 deaths. Mean age of death is 79 years. Currently on average, women are living for about 5.5 years longer than men.</w:t>
      </w:r>
    </w:p>
    <w:p w:rsidR="001F6307" w:rsidRPr="001F6307" w:rsidRDefault="001F6307" w:rsidP="000F5A84">
      <w:r w:rsidRPr="001F6307">
        <w:t>The sponsor will include epidemiology information for CLL in the next version of the ASA submitted to the TGA.</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r w:rsidRPr="001F6307">
        <w:t>Recommendation #3 in RMP evaluation report</w:t>
      </w:r>
    </w:p>
    <w:p w:rsidR="001F6307" w:rsidRPr="001F6307" w:rsidRDefault="001F6307" w:rsidP="000F5A84">
      <w:r w:rsidRPr="001F6307">
        <w:t>It is recommended that the following will be added to the list of potential safety concerns:</w:t>
      </w:r>
    </w:p>
    <w:p w:rsidR="001F6307" w:rsidRPr="001F6307" w:rsidRDefault="001F6307" w:rsidP="000F5A84">
      <w:pPr>
        <w:pStyle w:val="ListBullet"/>
      </w:pPr>
      <w:r w:rsidRPr="001F6307">
        <w:t>Potential for interactions</w:t>
      </w:r>
    </w:p>
    <w:p w:rsidR="001F6307" w:rsidRPr="001F6307" w:rsidRDefault="001F6307" w:rsidP="000F5A84">
      <w:pPr>
        <w:pStyle w:val="ListBullet"/>
      </w:pPr>
      <w:r w:rsidRPr="001F6307">
        <w:t>Potential off-label use</w:t>
      </w:r>
    </w:p>
    <w:p w:rsidR="001F6307" w:rsidRPr="001F6307" w:rsidRDefault="001F6307" w:rsidP="000F5A84">
      <w:pPr>
        <w:pStyle w:val="ListBullet"/>
      </w:pPr>
      <w:r w:rsidRPr="001F6307">
        <w:t>Potential for paediatric off-label use</w:t>
      </w:r>
    </w:p>
    <w:p w:rsidR="001F6307" w:rsidRPr="001F6307" w:rsidRDefault="001F6307" w:rsidP="000F5A84">
      <w:pPr>
        <w:pStyle w:val="ListBullet"/>
      </w:pPr>
      <w:proofErr w:type="spellStart"/>
      <w:r w:rsidRPr="001F6307">
        <w:t>Hepatobiliary</w:t>
      </w:r>
      <w:proofErr w:type="spellEnd"/>
      <w:r w:rsidRPr="001F6307">
        <w:t xml:space="preserve"> events</w:t>
      </w:r>
    </w:p>
    <w:p w:rsidR="001F6307" w:rsidRPr="001F6307" w:rsidRDefault="001F6307" w:rsidP="000F5A84">
      <w:pPr>
        <w:pStyle w:val="ListBullet"/>
      </w:pPr>
      <w:r w:rsidRPr="001F6307">
        <w:t>Patients with renal impairment</w:t>
      </w:r>
    </w:p>
    <w:p w:rsidR="001F6307" w:rsidRPr="001F6307" w:rsidRDefault="001F6307" w:rsidP="000F5A84">
      <w:pPr>
        <w:pStyle w:val="Heading5"/>
      </w:pPr>
      <w:r w:rsidRPr="001F6307">
        <w:t>Sponsor response</w:t>
      </w:r>
    </w:p>
    <w:p w:rsidR="001F6307" w:rsidRPr="001F6307" w:rsidRDefault="001F6307" w:rsidP="000F5A84">
      <w:r w:rsidRPr="001F6307">
        <w:rPr>
          <w:b/>
        </w:rPr>
        <w:t xml:space="preserve">The potential for interactions, use in </w:t>
      </w:r>
      <w:proofErr w:type="spellStart"/>
      <w:r w:rsidRPr="001F6307">
        <w:rPr>
          <w:b/>
        </w:rPr>
        <w:t>renally</w:t>
      </w:r>
      <w:proofErr w:type="spellEnd"/>
      <w:r w:rsidRPr="001F6307">
        <w:rPr>
          <w:b/>
        </w:rPr>
        <w:t xml:space="preserve"> impaired patients</w:t>
      </w:r>
      <w:r w:rsidRPr="001F6307">
        <w:t xml:space="preserve"> and </w:t>
      </w:r>
      <w:r w:rsidRPr="001F6307">
        <w:rPr>
          <w:b/>
        </w:rPr>
        <w:t>the hepatic effects</w:t>
      </w:r>
      <w:r w:rsidRPr="001F6307">
        <w:t xml:space="preserve"> of </w:t>
      </w:r>
      <w:proofErr w:type="spellStart"/>
      <w:r w:rsidRPr="001F6307">
        <w:t>Gazyva</w:t>
      </w:r>
      <w:proofErr w:type="spellEnd"/>
      <w:r w:rsidRPr="001F6307">
        <w:t xml:space="preserve"> have been adequately investigated during clinical development in CLL patients. The sponsor has reviewed the clinical trial data which suggest that there is no </w:t>
      </w:r>
      <w:r w:rsidRPr="001F6307">
        <w:lastRenderedPageBreak/>
        <w:t xml:space="preserve">safety concern regarding possible </w:t>
      </w:r>
      <w:proofErr w:type="spellStart"/>
      <w:r w:rsidRPr="001F6307">
        <w:t>hepatoxicity</w:t>
      </w:r>
      <w:proofErr w:type="spellEnd"/>
      <w:r w:rsidRPr="001F6307">
        <w:t xml:space="preserve"> of </w:t>
      </w:r>
      <w:proofErr w:type="spellStart"/>
      <w:r w:rsidRPr="001F6307">
        <w:t>Gazyva</w:t>
      </w:r>
      <w:proofErr w:type="spellEnd"/>
      <w:r w:rsidRPr="001F6307">
        <w:t xml:space="preserve"> to date. Similarly, data from clinical trials do not indicate any potential safety concerns for interactions or use in </w:t>
      </w:r>
      <w:proofErr w:type="spellStart"/>
      <w:r w:rsidRPr="001F6307">
        <w:t>renally</w:t>
      </w:r>
      <w:proofErr w:type="spellEnd"/>
      <w:r w:rsidRPr="001F6307">
        <w:t xml:space="preserve"> impaired patients.</w:t>
      </w:r>
    </w:p>
    <w:p w:rsidR="001F6307" w:rsidRPr="001F6307" w:rsidRDefault="001F6307" w:rsidP="000F5A84">
      <w:r w:rsidRPr="001F6307">
        <w:t>Based on this, the sponsor believes that this information does not need to be added to the list of potential safety concerns (missing information). The sponsor acknowledges</w:t>
      </w:r>
      <w:r w:rsidRPr="001F6307">
        <w:rPr>
          <w:b/>
        </w:rPr>
        <w:t xml:space="preserve"> the potential for off-label use </w:t>
      </w:r>
      <w:r w:rsidRPr="001F6307">
        <w:t xml:space="preserve">of </w:t>
      </w:r>
      <w:proofErr w:type="spellStart"/>
      <w:r w:rsidRPr="001F6307">
        <w:t>Gazyva</w:t>
      </w:r>
      <w:proofErr w:type="spellEnd"/>
      <w:r w:rsidRPr="001F6307">
        <w:t xml:space="preserve">, which is addressed in the designated off-label use section of the RMP. The sponsor believes that this is the appropriate section to address off-label use as no specific safety concerns related to off label use of </w:t>
      </w:r>
      <w:proofErr w:type="spellStart"/>
      <w:r w:rsidRPr="001F6307">
        <w:t>Gazyva</w:t>
      </w:r>
      <w:proofErr w:type="spellEnd"/>
      <w:r w:rsidRPr="001F6307">
        <w:t xml:space="preserve"> have been identified.</w:t>
      </w:r>
    </w:p>
    <w:p w:rsidR="001F6307" w:rsidRPr="001F6307" w:rsidRDefault="001F6307" w:rsidP="000F5A84">
      <w:pPr>
        <w:rPr>
          <w:b/>
        </w:rPr>
      </w:pPr>
      <w:r w:rsidRPr="001F6307">
        <w:t xml:space="preserve">Although no major safety concerns are expected given the vulnerability of the paediatric population, information regarding </w:t>
      </w:r>
      <w:r w:rsidRPr="001F6307">
        <w:rPr>
          <w:b/>
        </w:rPr>
        <w:t>off-label use in paediatric patients</w:t>
      </w:r>
      <w:r w:rsidRPr="001F6307">
        <w:t xml:space="preserve"> will be added to the RMP. </w:t>
      </w:r>
      <w:r w:rsidRPr="001F6307">
        <w:rPr>
          <w:b/>
        </w:rPr>
        <w:t>In addition, use in children will be added as a safety concern.</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r w:rsidRPr="001F6307">
        <w:t>Recommendation #4 in RMP evaluation report</w:t>
      </w:r>
    </w:p>
    <w:p w:rsidR="001F6307" w:rsidRPr="001F6307" w:rsidRDefault="001F6307" w:rsidP="000F5A84">
      <w:r w:rsidRPr="001F6307">
        <w:t xml:space="preserve">The sponsor makes the following statement in regards to the </w:t>
      </w:r>
      <w:proofErr w:type="spellStart"/>
      <w:r w:rsidRPr="001F6307">
        <w:t>pharmacovigilance</w:t>
      </w:r>
      <w:proofErr w:type="spellEnd"/>
      <w:r w:rsidRPr="001F6307">
        <w:t xml:space="preserve"> plan for the ongoing safety concern of “Late onset and prolonged neutropenia”: “Routine </w:t>
      </w:r>
      <w:proofErr w:type="spellStart"/>
      <w:r w:rsidRPr="001F6307">
        <w:t>pharmacovigilance</w:t>
      </w:r>
      <w:proofErr w:type="spellEnd"/>
      <w:r w:rsidRPr="001F6307">
        <w:t xml:space="preserve"> including further investigations in clinical trials” (EU RMP v1 Section 16.III.1). However, the sponsor does not specify to which studies they are referring. It is recommended that the sponsor clarify exactly what studies they are referring to, the study titles, milestones and submit protocols for any planned studies to the TGA review.</w:t>
      </w:r>
    </w:p>
    <w:p w:rsidR="001F6307" w:rsidRPr="001F6307" w:rsidRDefault="001F6307" w:rsidP="001F6307">
      <w:pPr>
        <w:keepNext/>
        <w:keepLines/>
        <w:spacing w:line="220" w:lineRule="atLeast"/>
        <w:outlineLvl w:val="4"/>
        <w:rPr>
          <w:rFonts w:eastAsia="Times New Roman"/>
          <w:b/>
          <w:bCs/>
          <w:i/>
          <w:color w:val="001523"/>
          <w:szCs w:val="21"/>
        </w:rPr>
      </w:pPr>
      <w:r w:rsidRPr="001F6307">
        <w:rPr>
          <w:rFonts w:eastAsia="Times New Roman"/>
          <w:b/>
          <w:bCs/>
          <w:i/>
          <w:color w:val="001523"/>
          <w:szCs w:val="21"/>
        </w:rPr>
        <w:t>Sponsor response</w:t>
      </w:r>
    </w:p>
    <w:p w:rsidR="001F6307" w:rsidRPr="001F6307" w:rsidRDefault="001F6307" w:rsidP="000F5A84">
      <w:r w:rsidRPr="001F6307">
        <w:t xml:space="preserve">The incidence and reversibility (time to recovery) of late onset and prolonged neutropenia will be evaluated during routine </w:t>
      </w:r>
      <w:proofErr w:type="spellStart"/>
      <w:r w:rsidRPr="001F6307">
        <w:t>pharmacovigilance</w:t>
      </w:r>
      <w:proofErr w:type="spellEnd"/>
      <w:r w:rsidRPr="001F6307">
        <w:t xml:space="preserve"> including further investigation in clinical trials (RMP 1.0, Section 16.III.1 “Safety Concerns </w:t>
      </w:r>
      <w:proofErr w:type="gramStart"/>
      <w:r w:rsidRPr="001F6307">
        <w:t>And Overview Of</w:t>
      </w:r>
      <w:proofErr w:type="gramEnd"/>
      <w:r w:rsidRPr="001F6307">
        <w:t xml:space="preserve"> Planned </w:t>
      </w:r>
      <w:proofErr w:type="spellStart"/>
      <w:r w:rsidRPr="001F6307">
        <w:t>Pharmacovigilance</w:t>
      </w:r>
      <w:proofErr w:type="spellEnd"/>
      <w:r w:rsidRPr="001F6307">
        <w:t xml:space="preserve"> Actions”). An overview of all on-going and planned studies in the Post authorisation </w:t>
      </w:r>
      <w:proofErr w:type="spellStart"/>
      <w:r w:rsidRPr="001F6307">
        <w:t>Pharmacovigilance</w:t>
      </w:r>
      <w:proofErr w:type="spellEnd"/>
      <w:r w:rsidRPr="001F6307">
        <w:t xml:space="preserve"> Development Plan, including milestones, is provided.</w:t>
      </w:r>
    </w:p>
    <w:p w:rsidR="001F6307" w:rsidRPr="000F5A84" w:rsidRDefault="001F6307" w:rsidP="000F5A84">
      <w:pPr>
        <w:rPr>
          <w:b/>
        </w:rPr>
      </w:pPr>
      <w:r w:rsidRPr="000F5A84">
        <w:rPr>
          <w:b/>
        </w:rPr>
        <w:t xml:space="preserve">The sponsor agrees to update the text on late onset and prolonged neutropenia in Section 16.III.1 of the RMP to include the relevant clinical trial numbers (B021004 [Stage 2], GAO4779g, GA04768g, BO21005 and BO21223) under “proposed routine and additional </w:t>
      </w:r>
      <w:proofErr w:type="spellStart"/>
      <w:r w:rsidRPr="000F5A84">
        <w:rPr>
          <w:b/>
        </w:rPr>
        <w:t>PhV</w:t>
      </w:r>
      <w:proofErr w:type="spellEnd"/>
      <w:r w:rsidRPr="000F5A84">
        <w:rPr>
          <w:b/>
        </w:rPr>
        <w:t xml:space="preserve"> activities”. Part III.5.1 (Section 18.1), Part VI.1.2 and Part VI.2.5 will also be updated accordingly.</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r w:rsidRPr="001F6307">
        <w:t>Recommendation #5 in RMP evaluation report</w:t>
      </w:r>
    </w:p>
    <w:p w:rsidR="001F6307" w:rsidRPr="001F6307" w:rsidRDefault="001F6307" w:rsidP="000F5A84">
      <w:r w:rsidRPr="001F6307">
        <w:t>It is recommended that the sponsor considers performing post authorization safety studies to address important missing information.</w:t>
      </w:r>
    </w:p>
    <w:p w:rsidR="001F6307" w:rsidRPr="001F6307" w:rsidRDefault="001F6307" w:rsidP="000F5A84">
      <w:pPr>
        <w:pStyle w:val="Heading5"/>
      </w:pPr>
      <w:r w:rsidRPr="001F6307">
        <w:t>Sponsor response</w:t>
      </w:r>
    </w:p>
    <w:p w:rsidR="001F6307" w:rsidRPr="001F6307" w:rsidRDefault="001F6307" w:rsidP="000F5A84">
      <w:r w:rsidRPr="001F6307">
        <w:t xml:space="preserve">The previously submitted OB RMP (Version 1.0) identifies no missing information from the clinical trial program which could constitute an important risk to the target population: CLL patients. As mentioned in the response to question 3, during clinical development in CLL patients the sponsor has adequately investigated the potential for interactions, use in </w:t>
      </w:r>
      <w:proofErr w:type="spellStart"/>
      <w:r w:rsidRPr="001F6307">
        <w:t>renally</w:t>
      </w:r>
      <w:proofErr w:type="spellEnd"/>
      <w:r w:rsidRPr="001F6307">
        <w:t xml:space="preserve"> impaired patients and the hepatic effects of OB and believes that this information does not need to be added to the list of potential safety concerns (missing information).</w:t>
      </w:r>
    </w:p>
    <w:p w:rsidR="001F6307" w:rsidRPr="001F6307" w:rsidRDefault="001F6307" w:rsidP="000F5A84">
      <w:pPr>
        <w:rPr>
          <w:b/>
        </w:rPr>
      </w:pPr>
      <w:r w:rsidRPr="001F6307">
        <w:t xml:space="preserve">Although the sponsor does not propose to include the potential for interactions, use in </w:t>
      </w:r>
      <w:proofErr w:type="spellStart"/>
      <w:r w:rsidRPr="001F6307">
        <w:t>renally</w:t>
      </w:r>
      <w:proofErr w:type="spellEnd"/>
      <w:r w:rsidRPr="001F6307">
        <w:t xml:space="preserve"> impaired patients and the hepatic effects of OB as important missing information </w:t>
      </w:r>
      <w:r w:rsidRPr="001F6307">
        <w:lastRenderedPageBreak/>
        <w:t xml:space="preserve">given that these are adequately characterised during development, </w:t>
      </w:r>
      <w:r w:rsidRPr="001F6307">
        <w:rPr>
          <w:b/>
        </w:rPr>
        <w:t>the sponsor will add the following as important missing information:</w:t>
      </w:r>
    </w:p>
    <w:p w:rsidR="001F6307" w:rsidRPr="000F5A84" w:rsidRDefault="001F6307" w:rsidP="000F5A84">
      <w:pPr>
        <w:pStyle w:val="ListBullet"/>
        <w:rPr>
          <w:b/>
        </w:rPr>
      </w:pPr>
      <w:r w:rsidRPr="000F5A84">
        <w:rPr>
          <w:b/>
        </w:rPr>
        <w:t>Use during pregnancy and lactation</w:t>
      </w:r>
    </w:p>
    <w:p w:rsidR="001F6307" w:rsidRPr="000F5A84" w:rsidRDefault="001F6307" w:rsidP="000F5A84">
      <w:pPr>
        <w:pStyle w:val="ListBullet"/>
        <w:rPr>
          <w:b/>
        </w:rPr>
      </w:pPr>
      <w:r w:rsidRPr="000F5A84">
        <w:rPr>
          <w:b/>
        </w:rPr>
        <w:t>Use in paediatric population</w:t>
      </w:r>
    </w:p>
    <w:p w:rsidR="001F6307" w:rsidRPr="001F6307" w:rsidRDefault="001F6307" w:rsidP="000F5A84">
      <w:pPr>
        <w:pStyle w:val="Heading4"/>
      </w:pPr>
      <w:r w:rsidRPr="001F6307">
        <w:t>Use during pregnancy and lactation</w:t>
      </w:r>
    </w:p>
    <w:p w:rsidR="001F6307" w:rsidRPr="001F6307" w:rsidRDefault="001F6307" w:rsidP="000F5A84">
      <w:r w:rsidRPr="001F6307">
        <w:t>No study is planned in pregnant and breast feeding women for ethical reasons. Studies in monkeys have not identified any particular risks for pregnant mothers, although infants were born with low levels of B cells. Although pregnancy is an exclusion criteria, in case of an inadvertent pregnancy, all data collected from clinical studies and post marketing setting will be analysed thoroughly for safety information.</w:t>
      </w:r>
    </w:p>
    <w:p w:rsidR="001F6307" w:rsidRPr="001F6307" w:rsidRDefault="001F6307" w:rsidP="000F5A84">
      <w:pPr>
        <w:pStyle w:val="Heading4"/>
      </w:pPr>
      <w:r w:rsidRPr="001F6307">
        <w:t>Use in paediatric population</w:t>
      </w:r>
    </w:p>
    <w:p w:rsidR="001F6307" w:rsidRPr="001F6307" w:rsidRDefault="001F6307" w:rsidP="000F5A84">
      <w:r w:rsidRPr="001F6307">
        <w:t xml:space="preserve">The sponsor has an agreed Paediatric Investigation Plan (PIP; EMA Decision P/0046/2013) and has planned to explore the efficacy and safety of OB in comparison to rituximab as part of a multi agent chemotherapy regimen in children (6 months to &lt; 18 years) with newly diagnosed mature B cell lymphoma, </w:t>
      </w:r>
      <w:proofErr w:type="spellStart"/>
      <w:r w:rsidRPr="001F6307">
        <w:t>Burkitt</w:t>
      </w:r>
      <w:proofErr w:type="spellEnd"/>
      <w:r w:rsidRPr="001F6307">
        <w:t xml:space="preserve"> or </w:t>
      </w:r>
      <w:proofErr w:type="spellStart"/>
      <w:r w:rsidRPr="001F6307">
        <w:t>Burkitt</w:t>
      </w:r>
      <w:proofErr w:type="spellEnd"/>
      <w:r w:rsidRPr="001F6307">
        <w:t>-like lymphoma/leukaemia.</w:t>
      </w:r>
    </w:p>
    <w:p w:rsidR="001F6307" w:rsidRPr="001F6307" w:rsidRDefault="001F6307" w:rsidP="000F5A84">
      <w:r w:rsidRPr="001F6307">
        <w:t>This paediatric study will commence once adult data in patients with DLBCL have shown a positive benefit/risk balance and paediatric data on rituximab support the design of the study and the targeted population. Final paediatric data on OB are expected in June 2024.</w:t>
      </w:r>
    </w:p>
    <w:p w:rsidR="001F6307" w:rsidRPr="001F6307" w:rsidRDefault="001F6307" w:rsidP="000F5A84">
      <w:r w:rsidRPr="001F6307">
        <w:t xml:space="preserve">In addition, the safety profile of OB in CLL and NHL patients will be continuously evaluated within the extensive clinical development program. Of the Roche sponsored clinical trials that are currently ongoing (Roche Investigator’s Brochure OB, Eighth Version, September 2013), 6 trials (BO21004, AO4779g, GAO4768g, BO21005, BO21223, MO28543) will provide additional safety data to assess the safety profile of OB. An overview of on-going studies in the post authorisation </w:t>
      </w:r>
      <w:proofErr w:type="spellStart"/>
      <w:r w:rsidRPr="001F6307">
        <w:t>pharmacovigilance</w:t>
      </w:r>
      <w:proofErr w:type="spellEnd"/>
      <w:r w:rsidRPr="001F6307">
        <w:t xml:space="preserve"> development plan is provided in the previously submitted version of the RMP (version 1.0) and is outlined in the response to question 4. Further, in the current signal detection plan for OB, the sponsor performs a thorough monthly review and assessment of listings with serious AEs occurring in patients with renal impairment exposed to OB. This is part of the routine </w:t>
      </w:r>
      <w:proofErr w:type="spellStart"/>
      <w:r w:rsidRPr="001F6307">
        <w:t>pharmacovigilance</w:t>
      </w:r>
      <w:proofErr w:type="spellEnd"/>
      <w:r w:rsidRPr="001F6307">
        <w:t xml:space="preserve"> activities. With regards to the assessment of an association between the exposure to OB and the occurrence of rare events, given the current exposed population, common events occurring in association with OB should already be identified. The detection of rare events occurring in association with OB may require exposure of a larger patient population than the one that has been exposed in the current clinical trial program thus far. Based on the 2300 exposed patients, there is a 90% probability of detecting at least 1 event whose underlying probability is 0.1% in the population. Any rare event that occurs in ≥0.3% has a probability of more than 99.9% to have been observed already. Based on the on-going extensive clinical program and data assessed to date, the Sponsor believes that additional post marketing studies are not required at this stage.</w:t>
      </w:r>
    </w:p>
    <w:p w:rsidR="001F6307" w:rsidRPr="001F6307" w:rsidRDefault="001F6307" w:rsidP="000F5A84">
      <w:pPr>
        <w:pStyle w:val="Heading5"/>
      </w:pPr>
      <w:r w:rsidRPr="001F6307">
        <w:t>OPR evaluator’s comment</w:t>
      </w:r>
    </w:p>
    <w:p w:rsidR="001F6307" w:rsidRPr="001F6307" w:rsidRDefault="001F6307" w:rsidP="000F5A84">
      <w:r w:rsidRPr="001F6307">
        <w:t>This is acceptable. However, it is recommended that details on the Paediatric Investigation Plan (PIP; EMA Decision P/0046/2013) are provided to TGA.</w:t>
      </w:r>
    </w:p>
    <w:p w:rsidR="001F6307" w:rsidRPr="001F6307" w:rsidRDefault="001F6307" w:rsidP="000F5A84">
      <w:pPr>
        <w:pStyle w:val="Heading5"/>
      </w:pPr>
      <w:r w:rsidRPr="001F6307">
        <w:t>Recommendation #6 in RMP evaluation report</w:t>
      </w:r>
    </w:p>
    <w:p w:rsidR="001F6307" w:rsidRPr="001F6307" w:rsidRDefault="001F6307" w:rsidP="000F5A84">
      <w:r w:rsidRPr="001F6307">
        <w:t>It is recommended that guided questionnaire regarding hepatitis B is developed and submitted to TGA for review.</w:t>
      </w:r>
    </w:p>
    <w:p w:rsidR="001F6307" w:rsidRPr="001F6307" w:rsidRDefault="001F6307" w:rsidP="000F5A84">
      <w:pPr>
        <w:pStyle w:val="Heading5"/>
      </w:pPr>
      <w:r w:rsidRPr="001F6307">
        <w:lastRenderedPageBreak/>
        <w:t>Sponsor response</w:t>
      </w:r>
    </w:p>
    <w:p w:rsidR="001F6307" w:rsidRPr="000F5A84" w:rsidRDefault="001F6307" w:rsidP="000F5A84">
      <w:pPr>
        <w:rPr>
          <w:b/>
        </w:rPr>
      </w:pPr>
      <w:r w:rsidRPr="000F5A84">
        <w:rPr>
          <w:b/>
        </w:rPr>
        <w:t>The sponsor agrees with the recommendation to develop a guided questionnaire for hepatitis B. A draft will be submitted to TGA by the end of February 2014.</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r w:rsidRPr="001F6307">
        <w:t>Recommendation #7 in RMP evaluation report</w:t>
      </w:r>
    </w:p>
    <w:p w:rsidR="001F6307" w:rsidRPr="001F6307" w:rsidRDefault="001F6307" w:rsidP="000F5A84">
      <w:r w:rsidRPr="001F6307">
        <w:t xml:space="preserve">The studies referenced in the </w:t>
      </w:r>
      <w:proofErr w:type="spellStart"/>
      <w:r w:rsidRPr="001F6307">
        <w:t>pharmacovigilance</w:t>
      </w:r>
      <w:proofErr w:type="spellEnd"/>
      <w:r w:rsidRPr="001F6307">
        <w:t xml:space="preserve"> plan will generate safety data that will simply support the known safety profile of the medicine, while others will generate data that will provoke applications to amend the Australian registration details. To this end, it is suggested that the sponsor should provide an attachment to the ASA setting out all the forthcoming studies and the anticipated dates for their submission in Australia.</w:t>
      </w:r>
    </w:p>
    <w:p w:rsidR="001F6307" w:rsidRPr="001F6307" w:rsidRDefault="001F6307" w:rsidP="000F5A84">
      <w:pPr>
        <w:pStyle w:val="Heading5"/>
      </w:pPr>
      <w:r w:rsidRPr="001F6307">
        <w:t>Sponsor response</w:t>
      </w:r>
    </w:p>
    <w:p w:rsidR="001F6307" w:rsidRPr="001F6307" w:rsidRDefault="001F6307" w:rsidP="000F5A84">
      <w:r w:rsidRPr="001F6307">
        <w:t xml:space="preserve">The sponsor acknowledges this recommendation. </w:t>
      </w:r>
      <w:r w:rsidRPr="000F5A84">
        <w:rPr>
          <w:b/>
        </w:rPr>
        <w:t xml:space="preserve">Following assessment of the data generated from studies referenced in the </w:t>
      </w:r>
      <w:proofErr w:type="spellStart"/>
      <w:r w:rsidRPr="000F5A84">
        <w:rPr>
          <w:b/>
        </w:rPr>
        <w:t>pharmacovigilance</w:t>
      </w:r>
      <w:proofErr w:type="spellEnd"/>
      <w:r w:rsidRPr="000F5A84">
        <w:rPr>
          <w:b/>
        </w:rPr>
        <w:t xml:space="preserve"> plan, the </w:t>
      </w:r>
      <w:proofErr w:type="spellStart"/>
      <w:r w:rsidRPr="000F5A84">
        <w:rPr>
          <w:b/>
        </w:rPr>
        <w:t>Gazyva</w:t>
      </w:r>
      <w:proofErr w:type="spellEnd"/>
      <w:r w:rsidRPr="000F5A84">
        <w:rPr>
          <w:b/>
        </w:rPr>
        <w:t xml:space="preserve"> </w:t>
      </w:r>
      <w:proofErr w:type="gramStart"/>
      <w:r w:rsidRPr="000F5A84">
        <w:rPr>
          <w:b/>
        </w:rPr>
        <w:t>company</w:t>
      </w:r>
      <w:proofErr w:type="gramEnd"/>
      <w:r w:rsidRPr="000F5A84">
        <w:rPr>
          <w:b/>
        </w:rPr>
        <w:t xml:space="preserve"> Core Data Sheet and Australian PI will be revised accordingly</w:t>
      </w:r>
      <w:r w:rsidRPr="001F6307">
        <w:t>.</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r w:rsidRPr="001F6307">
        <w:t xml:space="preserve">Recommendation #8 in RMP evaluation report </w:t>
      </w:r>
    </w:p>
    <w:p w:rsidR="001F6307" w:rsidRPr="001F6307" w:rsidRDefault="001F6307" w:rsidP="000F5A84">
      <w:r w:rsidRPr="001F6307">
        <w:t>B cell depletion is the expected therapeutic outcome with OB and it is mentioned in the OB Australian PI. However, the risk minimisation activity for this risk is not mentioned in the RMP. The sponsor is recommended to update the risk minimization activity in the RMP.</w:t>
      </w:r>
    </w:p>
    <w:p w:rsidR="001F6307" w:rsidRPr="001F6307" w:rsidRDefault="001F6307" w:rsidP="000F5A84">
      <w:pPr>
        <w:pStyle w:val="Heading5"/>
      </w:pPr>
      <w:r w:rsidRPr="001F6307">
        <w:t>Sponsor response</w:t>
      </w:r>
    </w:p>
    <w:p w:rsidR="001F6307" w:rsidRPr="001F6307" w:rsidRDefault="001F6307" w:rsidP="000F5A84">
      <w:r w:rsidRPr="000F5A84">
        <w:rPr>
          <w:b/>
        </w:rPr>
        <w:t>The sponsor agrees to update the OB RMP to include “Prolonged B cell depletion” as a routine risk minimisation activity in the next version of the RMP</w:t>
      </w:r>
      <w:r w:rsidRPr="001F6307">
        <w:t>. The Australian PI already includes this information. No additional risk minimisation activities related to B cell depletion are proposed.</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5"/>
      </w:pPr>
      <w:r w:rsidRPr="001F6307">
        <w:t>Recommendation #9 in RMP evaluation report</w:t>
      </w:r>
    </w:p>
    <w:p w:rsidR="001F6307" w:rsidRPr="001F6307" w:rsidRDefault="001F6307" w:rsidP="000F5A84">
      <w:r w:rsidRPr="001F6307">
        <w:t>It is recommended that the sponsor addresses the risk minimisation activity for the potential risk of GI perforation in the RMP.</w:t>
      </w:r>
    </w:p>
    <w:p w:rsidR="001F6307" w:rsidRPr="001F6307" w:rsidRDefault="001F6307" w:rsidP="000F5A84">
      <w:pPr>
        <w:pStyle w:val="Heading5"/>
      </w:pPr>
      <w:r w:rsidRPr="001F6307">
        <w:t>Sponsor response</w:t>
      </w:r>
    </w:p>
    <w:p w:rsidR="001F6307" w:rsidRPr="001F6307" w:rsidRDefault="001F6307" w:rsidP="000F5A84">
      <w:r w:rsidRPr="001F6307">
        <w:t xml:space="preserve">GI perforation is a known risk in patients with NHL treated with </w:t>
      </w:r>
      <w:proofErr w:type="spellStart"/>
      <w:r w:rsidRPr="001F6307">
        <w:t>anti cancer</w:t>
      </w:r>
      <w:proofErr w:type="spellEnd"/>
      <w:r w:rsidRPr="001F6307">
        <w:t xml:space="preserve"> therapies including anti CD20 antibodies. The infiltration of the GI tract in patients with CLL is rarer compared to NHL and therefore the risk of GI perforation is very low (as described in the current </w:t>
      </w:r>
      <w:proofErr w:type="spellStart"/>
      <w:r w:rsidRPr="001F6307">
        <w:t>MabThera</w:t>
      </w:r>
      <w:proofErr w:type="spellEnd"/>
      <w:r w:rsidRPr="001F6307">
        <w:t xml:space="preserve"> RMP). A potential hypothetical mechanism is based on the necrosis of the tumour in successfully treated patients with </w:t>
      </w:r>
      <w:proofErr w:type="spellStart"/>
      <w:r w:rsidRPr="001F6307">
        <w:t>lymphomatous</w:t>
      </w:r>
      <w:proofErr w:type="spellEnd"/>
      <w:r w:rsidRPr="001F6307">
        <w:t xml:space="preserve"> involvement of the GI tract.</w:t>
      </w:r>
    </w:p>
    <w:p w:rsidR="001F6307" w:rsidRPr="001F6307" w:rsidRDefault="001F6307" w:rsidP="000F5A84">
      <w:r w:rsidRPr="001F6307">
        <w:t xml:space="preserve">GI perforation has been reported in rituximab treated patients with CLL and NHL (as noted in the approved </w:t>
      </w:r>
      <w:proofErr w:type="spellStart"/>
      <w:r w:rsidRPr="001F6307">
        <w:t>MabThera</w:t>
      </w:r>
      <w:proofErr w:type="spellEnd"/>
      <w:r w:rsidRPr="001F6307">
        <w:t xml:space="preserve"> RMP v2.0). A systematic review by the sponsor of published observational data in patients with CLL did not identify any studies providing information on the background incidence or prevalence of GI perforations. </w:t>
      </w:r>
    </w:p>
    <w:p w:rsidR="001F6307" w:rsidRPr="001F6307" w:rsidRDefault="001F6307" w:rsidP="000F5A84">
      <w:r w:rsidRPr="001F6307">
        <w:t xml:space="preserve">To date, there have been no cases of GI perforation in CLL patients treated with OB. In Study BO21004, GI perforation was reported in 2 patients treated with rituximab. </w:t>
      </w:r>
      <w:r w:rsidRPr="001F6307">
        <w:lastRenderedPageBreak/>
        <w:t xml:space="preserve">However, these events have been captured owing to the very conservative methodology using the Standard </w:t>
      </w:r>
      <w:proofErr w:type="spellStart"/>
      <w:r w:rsidRPr="001F6307">
        <w:t>MedDRA</w:t>
      </w:r>
      <w:proofErr w:type="spellEnd"/>
      <w:r w:rsidRPr="001F6307">
        <w:t xml:space="preserve"> Query (SMQ) GI perforation. One case was a </w:t>
      </w:r>
      <w:proofErr w:type="spellStart"/>
      <w:r w:rsidRPr="001F6307">
        <w:t>non serious</w:t>
      </w:r>
      <w:proofErr w:type="spellEnd"/>
      <w:r w:rsidRPr="001F6307">
        <w:t xml:space="preserve"> case of perianal abscess (grade 2) which was assessed as unrelated to rituximab and resolved with antibiotic treatment. The second case was reported as an exacerbation of simple rectal </w:t>
      </w:r>
      <w:proofErr w:type="gramStart"/>
      <w:r w:rsidRPr="001F6307">
        <w:t>trans</w:t>
      </w:r>
      <w:proofErr w:type="gramEnd"/>
      <w:r w:rsidRPr="001F6307">
        <w:t xml:space="preserve"> </w:t>
      </w:r>
      <w:proofErr w:type="spellStart"/>
      <w:r w:rsidRPr="001F6307">
        <w:t>sphincteral</w:t>
      </w:r>
      <w:proofErr w:type="spellEnd"/>
      <w:r w:rsidRPr="001F6307">
        <w:t xml:space="preserve"> fistula. The event was reported as serious (leading to hospitalisation), unrelated to rituximab and resolved. GI perforation remains a potential and unconfirmed risk in patients with CLL treated with OB. Given the absence of safety reports and an unclear mechanism in patients with CLL, this risk has not been confirmed. Therefore, the sponsor proposes to assess the risk of GI perforation and will implement routine </w:t>
      </w:r>
      <w:proofErr w:type="spellStart"/>
      <w:r w:rsidRPr="001F6307">
        <w:t>pharmacovigilance</w:t>
      </w:r>
      <w:proofErr w:type="spellEnd"/>
      <w:r w:rsidRPr="001F6307">
        <w:t xml:space="preserve"> activities and prospectively collect data to assess the nature, incidence, severity and outcome of this potential risk. Currently, in the absence of any case of GI perforation in CLL patients treated with OB, the sponsor proposes not to include a routine risk minimisation activity for GI perforation in the proposed </w:t>
      </w:r>
      <w:proofErr w:type="spellStart"/>
      <w:r w:rsidRPr="001F6307">
        <w:t>Gazyva</w:t>
      </w:r>
      <w:proofErr w:type="spellEnd"/>
      <w:r w:rsidRPr="001F6307">
        <w:t xml:space="preserve"> PI.</w:t>
      </w:r>
    </w:p>
    <w:p w:rsidR="001F6307" w:rsidRPr="001F6307" w:rsidRDefault="001F6307" w:rsidP="000F5A84">
      <w:pPr>
        <w:pStyle w:val="Heading5"/>
      </w:pPr>
      <w:r w:rsidRPr="001F6307">
        <w:t>OPR evaluator’s comment</w:t>
      </w:r>
    </w:p>
    <w:p w:rsidR="001F6307" w:rsidRPr="001F6307" w:rsidRDefault="001F6307" w:rsidP="000F5A84">
      <w:r w:rsidRPr="001F6307">
        <w:t>This is acceptable.</w:t>
      </w:r>
    </w:p>
    <w:p w:rsidR="001F6307" w:rsidRPr="001F6307" w:rsidRDefault="001F6307" w:rsidP="000F5A84">
      <w:pPr>
        <w:pStyle w:val="Heading2"/>
      </w:pPr>
      <w:bookmarkStart w:id="143" w:name="_Toc395872577"/>
      <w:bookmarkStart w:id="144" w:name="_Toc399425155"/>
      <w:r w:rsidRPr="001F6307">
        <w:t>VI. Overall conclusion and risk/benefit assessment</w:t>
      </w:r>
      <w:bookmarkEnd w:id="114"/>
      <w:bookmarkEnd w:id="141"/>
      <w:bookmarkEnd w:id="142"/>
      <w:bookmarkEnd w:id="143"/>
      <w:bookmarkEnd w:id="144"/>
    </w:p>
    <w:p w:rsidR="001F6307" w:rsidRPr="001F6307" w:rsidRDefault="001F6307" w:rsidP="000F5A84">
      <w:bookmarkStart w:id="145" w:name="_Toc247691528"/>
      <w:r w:rsidRPr="001F6307">
        <w:t>The submission was summarised in the following Delegate’s overview and recommendations:</w:t>
      </w:r>
    </w:p>
    <w:p w:rsidR="001F6307" w:rsidRPr="001F6307" w:rsidRDefault="001F6307" w:rsidP="000F5A84">
      <w:pPr>
        <w:pStyle w:val="Heading3"/>
      </w:pPr>
      <w:bookmarkStart w:id="146" w:name="_Toc314842511"/>
      <w:bookmarkStart w:id="147" w:name="_Toc395872578"/>
      <w:bookmarkStart w:id="148" w:name="_Toc399425156"/>
      <w:r w:rsidRPr="001F6307">
        <w:t>Quality</w:t>
      </w:r>
      <w:bookmarkEnd w:id="145"/>
      <w:bookmarkEnd w:id="146"/>
      <w:bookmarkEnd w:id="147"/>
      <w:bookmarkEnd w:id="148"/>
    </w:p>
    <w:p w:rsidR="001F6307" w:rsidRPr="001F6307" w:rsidRDefault="001F6307" w:rsidP="000F5A84">
      <w:pPr>
        <w:rPr>
          <w:b/>
        </w:rPr>
      </w:pPr>
      <w:r w:rsidRPr="001F6307">
        <w:t xml:space="preserve">The evaluator had no objections to the registration of OB, but has recommended that Batch Release Testing by the Office of Laboratory and Scientific Services at the TGA should be a Condition of Registration. </w:t>
      </w:r>
      <w:r w:rsidRPr="001F6307">
        <w:rPr>
          <w:b/>
        </w:rPr>
        <w:t>The Delegate is in agreement with this proposal.</w:t>
      </w:r>
    </w:p>
    <w:p w:rsidR="001F6307" w:rsidRPr="001F6307" w:rsidRDefault="001F6307" w:rsidP="000F5A84">
      <w:pPr>
        <w:pStyle w:val="Heading3"/>
      </w:pPr>
      <w:bookmarkStart w:id="149" w:name="_Toc314842512"/>
      <w:bookmarkStart w:id="150" w:name="_Toc395872579"/>
      <w:bookmarkStart w:id="151" w:name="_Toc399425157"/>
      <w:r w:rsidRPr="001F6307">
        <w:t>Nonclinical</w:t>
      </w:r>
      <w:bookmarkEnd w:id="149"/>
      <w:bookmarkEnd w:id="150"/>
      <w:bookmarkEnd w:id="151"/>
    </w:p>
    <w:p w:rsidR="001F6307" w:rsidRPr="001F6307" w:rsidRDefault="001F6307" w:rsidP="000F5A84">
      <w:r w:rsidRPr="001F6307">
        <w:t>There were no nonclinical (toxicological) objections to registration of OB for the proposed indication.</w:t>
      </w:r>
    </w:p>
    <w:p w:rsidR="001F6307" w:rsidRPr="001F6307" w:rsidRDefault="001F6307" w:rsidP="000F5A84">
      <w:pPr>
        <w:pStyle w:val="Heading3"/>
      </w:pPr>
      <w:bookmarkStart w:id="152" w:name="_Toc247691530"/>
      <w:bookmarkStart w:id="153" w:name="_Toc314842513"/>
      <w:bookmarkStart w:id="154" w:name="_Toc395872580"/>
      <w:bookmarkStart w:id="155" w:name="_Toc399425158"/>
      <w:r w:rsidRPr="001F6307">
        <w:t>Clinical</w:t>
      </w:r>
      <w:bookmarkEnd w:id="152"/>
      <w:bookmarkEnd w:id="153"/>
      <w:bookmarkEnd w:id="154"/>
      <w:bookmarkEnd w:id="155"/>
    </w:p>
    <w:p w:rsidR="001F6307" w:rsidRPr="001F6307" w:rsidRDefault="001F6307" w:rsidP="000F5A84">
      <w:pPr>
        <w:pStyle w:val="Heading4"/>
      </w:pPr>
      <w:bookmarkStart w:id="156" w:name="_Toc314842514"/>
      <w:r w:rsidRPr="001F6307">
        <w:t>Overview of data</w:t>
      </w:r>
    </w:p>
    <w:p w:rsidR="001F6307" w:rsidRPr="001F6307" w:rsidRDefault="001F6307" w:rsidP="000F5A84">
      <w:r w:rsidRPr="001F6307">
        <w:t xml:space="preserve">Five studies were included in the dossier: four </w:t>
      </w:r>
      <w:proofErr w:type="gramStart"/>
      <w:r w:rsidRPr="001F6307">
        <w:t>Phase</w:t>
      </w:r>
      <w:proofErr w:type="gramEnd"/>
      <w:r w:rsidRPr="001F6307">
        <w:t xml:space="preserve"> I/II studies of PK and one Phase III pivotal study of PFS efficacy assessed by the investigators (Table 9).</w:t>
      </w:r>
    </w:p>
    <w:p w:rsidR="001F6307" w:rsidRPr="001F6307" w:rsidRDefault="001F6307" w:rsidP="000F5A84">
      <w:pPr>
        <w:pStyle w:val="TableTitle"/>
      </w:pPr>
      <w:proofErr w:type="gramStart"/>
      <w:r w:rsidRPr="001F6307">
        <w:lastRenderedPageBreak/>
        <w:t>Table 9: Clinical studies included in the dossier.</w:t>
      </w:r>
      <w:proofErr w:type="gramEnd"/>
    </w:p>
    <w:p w:rsidR="001F6307" w:rsidRPr="001F6307" w:rsidRDefault="001F6307" w:rsidP="000F5A84">
      <w:r>
        <w:rPr>
          <w:noProof/>
          <w:lang w:eastAsia="en-AU"/>
        </w:rPr>
        <w:drawing>
          <wp:inline distT="0" distB="0" distL="0" distR="0" wp14:anchorId="78069468" wp14:editId="2F785FD4">
            <wp:extent cx="5000625" cy="2762250"/>
            <wp:effectExtent l="0" t="0" r="9525" b="0"/>
            <wp:docPr id="47" name="Picture 47" descr="Table 9: Clinical studies included in the dossier."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Table 9: Clinical studies included in the dossi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0625" cy="2762250"/>
                    </a:xfrm>
                    <a:prstGeom prst="rect">
                      <a:avLst/>
                    </a:prstGeom>
                    <a:noFill/>
                    <a:ln>
                      <a:noFill/>
                    </a:ln>
                  </pic:spPr>
                </pic:pic>
              </a:graphicData>
            </a:graphic>
          </wp:inline>
        </w:drawing>
      </w:r>
    </w:p>
    <w:p w:rsidR="001F6307" w:rsidRPr="001F6307" w:rsidRDefault="001F6307" w:rsidP="000F5A84">
      <w:pPr>
        <w:pStyle w:val="TableDescription"/>
      </w:pPr>
      <w:r w:rsidRPr="001F6307">
        <w:t>* 2 subjects in each arm did not receive the study treatment (1 protocol violation and 3 withdrawals of consent)</w:t>
      </w:r>
    </w:p>
    <w:p w:rsidR="001F6307" w:rsidRPr="001F6307" w:rsidRDefault="001F6307" w:rsidP="00DC73D0">
      <w:pPr>
        <w:pStyle w:val="Heading5"/>
      </w:pPr>
      <w:r w:rsidRPr="00DC73D0">
        <w:t>PK</w:t>
      </w:r>
    </w:p>
    <w:p w:rsidR="001F6307" w:rsidRPr="001F6307" w:rsidRDefault="001F6307" w:rsidP="000F5A84">
      <w:r w:rsidRPr="001F6307">
        <w:t>A population PK model was obtained from four studies of OB use as a single agent, in combination with other chemotherapy, in subjects with CLL and NHL.</w:t>
      </w:r>
    </w:p>
    <w:p w:rsidR="001F6307" w:rsidRPr="001F6307" w:rsidRDefault="001F6307" w:rsidP="00DC73D0">
      <w:r w:rsidRPr="001F6307">
        <w:t>A two-compartment model with one linear and one time-dependent clearance component is described, which is consistent with other monoclonal antibody preparations. The initial clearance estimate was 2.85 times higher than that at steady state, supporting the need to minimise the time varying clearance component using the proposed treatment regimen.</w:t>
      </w:r>
    </w:p>
    <w:p w:rsidR="001F6307" w:rsidRPr="001F6307" w:rsidRDefault="001F6307" w:rsidP="00DC73D0">
      <w:pPr>
        <w:pStyle w:val="Heading6"/>
      </w:pPr>
      <w:r w:rsidRPr="00DC73D0">
        <w:t>ADME</w:t>
      </w:r>
    </w:p>
    <w:p w:rsidR="001F6307" w:rsidRPr="001F6307" w:rsidRDefault="001F6307" w:rsidP="00DC73D0">
      <w:r w:rsidRPr="001F6307">
        <w:rPr>
          <w:b/>
        </w:rPr>
        <w:t>Absorption:</w:t>
      </w:r>
      <w:r w:rsidRPr="001F6307">
        <w:t xml:space="preserve"> As a formulation for intravenous infusion, it is presumed to be 100% bioavailable.</w:t>
      </w:r>
    </w:p>
    <w:p w:rsidR="001F6307" w:rsidRPr="001F6307" w:rsidRDefault="001F6307" w:rsidP="000F5A84">
      <w:r w:rsidRPr="001F6307">
        <w:rPr>
          <w:b/>
        </w:rPr>
        <w:t>Distribution:</w:t>
      </w:r>
      <w:r w:rsidRPr="001F6307">
        <w:t xml:space="preserve"> From the two-compartment population PK model, the following parameters were estimated as shown in Table 10.</w:t>
      </w:r>
    </w:p>
    <w:p w:rsidR="001F6307" w:rsidRPr="001F6307" w:rsidRDefault="001F6307" w:rsidP="000F5A84">
      <w:pPr>
        <w:pStyle w:val="TableTitle"/>
      </w:pPr>
      <w:proofErr w:type="gramStart"/>
      <w:r w:rsidRPr="001F6307">
        <w:t>Table 10: Distribution parameters.</w:t>
      </w:r>
      <w:proofErr w:type="gramEnd"/>
    </w:p>
    <w:p w:rsidR="001F6307" w:rsidRPr="001F6307" w:rsidRDefault="001F6307" w:rsidP="00391254">
      <w:r>
        <w:rPr>
          <w:noProof/>
          <w:lang w:eastAsia="en-AU"/>
        </w:rPr>
        <w:drawing>
          <wp:inline distT="0" distB="0" distL="0" distR="0" wp14:anchorId="38012035" wp14:editId="1E3D6314">
            <wp:extent cx="4714875" cy="1095375"/>
            <wp:effectExtent l="0" t="0" r="9525" b="9525"/>
            <wp:docPr id="46" name="Picture 46" descr="Table 10: Distribution parameters."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Table 10: Distribution parameter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1095375"/>
                    </a:xfrm>
                    <a:prstGeom prst="rect">
                      <a:avLst/>
                    </a:prstGeom>
                    <a:noFill/>
                    <a:ln>
                      <a:noFill/>
                    </a:ln>
                  </pic:spPr>
                </pic:pic>
              </a:graphicData>
            </a:graphic>
          </wp:inline>
        </w:drawing>
      </w:r>
    </w:p>
    <w:p w:rsidR="001F6307" w:rsidRPr="001F6307" w:rsidRDefault="001F6307" w:rsidP="00DC73D0">
      <w:pPr>
        <w:pStyle w:val="Heading6"/>
      </w:pPr>
      <w:r w:rsidRPr="001F6307">
        <w:t>Metabolism</w:t>
      </w:r>
    </w:p>
    <w:p w:rsidR="001F6307" w:rsidRPr="001F6307" w:rsidRDefault="001F6307" w:rsidP="00DC73D0">
      <w:r w:rsidRPr="001F6307">
        <w:t>In PK modelling:</w:t>
      </w:r>
    </w:p>
    <w:p w:rsidR="001F6307" w:rsidRPr="001F6307" w:rsidRDefault="001F6307" w:rsidP="00DC73D0">
      <w:pPr>
        <w:pStyle w:val="ListBullet"/>
      </w:pPr>
      <w:r w:rsidRPr="001F6307">
        <w:t xml:space="preserve">There was no influence of baseline B cell count on PK </w:t>
      </w:r>
    </w:p>
    <w:p w:rsidR="001F6307" w:rsidRPr="001F6307" w:rsidRDefault="001F6307" w:rsidP="00DC73D0">
      <w:pPr>
        <w:pStyle w:val="ListBullet"/>
      </w:pPr>
      <w:r w:rsidRPr="001F6307">
        <w:t>PK of OB was independent of age and renal function</w:t>
      </w:r>
    </w:p>
    <w:p w:rsidR="001F6307" w:rsidRPr="001F6307" w:rsidRDefault="001F6307" w:rsidP="00DC73D0">
      <w:pPr>
        <w:pStyle w:val="ListBullet"/>
      </w:pPr>
      <w:r w:rsidRPr="001F6307">
        <w:t>The PK profile of the nine patients in the pivotal study that developed HAHAs was similar to the PK of the other patients during treatment.</w:t>
      </w:r>
    </w:p>
    <w:p w:rsidR="001F6307" w:rsidRPr="001F6307" w:rsidRDefault="001F6307" w:rsidP="00DC73D0">
      <w:r w:rsidRPr="001F6307">
        <w:lastRenderedPageBreak/>
        <w:t>Differences in PK parameter results for gender, body weight, and tumour type were deemed to be not clinically relevant for dosing in CLL patients.</w:t>
      </w:r>
    </w:p>
    <w:p w:rsidR="001F6307" w:rsidRPr="001F6307" w:rsidRDefault="001F6307" w:rsidP="00DC73D0">
      <w:r w:rsidRPr="001F6307">
        <w:rPr>
          <w:b/>
        </w:rPr>
        <w:t>Excretion:</w:t>
      </w:r>
      <w:r w:rsidRPr="001F6307">
        <w:t xml:space="preserve"> Given the large molecular weight of OB (150 </w:t>
      </w:r>
      <w:proofErr w:type="spellStart"/>
      <w:r w:rsidRPr="001F6307">
        <w:t>kDa</w:t>
      </w:r>
      <w:proofErr w:type="spellEnd"/>
      <w:r w:rsidRPr="001F6307">
        <w:t>), it is not expected to be eliminated through renal excretion.</w:t>
      </w:r>
    </w:p>
    <w:p w:rsidR="001F6307" w:rsidRPr="001F6307" w:rsidRDefault="001F6307" w:rsidP="00DC73D0">
      <w:pPr>
        <w:pStyle w:val="Heading6"/>
      </w:pPr>
      <w:r w:rsidRPr="001F6307">
        <w:t>Special populations</w:t>
      </w:r>
    </w:p>
    <w:p w:rsidR="001F6307" w:rsidRPr="001F6307" w:rsidRDefault="001F6307" w:rsidP="00DC73D0">
      <w:r w:rsidRPr="001F6307">
        <w:rPr>
          <w:b/>
        </w:rPr>
        <w:t>Renal impairment:</w:t>
      </w:r>
      <w:r w:rsidRPr="001F6307">
        <w:t xml:space="preserve"> No formal testing of the effect of renal impairment was performed. An assessment of the effect of reduced creatinine clearance (70 mL/min to 30mL/min) in the population PK model demonstrated no effect of this degree of renal impairment on OB PK. </w:t>
      </w:r>
    </w:p>
    <w:p w:rsidR="001F6307" w:rsidRPr="001F6307" w:rsidRDefault="001F6307" w:rsidP="00DC73D0">
      <w:r w:rsidRPr="001F6307">
        <w:rPr>
          <w:b/>
        </w:rPr>
        <w:t>Hepatic impairment:</w:t>
      </w:r>
      <w:r w:rsidRPr="001F6307">
        <w:t xml:space="preserve"> No formal testing of the effect of hepatic impairment was conducted.</w:t>
      </w:r>
    </w:p>
    <w:p w:rsidR="001F6307" w:rsidRPr="001F6307" w:rsidRDefault="001F6307" w:rsidP="00DC73D0">
      <w:r w:rsidRPr="001F6307">
        <w:rPr>
          <w:b/>
        </w:rPr>
        <w:t>Drug-drug interactions:</w:t>
      </w:r>
      <w:r w:rsidRPr="001F6307">
        <w:t xml:space="preserve"> No formal drug-drug interaction studies were performed. </w:t>
      </w:r>
    </w:p>
    <w:p w:rsidR="001F6307" w:rsidRPr="001F6307" w:rsidRDefault="001F6307" w:rsidP="00DC73D0">
      <w:pPr>
        <w:pStyle w:val="Heading5"/>
      </w:pPr>
      <w:r w:rsidRPr="001F6307">
        <w:t>Efficacy: pivotal Study B021004</w:t>
      </w:r>
    </w:p>
    <w:p w:rsidR="001F6307" w:rsidRPr="001F6307" w:rsidRDefault="001F6307" w:rsidP="00DC73D0">
      <w:r w:rsidRPr="001F6307">
        <w:t xml:space="preserve">This was Phase III open label, multicentre, three arm, </w:t>
      </w:r>
      <w:proofErr w:type="gramStart"/>
      <w:r w:rsidRPr="001F6307">
        <w:t>randomised</w:t>
      </w:r>
      <w:proofErr w:type="gramEnd"/>
      <w:r w:rsidRPr="001F6307">
        <w:t xml:space="preserve"> trial in previously untreated CLL patients.</w:t>
      </w:r>
    </w:p>
    <w:p w:rsidR="001F6307" w:rsidRPr="001F6307" w:rsidRDefault="001F6307" w:rsidP="00DC73D0">
      <w:r w:rsidRPr="001F6307">
        <w:t xml:space="preserve">This study was divided into two stages with the objective of demonstrating a benefit of the addition to </w:t>
      </w:r>
      <w:proofErr w:type="spellStart"/>
      <w:r w:rsidRPr="001F6307">
        <w:t>Gazyva</w:t>
      </w:r>
      <w:proofErr w:type="spellEnd"/>
      <w:r w:rsidRPr="001F6307">
        <w:t xml:space="preserve"> to existing therapeutic options for patients unable to receive </w:t>
      </w:r>
      <w:proofErr w:type="spellStart"/>
      <w:r w:rsidRPr="001F6307">
        <w:t>fludarabine</w:t>
      </w:r>
      <w:proofErr w:type="spellEnd"/>
      <w:r w:rsidRPr="001F6307">
        <w:t xml:space="preserve"> based regimens due to a significant co-morbidity burden and/or impaired renal function:</w:t>
      </w:r>
    </w:p>
    <w:tbl>
      <w:tblPr>
        <w:tblStyle w:val="TableTGAblue"/>
        <w:tblW w:w="0" w:type="auto"/>
        <w:tblLook w:val="0480" w:firstRow="0" w:lastRow="0" w:firstColumn="1" w:lastColumn="0" w:noHBand="0" w:noVBand="1"/>
      </w:tblPr>
      <w:tblGrid>
        <w:gridCol w:w="1384"/>
        <w:gridCol w:w="7336"/>
      </w:tblGrid>
      <w:tr w:rsidR="001F6307" w:rsidRPr="001F6307" w:rsidTr="00DC73D0">
        <w:tc>
          <w:tcPr>
            <w:tcW w:w="1384" w:type="dxa"/>
          </w:tcPr>
          <w:p w:rsidR="001F6307" w:rsidRPr="001F6307" w:rsidRDefault="001F6307" w:rsidP="00DC73D0">
            <w:r w:rsidRPr="001F6307">
              <w:t>Stage 1a</w:t>
            </w:r>
          </w:p>
        </w:tc>
        <w:tc>
          <w:tcPr>
            <w:tcW w:w="7336" w:type="dxa"/>
          </w:tcPr>
          <w:p w:rsidR="001F6307" w:rsidRPr="001F6307" w:rsidRDefault="001F6307" w:rsidP="00DC73D0">
            <w:r w:rsidRPr="001F6307">
              <w:t xml:space="preserve">A comparison of </w:t>
            </w:r>
            <w:proofErr w:type="spellStart"/>
            <w:r w:rsidRPr="001F6307">
              <w:t>Gazyva</w:t>
            </w:r>
            <w:proofErr w:type="spellEnd"/>
            <w:r w:rsidRPr="001F6307">
              <w:t xml:space="preserve"> plus </w:t>
            </w:r>
            <w:proofErr w:type="spellStart"/>
            <w:r w:rsidRPr="001F6307">
              <w:t>chlorambucil</w:t>
            </w:r>
            <w:proofErr w:type="spellEnd"/>
            <w:r w:rsidRPr="001F6307">
              <w:t xml:space="preserve"> (</w:t>
            </w:r>
            <w:proofErr w:type="spellStart"/>
            <w:r w:rsidRPr="001F6307">
              <w:t>GClb</w:t>
            </w:r>
            <w:proofErr w:type="spellEnd"/>
            <w:r w:rsidRPr="001F6307">
              <w:t xml:space="preserve">) versus </w:t>
            </w:r>
            <w:proofErr w:type="spellStart"/>
            <w:r w:rsidRPr="001F6307">
              <w:t>chlorambucil</w:t>
            </w:r>
            <w:proofErr w:type="spellEnd"/>
            <w:r w:rsidRPr="001F6307">
              <w:t xml:space="preserve"> (</w:t>
            </w:r>
            <w:proofErr w:type="spellStart"/>
            <w:r w:rsidRPr="001F6307">
              <w:t>Clb</w:t>
            </w:r>
            <w:proofErr w:type="spellEnd"/>
            <w:r w:rsidRPr="001F6307">
              <w:t>) alone</w:t>
            </w:r>
          </w:p>
        </w:tc>
      </w:tr>
      <w:tr w:rsidR="001F6307" w:rsidRPr="001F6307" w:rsidTr="00DC73D0">
        <w:tc>
          <w:tcPr>
            <w:tcW w:w="1384" w:type="dxa"/>
          </w:tcPr>
          <w:p w:rsidR="001F6307" w:rsidRPr="001F6307" w:rsidRDefault="001F6307" w:rsidP="00DC73D0">
            <w:r w:rsidRPr="001F6307">
              <w:t>Stage 1b</w:t>
            </w:r>
          </w:p>
        </w:tc>
        <w:tc>
          <w:tcPr>
            <w:tcW w:w="7336" w:type="dxa"/>
          </w:tcPr>
          <w:p w:rsidR="001F6307" w:rsidRPr="001F6307" w:rsidRDefault="001F6307" w:rsidP="00DC73D0">
            <w:r w:rsidRPr="001F6307">
              <w:t xml:space="preserve">A comparison of rituximab plus </w:t>
            </w:r>
            <w:proofErr w:type="spellStart"/>
            <w:r w:rsidRPr="001F6307">
              <w:t>chlorambucil</w:t>
            </w:r>
            <w:proofErr w:type="spellEnd"/>
            <w:r w:rsidRPr="001F6307">
              <w:t xml:space="preserve"> (</w:t>
            </w:r>
            <w:proofErr w:type="spellStart"/>
            <w:r w:rsidRPr="001F6307">
              <w:t>RClb</w:t>
            </w:r>
            <w:proofErr w:type="spellEnd"/>
            <w:r w:rsidRPr="001F6307">
              <w:t xml:space="preserve">) versus </w:t>
            </w:r>
            <w:proofErr w:type="spellStart"/>
            <w:r w:rsidRPr="001F6307">
              <w:t>chlorambucil</w:t>
            </w:r>
            <w:proofErr w:type="spellEnd"/>
            <w:r w:rsidRPr="001F6307">
              <w:t xml:space="preserve"> (</w:t>
            </w:r>
            <w:proofErr w:type="spellStart"/>
            <w:r w:rsidRPr="001F6307">
              <w:t>Clb</w:t>
            </w:r>
            <w:proofErr w:type="spellEnd"/>
            <w:r w:rsidRPr="001F6307">
              <w:t>) alone</w:t>
            </w:r>
          </w:p>
        </w:tc>
      </w:tr>
      <w:tr w:rsidR="001F6307" w:rsidRPr="001F6307" w:rsidTr="00DC73D0">
        <w:tc>
          <w:tcPr>
            <w:tcW w:w="1384" w:type="dxa"/>
          </w:tcPr>
          <w:p w:rsidR="001F6307" w:rsidRPr="001F6307" w:rsidRDefault="001F6307" w:rsidP="00DC73D0">
            <w:r w:rsidRPr="001F6307">
              <w:t>Stage 2</w:t>
            </w:r>
          </w:p>
        </w:tc>
        <w:tc>
          <w:tcPr>
            <w:tcW w:w="7336" w:type="dxa"/>
          </w:tcPr>
          <w:p w:rsidR="001F6307" w:rsidRPr="001F6307" w:rsidRDefault="001F6307" w:rsidP="00DC73D0">
            <w:r w:rsidRPr="001F6307">
              <w:t xml:space="preserve">A comparison of </w:t>
            </w:r>
            <w:proofErr w:type="spellStart"/>
            <w:r w:rsidRPr="001F6307">
              <w:t>RClb</w:t>
            </w:r>
            <w:proofErr w:type="spellEnd"/>
            <w:r w:rsidRPr="001F6307">
              <w:t xml:space="preserve"> versus </w:t>
            </w:r>
            <w:proofErr w:type="spellStart"/>
            <w:r w:rsidRPr="001F6307">
              <w:t>GClb</w:t>
            </w:r>
            <w:proofErr w:type="spellEnd"/>
            <w:r w:rsidRPr="001F6307">
              <w:t xml:space="preserve"> </w:t>
            </w:r>
          </w:p>
        </w:tc>
      </w:tr>
    </w:tbl>
    <w:p w:rsidR="001F6307" w:rsidRPr="001F6307" w:rsidRDefault="001F6307" w:rsidP="00DC73D0">
      <w:r w:rsidRPr="001F6307">
        <w:t xml:space="preserve">Clinical efficacy data for the proposed indication was only obtained from the pivotal study, which randomised subjects in a 2:2:1 ratio to: </w:t>
      </w:r>
      <w:proofErr w:type="spellStart"/>
      <w:r w:rsidRPr="001F6307">
        <w:t>GClb</w:t>
      </w:r>
      <w:proofErr w:type="spellEnd"/>
      <w:r w:rsidRPr="001F6307">
        <w:t xml:space="preserve">, </w:t>
      </w:r>
      <w:proofErr w:type="spellStart"/>
      <w:r w:rsidRPr="001F6307">
        <w:t>RClb</w:t>
      </w:r>
      <w:proofErr w:type="spellEnd"/>
      <w:r w:rsidRPr="001F6307">
        <w:t xml:space="preserve"> and </w:t>
      </w:r>
      <w:proofErr w:type="spellStart"/>
      <w:r w:rsidRPr="001F6307">
        <w:t>Clb</w:t>
      </w:r>
      <w:proofErr w:type="spellEnd"/>
      <w:r w:rsidRPr="001F6307">
        <w:t xml:space="preserve"> alone, respectively. </w:t>
      </w:r>
    </w:p>
    <w:p w:rsidR="001F6307" w:rsidRPr="001F6307" w:rsidRDefault="001F6307" w:rsidP="00DC73D0">
      <w:r w:rsidRPr="001F6307">
        <w:t xml:space="preserve">The primary outcome of Stage 1a and 2 was PFS. Secondary efficacy responses assessed were: end of treatment response, molecular response (minimum residual disease negative incidence), OS, and event free survival (EFS). Efficacy assessments were according to NCI/International Workshop on CLL guidelines. In patients achieving a CR or </w:t>
      </w:r>
      <w:proofErr w:type="spellStart"/>
      <w:r w:rsidRPr="001F6307">
        <w:t>cytopaenic</w:t>
      </w:r>
      <w:proofErr w:type="spellEnd"/>
      <w:r w:rsidRPr="001F6307">
        <w:t xml:space="preserve"> CR, a bone marrow aspirate and biopsy was obtained.</w:t>
      </w:r>
    </w:p>
    <w:p w:rsidR="001F6307" w:rsidRPr="001F6307" w:rsidRDefault="001F6307" w:rsidP="00DC73D0">
      <w:pPr>
        <w:pStyle w:val="Heading6"/>
      </w:pPr>
      <w:r w:rsidRPr="001F6307">
        <w:t>Patient population</w:t>
      </w:r>
    </w:p>
    <w:p w:rsidR="001F6307" w:rsidRPr="001F6307" w:rsidRDefault="001F6307" w:rsidP="00DC73D0">
      <w:r w:rsidRPr="001F6307">
        <w:t>Subjects were included if they had CD20+ B cell CLL which was previously untreated (according to NCI criteria), with CIRS score &gt;6 (Table 11) and/or creatinine clearance &lt;70 ml/minute. Subjects were excluded if: they had previous CLL therapy, CIRS of 4 in an individual organ, creatinine clearance &lt;30 ml/min, liver function of CTCAE grade 3 or above or positive hepatitis B serology (notably due to a risk of reactivation in studies of the alternate anti CD20 therapy rituximab).</w:t>
      </w:r>
    </w:p>
    <w:p w:rsidR="001F6307" w:rsidRPr="001F6307" w:rsidRDefault="001F6307" w:rsidP="00DC73D0">
      <w:pPr>
        <w:pStyle w:val="TableTitle"/>
      </w:pPr>
      <w:r w:rsidRPr="001F6307">
        <w:lastRenderedPageBreak/>
        <w:t>Table 11: Modified Cumulative Illness Rating Scale (CIRS).</w:t>
      </w:r>
    </w:p>
    <w:p w:rsidR="001F6307" w:rsidRPr="001F6307" w:rsidRDefault="001F6307" w:rsidP="00DC73D0">
      <w:r>
        <w:rPr>
          <w:noProof/>
          <w:lang w:eastAsia="en-AU"/>
        </w:rPr>
        <w:drawing>
          <wp:inline distT="0" distB="0" distL="0" distR="0" wp14:anchorId="340EB73B" wp14:editId="3398186B">
            <wp:extent cx="5391150" cy="2200275"/>
            <wp:effectExtent l="0" t="0" r="0" b="9525"/>
            <wp:docPr id="45" name="Picture 45" descr="Table 11: Modified Cumulative Illness Rating Scale (CIRS)."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able 11: Modified Cumulative Illness Rating Scale (CI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1150" cy="2200275"/>
                    </a:xfrm>
                    <a:prstGeom prst="rect">
                      <a:avLst/>
                    </a:prstGeom>
                    <a:noFill/>
                    <a:ln>
                      <a:noFill/>
                    </a:ln>
                  </pic:spPr>
                </pic:pic>
              </a:graphicData>
            </a:graphic>
          </wp:inline>
        </w:drawing>
      </w:r>
    </w:p>
    <w:p w:rsidR="001F6307" w:rsidRPr="001F6307" w:rsidRDefault="001F6307" w:rsidP="00DC73D0">
      <w:r w:rsidRPr="001F6307">
        <w:t>The distribution of CIRS and creatinine clearance for patients &lt;65 years of age was balanced between study arms in Stage 1a (CIRS score reported is additional to the component score for CLL itself) (Table 12).</w:t>
      </w:r>
    </w:p>
    <w:p w:rsidR="001F6307" w:rsidRPr="001F6307" w:rsidRDefault="001F6307" w:rsidP="00DC73D0">
      <w:pPr>
        <w:pStyle w:val="TableTitle"/>
      </w:pPr>
      <w:proofErr w:type="gramStart"/>
      <w:r w:rsidRPr="001F6307">
        <w:t>Table 12: Distribution of CIRS and creatinine clearance.</w:t>
      </w:r>
      <w:proofErr w:type="gramEnd"/>
    </w:p>
    <w:p w:rsidR="001F6307" w:rsidRPr="001F6307" w:rsidRDefault="001F6307" w:rsidP="00DC73D0">
      <w:r>
        <w:rPr>
          <w:noProof/>
          <w:lang w:eastAsia="en-AU"/>
        </w:rPr>
        <w:drawing>
          <wp:inline distT="0" distB="0" distL="0" distR="0" wp14:anchorId="6CED8D5F" wp14:editId="705560CE">
            <wp:extent cx="5400675" cy="838200"/>
            <wp:effectExtent l="0" t="0" r="9525" b="0"/>
            <wp:docPr id="44" name="Picture 44" descr="Table 12: Distribution of CIRS and creatinine clearance."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Table 12: Distribution of CIRS and creatinine cleara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675" cy="838200"/>
                    </a:xfrm>
                    <a:prstGeom prst="rect">
                      <a:avLst/>
                    </a:prstGeom>
                    <a:noFill/>
                    <a:ln>
                      <a:noFill/>
                    </a:ln>
                  </pic:spPr>
                </pic:pic>
              </a:graphicData>
            </a:graphic>
          </wp:inline>
        </w:drawing>
      </w:r>
    </w:p>
    <w:p w:rsidR="001F6307" w:rsidRPr="001F6307" w:rsidRDefault="001F6307" w:rsidP="00DC73D0">
      <w:pPr>
        <w:pStyle w:val="Heading6"/>
      </w:pPr>
      <w:r w:rsidRPr="001F6307">
        <w:t>Dosage selection</w:t>
      </w:r>
    </w:p>
    <w:p w:rsidR="001F6307" w:rsidRPr="001F6307" w:rsidRDefault="001F6307" w:rsidP="00DC73D0">
      <w:r w:rsidRPr="001F6307">
        <w:t xml:space="preserve">Results of the population PK study demonstrated the need for multiple </w:t>
      </w:r>
      <w:proofErr w:type="spellStart"/>
      <w:r w:rsidRPr="001F6307">
        <w:t>Gazyva</w:t>
      </w:r>
      <w:proofErr w:type="spellEnd"/>
      <w:r w:rsidRPr="001F6307">
        <w:t xml:space="preserve"> dosing in the first 28 day cycle with one dose in subsequent cycles to overcome the effect of the time dependent portion of clearance.</w:t>
      </w:r>
    </w:p>
    <w:p w:rsidR="001F6307" w:rsidRPr="001F6307" w:rsidRDefault="001F6307" w:rsidP="00DC73D0">
      <w:r w:rsidRPr="001F6307">
        <w:t>All subjects were followed up at 28 days after last dose of study drug and three monthly thereafter until 3 years from last treatment.</w:t>
      </w:r>
    </w:p>
    <w:p w:rsidR="001F6307" w:rsidRPr="001F6307" w:rsidRDefault="001F6307" w:rsidP="00DC73D0">
      <w:r w:rsidRPr="001F6307">
        <w:t xml:space="preserve">A total of 22 subjects in the </w:t>
      </w:r>
      <w:proofErr w:type="spellStart"/>
      <w:r w:rsidRPr="001F6307">
        <w:t>Clb</w:t>
      </w:r>
      <w:proofErr w:type="spellEnd"/>
      <w:r w:rsidRPr="001F6307">
        <w:t xml:space="preserve"> arm crossed over to the </w:t>
      </w:r>
      <w:proofErr w:type="spellStart"/>
      <w:r w:rsidRPr="001F6307">
        <w:t>Gazyva</w:t>
      </w:r>
      <w:proofErr w:type="spellEnd"/>
      <w:r w:rsidRPr="001F6307">
        <w:t xml:space="preserve"> + </w:t>
      </w:r>
      <w:proofErr w:type="spellStart"/>
      <w:r w:rsidRPr="001F6307">
        <w:t>Clb</w:t>
      </w:r>
      <w:proofErr w:type="spellEnd"/>
      <w:r w:rsidRPr="001F6307">
        <w:t xml:space="preserve"> arm following disease progression occurring during, or within 6 months of ceasing, </w:t>
      </w:r>
      <w:proofErr w:type="spellStart"/>
      <w:r w:rsidRPr="001F6307">
        <w:t>Clb</w:t>
      </w:r>
      <w:proofErr w:type="spellEnd"/>
      <w:r w:rsidRPr="001F6307">
        <w:t xml:space="preserve"> treatment.</w:t>
      </w:r>
    </w:p>
    <w:p w:rsidR="001F6307" w:rsidRPr="001F6307" w:rsidRDefault="001F6307" w:rsidP="00DC73D0">
      <w:pPr>
        <w:pStyle w:val="Heading6"/>
      </w:pPr>
      <w:r w:rsidRPr="001F6307">
        <w:t>Primary efficacy results for Stage 1a</w:t>
      </w:r>
    </w:p>
    <w:p w:rsidR="001F6307" w:rsidRPr="001F6307" w:rsidRDefault="001F6307" w:rsidP="00DC73D0">
      <w:r w:rsidRPr="001F6307">
        <w:t>The primary efficacy outcome was met for this stage.</w:t>
      </w:r>
    </w:p>
    <w:p w:rsidR="001F6307" w:rsidRPr="001F6307" w:rsidRDefault="001F6307" w:rsidP="00DC73D0">
      <w:r w:rsidRPr="001F6307">
        <w:t xml:space="preserve">For the Stage 1a analysis, a data cut-off date of 11 July 2012 was used. By this date, the required number of PFS events for the Stage 1a analysis had been achieved and 250 randomised patients had been observed for at least 12 months and the enrolment of the </w:t>
      </w:r>
      <w:proofErr w:type="spellStart"/>
      <w:r w:rsidRPr="001F6307">
        <w:t>Clb</w:t>
      </w:r>
      <w:proofErr w:type="spellEnd"/>
      <w:r w:rsidRPr="001F6307">
        <w:t xml:space="preserve"> arm was complete.</w:t>
      </w:r>
    </w:p>
    <w:p w:rsidR="001F6307" w:rsidRPr="001F6307" w:rsidRDefault="001F6307" w:rsidP="00DC73D0">
      <w:pPr>
        <w:pStyle w:val="Heading6"/>
      </w:pPr>
      <w:r w:rsidRPr="001F6307">
        <w:t>Primary efficacy results for Stage 2</w:t>
      </w:r>
    </w:p>
    <w:p w:rsidR="001F6307" w:rsidRPr="001F6307" w:rsidRDefault="001F6307" w:rsidP="00DC73D0">
      <w:r w:rsidRPr="001F6307">
        <w:t>The primary efficacy outcome was met for this stage.</w:t>
      </w:r>
    </w:p>
    <w:p w:rsidR="001F6307" w:rsidRPr="001F6307" w:rsidRDefault="001F6307" w:rsidP="00DC73D0">
      <w:r w:rsidRPr="001F6307">
        <w:t xml:space="preserve">At the data cut-off of 9 May 2013, 300 PFS events had occurred and the Data and Safety Monitoring Board (DSMB) recommended to un-blind the study at the primary end-point for this stage had been met. </w:t>
      </w:r>
    </w:p>
    <w:p w:rsidR="001F6307" w:rsidRPr="001F6307" w:rsidRDefault="001F6307" w:rsidP="00DC73D0">
      <w:r w:rsidRPr="001F6307">
        <w:t xml:space="preserve">The observation time was similar for each treatment arm 18.6 months (IQR 12.8, 25.6) for </w:t>
      </w:r>
      <w:proofErr w:type="spellStart"/>
      <w:r w:rsidRPr="001F6307">
        <w:t>RClb</w:t>
      </w:r>
      <w:proofErr w:type="spellEnd"/>
      <w:r w:rsidRPr="001F6307">
        <w:t xml:space="preserve"> and 18.8 months (IQR 12.8, 26.0) for </w:t>
      </w:r>
      <w:proofErr w:type="spellStart"/>
      <w:r w:rsidRPr="001F6307">
        <w:t>GClb</w:t>
      </w:r>
      <w:proofErr w:type="spellEnd"/>
      <w:r w:rsidRPr="001F6307">
        <w:t xml:space="preserve">. Disease progression leading to study withdrawal occurred more commonly in the </w:t>
      </w:r>
      <w:proofErr w:type="spellStart"/>
      <w:r w:rsidRPr="001F6307">
        <w:t>RClb</w:t>
      </w:r>
      <w:proofErr w:type="spellEnd"/>
      <w:r w:rsidRPr="001F6307">
        <w:t xml:space="preserve"> arm: 94 patients (28%) as compared the </w:t>
      </w:r>
      <w:proofErr w:type="spellStart"/>
      <w:r w:rsidRPr="001F6307">
        <w:t>GClb</w:t>
      </w:r>
      <w:proofErr w:type="spellEnd"/>
      <w:r w:rsidRPr="001F6307">
        <w:t xml:space="preserve"> arm (43 patients [13%]). A greater proportion of patients in the </w:t>
      </w:r>
      <w:proofErr w:type="spellStart"/>
      <w:r w:rsidRPr="001F6307">
        <w:t>GClb</w:t>
      </w:r>
      <w:proofErr w:type="spellEnd"/>
      <w:r w:rsidRPr="001F6307">
        <w:t xml:space="preserve"> arm required dose delays for 4 to 7 days (</w:t>
      </w:r>
      <w:proofErr w:type="spellStart"/>
      <w:r w:rsidRPr="001F6307">
        <w:t>RClb</w:t>
      </w:r>
      <w:proofErr w:type="spellEnd"/>
      <w:r w:rsidRPr="001F6307">
        <w:t xml:space="preserve">: 20% and </w:t>
      </w:r>
      <w:proofErr w:type="spellStart"/>
      <w:r w:rsidRPr="001F6307">
        <w:t>GClb</w:t>
      </w:r>
      <w:proofErr w:type="spellEnd"/>
      <w:r w:rsidRPr="001F6307">
        <w:t>: 28%), 8 to 14 days (</w:t>
      </w:r>
      <w:proofErr w:type="spellStart"/>
      <w:r w:rsidRPr="001F6307">
        <w:t>RClb</w:t>
      </w:r>
      <w:proofErr w:type="spellEnd"/>
      <w:r w:rsidRPr="001F6307">
        <w:t xml:space="preserve">: 16% and </w:t>
      </w:r>
      <w:proofErr w:type="spellStart"/>
      <w:r w:rsidRPr="001F6307">
        <w:t>GClb</w:t>
      </w:r>
      <w:proofErr w:type="spellEnd"/>
      <w:r w:rsidRPr="001F6307">
        <w:t xml:space="preserve">: </w:t>
      </w:r>
      <w:r w:rsidRPr="001F6307">
        <w:lastRenderedPageBreak/>
        <w:t>18%) and more than 14 days (</w:t>
      </w:r>
      <w:proofErr w:type="spellStart"/>
      <w:r w:rsidRPr="001F6307">
        <w:t>RClb</w:t>
      </w:r>
      <w:proofErr w:type="spellEnd"/>
      <w:r w:rsidRPr="001F6307">
        <w:t xml:space="preserve">: 8% and </w:t>
      </w:r>
      <w:proofErr w:type="spellStart"/>
      <w:r w:rsidRPr="001F6307">
        <w:t>GClb</w:t>
      </w:r>
      <w:proofErr w:type="spellEnd"/>
      <w:r w:rsidRPr="001F6307">
        <w:t xml:space="preserve">: 12%). Additionally, a greater proportion of patients in the </w:t>
      </w:r>
      <w:proofErr w:type="spellStart"/>
      <w:r w:rsidRPr="001F6307">
        <w:t>GClb</w:t>
      </w:r>
      <w:proofErr w:type="spellEnd"/>
      <w:r w:rsidRPr="001F6307">
        <w:t xml:space="preserve"> arm required </w:t>
      </w:r>
      <w:proofErr w:type="gramStart"/>
      <w:r w:rsidRPr="001F6307">
        <w:t>slowing,</w:t>
      </w:r>
      <w:proofErr w:type="gramEnd"/>
      <w:r w:rsidRPr="001F6307">
        <w:t xml:space="preserve"> or interruption of the first infusion (15% and 49%, respectively) as compared to those in the </w:t>
      </w:r>
      <w:proofErr w:type="spellStart"/>
      <w:r w:rsidRPr="001F6307">
        <w:t>RClb</w:t>
      </w:r>
      <w:proofErr w:type="spellEnd"/>
      <w:r w:rsidRPr="001F6307">
        <w:t xml:space="preserve"> arm (5% and 22%, respectively). Beyond Cycle 3, dose modifications were uncommon in both treatment arms (≤2%) (Table 13 and Figures 3-4).</w:t>
      </w:r>
    </w:p>
    <w:p w:rsidR="001F6307" w:rsidRPr="001F6307" w:rsidRDefault="001F6307" w:rsidP="00DC73D0">
      <w:pPr>
        <w:pStyle w:val="TableTitle"/>
      </w:pPr>
      <w:proofErr w:type="gramStart"/>
      <w:r w:rsidRPr="001F6307">
        <w:t>Table 13: Primary outcome - PFS.</w:t>
      </w:r>
      <w:proofErr w:type="gramEnd"/>
    </w:p>
    <w:p w:rsidR="001F6307" w:rsidRPr="001F6307" w:rsidRDefault="001F6307" w:rsidP="00DC73D0">
      <w:r>
        <w:rPr>
          <w:noProof/>
          <w:lang w:eastAsia="en-AU"/>
        </w:rPr>
        <w:drawing>
          <wp:inline distT="0" distB="0" distL="0" distR="0" wp14:anchorId="166FC33D" wp14:editId="58A1AD23">
            <wp:extent cx="5391150" cy="2238375"/>
            <wp:effectExtent l="0" t="0" r="0" b="9525"/>
            <wp:docPr id="43" name="Picture 43" descr="Table 13: Primary outcome - PFS."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Table 13: Primary outcome - PF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2238375"/>
                    </a:xfrm>
                    <a:prstGeom prst="rect">
                      <a:avLst/>
                    </a:prstGeom>
                    <a:noFill/>
                    <a:ln>
                      <a:noFill/>
                    </a:ln>
                  </pic:spPr>
                </pic:pic>
              </a:graphicData>
            </a:graphic>
          </wp:inline>
        </w:drawing>
      </w:r>
    </w:p>
    <w:p w:rsidR="001F6307" w:rsidRPr="001F6307" w:rsidRDefault="001F6307" w:rsidP="00DC73D0">
      <w:pPr>
        <w:pStyle w:val="TableDescription"/>
        <w:rPr>
          <w:lang w:val="en-US"/>
        </w:rPr>
      </w:pPr>
      <w:r w:rsidRPr="001F6307">
        <w:rPr>
          <w:lang w:val="en-US"/>
        </w:rPr>
        <w:t xml:space="preserve">† stratified by </w:t>
      </w:r>
      <w:proofErr w:type="spellStart"/>
      <w:r w:rsidRPr="001F6307">
        <w:rPr>
          <w:lang w:val="en-US"/>
        </w:rPr>
        <w:t>Binet</w:t>
      </w:r>
      <w:proofErr w:type="spellEnd"/>
      <w:r w:rsidRPr="001F6307">
        <w:rPr>
          <w:lang w:val="en-US"/>
        </w:rPr>
        <w:t xml:space="preserve"> stage at baseline</w:t>
      </w:r>
    </w:p>
    <w:p w:rsidR="001F6307" w:rsidRPr="001F6307" w:rsidRDefault="001F6307" w:rsidP="00DC73D0">
      <w:pPr>
        <w:pStyle w:val="FigureTitle"/>
      </w:pPr>
      <w:r w:rsidRPr="001F6307">
        <w:t>Figure 3: Stage 1a - Kaplan Meier plot of PFS (IRC assessment) cut-off 9 May 2013.</w:t>
      </w:r>
    </w:p>
    <w:p w:rsidR="001F6307" w:rsidRPr="001F6307" w:rsidRDefault="001F6307" w:rsidP="00DC73D0">
      <w:r>
        <w:rPr>
          <w:noProof/>
          <w:lang w:eastAsia="en-AU"/>
        </w:rPr>
        <w:drawing>
          <wp:inline distT="0" distB="0" distL="0" distR="0" wp14:anchorId="4D7BF779" wp14:editId="27D1BC0B">
            <wp:extent cx="4410075" cy="3286125"/>
            <wp:effectExtent l="0" t="0" r="9525" b="9525"/>
            <wp:docPr id="42" name="Picture 42" descr="Figure 3: Stage 1a - Kaplan Meier plot of PFS (IRC assessment) cut-off 9 May 2013."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Figure 3: Stage 1a - Kaplan Meier plot of PFS (IRC assessment) cut-off 9 May 20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3286125"/>
                    </a:xfrm>
                    <a:prstGeom prst="rect">
                      <a:avLst/>
                    </a:prstGeom>
                    <a:noFill/>
                    <a:ln>
                      <a:noFill/>
                    </a:ln>
                  </pic:spPr>
                </pic:pic>
              </a:graphicData>
            </a:graphic>
          </wp:inline>
        </w:drawing>
      </w:r>
    </w:p>
    <w:p w:rsidR="001F6307" w:rsidRPr="001F6307" w:rsidRDefault="001F6307" w:rsidP="00DC73D0">
      <w:pPr>
        <w:pStyle w:val="FigureTitle"/>
      </w:pPr>
      <w:r w:rsidRPr="001F6307">
        <w:lastRenderedPageBreak/>
        <w:t>Figure 4: Stage 2 - Kaplan Meier plot of PFS (IRC assessment) cut-off 9 May 2013.</w:t>
      </w:r>
    </w:p>
    <w:p w:rsidR="001F6307" w:rsidRPr="001F6307" w:rsidRDefault="001F6307" w:rsidP="00DC73D0">
      <w:r>
        <w:rPr>
          <w:noProof/>
          <w:lang w:eastAsia="en-AU"/>
        </w:rPr>
        <w:drawing>
          <wp:inline distT="0" distB="0" distL="0" distR="0" wp14:anchorId="3427B8BB" wp14:editId="72E6A364">
            <wp:extent cx="4371975" cy="3505200"/>
            <wp:effectExtent l="0" t="0" r="9525" b="0"/>
            <wp:docPr id="41" name="Picture 41" descr="Figure 4: Stage 2 - Kaplan Meier plot of PFS (IRC assessment) cut-off 9 May 2013."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Figure 4: Stage 2 - Kaplan Meier plot of PFS (IRC assessment) cut-off 9 May 20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71975" cy="3505200"/>
                    </a:xfrm>
                    <a:prstGeom prst="rect">
                      <a:avLst/>
                    </a:prstGeom>
                    <a:noFill/>
                    <a:ln>
                      <a:noFill/>
                    </a:ln>
                  </pic:spPr>
                </pic:pic>
              </a:graphicData>
            </a:graphic>
          </wp:inline>
        </w:drawing>
      </w:r>
    </w:p>
    <w:p w:rsidR="001F6307" w:rsidRPr="001F6307" w:rsidRDefault="001F6307" w:rsidP="00DC73D0">
      <w:pPr>
        <w:pStyle w:val="Heading6"/>
      </w:pPr>
      <w:r w:rsidRPr="001F6307">
        <w:t xml:space="preserve">Secondary efficacy outcomes </w:t>
      </w:r>
    </w:p>
    <w:p w:rsidR="001F6307" w:rsidRPr="001F6307" w:rsidRDefault="001F6307" w:rsidP="00DC73D0">
      <w:pPr>
        <w:pStyle w:val="Heading7"/>
      </w:pPr>
      <w:r w:rsidRPr="001F6307">
        <w:t>Overall survival</w:t>
      </w:r>
    </w:p>
    <w:p w:rsidR="001F6307" w:rsidRPr="001F6307" w:rsidRDefault="001F6307" w:rsidP="00DC73D0">
      <w:r w:rsidRPr="001F6307">
        <w:t>OS at the data cut-off date 9 May 2013 is shown in Table 14.</w:t>
      </w:r>
    </w:p>
    <w:p w:rsidR="001F6307" w:rsidRPr="001F6307" w:rsidRDefault="001F6307" w:rsidP="00DC73D0">
      <w:pPr>
        <w:pStyle w:val="TableTitle"/>
      </w:pPr>
      <w:r w:rsidRPr="001F6307">
        <w:t>Table 14: OS at the data cut-off date 9 May 2013.</w:t>
      </w:r>
    </w:p>
    <w:p w:rsidR="001F6307" w:rsidRPr="001F6307" w:rsidRDefault="001F6307" w:rsidP="00DC73D0">
      <w:r>
        <w:rPr>
          <w:noProof/>
          <w:lang w:eastAsia="en-AU"/>
        </w:rPr>
        <w:drawing>
          <wp:inline distT="0" distB="0" distL="0" distR="0" wp14:anchorId="15171BC8" wp14:editId="32918313">
            <wp:extent cx="5391150" cy="1200150"/>
            <wp:effectExtent l="0" t="0" r="0" b="0"/>
            <wp:docPr id="40" name="Picture 40" descr="Table 14: OS at the data cut-off date 9 May 2013." title="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able 14: OS at the data cut-off date 9 May 20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1150" cy="1200150"/>
                    </a:xfrm>
                    <a:prstGeom prst="rect">
                      <a:avLst/>
                    </a:prstGeom>
                    <a:noFill/>
                    <a:ln>
                      <a:noFill/>
                    </a:ln>
                  </pic:spPr>
                </pic:pic>
              </a:graphicData>
            </a:graphic>
          </wp:inline>
        </w:drawing>
      </w:r>
    </w:p>
    <w:p w:rsidR="001F6307" w:rsidRPr="001F6307" w:rsidRDefault="001F6307" w:rsidP="00DC73D0">
      <w:pPr>
        <w:pStyle w:val="TableDescription"/>
        <w:rPr>
          <w:lang w:val="en-US"/>
        </w:rPr>
      </w:pPr>
      <w:r w:rsidRPr="001F6307">
        <w:rPr>
          <w:lang w:val="en-US"/>
        </w:rPr>
        <w:t xml:space="preserve">*NR – Not reached, † stratified by </w:t>
      </w:r>
      <w:proofErr w:type="spellStart"/>
      <w:r w:rsidRPr="001F6307">
        <w:rPr>
          <w:lang w:val="en-US"/>
        </w:rPr>
        <w:t>Binet</w:t>
      </w:r>
      <w:proofErr w:type="spellEnd"/>
      <w:r w:rsidRPr="001F6307">
        <w:rPr>
          <w:lang w:val="en-US"/>
        </w:rPr>
        <w:t xml:space="preserve"> stage at baseline</w:t>
      </w:r>
    </w:p>
    <w:p w:rsidR="001F6307" w:rsidRPr="001F6307" w:rsidRDefault="001F6307" w:rsidP="00DC73D0">
      <w:r w:rsidRPr="001F6307">
        <w:t xml:space="preserve">In both </w:t>
      </w:r>
      <w:proofErr w:type="gramStart"/>
      <w:r w:rsidRPr="001F6307">
        <w:t>Stage</w:t>
      </w:r>
      <w:proofErr w:type="gramEnd"/>
      <w:r w:rsidRPr="001F6307">
        <w:t xml:space="preserve"> 1a and 2, the number of deaths was not sufficient to calculate the median survival estimate.</w:t>
      </w:r>
    </w:p>
    <w:p w:rsidR="001F6307" w:rsidRPr="001F6307" w:rsidRDefault="001F6307" w:rsidP="00DC73D0">
      <w:pPr>
        <w:pStyle w:val="Heading6"/>
        <w:rPr>
          <w:rFonts w:eastAsia="Calibri"/>
        </w:rPr>
      </w:pPr>
      <w:r w:rsidRPr="001F6307">
        <w:rPr>
          <w:rFonts w:eastAsia="Calibri"/>
        </w:rPr>
        <w:t>EFS – Stage 1a</w:t>
      </w:r>
    </w:p>
    <w:p w:rsidR="001F6307" w:rsidRPr="001F6307" w:rsidRDefault="001F6307" w:rsidP="00DC73D0">
      <w:r w:rsidRPr="001F6307">
        <w:t xml:space="preserve">In the </w:t>
      </w:r>
      <w:proofErr w:type="spellStart"/>
      <w:r w:rsidRPr="001F6307">
        <w:t>Clb</w:t>
      </w:r>
      <w:proofErr w:type="spellEnd"/>
      <w:r w:rsidRPr="001F6307">
        <w:t xml:space="preserve"> arm, 103 patients (87.3%) had experienced an EFS event (PD, death or start of new </w:t>
      </w:r>
      <w:proofErr w:type="spellStart"/>
      <w:r w:rsidRPr="001F6307">
        <w:t>anti leukemic</w:t>
      </w:r>
      <w:proofErr w:type="spellEnd"/>
      <w:r w:rsidRPr="001F6307">
        <w:t xml:space="preserve"> treatment) compared with 104/238 patients (43.7%) in the </w:t>
      </w:r>
      <w:proofErr w:type="spellStart"/>
      <w:r w:rsidRPr="001F6307">
        <w:t>GClb</w:t>
      </w:r>
      <w:proofErr w:type="spellEnd"/>
      <w:r w:rsidRPr="001F6307">
        <w:t xml:space="preserve"> arm. The investigator assessed risk of an EFS event was significantly lower in the </w:t>
      </w:r>
      <w:proofErr w:type="spellStart"/>
      <w:r w:rsidRPr="001F6307">
        <w:t>GClb</w:t>
      </w:r>
      <w:proofErr w:type="spellEnd"/>
      <w:r w:rsidRPr="001F6307">
        <w:t xml:space="preserve"> arm compared with the </w:t>
      </w:r>
      <w:proofErr w:type="spellStart"/>
      <w:r w:rsidRPr="001F6307">
        <w:t>Clb</w:t>
      </w:r>
      <w:proofErr w:type="spellEnd"/>
      <w:r w:rsidRPr="001F6307">
        <w:t xml:space="preserve"> arm HR: 0.19 (95% CI: 0.14, 0.25) p value &lt; 0.0001, log-rank test. The median EFS was 26.1 months in the </w:t>
      </w:r>
      <w:proofErr w:type="spellStart"/>
      <w:r w:rsidRPr="001F6307">
        <w:t>GClb</w:t>
      </w:r>
      <w:proofErr w:type="spellEnd"/>
      <w:r w:rsidRPr="001F6307">
        <w:t xml:space="preserve"> arm compared with 10.8 months in the </w:t>
      </w:r>
      <w:proofErr w:type="spellStart"/>
      <w:r w:rsidRPr="001F6307">
        <w:t>Clb</w:t>
      </w:r>
      <w:proofErr w:type="spellEnd"/>
      <w:r w:rsidRPr="001F6307">
        <w:t xml:space="preserve"> arm.</w:t>
      </w:r>
    </w:p>
    <w:p w:rsidR="001F6307" w:rsidRPr="001F6307" w:rsidRDefault="001F6307" w:rsidP="00DC73D0">
      <w:pPr>
        <w:pStyle w:val="Heading6"/>
        <w:rPr>
          <w:rFonts w:eastAsia="Calibri"/>
        </w:rPr>
      </w:pPr>
      <w:r w:rsidRPr="001F6307">
        <w:rPr>
          <w:rFonts w:eastAsia="Calibri"/>
        </w:rPr>
        <w:t>Duration of response – Stage 1a</w:t>
      </w:r>
    </w:p>
    <w:p w:rsidR="001F6307" w:rsidRPr="001F6307" w:rsidRDefault="001F6307" w:rsidP="00DC73D0">
      <w:r w:rsidRPr="001F6307">
        <w:t>Duration of response was assessed in patients who had a response (</w:t>
      </w:r>
      <w:proofErr w:type="spellStart"/>
      <w:r w:rsidRPr="001F6307">
        <w:t>nPR</w:t>
      </w:r>
      <w:proofErr w:type="spellEnd"/>
      <w:r w:rsidRPr="001F6307">
        <w:t xml:space="preserve">, PR, </w:t>
      </w:r>
      <w:proofErr w:type="spellStart"/>
      <w:r w:rsidRPr="001F6307">
        <w:t>CRi</w:t>
      </w:r>
      <w:proofErr w:type="spellEnd"/>
      <w:r w:rsidRPr="001F6307">
        <w:t xml:space="preserve">, CR) at any time from 56 days after end of treatment onwards, and included 36/118 patients in the </w:t>
      </w:r>
      <w:proofErr w:type="spellStart"/>
      <w:r w:rsidRPr="001F6307">
        <w:t>Clb</w:t>
      </w:r>
      <w:proofErr w:type="spellEnd"/>
      <w:r w:rsidRPr="001F6307">
        <w:t xml:space="preserve"> arm and 165/238 patients in the </w:t>
      </w:r>
      <w:proofErr w:type="spellStart"/>
      <w:r w:rsidRPr="001F6307">
        <w:t>GClb</w:t>
      </w:r>
      <w:proofErr w:type="spellEnd"/>
      <w:r w:rsidRPr="001F6307">
        <w:t xml:space="preserve"> arm (stratified HR 0.10 [95% CI: 0.05, </w:t>
      </w:r>
      <w:r w:rsidRPr="001F6307">
        <w:lastRenderedPageBreak/>
        <w:t xml:space="preserve">0.20]). The median DOR was longer in the </w:t>
      </w:r>
      <w:proofErr w:type="spellStart"/>
      <w:r w:rsidRPr="001F6307">
        <w:t>GClb</w:t>
      </w:r>
      <w:proofErr w:type="spellEnd"/>
      <w:r w:rsidRPr="001F6307">
        <w:t xml:space="preserve"> arm (15.2 months) compared with the </w:t>
      </w:r>
      <w:proofErr w:type="spellStart"/>
      <w:r w:rsidRPr="001F6307">
        <w:t>Clb</w:t>
      </w:r>
      <w:proofErr w:type="spellEnd"/>
      <w:r w:rsidRPr="001F6307">
        <w:t xml:space="preserve"> arm (3.5 months) (Table 15).</w:t>
      </w:r>
    </w:p>
    <w:p w:rsidR="001F6307" w:rsidRPr="001F6307" w:rsidRDefault="001F6307" w:rsidP="00DC73D0">
      <w:pPr>
        <w:pStyle w:val="TableTitle"/>
      </w:pPr>
      <w:proofErr w:type="gramStart"/>
      <w:r w:rsidRPr="001F6307">
        <w:t>Table 15: Stage 2 end-of-treatment response.</w:t>
      </w:r>
      <w:proofErr w:type="gramEnd"/>
    </w:p>
    <w:p w:rsidR="001F6307" w:rsidRPr="001F6307" w:rsidRDefault="001F6307" w:rsidP="00DC73D0">
      <w:r>
        <w:rPr>
          <w:noProof/>
          <w:lang w:eastAsia="en-AU"/>
        </w:rPr>
        <w:drawing>
          <wp:inline distT="0" distB="0" distL="0" distR="0" wp14:anchorId="135E4B51" wp14:editId="237C2CFB">
            <wp:extent cx="5400675" cy="1247775"/>
            <wp:effectExtent l="0" t="0" r="9525" b="9525"/>
            <wp:docPr id="39" name="Picture 39" descr="Table 15: Stage 2 end-of-treatment response." title="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Table 15: Stage 2 end-of-treatment respons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rsidR="001F6307" w:rsidRPr="001F6307" w:rsidRDefault="001F6307" w:rsidP="00DC73D0">
      <w:pPr>
        <w:pStyle w:val="Heading6"/>
      </w:pPr>
      <w:r w:rsidRPr="001F6307">
        <w:t>Molecular remission at the end of treatment</w:t>
      </w:r>
    </w:p>
    <w:p w:rsidR="001F6307" w:rsidRPr="001F6307" w:rsidRDefault="001F6307" w:rsidP="00DC73D0">
      <w:r w:rsidRPr="001F6307">
        <w:t xml:space="preserve">MRD status was considered negative if result was less than 1 CLL cell in 10,000 leukocytes (MRD value &lt; 0.0001) based on the method of allele specific polymerase chain reaction (ASO-PCR). Of evaluable patients, a greater proportion of </w:t>
      </w:r>
      <w:proofErr w:type="spellStart"/>
      <w:r w:rsidRPr="001F6307">
        <w:t>GClb</w:t>
      </w:r>
      <w:proofErr w:type="spellEnd"/>
      <w:r w:rsidRPr="001F6307">
        <w:t xml:space="preserve"> subjects achieved MRD negativity as compared the </w:t>
      </w:r>
      <w:proofErr w:type="spellStart"/>
      <w:r w:rsidRPr="001F6307">
        <w:t>RClb</w:t>
      </w:r>
      <w:proofErr w:type="spellEnd"/>
      <w:r w:rsidRPr="001F6307">
        <w:t xml:space="preserve"> arm, whereas none in the </w:t>
      </w:r>
      <w:proofErr w:type="spellStart"/>
      <w:r w:rsidRPr="001F6307">
        <w:t>Clb</w:t>
      </w:r>
      <w:proofErr w:type="spellEnd"/>
      <w:r w:rsidRPr="001F6307">
        <w:t xml:space="preserve"> arm achieved MRD negative status (Table 16).</w:t>
      </w:r>
    </w:p>
    <w:p w:rsidR="001F6307" w:rsidRPr="001F6307" w:rsidRDefault="001F6307" w:rsidP="00DC73D0">
      <w:pPr>
        <w:pStyle w:val="TableTitle"/>
      </w:pPr>
      <w:proofErr w:type="gramStart"/>
      <w:r w:rsidRPr="001F6307">
        <w:t>Table 16: Proportion of subjects achieving MRD negativity or positivity.</w:t>
      </w:r>
      <w:proofErr w:type="gramEnd"/>
    </w:p>
    <w:p w:rsidR="001F6307" w:rsidRPr="001F6307" w:rsidRDefault="001F6307" w:rsidP="00DC73D0">
      <w:r>
        <w:rPr>
          <w:noProof/>
          <w:lang w:eastAsia="en-AU"/>
        </w:rPr>
        <w:drawing>
          <wp:inline distT="0" distB="0" distL="0" distR="0" wp14:anchorId="6DD668C1" wp14:editId="557DB091">
            <wp:extent cx="5400675" cy="1085850"/>
            <wp:effectExtent l="0" t="0" r="9525" b="0"/>
            <wp:docPr id="38" name="Picture 38" descr="Table 16: Proportion of subjects achieving MRD negativity or positivity." title="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Table 16: Proportion of subjects achieving MRD negativity or positiv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085850"/>
                    </a:xfrm>
                    <a:prstGeom prst="rect">
                      <a:avLst/>
                    </a:prstGeom>
                    <a:noFill/>
                    <a:ln>
                      <a:noFill/>
                    </a:ln>
                  </pic:spPr>
                </pic:pic>
              </a:graphicData>
            </a:graphic>
          </wp:inline>
        </w:drawing>
      </w:r>
    </w:p>
    <w:p w:rsidR="001F6307" w:rsidRPr="001F6307" w:rsidRDefault="001F6307" w:rsidP="00DC73D0">
      <w:pPr>
        <w:pStyle w:val="Heading5"/>
      </w:pPr>
      <w:r w:rsidRPr="001F6307">
        <w:t>Efficacy: supportive Studies BO20999 and BO21003</w:t>
      </w:r>
    </w:p>
    <w:p w:rsidR="001F6307" w:rsidRPr="001F6307" w:rsidRDefault="001F6307" w:rsidP="00DC73D0">
      <w:r w:rsidRPr="001F6307">
        <w:t>Efficacy data from these two studies was not included in the Summary of Clinical Efficacy since they only enrolled patients with relapsed/refractory CLL or NHL. Furthermore, each study employed a different treatment regimen to BO21004.</w:t>
      </w:r>
    </w:p>
    <w:p w:rsidR="001F6307" w:rsidRPr="001F6307" w:rsidRDefault="001F6307" w:rsidP="00DC73D0">
      <w:pPr>
        <w:pStyle w:val="Heading5"/>
      </w:pPr>
      <w:r w:rsidRPr="001F6307">
        <w:t>Safety</w:t>
      </w:r>
    </w:p>
    <w:p w:rsidR="001F6307" w:rsidRPr="001F6307" w:rsidRDefault="001F6307" w:rsidP="00DC73D0">
      <w:pPr>
        <w:pStyle w:val="Heading6"/>
      </w:pPr>
      <w:r w:rsidRPr="001F6307">
        <w:t>Safety in studies of patients with CLL</w:t>
      </w:r>
    </w:p>
    <w:p w:rsidR="001F6307" w:rsidRPr="001F6307" w:rsidRDefault="001F6307" w:rsidP="00DC73D0">
      <w:r w:rsidRPr="001F6307">
        <w:t xml:space="preserve">Safety data was reported for any subject that had at least one dose of </w:t>
      </w:r>
      <w:proofErr w:type="spellStart"/>
      <w:r w:rsidRPr="001F6307">
        <w:t>Gazyva</w:t>
      </w:r>
      <w:proofErr w:type="spellEnd"/>
      <w:r w:rsidRPr="001F6307">
        <w:t xml:space="preserve"> in any of the clinical trials described in the overview of data, that is, not just those patients treated with </w:t>
      </w:r>
      <w:proofErr w:type="spellStart"/>
      <w:r w:rsidRPr="001F6307">
        <w:t>Gazyva</w:t>
      </w:r>
      <w:proofErr w:type="spellEnd"/>
      <w:r w:rsidRPr="001F6307">
        <w:t xml:space="preserve"> for the proposed indication. </w:t>
      </w:r>
    </w:p>
    <w:p w:rsidR="001F6307" w:rsidRPr="001F6307" w:rsidRDefault="001F6307" w:rsidP="00DC73D0">
      <w:r w:rsidRPr="001F6307">
        <w:t>Safety data was reported for a total of 648 subjects across four trials (Table 17).</w:t>
      </w:r>
    </w:p>
    <w:p w:rsidR="001F6307" w:rsidRPr="001F6307" w:rsidRDefault="001F6307" w:rsidP="00DC73D0">
      <w:pPr>
        <w:pStyle w:val="TableTitle"/>
      </w:pPr>
      <w:r w:rsidRPr="001F6307">
        <w:t>Table 17: Safety data - number of subjects.</w:t>
      </w:r>
    </w:p>
    <w:p w:rsidR="001F6307" w:rsidRPr="001F6307" w:rsidRDefault="001F6307" w:rsidP="00DC73D0">
      <w:r>
        <w:rPr>
          <w:noProof/>
          <w:lang w:eastAsia="en-AU"/>
        </w:rPr>
        <w:drawing>
          <wp:inline distT="0" distB="0" distL="0" distR="0" wp14:anchorId="51EB9FA3" wp14:editId="57581ECF">
            <wp:extent cx="5400675" cy="1552575"/>
            <wp:effectExtent l="0" t="0" r="9525" b="9525"/>
            <wp:docPr id="37" name="Picture 37" descr="Table 17: Safety data - number of subjects." title="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Table 17: Safety data - number of subjec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1552575"/>
                    </a:xfrm>
                    <a:prstGeom prst="rect">
                      <a:avLst/>
                    </a:prstGeom>
                    <a:noFill/>
                    <a:ln>
                      <a:noFill/>
                    </a:ln>
                  </pic:spPr>
                </pic:pic>
              </a:graphicData>
            </a:graphic>
          </wp:inline>
        </w:drawing>
      </w:r>
    </w:p>
    <w:p w:rsidR="001F6307" w:rsidRPr="001F6307" w:rsidRDefault="001F6307" w:rsidP="00DC73D0">
      <w:pPr>
        <w:pStyle w:val="Heading6"/>
      </w:pPr>
      <w:r w:rsidRPr="00DC73D0">
        <w:lastRenderedPageBreak/>
        <w:t>Exposure</w:t>
      </w:r>
    </w:p>
    <w:p w:rsidR="001F6307" w:rsidRPr="001F6307" w:rsidRDefault="001F6307" w:rsidP="00DC73D0">
      <w:r w:rsidRPr="001F6307">
        <w:t>Exposure to OB was similar in the studies: the median number of infusions was 8 in the pivotal study, 9 in Studies BO20999 and BO21003, and 10 in BO21000. Cumulative median doses were also of a similar magnitude in each of the studies.</w:t>
      </w:r>
    </w:p>
    <w:p w:rsidR="001F6307" w:rsidRPr="001F6307" w:rsidRDefault="001F6307" w:rsidP="00DC73D0">
      <w:pPr>
        <w:pStyle w:val="Heading6"/>
      </w:pPr>
      <w:r w:rsidRPr="001F6307">
        <w:t>General safety overview</w:t>
      </w:r>
    </w:p>
    <w:p w:rsidR="001F6307" w:rsidRPr="001F6307" w:rsidRDefault="001F6307" w:rsidP="00DC73D0">
      <w:r w:rsidRPr="001F6307">
        <w:t xml:space="preserve">The Stage 1a analysis demonstrated a higher proportion experiencing AEs in the </w:t>
      </w:r>
      <w:proofErr w:type="spellStart"/>
      <w:r w:rsidRPr="001F6307">
        <w:t>GClb</w:t>
      </w:r>
      <w:proofErr w:type="spellEnd"/>
      <w:r w:rsidRPr="001F6307">
        <w:t xml:space="preserve"> arm with the excess predominately due to infusion related reactions. The incidence of death and fatal AEs was lower in the </w:t>
      </w:r>
      <w:proofErr w:type="spellStart"/>
      <w:r w:rsidRPr="001F6307">
        <w:t>GClb</w:t>
      </w:r>
      <w:proofErr w:type="spellEnd"/>
      <w:r w:rsidRPr="001F6307">
        <w:t xml:space="preserve"> arm (9% and 5%, respectively) as compared the </w:t>
      </w:r>
      <w:proofErr w:type="spellStart"/>
      <w:r w:rsidRPr="001F6307">
        <w:t>Clb</w:t>
      </w:r>
      <w:proofErr w:type="spellEnd"/>
      <w:r w:rsidRPr="001F6307">
        <w:t xml:space="preserve"> arm (21% and 9%, respectively) (Table 18).</w:t>
      </w:r>
    </w:p>
    <w:p w:rsidR="001F6307" w:rsidRPr="001F6307" w:rsidRDefault="001F6307" w:rsidP="00DC73D0">
      <w:pPr>
        <w:pStyle w:val="TableTitle"/>
      </w:pPr>
      <w:proofErr w:type="gramStart"/>
      <w:r w:rsidRPr="001F6307">
        <w:t>Table 18: Patients experiencing AEs - Stage 1a analysis.</w:t>
      </w:r>
      <w:proofErr w:type="gramEnd"/>
    </w:p>
    <w:p w:rsidR="001F6307" w:rsidRPr="001F6307" w:rsidRDefault="001F6307" w:rsidP="00DC73D0">
      <w:r>
        <w:rPr>
          <w:noProof/>
          <w:lang w:eastAsia="en-AU"/>
        </w:rPr>
        <w:drawing>
          <wp:inline distT="0" distB="0" distL="0" distR="0" wp14:anchorId="6AA2C8EF" wp14:editId="02035B95">
            <wp:extent cx="5391150" cy="2105025"/>
            <wp:effectExtent l="0" t="0" r="0" b="9525"/>
            <wp:docPr id="36" name="Picture 36" descr="Table 18: Patients experiencing AEs - Stage 1a analysis." title="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Table 18: Patients experiencing AEs - Stage 1a analysi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2105025"/>
                    </a:xfrm>
                    <a:prstGeom prst="rect">
                      <a:avLst/>
                    </a:prstGeom>
                    <a:noFill/>
                    <a:ln>
                      <a:noFill/>
                    </a:ln>
                  </pic:spPr>
                </pic:pic>
              </a:graphicData>
            </a:graphic>
          </wp:inline>
        </w:drawing>
      </w:r>
    </w:p>
    <w:p w:rsidR="001F6307" w:rsidRPr="001F6307" w:rsidRDefault="001F6307" w:rsidP="00DC73D0">
      <w:r w:rsidRPr="001F6307">
        <w:t xml:space="preserve">The Stage 2 analysis demonstrated a higher proportion of the </w:t>
      </w:r>
      <w:proofErr w:type="spellStart"/>
      <w:r w:rsidRPr="001F6307">
        <w:t>GClb</w:t>
      </w:r>
      <w:proofErr w:type="spellEnd"/>
      <w:r w:rsidRPr="001F6307">
        <w:t xml:space="preserve"> arm experiencing: all grade AEs, grade 3-5 AEs, serious AEs and AEs leading to withdrawal from study medication. The proportion of deaths was smaller in the </w:t>
      </w:r>
      <w:proofErr w:type="spellStart"/>
      <w:r w:rsidRPr="001F6307">
        <w:t>GClb</w:t>
      </w:r>
      <w:proofErr w:type="spellEnd"/>
      <w:r w:rsidRPr="001F6307">
        <w:t xml:space="preserve"> arm (8%) versus </w:t>
      </w:r>
      <w:proofErr w:type="spellStart"/>
      <w:r w:rsidRPr="001F6307">
        <w:t>RClb</w:t>
      </w:r>
      <w:proofErr w:type="spellEnd"/>
      <w:r w:rsidRPr="001F6307">
        <w:t xml:space="preserve"> (12%) </w:t>
      </w:r>
      <w:proofErr w:type="gramStart"/>
      <w:r w:rsidRPr="001F6307">
        <w:t>(Table 19).</w:t>
      </w:r>
      <w:proofErr w:type="gramEnd"/>
    </w:p>
    <w:p w:rsidR="001F6307" w:rsidRPr="001F6307" w:rsidRDefault="001F6307" w:rsidP="00DC73D0">
      <w:pPr>
        <w:pStyle w:val="TableTitle"/>
      </w:pPr>
      <w:proofErr w:type="gramStart"/>
      <w:r w:rsidRPr="001F6307">
        <w:t>Table 19: Patients experiencing AEs - Stage 2 analysis.</w:t>
      </w:r>
      <w:proofErr w:type="gramEnd"/>
    </w:p>
    <w:p w:rsidR="001F6307" w:rsidRPr="001F6307" w:rsidRDefault="001F6307" w:rsidP="00DC73D0">
      <w:r>
        <w:rPr>
          <w:noProof/>
          <w:lang w:eastAsia="en-AU"/>
        </w:rPr>
        <w:drawing>
          <wp:inline distT="0" distB="0" distL="0" distR="0" wp14:anchorId="55DD260A" wp14:editId="20092F58">
            <wp:extent cx="5391150" cy="2095500"/>
            <wp:effectExtent l="0" t="0" r="0" b="0"/>
            <wp:docPr id="35" name="Picture 35" descr="Table 19: Patients experiencing AEs - Stage 2 analysis." title="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Table 19: Patients experiencing AEs - Stage 2 analys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1150" cy="2095500"/>
                    </a:xfrm>
                    <a:prstGeom prst="rect">
                      <a:avLst/>
                    </a:prstGeom>
                    <a:noFill/>
                    <a:ln>
                      <a:noFill/>
                    </a:ln>
                  </pic:spPr>
                </pic:pic>
              </a:graphicData>
            </a:graphic>
          </wp:inline>
        </w:drawing>
      </w:r>
    </w:p>
    <w:p w:rsidR="001F6307" w:rsidRPr="001F6307" w:rsidRDefault="001F6307" w:rsidP="00DC73D0">
      <w:pPr>
        <w:pStyle w:val="Heading6"/>
      </w:pPr>
      <w:r w:rsidRPr="001F6307">
        <w:t>Deaths</w:t>
      </w:r>
    </w:p>
    <w:p w:rsidR="001F6307" w:rsidRPr="001F6307" w:rsidRDefault="001F6307" w:rsidP="00DC73D0">
      <w:r w:rsidRPr="001F6307">
        <w:t xml:space="preserve">In Stage 1a, 24/116 patients (21%) in the </w:t>
      </w:r>
      <w:proofErr w:type="spellStart"/>
      <w:r w:rsidRPr="001F6307">
        <w:t>Clb</w:t>
      </w:r>
      <w:proofErr w:type="spellEnd"/>
      <w:r w:rsidRPr="001F6307">
        <w:t xml:space="preserve"> arm and 22/241 patients (9%) in the </w:t>
      </w:r>
      <w:proofErr w:type="spellStart"/>
      <w:r w:rsidRPr="001F6307">
        <w:t>GClb</w:t>
      </w:r>
      <w:proofErr w:type="spellEnd"/>
      <w:r w:rsidRPr="001F6307">
        <w:t xml:space="preserve"> arm had died until the data cut off of 9 May 2013. AEs leading to death in the </w:t>
      </w:r>
      <w:proofErr w:type="spellStart"/>
      <w:r w:rsidRPr="001F6307">
        <w:t>GClb</w:t>
      </w:r>
      <w:proofErr w:type="spellEnd"/>
      <w:r w:rsidRPr="001F6307">
        <w:t xml:space="preserve"> arm all occurred in &lt;1% of the safety population per category, as compared to the </w:t>
      </w:r>
      <w:proofErr w:type="spellStart"/>
      <w:r w:rsidRPr="001F6307">
        <w:t>Clb</w:t>
      </w:r>
      <w:proofErr w:type="spellEnd"/>
      <w:r w:rsidRPr="001F6307">
        <w:t xml:space="preserve"> arm where 5% were due to infections and infestations and 2% due to nervous system disorders (cerebrovascular accident).</w:t>
      </w:r>
    </w:p>
    <w:p w:rsidR="001F6307" w:rsidRPr="001F6307" w:rsidRDefault="001F6307" w:rsidP="001F6307">
      <w:r w:rsidRPr="001F6307">
        <w:lastRenderedPageBreak/>
        <w:t xml:space="preserve">In Stage 2, 6% (20/321) of </w:t>
      </w:r>
      <w:proofErr w:type="spellStart"/>
      <w:r w:rsidRPr="001F6307">
        <w:t>RClb</w:t>
      </w:r>
      <w:proofErr w:type="spellEnd"/>
      <w:r w:rsidRPr="001F6307">
        <w:t xml:space="preserve"> arm died and 4% (15/336) of the </w:t>
      </w:r>
      <w:proofErr w:type="spellStart"/>
      <w:r w:rsidRPr="001F6307">
        <w:t>GClb</w:t>
      </w:r>
      <w:proofErr w:type="spellEnd"/>
      <w:r w:rsidRPr="001F6307">
        <w:t xml:space="preserve"> arm died as a result of AEs. The breakdown of AEs leading to death was similar between the </w:t>
      </w:r>
      <w:proofErr w:type="spellStart"/>
      <w:r w:rsidRPr="001F6307">
        <w:t>RClb</w:t>
      </w:r>
      <w:proofErr w:type="spellEnd"/>
      <w:r w:rsidRPr="001F6307">
        <w:t xml:space="preserve"> and </w:t>
      </w:r>
      <w:proofErr w:type="spellStart"/>
      <w:r w:rsidRPr="001F6307">
        <w:t>GClb</w:t>
      </w:r>
      <w:proofErr w:type="spellEnd"/>
      <w:r w:rsidRPr="001F6307">
        <w:t xml:space="preserve"> arms. </w:t>
      </w:r>
    </w:p>
    <w:p w:rsidR="001F6307" w:rsidRPr="001F6307" w:rsidRDefault="001F6307" w:rsidP="00DC73D0">
      <w:pPr>
        <w:pStyle w:val="Heading6"/>
        <w:rPr>
          <w:rFonts w:eastAsia="Calibri"/>
        </w:rPr>
      </w:pPr>
      <w:r w:rsidRPr="001F6307">
        <w:rPr>
          <w:rFonts w:eastAsia="Calibri"/>
        </w:rPr>
        <w:t>AEs of special interest</w:t>
      </w:r>
    </w:p>
    <w:p w:rsidR="001F6307" w:rsidRPr="001F6307" w:rsidRDefault="001F6307" w:rsidP="00DC73D0">
      <w:pPr>
        <w:pStyle w:val="Heading7"/>
      </w:pPr>
      <w:r w:rsidRPr="001F6307">
        <w:t>Infusion related reactions</w:t>
      </w:r>
    </w:p>
    <w:p w:rsidR="001F6307" w:rsidRPr="001F6307" w:rsidRDefault="001F6307" w:rsidP="00DC73D0">
      <w:r w:rsidRPr="001F6307">
        <w:t xml:space="preserve">Measures to mitigate the risk of IRR were implemented during the course of the pivotal trial. Study protocol amendment G (December 2011) recommended the first 1000 mg dose was split: as per the proposed dosage regimen and premedication was mandated prior to each dose. These measures reduced the incidence of IRR; the sponsor has provided supportive evidence in their Round 2 responses demonstrating that the complete abolition of IRR is implausible given the mode of action of </w:t>
      </w:r>
      <w:proofErr w:type="spellStart"/>
      <w:r w:rsidRPr="001F6307">
        <w:t>Gazyva</w:t>
      </w:r>
      <w:proofErr w:type="spellEnd"/>
      <w:r w:rsidRPr="001F6307">
        <w:t xml:space="preserve"> (Table 20).</w:t>
      </w:r>
    </w:p>
    <w:p w:rsidR="001F6307" w:rsidRPr="001F6307" w:rsidRDefault="001F6307" w:rsidP="00DC73D0">
      <w:pPr>
        <w:pStyle w:val="TableTitle"/>
      </w:pPr>
      <w:proofErr w:type="gramStart"/>
      <w:r w:rsidRPr="001F6307">
        <w:t>Table 20: IRR incidence.</w:t>
      </w:r>
      <w:proofErr w:type="gramEnd"/>
    </w:p>
    <w:p w:rsidR="001F6307" w:rsidRPr="001F6307" w:rsidRDefault="001F6307" w:rsidP="00DC73D0">
      <w:r>
        <w:rPr>
          <w:noProof/>
          <w:lang w:eastAsia="en-AU"/>
        </w:rPr>
        <w:drawing>
          <wp:inline distT="0" distB="0" distL="0" distR="0" wp14:anchorId="1B6A080E" wp14:editId="4DC3C6B2">
            <wp:extent cx="5391150" cy="857250"/>
            <wp:effectExtent l="0" t="0" r="0" b="0"/>
            <wp:docPr id="34" name="Picture 34" descr="Table 20: IRR incidence." title="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Table 20: IRR inc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150" cy="857250"/>
                    </a:xfrm>
                    <a:prstGeom prst="rect">
                      <a:avLst/>
                    </a:prstGeom>
                    <a:noFill/>
                    <a:ln>
                      <a:noFill/>
                    </a:ln>
                  </pic:spPr>
                </pic:pic>
              </a:graphicData>
            </a:graphic>
          </wp:inline>
        </w:drawing>
      </w:r>
    </w:p>
    <w:p w:rsidR="001F6307" w:rsidRPr="001F6307" w:rsidRDefault="001F6307" w:rsidP="00DC73D0">
      <w:r w:rsidRPr="001F6307">
        <w:t xml:space="preserve">No grade 5 IRRs were reported at any time and no fatal IRRs occurred. Symptoms of infusion related reactions most commonly occurring were: chills/pyrexia, hypotension (advice to withhold </w:t>
      </w:r>
      <w:proofErr w:type="spellStart"/>
      <w:r w:rsidRPr="001F6307">
        <w:t>anti hypertensive</w:t>
      </w:r>
      <w:proofErr w:type="spellEnd"/>
      <w:r w:rsidRPr="001F6307">
        <w:t xml:space="preserve"> medication on the morning of </w:t>
      </w:r>
      <w:proofErr w:type="spellStart"/>
      <w:r w:rsidRPr="001F6307">
        <w:t>Gazyva</w:t>
      </w:r>
      <w:proofErr w:type="spellEnd"/>
      <w:r w:rsidRPr="001F6307">
        <w:t xml:space="preserve"> administration is in the PI), nausea and vomiting, dyspnoea, rash and pruritus, headache, tachycardia and myalgia.</w:t>
      </w:r>
    </w:p>
    <w:p w:rsidR="001F6307" w:rsidRPr="001F6307" w:rsidRDefault="001F6307" w:rsidP="00DC73D0">
      <w:r w:rsidRPr="001F6307">
        <w:t>The incidence of IRR was similar between subjects pre medicated with prednisolone, methylprednisolone or dexamethasone.</w:t>
      </w:r>
    </w:p>
    <w:p w:rsidR="001F6307" w:rsidRPr="001F6307" w:rsidRDefault="001F6307" w:rsidP="00DC73D0">
      <w:pPr>
        <w:pStyle w:val="Heading6"/>
        <w:rPr>
          <w:rFonts w:eastAsia="Calibri"/>
        </w:rPr>
      </w:pPr>
      <w:r w:rsidRPr="001F6307">
        <w:rPr>
          <w:rFonts w:eastAsia="Calibri"/>
        </w:rPr>
        <w:t xml:space="preserve">Risk of second malignancy within 6 months of </w:t>
      </w:r>
      <w:proofErr w:type="spellStart"/>
      <w:r w:rsidRPr="001F6307">
        <w:rPr>
          <w:rFonts w:eastAsia="Calibri"/>
        </w:rPr>
        <w:t>Gazyva</w:t>
      </w:r>
      <w:proofErr w:type="spellEnd"/>
      <w:r w:rsidRPr="001F6307">
        <w:rPr>
          <w:rFonts w:eastAsia="Calibri"/>
        </w:rPr>
        <w:t xml:space="preserve"> therapy</w:t>
      </w:r>
    </w:p>
    <w:p w:rsidR="001F6307" w:rsidRPr="001F6307" w:rsidRDefault="001F6307" w:rsidP="00DC73D0">
      <w:r w:rsidRPr="001F6307">
        <w:t>The overall observed incidence of second malignancies was not greater than that expected.</w:t>
      </w:r>
    </w:p>
    <w:p w:rsidR="001F6307" w:rsidRPr="001F6307" w:rsidRDefault="001F6307" w:rsidP="001F6307">
      <w:r w:rsidRPr="001F6307">
        <w:t xml:space="preserve">In Stage 1a, 3/30 crossover patients experienced second malignancies: in situ squamous cell carcinoma of skin, lung neoplasm and </w:t>
      </w:r>
      <w:proofErr w:type="spellStart"/>
      <w:r w:rsidRPr="001F6307">
        <w:t>seborrhoiec</w:t>
      </w:r>
      <w:proofErr w:type="spellEnd"/>
      <w:r w:rsidRPr="001F6307">
        <w:t xml:space="preserve"> keratosis.</w:t>
      </w:r>
    </w:p>
    <w:p w:rsidR="001F6307" w:rsidRPr="001F6307" w:rsidRDefault="001F6307" w:rsidP="00DC73D0">
      <w:r w:rsidRPr="001F6307">
        <w:t xml:space="preserve">In Stage 2, squamous cell carcinoma was the most commonly reported malignancy in 3 and 5 individuals in the </w:t>
      </w:r>
      <w:proofErr w:type="spellStart"/>
      <w:r w:rsidRPr="001F6307">
        <w:t>RClb</w:t>
      </w:r>
      <w:proofErr w:type="spellEnd"/>
      <w:r w:rsidRPr="001F6307">
        <w:t xml:space="preserve"> and </w:t>
      </w:r>
      <w:proofErr w:type="spellStart"/>
      <w:r w:rsidRPr="001F6307">
        <w:t>GClb</w:t>
      </w:r>
      <w:proofErr w:type="spellEnd"/>
      <w:r w:rsidRPr="001F6307">
        <w:t xml:space="preserve"> arms, respectively.</w:t>
      </w:r>
    </w:p>
    <w:p w:rsidR="001F6307" w:rsidRPr="001F6307" w:rsidRDefault="001F6307" w:rsidP="00DC73D0">
      <w:pPr>
        <w:pStyle w:val="Heading6"/>
        <w:rPr>
          <w:rFonts w:eastAsia="Calibri"/>
        </w:rPr>
      </w:pPr>
      <w:r w:rsidRPr="001F6307">
        <w:rPr>
          <w:rFonts w:eastAsia="Calibri"/>
        </w:rPr>
        <w:t>Cardiac disorders</w:t>
      </w:r>
    </w:p>
    <w:p w:rsidR="001F6307" w:rsidRPr="001F6307" w:rsidRDefault="001F6307" w:rsidP="00DC73D0">
      <w:r w:rsidRPr="001F6307">
        <w:t xml:space="preserve">In Stage 1a, tachycardia was the most commonly reported AE, with a higher incidence in the </w:t>
      </w:r>
      <w:proofErr w:type="spellStart"/>
      <w:r w:rsidRPr="001F6307">
        <w:t>GClb</w:t>
      </w:r>
      <w:proofErr w:type="spellEnd"/>
      <w:r w:rsidRPr="001F6307">
        <w:t xml:space="preserve"> arm, predominately with infusion related reactions. </w:t>
      </w:r>
    </w:p>
    <w:p w:rsidR="001F6307" w:rsidRPr="001F6307" w:rsidRDefault="001F6307" w:rsidP="00DC73D0">
      <w:r w:rsidRPr="001F6307">
        <w:t xml:space="preserve">In Stage 2, infusion related reaction associated tachycardia was more common in the </w:t>
      </w:r>
      <w:proofErr w:type="spellStart"/>
      <w:r w:rsidRPr="001F6307">
        <w:t>GClb</w:t>
      </w:r>
      <w:proofErr w:type="spellEnd"/>
      <w:r w:rsidRPr="001F6307">
        <w:t xml:space="preserve"> arm (7% versus 3% in </w:t>
      </w:r>
      <w:proofErr w:type="spellStart"/>
      <w:r w:rsidRPr="001F6307">
        <w:t>RClb</w:t>
      </w:r>
      <w:proofErr w:type="spellEnd"/>
      <w:r w:rsidRPr="001F6307">
        <w:t xml:space="preserve"> arm). Cardiac failure and atrial fibrillation each occurred in 1% of subjects. Fatal cardiac events occurred in five patients in the </w:t>
      </w:r>
      <w:proofErr w:type="spellStart"/>
      <w:r w:rsidRPr="001F6307">
        <w:t>RClb</w:t>
      </w:r>
      <w:proofErr w:type="spellEnd"/>
      <w:r w:rsidRPr="001F6307">
        <w:t xml:space="preserve"> arm (one arrhythmia, one heart failure and three ‘cardiac arrest’) and two patients in the </w:t>
      </w:r>
      <w:proofErr w:type="spellStart"/>
      <w:r w:rsidRPr="001F6307">
        <w:t>GClb</w:t>
      </w:r>
      <w:proofErr w:type="spellEnd"/>
      <w:r w:rsidRPr="001F6307">
        <w:t xml:space="preserve"> arm (myocardial infarction; both considered unrelated to </w:t>
      </w:r>
      <w:proofErr w:type="spellStart"/>
      <w:r w:rsidRPr="001F6307">
        <w:t>Gazyva</w:t>
      </w:r>
      <w:proofErr w:type="spellEnd"/>
      <w:r w:rsidRPr="001F6307">
        <w:t>).</w:t>
      </w:r>
    </w:p>
    <w:p w:rsidR="001F6307" w:rsidRPr="001F6307" w:rsidRDefault="001F6307" w:rsidP="00DC73D0">
      <w:pPr>
        <w:pStyle w:val="Heading6"/>
        <w:rPr>
          <w:rFonts w:eastAsia="Calibri"/>
        </w:rPr>
      </w:pPr>
      <w:r w:rsidRPr="001F6307">
        <w:rPr>
          <w:rFonts w:eastAsia="Calibri"/>
        </w:rPr>
        <w:t>Immune system</w:t>
      </w:r>
    </w:p>
    <w:p w:rsidR="001F6307" w:rsidRPr="001F6307" w:rsidRDefault="001F6307" w:rsidP="00DC73D0">
      <w:r w:rsidRPr="001F6307">
        <w:t xml:space="preserve">One subject in the </w:t>
      </w:r>
      <w:proofErr w:type="spellStart"/>
      <w:r w:rsidRPr="001F6307">
        <w:t>GClb</w:t>
      </w:r>
      <w:proofErr w:type="spellEnd"/>
      <w:r w:rsidRPr="001F6307">
        <w:t xml:space="preserve"> arm in each of the stages 1a and 2 experienced an anaphylactic reaction.</w:t>
      </w:r>
    </w:p>
    <w:p w:rsidR="001F6307" w:rsidRPr="001F6307" w:rsidRDefault="001F6307" w:rsidP="00DC73D0">
      <w:r w:rsidRPr="001F6307">
        <w:t xml:space="preserve">Immunoglobulin depletion diagnosed at the 28 day follow up visit was similar in the </w:t>
      </w:r>
      <w:proofErr w:type="spellStart"/>
      <w:r w:rsidRPr="001F6307">
        <w:t>GClb</w:t>
      </w:r>
      <w:proofErr w:type="spellEnd"/>
      <w:r w:rsidRPr="001F6307">
        <w:t xml:space="preserve"> and </w:t>
      </w:r>
      <w:proofErr w:type="spellStart"/>
      <w:r w:rsidRPr="001F6307">
        <w:t>CLb</w:t>
      </w:r>
      <w:proofErr w:type="spellEnd"/>
      <w:r w:rsidRPr="001F6307">
        <w:t xml:space="preserve"> arms. The median time to immunoglobulin recovery was 392 days, 379 days and 589 days for IgA, </w:t>
      </w:r>
      <w:proofErr w:type="spellStart"/>
      <w:r w:rsidRPr="001F6307">
        <w:t>IgG</w:t>
      </w:r>
      <w:proofErr w:type="spellEnd"/>
      <w:r w:rsidRPr="001F6307">
        <w:t xml:space="preserve"> and </w:t>
      </w:r>
      <w:proofErr w:type="spellStart"/>
      <w:r w:rsidRPr="001F6307">
        <w:t>IgM</w:t>
      </w:r>
      <w:proofErr w:type="spellEnd"/>
      <w:r w:rsidRPr="001F6307">
        <w:t xml:space="preserve">, respectively, for the </w:t>
      </w:r>
      <w:proofErr w:type="spellStart"/>
      <w:r w:rsidRPr="001F6307">
        <w:t>GClb</w:t>
      </w:r>
      <w:proofErr w:type="spellEnd"/>
      <w:r w:rsidRPr="001F6307">
        <w:t xml:space="preserve"> arm in Stage 1a.</w:t>
      </w:r>
    </w:p>
    <w:p w:rsidR="001F6307" w:rsidRPr="001F6307" w:rsidRDefault="001F6307" w:rsidP="00DC73D0">
      <w:pPr>
        <w:pStyle w:val="Heading6"/>
        <w:rPr>
          <w:rFonts w:eastAsia="Calibri"/>
        </w:rPr>
      </w:pPr>
      <w:r w:rsidRPr="001F6307">
        <w:rPr>
          <w:rFonts w:eastAsia="Calibri"/>
        </w:rPr>
        <w:lastRenderedPageBreak/>
        <w:t>TLS</w:t>
      </w:r>
    </w:p>
    <w:p w:rsidR="001F6307" w:rsidRPr="001F6307" w:rsidRDefault="001F6307" w:rsidP="00DC73D0">
      <w:r w:rsidRPr="001F6307">
        <w:t xml:space="preserve">In Stage 1a, 1 subject in the </w:t>
      </w:r>
      <w:proofErr w:type="spellStart"/>
      <w:r w:rsidRPr="001F6307">
        <w:t>Clb</w:t>
      </w:r>
      <w:proofErr w:type="spellEnd"/>
      <w:r w:rsidRPr="001F6307">
        <w:t xml:space="preserve"> arm and 10 in the </w:t>
      </w:r>
      <w:proofErr w:type="spellStart"/>
      <w:r w:rsidRPr="001F6307">
        <w:t>GClb</w:t>
      </w:r>
      <w:proofErr w:type="spellEnd"/>
      <w:r w:rsidRPr="001F6307">
        <w:t xml:space="preserve"> arm experienced TLS; in Stage 2, 14 subjects (4.2%) in the </w:t>
      </w:r>
      <w:proofErr w:type="spellStart"/>
      <w:r w:rsidRPr="001F6307">
        <w:t>GClb</w:t>
      </w:r>
      <w:proofErr w:type="spellEnd"/>
      <w:r w:rsidRPr="001F6307">
        <w:t xml:space="preserve"> arm and zero in the </w:t>
      </w:r>
      <w:proofErr w:type="spellStart"/>
      <w:r w:rsidRPr="001F6307">
        <w:t>RClb</w:t>
      </w:r>
      <w:proofErr w:type="spellEnd"/>
      <w:r w:rsidRPr="001F6307">
        <w:t xml:space="preserve"> arm experienced the event.</w:t>
      </w:r>
    </w:p>
    <w:p w:rsidR="001F6307" w:rsidRPr="001F6307" w:rsidRDefault="001F6307" w:rsidP="00DC73D0">
      <w:pPr>
        <w:pStyle w:val="Heading6"/>
        <w:rPr>
          <w:rFonts w:eastAsia="Calibri"/>
        </w:rPr>
      </w:pPr>
      <w:proofErr w:type="spellStart"/>
      <w:r w:rsidRPr="001F6307">
        <w:rPr>
          <w:rFonts w:eastAsia="Calibri"/>
        </w:rPr>
        <w:t>Neutropaenia</w:t>
      </w:r>
      <w:proofErr w:type="spellEnd"/>
    </w:p>
    <w:p w:rsidR="001F6307" w:rsidRPr="001F6307" w:rsidRDefault="001F6307" w:rsidP="00DC73D0">
      <w:r w:rsidRPr="001F6307">
        <w:t xml:space="preserve">In Stage 1a, </w:t>
      </w:r>
      <w:proofErr w:type="spellStart"/>
      <w:r w:rsidRPr="001F6307">
        <w:t>neutropaenia</w:t>
      </w:r>
      <w:proofErr w:type="spellEnd"/>
      <w:r w:rsidRPr="001F6307">
        <w:t xml:space="preserve"> was more common in the </w:t>
      </w:r>
      <w:proofErr w:type="spellStart"/>
      <w:r w:rsidRPr="001F6307">
        <w:t>GClb</w:t>
      </w:r>
      <w:proofErr w:type="spellEnd"/>
      <w:r w:rsidRPr="001F6307">
        <w:t xml:space="preserve"> arm (45%) than the </w:t>
      </w:r>
      <w:proofErr w:type="spellStart"/>
      <w:r w:rsidRPr="001F6307">
        <w:t>Clb</w:t>
      </w:r>
      <w:proofErr w:type="spellEnd"/>
      <w:r w:rsidRPr="001F6307">
        <w:t xml:space="preserve"> arm (21%). However, the grade of </w:t>
      </w:r>
      <w:proofErr w:type="spellStart"/>
      <w:r w:rsidRPr="001F6307">
        <w:t>neutropaenia</w:t>
      </w:r>
      <w:proofErr w:type="spellEnd"/>
      <w:r w:rsidRPr="001F6307">
        <w:t xml:space="preserve"> was higher in the </w:t>
      </w:r>
      <w:proofErr w:type="spellStart"/>
      <w:r w:rsidRPr="001F6307">
        <w:t>Clb</w:t>
      </w:r>
      <w:proofErr w:type="spellEnd"/>
      <w:r w:rsidRPr="001F6307">
        <w:t xml:space="preserve"> arm with an associated higher proportion of patients discontinuing treatment.</w:t>
      </w:r>
    </w:p>
    <w:p w:rsidR="001F6307" w:rsidRPr="001F6307" w:rsidRDefault="001F6307" w:rsidP="00DC73D0">
      <w:r w:rsidRPr="001F6307">
        <w:t xml:space="preserve">In Stage 2, </w:t>
      </w:r>
      <w:proofErr w:type="spellStart"/>
      <w:r w:rsidRPr="001F6307">
        <w:t>neutropaenia</w:t>
      </w:r>
      <w:proofErr w:type="spellEnd"/>
      <w:r w:rsidRPr="001F6307">
        <w:t xml:space="preserve"> not resolving after 28 days of last study drug occurred in 4% </w:t>
      </w:r>
      <w:proofErr w:type="spellStart"/>
      <w:r w:rsidRPr="001F6307">
        <w:t>RClb</w:t>
      </w:r>
      <w:proofErr w:type="spellEnd"/>
      <w:r w:rsidRPr="001F6307">
        <w:t xml:space="preserve"> arm and 2% of </w:t>
      </w:r>
      <w:proofErr w:type="spellStart"/>
      <w:r w:rsidRPr="001F6307">
        <w:t>GClb</w:t>
      </w:r>
      <w:proofErr w:type="spellEnd"/>
      <w:r w:rsidRPr="001F6307">
        <w:t xml:space="preserve"> arm, with an associated higher incidence of infection in the </w:t>
      </w:r>
      <w:proofErr w:type="spellStart"/>
      <w:r w:rsidRPr="001F6307">
        <w:t>RClb</w:t>
      </w:r>
      <w:proofErr w:type="spellEnd"/>
      <w:r w:rsidRPr="001F6307">
        <w:t xml:space="preserve"> treated group (Table 21).</w:t>
      </w:r>
    </w:p>
    <w:p w:rsidR="001F6307" w:rsidRPr="001F6307" w:rsidRDefault="001F6307" w:rsidP="00DC73D0">
      <w:pPr>
        <w:pStyle w:val="TableTitle"/>
      </w:pPr>
      <w:proofErr w:type="gramStart"/>
      <w:r w:rsidRPr="001F6307">
        <w:t xml:space="preserve">Table 21: </w:t>
      </w:r>
      <w:proofErr w:type="spellStart"/>
      <w:r w:rsidRPr="001F6307">
        <w:t>Neutropaenia</w:t>
      </w:r>
      <w:proofErr w:type="spellEnd"/>
      <w:r w:rsidRPr="001F6307">
        <w:t xml:space="preserve"> rates.</w:t>
      </w:r>
      <w:proofErr w:type="gramEnd"/>
    </w:p>
    <w:p w:rsidR="001F6307" w:rsidRPr="001F6307" w:rsidRDefault="001F6307" w:rsidP="00DC73D0">
      <w:r>
        <w:rPr>
          <w:noProof/>
          <w:lang w:eastAsia="en-AU"/>
        </w:rPr>
        <w:drawing>
          <wp:inline distT="0" distB="0" distL="0" distR="0" wp14:anchorId="6AAA6AAF" wp14:editId="26CBBB7B">
            <wp:extent cx="5391150" cy="1276350"/>
            <wp:effectExtent l="0" t="0" r="0" b="0"/>
            <wp:docPr id="33" name="Picture 33" descr="Table 21: Neutropaenia rates." title="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Table 21: Neutropaenia ra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1276350"/>
                    </a:xfrm>
                    <a:prstGeom prst="rect">
                      <a:avLst/>
                    </a:prstGeom>
                    <a:noFill/>
                    <a:ln>
                      <a:noFill/>
                    </a:ln>
                  </pic:spPr>
                </pic:pic>
              </a:graphicData>
            </a:graphic>
          </wp:inline>
        </w:drawing>
      </w:r>
    </w:p>
    <w:p w:rsidR="001F6307" w:rsidRPr="001F6307" w:rsidRDefault="001F6307" w:rsidP="00DC73D0">
      <w:pPr>
        <w:pStyle w:val="Heading6"/>
      </w:pPr>
      <w:r w:rsidRPr="001F6307">
        <w:t>Richter’s transformation</w:t>
      </w:r>
    </w:p>
    <w:p w:rsidR="001F6307" w:rsidRPr="001F6307" w:rsidRDefault="001F6307" w:rsidP="00DC73D0">
      <w:r w:rsidRPr="001F6307">
        <w:t xml:space="preserve">No subjects initially treated with </w:t>
      </w:r>
      <w:proofErr w:type="spellStart"/>
      <w:r w:rsidRPr="001F6307">
        <w:t>GClb</w:t>
      </w:r>
      <w:proofErr w:type="spellEnd"/>
      <w:r w:rsidRPr="001F6307">
        <w:t xml:space="preserve"> underwent disease transformation; however, 1 patient in the </w:t>
      </w:r>
      <w:proofErr w:type="spellStart"/>
      <w:r w:rsidRPr="001F6307">
        <w:t>Clb</w:t>
      </w:r>
      <w:proofErr w:type="spellEnd"/>
      <w:r w:rsidRPr="001F6307">
        <w:t xml:space="preserve"> arm who crossed over to </w:t>
      </w:r>
      <w:proofErr w:type="spellStart"/>
      <w:r w:rsidRPr="001F6307">
        <w:t>GClb</w:t>
      </w:r>
      <w:proofErr w:type="spellEnd"/>
      <w:r w:rsidRPr="001F6307">
        <w:t xml:space="preserve"> and 4 in the </w:t>
      </w:r>
      <w:proofErr w:type="spellStart"/>
      <w:r w:rsidRPr="001F6307">
        <w:t>RClb</w:t>
      </w:r>
      <w:proofErr w:type="spellEnd"/>
      <w:r w:rsidRPr="001F6307">
        <w:t xml:space="preserve"> arm did undergo transformation. This low incidence does not indicate an additional risk from </w:t>
      </w:r>
      <w:proofErr w:type="spellStart"/>
      <w:r w:rsidRPr="001F6307">
        <w:t>Gazya</w:t>
      </w:r>
      <w:proofErr w:type="spellEnd"/>
      <w:r w:rsidRPr="001F6307">
        <w:t xml:space="preserve"> use.</w:t>
      </w:r>
    </w:p>
    <w:p w:rsidR="001F6307" w:rsidRPr="001F6307" w:rsidRDefault="001F6307" w:rsidP="00DC73D0">
      <w:pPr>
        <w:pStyle w:val="Heading6"/>
        <w:rPr>
          <w:rFonts w:eastAsia="Calibri"/>
        </w:rPr>
      </w:pPr>
      <w:proofErr w:type="spellStart"/>
      <w:r w:rsidRPr="001F6307">
        <w:rPr>
          <w:rFonts w:eastAsia="Calibri"/>
        </w:rPr>
        <w:t>Thrombocytopaenia</w:t>
      </w:r>
      <w:proofErr w:type="spellEnd"/>
    </w:p>
    <w:p w:rsidR="001F6307" w:rsidRPr="001F6307" w:rsidRDefault="001F6307" w:rsidP="00DC73D0">
      <w:r w:rsidRPr="001F6307">
        <w:t xml:space="preserve">AEs of </w:t>
      </w:r>
      <w:proofErr w:type="spellStart"/>
      <w:r w:rsidRPr="001F6307">
        <w:t>thrombocytopaenia</w:t>
      </w:r>
      <w:proofErr w:type="spellEnd"/>
      <w:r w:rsidRPr="001F6307">
        <w:t xml:space="preserve"> were observed more commonly following </w:t>
      </w:r>
      <w:proofErr w:type="spellStart"/>
      <w:r w:rsidRPr="001F6307">
        <w:t>Gazyva</w:t>
      </w:r>
      <w:proofErr w:type="spellEnd"/>
      <w:r w:rsidRPr="001F6307">
        <w:t xml:space="preserve"> exposure in both stages of the pivotal trial.</w:t>
      </w:r>
    </w:p>
    <w:p w:rsidR="001F6307" w:rsidRPr="001F6307" w:rsidRDefault="001F6307" w:rsidP="00DC73D0">
      <w:pPr>
        <w:pStyle w:val="TableTitle"/>
      </w:pPr>
      <w:proofErr w:type="gramStart"/>
      <w:r w:rsidRPr="001F6307">
        <w:t xml:space="preserve">Table 22: </w:t>
      </w:r>
      <w:proofErr w:type="spellStart"/>
      <w:r w:rsidRPr="001F6307">
        <w:t>Thrombocytopaenia</w:t>
      </w:r>
      <w:proofErr w:type="spellEnd"/>
      <w:r w:rsidRPr="001F6307">
        <w:t xml:space="preserve"> rates.</w:t>
      </w:r>
      <w:proofErr w:type="gramEnd"/>
    </w:p>
    <w:p w:rsidR="001F6307" w:rsidRPr="001F6307" w:rsidRDefault="001F6307" w:rsidP="00DC73D0">
      <w:r>
        <w:rPr>
          <w:noProof/>
          <w:lang w:eastAsia="en-AU"/>
        </w:rPr>
        <w:drawing>
          <wp:inline distT="0" distB="0" distL="0" distR="0" wp14:anchorId="70E4137B" wp14:editId="78CC3F8E">
            <wp:extent cx="5400675" cy="1295400"/>
            <wp:effectExtent l="0" t="0" r="9525" b="0"/>
            <wp:docPr id="32" name="Picture 32" descr="Table 22: Thrombocytopaenia rates." title="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Table 22: Thrombocytopaenia rat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F6307" w:rsidRPr="001F6307" w:rsidRDefault="001F6307" w:rsidP="00DC73D0">
      <w:r w:rsidRPr="001F6307">
        <w:t xml:space="preserve">The sponsor wrote a “Dear Healthcare Provider” letter on 3 February 2014 regarding a higher incidence of </w:t>
      </w:r>
      <w:proofErr w:type="spellStart"/>
      <w:r w:rsidRPr="001F6307">
        <w:t>thrombocytopaenia</w:t>
      </w:r>
      <w:proofErr w:type="spellEnd"/>
      <w:r w:rsidRPr="001F6307">
        <w:t xml:space="preserve"> and haemorrhage during the first cycle of </w:t>
      </w:r>
      <w:proofErr w:type="spellStart"/>
      <w:r w:rsidRPr="001F6307">
        <w:t>Gazyva</w:t>
      </w:r>
      <w:proofErr w:type="spellEnd"/>
      <w:r w:rsidRPr="001F6307">
        <w:t xml:space="preserve"> therapy. This letter outlined 3 deaths during </w:t>
      </w:r>
      <w:proofErr w:type="spellStart"/>
      <w:r w:rsidRPr="001F6307">
        <w:t>RClb</w:t>
      </w:r>
      <w:proofErr w:type="spellEnd"/>
      <w:r w:rsidRPr="001F6307">
        <w:t xml:space="preserve"> treatment, 2 deaths during </w:t>
      </w:r>
      <w:proofErr w:type="spellStart"/>
      <w:r w:rsidRPr="001F6307">
        <w:t>Clb</w:t>
      </w:r>
      <w:proofErr w:type="spellEnd"/>
      <w:r w:rsidRPr="001F6307">
        <w:t xml:space="preserve"> treatment, and 4 deaths during </w:t>
      </w:r>
      <w:proofErr w:type="spellStart"/>
      <w:r w:rsidRPr="001F6307">
        <w:t>GClb</w:t>
      </w:r>
      <w:proofErr w:type="spellEnd"/>
      <w:r w:rsidRPr="001F6307">
        <w:t xml:space="preserve"> treatment. All 4 deaths during </w:t>
      </w:r>
      <w:proofErr w:type="spellStart"/>
      <w:r w:rsidRPr="001F6307">
        <w:t>GClb</w:t>
      </w:r>
      <w:proofErr w:type="spellEnd"/>
      <w:r w:rsidRPr="001F6307">
        <w:t xml:space="preserve"> treatment occurred during the first cycle, whereas none occurred in the first cycle of either of the other treatments. Additional advice regarding concomitant anti platelet therapy and platelet count monitoring has been included in the PI in the Round 2 responses.</w:t>
      </w:r>
    </w:p>
    <w:p w:rsidR="001F6307" w:rsidRPr="001F6307" w:rsidRDefault="001F6307" w:rsidP="00DC73D0">
      <w:pPr>
        <w:pStyle w:val="Heading6"/>
      </w:pPr>
      <w:r w:rsidRPr="001F6307">
        <w:t>B cell depletion</w:t>
      </w:r>
    </w:p>
    <w:p w:rsidR="001F6307" w:rsidRPr="001F6307" w:rsidRDefault="001F6307" w:rsidP="00DC73D0">
      <w:r w:rsidRPr="001F6307">
        <w:t xml:space="preserve">A small subset of patients was assessed by </w:t>
      </w:r>
      <w:proofErr w:type="spellStart"/>
      <w:r w:rsidRPr="001F6307">
        <w:t>immunophenotyping</w:t>
      </w:r>
      <w:proofErr w:type="spellEnd"/>
      <w:r w:rsidRPr="001F6307">
        <w:t xml:space="preserve">. At the end of Stage 1a treatment, 2/20 patients (9%) in the </w:t>
      </w:r>
      <w:proofErr w:type="spellStart"/>
      <w:r w:rsidRPr="001F6307">
        <w:t>Clb</w:t>
      </w:r>
      <w:proofErr w:type="spellEnd"/>
      <w:r w:rsidRPr="001F6307">
        <w:t xml:space="preserve"> arm and 40/44 (91%) patients in the </w:t>
      </w:r>
      <w:proofErr w:type="spellStart"/>
      <w:r w:rsidRPr="001F6307">
        <w:t>GClb</w:t>
      </w:r>
      <w:proofErr w:type="spellEnd"/>
      <w:r w:rsidRPr="001F6307">
        <w:t xml:space="preserve"> arm had B cell depletion. Re-assessment between 6 and 9 months post end of treatment demonstrated all 40 patients in the </w:t>
      </w:r>
      <w:proofErr w:type="spellStart"/>
      <w:r w:rsidRPr="001F6307">
        <w:t>GClb</w:t>
      </w:r>
      <w:proofErr w:type="spellEnd"/>
      <w:r w:rsidRPr="001F6307">
        <w:t xml:space="preserve"> arm remained B cell deplete, as opposed to none in the </w:t>
      </w:r>
      <w:proofErr w:type="spellStart"/>
      <w:r w:rsidRPr="001F6307">
        <w:t>Clb</w:t>
      </w:r>
      <w:proofErr w:type="spellEnd"/>
      <w:r w:rsidRPr="001F6307">
        <w:t xml:space="preserve"> arm.</w:t>
      </w:r>
    </w:p>
    <w:p w:rsidR="001F6307" w:rsidRPr="001F6307" w:rsidRDefault="001F6307" w:rsidP="00DC73D0">
      <w:pPr>
        <w:pStyle w:val="Heading6"/>
      </w:pPr>
      <w:r w:rsidRPr="001F6307">
        <w:lastRenderedPageBreak/>
        <w:t>Common AEs: by body system</w:t>
      </w:r>
    </w:p>
    <w:p w:rsidR="001F6307" w:rsidRPr="001F6307" w:rsidRDefault="001F6307" w:rsidP="00DC73D0">
      <w:pPr>
        <w:pStyle w:val="Heading7"/>
        <w:rPr>
          <w:rFonts w:eastAsia="Calibri"/>
        </w:rPr>
      </w:pPr>
      <w:r w:rsidRPr="001F6307">
        <w:rPr>
          <w:rFonts w:eastAsia="Calibri"/>
        </w:rPr>
        <w:t>Anaemia</w:t>
      </w:r>
    </w:p>
    <w:p w:rsidR="001F6307" w:rsidRPr="001F6307" w:rsidRDefault="001F6307" w:rsidP="00DC73D0">
      <w:r w:rsidRPr="001F6307">
        <w:t>The incidence of anaemia was the similar in each in each of the three treatment arms (10-12%).</w:t>
      </w:r>
    </w:p>
    <w:p w:rsidR="001F6307" w:rsidRPr="001F6307" w:rsidRDefault="001F6307" w:rsidP="00DC73D0">
      <w:pPr>
        <w:pStyle w:val="Heading6"/>
      </w:pPr>
      <w:r w:rsidRPr="001F6307">
        <w:t>General disorders</w:t>
      </w:r>
    </w:p>
    <w:p w:rsidR="001F6307" w:rsidRPr="001F6307" w:rsidRDefault="001F6307" w:rsidP="00DC73D0">
      <w:r w:rsidRPr="001F6307">
        <w:t xml:space="preserve">Pyrexia was more common in the </w:t>
      </w:r>
      <w:proofErr w:type="spellStart"/>
      <w:r w:rsidRPr="001F6307">
        <w:t>GClb</w:t>
      </w:r>
      <w:proofErr w:type="spellEnd"/>
      <w:r w:rsidRPr="001F6307">
        <w:t xml:space="preserve"> arm (10% versus 7%).</w:t>
      </w:r>
    </w:p>
    <w:p w:rsidR="001F6307" w:rsidRPr="001F6307" w:rsidRDefault="001F6307" w:rsidP="00DC73D0">
      <w:pPr>
        <w:pStyle w:val="Heading6"/>
        <w:rPr>
          <w:rFonts w:eastAsia="Calibri" w:cs="Arial"/>
        </w:rPr>
      </w:pPr>
      <w:r w:rsidRPr="001F6307">
        <w:t xml:space="preserve">Development of </w:t>
      </w:r>
      <w:r w:rsidRPr="001F6307">
        <w:rPr>
          <w:rFonts w:eastAsia="Calibri" w:cs="Arial"/>
        </w:rPr>
        <w:t>HAHAs</w:t>
      </w:r>
    </w:p>
    <w:p w:rsidR="001F6307" w:rsidRPr="001F6307" w:rsidRDefault="001F6307" w:rsidP="00DC73D0">
      <w:r w:rsidRPr="001F6307">
        <w:t>Four patients had positive HAHA results from serum provided prior to the Cycle 1 (first) infusion. Subsequently, samples from these patients did not test positive for HAHA and can thus be considered false positive test results; the assay has been calibrated to accept a small number of false positives.</w:t>
      </w:r>
    </w:p>
    <w:p w:rsidR="001F6307" w:rsidRPr="001F6307" w:rsidRDefault="001F6307" w:rsidP="00DC73D0">
      <w:r w:rsidRPr="001F6307">
        <w:t xml:space="preserve">HAHA positive cases were seen at 6, 9, 12 months after end of treatment. At 12 months follow-up, 7/64 patients (11%) randomised to the </w:t>
      </w:r>
      <w:proofErr w:type="spellStart"/>
      <w:r w:rsidRPr="001F6307">
        <w:t>GClb</w:t>
      </w:r>
      <w:proofErr w:type="spellEnd"/>
      <w:r w:rsidRPr="001F6307">
        <w:t xml:space="preserve"> arm tested positive for HAHAs; one of those patients tested positive at follow-up Months 6 and 9 and another patient tested positive at follow-up Month 9, and for both patients the positivity increased over time. The sponsor states that:</w:t>
      </w:r>
    </w:p>
    <w:p w:rsidR="001F6307" w:rsidRPr="00DC73D0" w:rsidRDefault="001F6307" w:rsidP="00DC73D0">
      <w:pPr>
        <w:ind w:left="720"/>
        <w:rPr>
          <w:i/>
        </w:rPr>
      </w:pPr>
      <w:r w:rsidRPr="00DC73D0">
        <w:rPr>
          <w:i/>
        </w:rPr>
        <w:t>[T]here is currently no evidence to suggest that the patients with positive HAHA experienced any relevant AEs and neither PK parameters nor clinical response were notably affected.</w:t>
      </w:r>
    </w:p>
    <w:p w:rsidR="001F6307" w:rsidRPr="001F6307" w:rsidRDefault="001F6307" w:rsidP="00DC73D0">
      <w:r w:rsidRPr="001F6307">
        <w:t>Two of the six patients who participated in the safety run-in phase tested positive for HAHAs; one at follow-up Months 9 and 12, and the other at follow-up Month 12.</w:t>
      </w:r>
    </w:p>
    <w:p w:rsidR="001F6307" w:rsidRPr="001F6307" w:rsidRDefault="001F6307" w:rsidP="0008710D">
      <w:pPr>
        <w:pStyle w:val="Heading6"/>
        <w:rPr>
          <w:rFonts w:eastAsia="Calibri"/>
        </w:rPr>
      </w:pPr>
      <w:r w:rsidRPr="001F6307">
        <w:rPr>
          <w:rFonts w:eastAsia="Calibri"/>
        </w:rPr>
        <w:t>Hepatitis B reactivation and PML</w:t>
      </w:r>
    </w:p>
    <w:p w:rsidR="001F6307" w:rsidRPr="001F6307" w:rsidRDefault="001F6307" w:rsidP="0008710D">
      <w:r w:rsidRPr="001F6307">
        <w:t>There were no reported cases of HBV reactivation or PML in either Stage 1a or 2. The sponsor reports that of 2409 patients treated, only one case of PML has been seen in association with OB therapy. There have been no cases of fatal HBV reactivation.</w:t>
      </w:r>
    </w:p>
    <w:p w:rsidR="001F6307" w:rsidRPr="001F6307" w:rsidRDefault="001F6307" w:rsidP="0008710D">
      <w:pPr>
        <w:pStyle w:val="Heading6"/>
        <w:rPr>
          <w:rFonts w:eastAsia="Calibri"/>
        </w:rPr>
      </w:pPr>
      <w:r w:rsidRPr="001F6307">
        <w:rPr>
          <w:rFonts w:eastAsia="Calibri"/>
        </w:rPr>
        <w:t>Bowel perforation</w:t>
      </w:r>
    </w:p>
    <w:p w:rsidR="001F6307" w:rsidRPr="001F6307" w:rsidRDefault="001F6307" w:rsidP="0008710D">
      <w:r w:rsidRPr="001F6307">
        <w:t xml:space="preserve">There were no reported cases of bowel perforation in either Stage 1a or 2. A risk of intestinal perforation at sites of intestinal CLL deposits remains a possibility, but has not observed in the pivotal trial. This issue was of specific concern to the RMP evaluator. </w:t>
      </w:r>
    </w:p>
    <w:p w:rsidR="001F6307" w:rsidRPr="001F6307" w:rsidRDefault="001F6307" w:rsidP="0008710D">
      <w:pPr>
        <w:pStyle w:val="Heading6"/>
        <w:rPr>
          <w:rFonts w:eastAsia="Calibri"/>
        </w:rPr>
      </w:pPr>
      <w:r w:rsidRPr="001F6307">
        <w:rPr>
          <w:rFonts w:eastAsia="Calibri"/>
        </w:rPr>
        <w:t>Nervous system</w:t>
      </w:r>
    </w:p>
    <w:p w:rsidR="001F6307" w:rsidRPr="001F6307" w:rsidRDefault="001F6307" w:rsidP="0008710D">
      <w:r w:rsidRPr="001F6307">
        <w:t xml:space="preserve">Headache, dizziness and paraesthesia were the commonest events reported, with similar incidence in the </w:t>
      </w:r>
      <w:proofErr w:type="spellStart"/>
      <w:r w:rsidRPr="001F6307">
        <w:t>GClb</w:t>
      </w:r>
      <w:proofErr w:type="spellEnd"/>
      <w:r w:rsidRPr="001F6307">
        <w:t xml:space="preserve"> and </w:t>
      </w:r>
      <w:proofErr w:type="spellStart"/>
      <w:r w:rsidRPr="001F6307">
        <w:t>RClb</w:t>
      </w:r>
      <w:proofErr w:type="spellEnd"/>
      <w:r w:rsidRPr="001F6307">
        <w:t xml:space="preserve"> arms (each occurring in &lt;10% of subjects).</w:t>
      </w:r>
    </w:p>
    <w:p w:rsidR="001F6307" w:rsidRPr="001F6307" w:rsidRDefault="0008710D" w:rsidP="0008710D">
      <w:pPr>
        <w:pStyle w:val="Heading6"/>
        <w:rPr>
          <w:rFonts w:eastAsia="Calibri"/>
        </w:rPr>
      </w:pPr>
      <w:r>
        <w:rPr>
          <w:rFonts w:eastAsia="Calibri"/>
        </w:rPr>
        <w:t>Vascular</w:t>
      </w:r>
    </w:p>
    <w:p w:rsidR="001F6307" w:rsidRPr="001F6307" w:rsidRDefault="001F6307" w:rsidP="0008710D">
      <w:r w:rsidRPr="001F6307">
        <w:t xml:space="preserve">In Stage 2, the commonest events in the </w:t>
      </w:r>
      <w:proofErr w:type="spellStart"/>
      <w:r w:rsidRPr="001F6307">
        <w:t>GClb</w:t>
      </w:r>
      <w:proofErr w:type="spellEnd"/>
      <w:r w:rsidRPr="001F6307">
        <w:t xml:space="preserve"> arm were: hypertension (3%) and hypotension (1%).</w:t>
      </w:r>
    </w:p>
    <w:p w:rsidR="001F6307" w:rsidRPr="001F6307" w:rsidRDefault="001F6307" w:rsidP="0008710D">
      <w:pPr>
        <w:pStyle w:val="Heading6"/>
        <w:rPr>
          <w:rFonts w:eastAsia="Calibri"/>
        </w:rPr>
      </w:pPr>
      <w:r w:rsidRPr="001F6307">
        <w:rPr>
          <w:rFonts w:eastAsia="Calibri"/>
        </w:rPr>
        <w:t>Renal</w:t>
      </w:r>
    </w:p>
    <w:p w:rsidR="001F6307" w:rsidRPr="001F6307" w:rsidRDefault="001F6307" w:rsidP="0008710D">
      <w:r w:rsidRPr="001F6307">
        <w:t>In Stage 1a and 2, there were few patients that shifted their graded severity of creatinine upwards.</w:t>
      </w:r>
    </w:p>
    <w:p w:rsidR="001F6307" w:rsidRPr="001F6307" w:rsidRDefault="001F6307" w:rsidP="0008710D">
      <w:pPr>
        <w:pStyle w:val="Heading6"/>
        <w:rPr>
          <w:rFonts w:eastAsia="Calibri"/>
        </w:rPr>
      </w:pPr>
      <w:proofErr w:type="spellStart"/>
      <w:r w:rsidRPr="001F6307">
        <w:rPr>
          <w:rFonts w:eastAsia="Calibri"/>
        </w:rPr>
        <w:t>Hepatobiliary</w:t>
      </w:r>
      <w:proofErr w:type="spellEnd"/>
    </w:p>
    <w:p w:rsidR="001F6307" w:rsidRPr="001F6307" w:rsidRDefault="001F6307" w:rsidP="0008710D">
      <w:r w:rsidRPr="001F6307">
        <w:t xml:space="preserve">The baseline incidence of </w:t>
      </w:r>
      <w:proofErr w:type="spellStart"/>
      <w:r w:rsidRPr="001F6307">
        <w:t>hepatobiliary</w:t>
      </w:r>
      <w:proofErr w:type="spellEnd"/>
      <w:r w:rsidRPr="001F6307">
        <w:t xml:space="preserve"> disorders in study entrants was high, ranging 14-16%. </w:t>
      </w:r>
      <w:proofErr w:type="spellStart"/>
      <w:r w:rsidRPr="001F6307">
        <w:t>Hepatobiliary</w:t>
      </w:r>
      <w:proofErr w:type="spellEnd"/>
      <w:r w:rsidRPr="001F6307">
        <w:t xml:space="preserve"> disorders occurred in ~1% of subjects in the treatment arms of stages 1a and 2, most frequently </w:t>
      </w:r>
      <w:proofErr w:type="spellStart"/>
      <w:r w:rsidRPr="001F6307">
        <w:t>cholecystitis</w:t>
      </w:r>
      <w:proofErr w:type="spellEnd"/>
      <w:r w:rsidRPr="001F6307">
        <w:t xml:space="preserve">, </w:t>
      </w:r>
      <w:proofErr w:type="spellStart"/>
      <w:r w:rsidRPr="001F6307">
        <w:t>cholelithiasis</w:t>
      </w:r>
      <w:proofErr w:type="spellEnd"/>
      <w:r w:rsidRPr="001F6307">
        <w:t xml:space="preserve"> and cholestasis. Transient elevation of liver enzymes reflecting hepatic cellular injury, lasting 2 day to 1 month following first </w:t>
      </w:r>
      <w:proofErr w:type="spellStart"/>
      <w:r w:rsidRPr="001F6307">
        <w:t>Gazyva</w:t>
      </w:r>
      <w:proofErr w:type="spellEnd"/>
      <w:r w:rsidRPr="001F6307">
        <w:t xml:space="preserve"> administration was observed in 3% of patients.</w:t>
      </w:r>
    </w:p>
    <w:p w:rsidR="001F6307" w:rsidRPr="001F6307" w:rsidRDefault="001F6307" w:rsidP="0008710D">
      <w:pPr>
        <w:pStyle w:val="Heading6"/>
        <w:rPr>
          <w:rFonts w:eastAsia="Calibri"/>
        </w:rPr>
      </w:pPr>
      <w:r w:rsidRPr="001F6307">
        <w:rPr>
          <w:rFonts w:eastAsia="Calibri"/>
        </w:rPr>
        <w:lastRenderedPageBreak/>
        <w:t xml:space="preserve">Respiratory, thoracic and </w:t>
      </w:r>
      <w:proofErr w:type="spellStart"/>
      <w:r w:rsidRPr="001F6307">
        <w:rPr>
          <w:rFonts w:eastAsia="Calibri"/>
        </w:rPr>
        <w:t>mediastinal</w:t>
      </w:r>
      <w:proofErr w:type="spellEnd"/>
    </w:p>
    <w:p w:rsidR="001F6307" w:rsidRPr="001F6307" w:rsidRDefault="001F6307" w:rsidP="0008710D">
      <w:r w:rsidRPr="001F6307">
        <w:t>Cough, dyspnoea and epistaxis were the most common disorders in this category (each occurring in &lt;10% of subjects).</w:t>
      </w:r>
    </w:p>
    <w:p w:rsidR="001F6307" w:rsidRPr="001F6307" w:rsidRDefault="001F6307" w:rsidP="0008710D">
      <w:pPr>
        <w:pStyle w:val="Heading6"/>
        <w:rPr>
          <w:rFonts w:eastAsia="Calibri"/>
        </w:rPr>
      </w:pPr>
      <w:r w:rsidRPr="001F6307">
        <w:rPr>
          <w:rFonts w:eastAsia="Calibri"/>
        </w:rPr>
        <w:t>Infections and infestations</w:t>
      </w:r>
    </w:p>
    <w:p w:rsidR="001F6307" w:rsidRPr="001F6307" w:rsidRDefault="001F6307" w:rsidP="0008710D">
      <w:r w:rsidRPr="001F6307">
        <w:t xml:space="preserve">The overall incidence of infections was balanced between treatment arms in both Stage 1a and 2. Serious infections occurred more commonly in </w:t>
      </w:r>
      <w:proofErr w:type="spellStart"/>
      <w:r w:rsidRPr="001F6307">
        <w:t>Clb</w:t>
      </w:r>
      <w:proofErr w:type="spellEnd"/>
      <w:r w:rsidRPr="001F6307">
        <w:t xml:space="preserve"> patients (15%) than </w:t>
      </w:r>
      <w:proofErr w:type="spellStart"/>
      <w:r w:rsidRPr="001F6307">
        <w:t>GClb</w:t>
      </w:r>
      <w:proofErr w:type="spellEnd"/>
      <w:r w:rsidRPr="001F6307">
        <w:t xml:space="preserve"> (12%); in Stage 2 similar percentages of patients experienced bronchitis, pneumonia and urinary tract infections (each &lt;5% of the total in the treatment arm).</w:t>
      </w:r>
    </w:p>
    <w:p w:rsidR="001F6307" w:rsidRPr="001F6307" w:rsidRDefault="001F6307" w:rsidP="0008710D">
      <w:pPr>
        <w:pStyle w:val="Heading6"/>
        <w:rPr>
          <w:rFonts w:eastAsia="Calibri"/>
        </w:rPr>
      </w:pPr>
      <w:r w:rsidRPr="001F6307">
        <w:rPr>
          <w:rFonts w:eastAsia="Calibri"/>
        </w:rPr>
        <w:t>Safety from supporting studies</w:t>
      </w:r>
    </w:p>
    <w:p w:rsidR="001F6307" w:rsidRPr="001F6307" w:rsidRDefault="001F6307" w:rsidP="0008710D">
      <w:r w:rsidRPr="001F6307">
        <w:t xml:space="preserve">Disease progression accounted for the majority of deaths in the supporting studies. In the monotherapy NHL trial, of the 50 deaths (24%), 5 were as a result of AEs. The most common AEs in all studies were IRRs, with patients experiencing grade ≥3 AEs mainly occurring due to </w:t>
      </w:r>
      <w:proofErr w:type="spellStart"/>
      <w:r w:rsidRPr="001F6307">
        <w:t>neutropaenia</w:t>
      </w:r>
      <w:proofErr w:type="spellEnd"/>
      <w:r w:rsidRPr="001F6307">
        <w:t xml:space="preserve"> (Table 23).</w:t>
      </w:r>
    </w:p>
    <w:p w:rsidR="001F6307" w:rsidRPr="001F6307" w:rsidRDefault="001F6307" w:rsidP="0008710D">
      <w:pPr>
        <w:pStyle w:val="TableTitle"/>
      </w:pPr>
      <w:r w:rsidRPr="001F6307">
        <w:t>Table 23: Summary of AEs.</w:t>
      </w:r>
    </w:p>
    <w:p w:rsidR="001F6307" w:rsidRPr="001F6307" w:rsidRDefault="001F6307" w:rsidP="0008710D">
      <w:r>
        <w:rPr>
          <w:noProof/>
          <w:lang w:eastAsia="en-AU"/>
        </w:rPr>
        <w:drawing>
          <wp:inline distT="0" distB="0" distL="0" distR="0" wp14:anchorId="4EAF1DC0" wp14:editId="2F152FA2">
            <wp:extent cx="4000500" cy="4762500"/>
            <wp:effectExtent l="0" t="0" r="0" b="0"/>
            <wp:docPr id="31" name="Picture 31" descr="Table 23: Summary of AEs." title="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Table 23: Summary of A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0" cy="4762500"/>
                    </a:xfrm>
                    <a:prstGeom prst="rect">
                      <a:avLst/>
                    </a:prstGeom>
                    <a:noFill/>
                    <a:ln>
                      <a:noFill/>
                    </a:ln>
                  </pic:spPr>
                </pic:pic>
              </a:graphicData>
            </a:graphic>
          </wp:inline>
        </w:drawing>
      </w:r>
    </w:p>
    <w:p w:rsidR="001F6307" w:rsidRPr="001F6307" w:rsidRDefault="0008710D" w:rsidP="0008710D">
      <w:pPr>
        <w:pStyle w:val="Heading3"/>
        <w:rPr>
          <w:lang w:eastAsia="en-AU"/>
        </w:rPr>
      </w:pPr>
      <w:bookmarkStart w:id="157" w:name="_Toc395872581"/>
      <w:bookmarkStart w:id="158" w:name="_Toc399425159"/>
      <w:r>
        <w:rPr>
          <w:lang w:eastAsia="en-AU"/>
        </w:rPr>
        <w:t>Risk m</w:t>
      </w:r>
      <w:r w:rsidR="001F6307" w:rsidRPr="001F6307">
        <w:rPr>
          <w:lang w:eastAsia="en-AU"/>
        </w:rPr>
        <w:t xml:space="preserve">anagement </w:t>
      </w:r>
      <w:r>
        <w:rPr>
          <w:lang w:eastAsia="en-AU"/>
        </w:rPr>
        <w:t>p</w:t>
      </w:r>
      <w:r w:rsidR="001F6307" w:rsidRPr="001F6307">
        <w:rPr>
          <w:lang w:eastAsia="en-AU"/>
        </w:rPr>
        <w:t>lan</w:t>
      </w:r>
      <w:bookmarkEnd w:id="156"/>
      <w:bookmarkEnd w:id="157"/>
      <w:bookmarkEnd w:id="158"/>
    </w:p>
    <w:p w:rsidR="001F6307" w:rsidRPr="001F6307" w:rsidRDefault="001F6307" w:rsidP="0008710D">
      <w:r w:rsidRPr="001F6307">
        <w:t>The RMP proposed by the sponsor was considered generally acceptable by the TGA’s OPR. A number of changes to the product information recommended by the evaluator have been accepted by the sponsor.</w:t>
      </w:r>
    </w:p>
    <w:p w:rsidR="001F6307" w:rsidRPr="001F6307" w:rsidRDefault="001F6307" w:rsidP="0008710D">
      <w:r w:rsidRPr="001F6307">
        <w:lastRenderedPageBreak/>
        <w:t>The sponsor has provided a guided questionnaire for clinicians for hepatitis B reactivation as per the request in the Section 31 response, which is to be evaluated by the OPR.</w:t>
      </w:r>
    </w:p>
    <w:p w:rsidR="001F6307" w:rsidRPr="001F6307" w:rsidRDefault="001F6307" w:rsidP="0008710D">
      <w:r w:rsidRPr="001F6307">
        <w:t xml:space="preserve">The RMP evaluator recommended the Delegate address the risk of intestinal perforation. As discussed above, from the current data provided in the dossier the reported risk following </w:t>
      </w:r>
      <w:proofErr w:type="spellStart"/>
      <w:r w:rsidRPr="001F6307">
        <w:t>Gazyva</w:t>
      </w:r>
      <w:proofErr w:type="spellEnd"/>
      <w:r w:rsidRPr="001F6307">
        <w:t xml:space="preserve"> is not worse than the background risk.</w:t>
      </w:r>
    </w:p>
    <w:p w:rsidR="001F6307" w:rsidRPr="001F6307" w:rsidRDefault="001F6307" w:rsidP="0008710D">
      <w:r w:rsidRPr="001F6307">
        <w:t>A black box warning pertaining to the risk of hepatitis B reactivation and PML is recommended by the Delegate.</w:t>
      </w:r>
    </w:p>
    <w:p w:rsidR="001F6307" w:rsidRPr="001F6307" w:rsidRDefault="001F6307" w:rsidP="0008710D">
      <w:r w:rsidRPr="001F6307">
        <w:t xml:space="preserve">The currently observed risk of second malignancies following </w:t>
      </w:r>
      <w:proofErr w:type="spellStart"/>
      <w:r w:rsidRPr="001F6307">
        <w:t>Gazyva</w:t>
      </w:r>
      <w:proofErr w:type="spellEnd"/>
      <w:r w:rsidRPr="001F6307">
        <w:t xml:space="preserve"> is not worse than expected, but requires ongoing </w:t>
      </w:r>
      <w:proofErr w:type="spellStart"/>
      <w:r w:rsidRPr="001F6307">
        <w:t>pharmacovigilance</w:t>
      </w:r>
      <w:proofErr w:type="spellEnd"/>
      <w:r w:rsidRPr="001F6307">
        <w:t xml:space="preserve"> monitoring.</w:t>
      </w:r>
    </w:p>
    <w:p w:rsidR="001F6307" w:rsidRPr="001F6307" w:rsidRDefault="001F6307" w:rsidP="0008710D">
      <w:pPr>
        <w:pStyle w:val="Heading3"/>
      </w:pPr>
      <w:bookmarkStart w:id="159" w:name="_Toc247691531"/>
      <w:bookmarkStart w:id="160" w:name="_Toc314842515"/>
      <w:bookmarkStart w:id="161" w:name="_Toc395872582"/>
      <w:bookmarkStart w:id="162" w:name="_Toc196046505"/>
      <w:bookmarkStart w:id="163" w:name="_Toc196046949"/>
      <w:bookmarkStart w:id="164" w:name="_Toc399425160"/>
      <w:r w:rsidRPr="001F6307">
        <w:t>Risk-</w:t>
      </w:r>
      <w:r w:rsidR="0008710D">
        <w:t>b</w:t>
      </w:r>
      <w:r w:rsidRPr="001F6307">
        <w:t xml:space="preserve">enefit </w:t>
      </w:r>
      <w:r w:rsidR="0008710D">
        <w:t>a</w:t>
      </w:r>
      <w:r w:rsidRPr="001F6307">
        <w:t>nalysis</w:t>
      </w:r>
      <w:bookmarkEnd w:id="159"/>
      <w:bookmarkEnd w:id="160"/>
      <w:bookmarkEnd w:id="161"/>
      <w:bookmarkEnd w:id="164"/>
    </w:p>
    <w:p w:rsidR="001F6307" w:rsidRPr="001F6307" w:rsidRDefault="001F6307" w:rsidP="0008710D">
      <w:pPr>
        <w:pStyle w:val="Heading4"/>
      </w:pPr>
      <w:r w:rsidRPr="001F6307">
        <w:t xml:space="preserve">Delegate’s considerations </w:t>
      </w:r>
    </w:p>
    <w:p w:rsidR="001F6307" w:rsidRPr="001F6307" w:rsidRDefault="001F6307" w:rsidP="0008710D">
      <w:pPr>
        <w:pStyle w:val="Heading5"/>
      </w:pPr>
      <w:r w:rsidRPr="001F6307">
        <w:t>Efficacy</w:t>
      </w:r>
    </w:p>
    <w:p w:rsidR="001F6307" w:rsidRPr="001F6307" w:rsidRDefault="001F6307" w:rsidP="0008710D">
      <w:r w:rsidRPr="001F6307">
        <w:t xml:space="preserve">The addition of OB to </w:t>
      </w:r>
      <w:proofErr w:type="spellStart"/>
      <w:r w:rsidRPr="001F6307">
        <w:t>Clb</w:t>
      </w:r>
      <w:proofErr w:type="spellEnd"/>
      <w:r w:rsidRPr="001F6307">
        <w:t xml:space="preserve"> in subjects with previously untreated CLL, with poor functional status and/or renal impairment, provides a clinically meaningful improvement in PFS and OS (median OS has not yet been met).</w:t>
      </w:r>
    </w:p>
    <w:p w:rsidR="001F6307" w:rsidRPr="001F6307" w:rsidRDefault="001F6307" w:rsidP="0008710D">
      <w:r w:rsidRPr="001F6307">
        <w:t xml:space="preserve">In subjects with previously untreated CLL, with poor functional status and/or renal impairment, </w:t>
      </w:r>
      <w:proofErr w:type="spellStart"/>
      <w:r w:rsidRPr="001F6307">
        <w:t>GClb</w:t>
      </w:r>
      <w:proofErr w:type="spellEnd"/>
      <w:r w:rsidRPr="001F6307">
        <w:t xml:space="preserve"> versus </w:t>
      </w:r>
      <w:proofErr w:type="spellStart"/>
      <w:r w:rsidRPr="001F6307">
        <w:t>RClb</w:t>
      </w:r>
      <w:proofErr w:type="spellEnd"/>
      <w:r w:rsidRPr="001F6307">
        <w:t xml:space="preserve"> demonstrates improved PFS with the former combination.</w:t>
      </w:r>
    </w:p>
    <w:p w:rsidR="001F6307" w:rsidRPr="001F6307" w:rsidRDefault="001F6307" w:rsidP="0008710D">
      <w:pPr>
        <w:pStyle w:val="Heading5"/>
      </w:pPr>
      <w:r w:rsidRPr="001F6307">
        <w:t>Safety</w:t>
      </w:r>
    </w:p>
    <w:p w:rsidR="001F6307" w:rsidRPr="001F6307" w:rsidRDefault="001F6307" w:rsidP="0008710D">
      <w:r w:rsidRPr="001F6307">
        <w:t xml:space="preserve">This overview precedes the Advisory Committee on the Safety of Medicines (ACSOM) meeting of 7 March 2014 where </w:t>
      </w:r>
      <w:proofErr w:type="spellStart"/>
      <w:r w:rsidRPr="001F6307">
        <w:t>Gazyva</w:t>
      </w:r>
      <w:proofErr w:type="spellEnd"/>
      <w:r w:rsidRPr="001F6307">
        <w:t xml:space="preserve"> was discussed.</w:t>
      </w:r>
    </w:p>
    <w:p w:rsidR="001F6307" w:rsidRPr="001F6307" w:rsidRDefault="001F6307" w:rsidP="0008710D">
      <w:r w:rsidRPr="001F6307">
        <w:t xml:space="preserve">A risk of hepatitis B reactivation and PML exists with </w:t>
      </w:r>
      <w:proofErr w:type="spellStart"/>
      <w:r w:rsidRPr="001F6307">
        <w:t>Gazyva</w:t>
      </w:r>
      <w:proofErr w:type="spellEnd"/>
      <w:r w:rsidRPr="001F6307">
        <w:t xml:space="preserve"> exposure; the Delegate considers these risks require a black box warning on the PI.</w:t>
      </w:r>
    </w:p>
    <w:p w:rsidR="001F6307" w:rsidRPr="001F6307" w:rsidRDefault="001F6307" w:rsidP="0008710D">
      <w:r w:rsidRPr="001F6307">
        <w:t xml:space="preserve">The overall incidence of AEs for </w:t>
      </w:r>
      <w:proofErr w:type="spellStart"/>
      <w:r w:rsidRPr="001F6307">
        <w:t>GClb</w:t>
      </w:r>
      <w:proofErr w:type="spellEnd"/>
      <w:r w:rsidRPr="001F6307">
        <w:t xml:space="preserve"> treated patients was higher than those receiving </w:t>
      </w:r>
      <w:proofErr w:type="spellStart"/>
      <w:r w:rsidRPr="001F6307">
        <w:t>RClb</w:t>
      </w:r>
      <w:proofErr w:type="spellEnd"/>
      <w:r w:rsidRPr="001F6307">
        <w:t xml:space="preserve"> or </w:t>
      </w:r>
      <w:proofErr w:type="spellStart"/>
      <w:r w:rsidRPr="001F6307">
        <w:t>Clb</w:t>
      </w:r>
      <w:proofErr w:type="spellEnd"/>
      <w:r w:rsidRPr="001F6307">
        <w:t xml:space="preserve"> alone, predominately due to infusion related reactions, </w:t>
      </w:r>
      <w:proofErr w:type="spellStart"/>
      <w:r w:rsidRPr="001F6307">
        <w:t>neutropaenia</w:t>
      </w:r>
      <w:proofErr w:type="spellEnd"/>
      <w:r w:rsidRPr="001F6307">
        <w:t xml:space="preserve"> and </w:t>
      </w:r>
      <w:proofErr w:type="spellStart"/>
      <w:r w:rsidRPr="001F6307">
        <w:t>thrombocytopaenia</w:t>
      </w:r>
      <w:proofErr w:type="spellEnd"/>
      <w:r w:rsidRPr="001F6307">
        <w:t>.</w:t>
      </w:r>
    </w:p>
    <w:p w:rsidR="001F6307" w:rsidRPr="001F6307" w:rsidRDefault="001F6307" w:rsidP="0008710D">
      <w:r w:rsidRPr="001F6307">
        <w:t xml:space="preserve">There is a risk of fatal </w:t>
      </w:r>
      <w:proofErr w:type="spellStart"/>
      <w:r w:rsidRPr="001F6307">
        <w:t>thrombocytopaenia</w:t>
      </w:r>
      <w:proofErr w:type="spellEnd"/>
      <w:r w:rsidRPr="001F6307">
        <w:t xml:space="preserve">/haemorrhage during the first cycle of </w:t>
      </w:r>
      <w:proofErr w:type="spellStart"/>
      <w:r w:rsidRPr="001F6307">
        <w:t>Gazyva</w:t>
      </w:r>
      <w:proofErr w:type="spellEnd"/>
      <w:r w:rsidRPr="001F6307">
        <w:t xml:space="preserve"> treatment.</w:t>
      </w:r>
    </w:p>
    <w:p w:rsidR="001F6307" w:rsidRPr="001F6307" w:rsidRDefault="001F6307" w:rsidP="0008710D">
      <w:r w:rsidRPr="001F6307">
        <w:t>The pre-medication and dose splitting regimens reduced the incidence of infusion related reactions, but are unlikely to abolish their occurrence completely.</w:t>
      </w:r>
    </w:p>
    <w:p w:rsidR="001F6307" w:rsidRPr="001F6307" w:rsidRDefault="001F6307" w:rsidP="0008710D">
      <w:r w:rsidRPr="001F6307">
        <w:t xml:space="preserve">No increase in the background risk of intestinal perforation at sites of CLL infiltration was seen with </w:t>
      </w:r>
      <w:proofErr w:type="spellStart"/>
      <w:r w:rsidRPr="001F6307">
        <w:t>Gazyva</w:t>
      </w:r>
      <w:proofErr w:type="spellEnd"/>
      <w:r w:rsidRPr="001F6307">
        <w:t xml:space="preserve"> therapy.</w:t>
      </w:r>
    </w:p>
    <w:p w:rsidR="001F6307" w:rsidRPr="001F6307" w:rsidRDefault="001F6307" w:rsidP="0008710D">
      <w:r w:rsidRPr="001F6307">
        <w:t xml:space="preserve">An increased risk of second malignancy following </w:t>
      </w:r>
      <w:proofErr w:type="spellStart"/>
      <w:r w:rsidRPr="001F6307">
        <w:t>Gazyva</w:t>
      </w:r>
      <w:proofErr w:type="spellEnd"/>
      <w:r w:rsidRPr="001F6307">
        <w:t xml:space="preserve"> therapy was not observed, but requires ongoing surveillance.</w:t>
      </w:r>
    </w:p>
    <w:p w:rsidR="001F6307" w:rsidRPr="001F6307" w:rsidRDefault="001F6307" w:rsidP="001F6307">
      <w:r w:rsidRPr="001F6307">
        <w:t xml:space="preserve">TLS occurs more commonly with the </w:t>
      </w:r>
      <w:proofErr w:type="spellStart"/>
      <w:r w:rsidRPr="001F6307">
        <w:t>GClb</w:t>
      </w:r>
      <w:proofErr w:type="spellEnd"/>
      <w:r w:rsidRPr="001F6307">
        <w:t xml:space="preserve"> combination than with </w:t>
      </w:r>
      <w:proofErr w:type="spellStart"/>
      <w:r w:rsidRPr="001F6307">
        <w:t>RClb</w:t>
      </w:r>
      <w:proofErr w:type="spellEnd"/>
      <w:r w:rsidRPr="001F6307">
        <w:t xml:space="preserve"> or </w:t>
      </w:r>
      <w:proofErr w:type="spellStart"/>
      <w:r w:rsidRPr="001F6307">
        <w:t>Clb</w:t>
      </w:r>
      <w:proofErr w:type="spellEnd"/>
      <w:r w:rsidRPr="001F6307">
        <w:t xml:space="preserve"> alone.</w:t>
      </w:r>
    </w:p>
    <w:p w:rsidR="001F6307" w:rsidRPr="001F6307" w:rsidRDefault="001F6307" w:rsidP="0008710D">
      <w:r w:rsidRPr="001F6307">
        <w:t xml:space="preserve">In patients shown to develop immunoglobulin depletion as a result of </w:t>
      </w:r>
      <w:proofErr w:type="spellStart"/>
      <w:r w:rsidRPr="001F6307">
        <w:t>Gazyva</w:t>
      </w:r>
      <w:proofErr w:type="spellEnd"/>
      <w:r w:rsidRPr="001F6307">
        <w:t xml:space="preserve"> therapy, the median duration of recovery was in the order of one year.</w:t>
      </w:r>
    </w:p>
    <w:p w:rsidR="001F6307" w:rsidRPr="001F6307" w:rsidRDefault="001F6307" w:rsidP="0008710D">
      <w:pPr>
        <w:pStyle w:val="Heading5"/>
      </w:pPr>
      <w:r w:rsidRPr="001F6307">
        <w:t>Indication as initially proposed by sponsor in this submission</w:t>
      </w:r>
    </w:p>
    <w:p w:rsidR="001F6307" w:rsidRPr="0008710D" w:rsidRDefault="001F6307" w:rsidP="0008710D">
      <w:pPr>
        <w:ind w:left="720"/>
        <w:rPr>
          <w:i/>
          <w:highlight w:val="yellow"/>
        </w:rPr>
      </w:pPr>
      <w:proofErr w:type="spellStart"/>
      <w:r w:rsidRPr="0008710D">
        <w:rPr>
          <w:i/>
        </w:rPr>
        <w:t>Gazyva</w:t>
      </w:r>
      <w:proofErr w:type="spellEnd"/>
      <w:r w:rsidRPr="0008710D">
        <w:rPr>
          <w:i/>
        </w:rPr>
        <w:t xml:space="preserve">, in combination with </w:t>
      </w:r>
      <w:proofErr w:type="spellStart"/>
      <w:r w:rsidRPr="0008710D">
        <w:rPr>
          <w:i/>
        </w:rPr>
        <w:t>chlorambucil</w:t>
      </w:r>
      <w:proofErr w:type="spellEnd"/>
      <w:r w:rsidRPr="0008710D">
        <w:rPr>
          <w:i/>
        </w:rPr>
        <w:t>, is indicated for the treatment of patients with previously untreated chronic lymphocytic leukaemia.</w:t>
      </w:r>
    </w:p>
    <w:p w:rsidR="001F6307" w:rsidRPr="001F6307" w:rsidRDefault="001F6307" w:rsidP="0008710D">
      <w:pPr>
        <w:pStyle w:val="Heading5"/>
      </w:pPr>
      <w:r w:rsidRPr="001F6307">
        <w:t>Overall risk-benefit</w:t>
      </w:r>
    </w:p>
    <w:p w:rsidR="001F6307" w:rsidRPr="001F6307" w:rsidRDefault="001F6307" w:rsidP="0008710D">
      <w:r w:rsidRPr="001F6307">
        <w:t xml:space="preserve">The combination of OB and </w:t>
      </w:r>
      <w:proofErr w:type="spellStart"/>
      <w:r w:rsidRPr="001F6307">
        <w:t>Clb</w:t>
      </w:r>
      <w:proofErr w:type="spellEnd"/>
      <w:r w:rsidRPr="001F6307">
        <w:t xml:space="preserve"> (that is, </w:t>
      </w:r>
      <w:proofErr w:type="spellStart"/>
      <w:r w:rsidRPr="001F6307">
        <w:t>GClb</w:t>
      </w:r>
      <w:proofErr w:type="spellEnd"/>
      <w:r w:rsidRPr="001F6307">
        <w:t xml:space="preserve">) resulted in a clinically meaningful and statistically significant improvement in PFS in CLL, which is currently characterised by </w:t>
      </w:r>
      <w:r w:rsidRPr="001F6307">
        <w:lastRenderedPageBreak/>
        <w:t xml:space="preserve">eventual relapse and long term treatment failure, as compared to </w:t>
      </w:r>
      <w:proofErr w:type="spellStart"/>
      <w:r w:rsidRPr="001F6307">
        <w:t>Clb</w:t>
      </w:r>
      <w:proofErr w:type="spellEnd"/>
      <w:r w:rsidRPr="001F6307">
        <w:t xml:space="preserve"> alone and the </w:t>
      </w:r>
      <w:proofErr w:type="spellStart"/>
      <w:r w:rsidRPr="001F6307">
        <w:t>RClb</w:t>
      </w:r>
      <w:proofErr w:type="spellEnd"/>
      <w:r w:rsidRPr="001F6307">
        <w:t xml:space="preserve"> combination. The higher incidence of AEs in patients treated with </w:t>
      </w:r>
      <w:proofErr w:type="spellStart"/>
      <w:r w:rsidRPr="001F6307">
        <w:t>Gazyva</w:t>
      </w:r>
      <w:proofErr w:type="spellEnd"/>
      <w:r w:rsidRPr="001F6307">
        <w:t xml:space="preserve"> and </w:t>
      </w:r>
      <w:proofErr w:type="spellStart"/>
      <w:r w:rsidRPr="001F6307">
        <w:t>Clb</w:t>
      </w:r>
      <w:proofErr w:type="spellEnd"/>
      <w:r w:rsidRPr="001F6307">
        <w:t xml:space="preserve"> compared to </w:t>
      </w:r>
      <w:proofErr w:type="spellStart"/>
      <w:r w:rsidRPr="001F6307">
        <w:t>Clb</w:t>
      </w:r>
      <w:proofErr w:type="spellEnd"/>
      <w:r w:rsidRPr="001F6307">
        <w:t xml:space="preserve"> and </w:t>
      </w:r>
      <w:proofErr w:type="spellStart"/>
      <w:r w:rsidRPr="001F6307">
        <w:t>RClb</w:t>
      </w:r>
      <w:proofErr w:type="spellEnd"/>
      <w:r w:rsidRPr="001F6307">
        <w:t xml:space="preserve"> was predominately due to infusion related reactions, which the sponsor concedes are unable to be completely abolished using a pre medication regimen (Round 2 responses to questions). The risk of </w:t>
      </w:r>
      <w:proofErr w:type="spellStart"/>
      <w:r w:rsidRPr="001F6307">
        <w:t>thrombocytopaenia</w:t>
      </w:r>
      <w:proofErr w:type="spellEnd"/>
      <w:r w:rsidRPr="001F6307">
        <w:t xml:space="preserve">/haemorrhages in the first cycle, and risk of second malignancy following </w:t>
      </w:r>
      <w:proofErr w:type="spellStart"/>
      <w:r w:rsidRPr="001F6307">
        <w:t>Gazyva</w:t>
      </w:r>
      <w:proofErr w:type="spellEnd"/>
      <w:r w:rsidRPr="001F6307">
        <w:t xml:space="preserve"> therapy require ongoing monitoring.</w:t>
      </w:r>
    </w:p>
    <w:p w:rsidR="001F6307" w:rsidRPr="0008710D" w:rsidRDefault="001F6307" w:rsidP="0008710D">
      <w:pPr>
        <w:rPr>
          <w:b/>
        </w:rPr>
      </w:pPr>
      <w:r w:rsidRPr="0008710D">
        <w:rPr>
          <w:b/>
        </w:rPr>
        <w:t xml:space="preserve">The overall risk-benefit favours the combination of OB and </w:t>
      </w:r>
      <w:proofErr w:type="spellStart"/>
      <w:r w:rsidRPr="0008710D">
        <w:rPr>
          <w:b/>
        </w:rPr>
        <w:t>chlorambucil</w:t>
      </w:r>
      <w:proofErr w:type="spellEnd"/>
      <w:r w:rsidRPr="0008710D">
        <w:rPr>
          <w:b/>
        </w:rPr>
        <w:t xml:space="preserve"> (that is, </w:t>
      </w:r>
      <w:proofErr w:type="spellStart"/>
      <w:r w:rsidRPr="0008710D">
        <w:rPr>
          <w:b/>
        </w:rPr>
        <w:t>GClb</w:t>
      </w:r>
      <w:proofErr w:type="spellEnd"/>
      <w:r w:rsidRPr="0008710D">
        <w:rPr>
          <w:b/>
        </w:rPr>
        <w:t>) in the proposed indication.</w:t>
      </w:r>
    </w:p>
    <w:p w:rsidR="001F6307" w:rsidRPr="001F6307" w:rsidRDefault="001F6307" w:rsidP="0008710D">
      <w:pPr>
        <w:pStyle w:val="Heading4"/>
      </w:pPr>
      <w:r w:rsidRPr="001F6307">
        <w:t>Request for ACPM advice</w:t>
      </w:r>
    </w:p>
    <w:p w:rsidR="001F6307" w:rsidRPr="001F6307" w:rsidRDefault="001F6307" w:rsidP="0008710D">
      <w:r w:rsidRPr="001F6307">
        <w:t xml:space="preserve">The </w:t>
      </w:r>
      <w:r w:rsidRPr="001F6307">
        <w:rPr>
          <w:bCs/>
        </w:rPr>
        <w:t>Advisory Committee on Prescription Medicines (ACPM)</w:t>
      </w:r>
      <w:r w:rsidRPr="001F6307">
        <w:t xml:space="preserve"> was requested to provide advice on the following specific issues:</w:t>
      </w:r>
    </w:p>
    <w:p w:rsidR="001F6307" w:rsidRPr="0008710D" w:rsidRDefault="001F6307" w:rsidP="0008710D">
      <w:pPr>
        <w:pStyle w:val="Numberbullet0"/>
        <w:numPr>
          <w:ilvl w:val="0"/>
          <w:numId w:val="38"/>
        </w:numPr>
        <w:rPr>
          <w:i/>
        </w:rPr>
      </w:pPr>
      <w:r w:rsidRPr="0008710D">
        <w:rPr>
          <w:i/>
        </w:rPr>
        <w:t>Does the risk-benefit balance favour OB use in the proposed indication?</w:t>
      </w:r>
    </w:p>
    <w:p w:rsidR="001F6307" w:rsidRPr="0008710D" w:rsidRDefault="001F6307" w:rsidP="0008710D">
      <w:pPr>
        <w:pStyle w:val="Numberbullet0"/>
        <w:rPr>
          <w:i/>
        </w:rPr>
      </w:pPr>
      <w:r w:rsidRPr="0008710D">
        <w:rPr>
          <w:i/>
        </w:rPr>
        <w:t xml:space="preserve">What is the opinion of the Committee regarding extending the use of </w:t>
      </w:r>
      <w:proofErr w:type="spellStart"/>
      <w:r w:rsidRPr="0008710D">
        <w:rPr>
          <w:i/>
        </w:rPr>
        <w:t>Gazyva</w:t>
      </w:r>
      <w:proofErr w:type="spellEnd"/>
      <w:r w:rsidRPr="0008710D">
        <w:rPr>
          <w:i/>
        </w:rPr>
        <w:t xml:space="preserve"> in combination with </w:t>
      </w:r>
      <w:proofErr w:type="spellStart"/>
      <w:r w:rsidRPr="0008710D">
        <w:rPr>
          <w:i/>
        </w:rPr>
        <w:t>Clb</w:t>
      </w:r>
      <w:proofErr w:type="spellEnd"/>
      <w:r w:rsidRPr="0008710D">
        <w:rPr>
          <w:i/>
        </w:rPr>
        <w:t xml:space="preserve"> to patients with CLL that are not poorly functioning or with normal creatinine clearance?</w:t>
      </w:r>
    </w:p>
    <w:p w:rsidR="001F6307" w:rsidRPr="0008710D" w:rsidRDefault="001F6307" w:rsidP="0008710D">
      <w:pPr>
        <w:pStyle w:val="Numberbullet0"/>
        <w:rPr>
          <w:i/>
        </w:rPr>
      </w:pPr>
      <w:r w:rsidRPr="0008710D">
        <w:rPr>
          <w:i/>
        </w:rPr>
        <w:t>What is the opinion of the Committee regarding the premedication and dose splitting regimens proposed?</w:t>
      </w:r>
    </w:p>
    <w:p w:rsidR="001F6307" w:rsidRPr="0008710D" w:rsidRDefault="001F6307" w:rsidP="0008710D">
      <w:pPr>
        <w:pStyle w:val="Numberbullet0"/>
        <w:rPr>
          <w:i/>
        </w:rPr>
      </w:pPr>
      <w:r w:rsidRPr="0008710D">
        <w:rPr>
          <w:i/>
        </w:rPr>
        <w:t xml:space="preserve">What is the opinion of the Committee regarding specific warnings for: hepatitis B reactivation, PML, and </w:t>
      </w:r>
      <w:proofErr w:type="spellStart"/>
      <w:r w:rsidRPr="0008710D">
        <w:rPr>
          <w:i/>
        </w:rPr>
        <w:t>thrombocytopaenia</w:t>
      </w:r>
      <w:proofErr w:type="spellEnd"/>
      <w:r w:rsidRPr="0008710D">
        <w:rPr>
          <w:i/>
        </w:rPr>
        <w:t xml:space="preserve"> and fatal haemorrhagic events during the first cycle?</w:t>
      </w:r>
    </w:p>
    <w:p w:rsidR="001F6307" w:rsidRPr="001F6307" w:rsidRDefault="001F6307" w:rsidP="0008710D">
      <w:r w:rsidRPr="001F6307">
        <w:t>The committee was requested to provide advice on any other issues that it thinks may be relevant to a decision on whether or not to approve this application.</w:t>
      </w:r>
    </w:p>
    <w:p w:rsidR="001F6307" w:rsidRPr="001F6307" w:rsidRDefault="001F6307" w:rsidP="0008710D">
      <w:pPr>
        <w:pStyle w:val="Heading4"/>
      </w:pPr>
      <w:r w:rsidRPr="001F6307">
        <w:t>Clinical evaluator’s recommendation</w:t>
      </w:r>
    </w:p>
    <w:p w:rsidR="001F6307" w:rsidRPr="001F6307" w:rsidRDefault="001F6307" w:rsidP="0008710D">
      <w:r w:rsidRPr="001F6307">
        <w:t>The Delegate proposes to approve the application for the indication proposed by the sponsor.</w:t>
      </w:r>
    </w:p>
    <w:p w:rsidR="001F6307" w:rsidRPr="001F6307" w:rsidRDefault="0008710D" w:rsidP="0008710D">
      <w:pPr>
        <w:pStyle w:val="Heading4"/>
      </w:pPr>
      <w:r>
        <w:t>Response from sponsor</w:t>
      </w:r>
    </w:p>
    <w:p w:rsidR="001F6307" w:rsidRPr="001F6307" w:rsidRDefault="001F6307" w:rsidP="0008710D">
      <w:pPr>
        <w:pStyle w:val="Heading5"/>
        <w:rPr>
          <w:lang w:eastAsia="en-AU"/>
        </w:rPr>
      </w:pPr>
      <w:r w:rsidRPr="001F6307">
        <w:rPr>
          <w:lang w:eastAsia="en-AU"/>
        </w:rPr>
        <w:t xml:space="preserve">Comment on the Delegate’s </w:t>
      </w:r>
      <w:r w:rsidR="0008710D">
        <w:rPr>
          <w:lang w:eastAsia="en-AU"/>
        </w:rPr>
        <w:t>p</w:t>
      </w:r>
      <w:r w:rsidRPr="001F6307">
        <w:rPr>
          <w:lang w:eastAsia="en-AU"/>
        </w:rPr>
        <w:t xml:space="preserve">roposed </w:t>
      </w:r>
      <w:r w:rsidR="0008710D">
        <w:rPr>
          <w:lang w:eastAsia="en-AU"/>
        </w:rPr>
        <w:t>a</w:t>
      </w:r>
      <w:r w:rsidRPr="001F6307">
        <w:rPr>
          <w:lang w:eastAsia="en-AU"/>
        </w:rPr>
        <w:t>ction</w:t>
      </w:r>
    </w:p>
    <w:p w:rsidR="001F6307" w:rsidRPr="001F6307" w:rsidRDefault="001F6307" w:rsidP="0008710D">
      <w:r w:rsidRPr="001F6307">
        <w:t xml:space="preserve">The sponsor concurs with the Delegate’s recommendation to approve </w:t>
      </w:r>
      <w:proofErr w:type="spellStart"/>
      <w:r w:rsidRPr="001F6307">
        <w:t>Gazyva</w:t>
      </w:r>
      <w:proofErr w:type="spellEnd"/>
      <w:r w:rsidRPr="001F6307">
        <w:t xml:space="preserve"> (</w:t>
      </w:r>
      <w:proofErr w:type="spellStart"/>
      <w:r w:rsidRPr="001F6307">
        <w:t>obinutuzumab</w:t>
      </w:r>
      <w:proofErr w:type="spellEnd"/>
      <w:r w:rsidRPr="001F6307">
        <w:t>) 1000 mg/40 mL concentrate solution for infusion vial for the indication:</w:t>
      </w:r>
    </w:p>
    <w:p w:rsidR="001F6307" w:rsidRPr="0008710D" w:rsidRDefault="001F6307" w:rsidP="0008710D">
      <w:pPr>
        <w:ind w:left="720"/>
        <w:rPr>
          <w:i/>
        </w:rPr>
      </w:pPr>
      <w:proofErr w:type="spellStart"/>
      <w:r w:rsidRPr="0008710D">
        <w:rPr>
          <w:i/>
        </w:rPr>
        <w:t>Gazyva</w:t>
      </w:r>
      <w:proofErr w:type="spellEnd"/>
      <w:r w:rsidRPr="0008710D">
        <w:rPr>
          <w:i/>
        </w:rPr>
        <w:t xml:space="preserve"> in combination with </w:t>
      </w:r>
      <w:proofErr w:type="spellStart"/>
      <w:r w:rsidRPr="0008710D">
        <w:rPr>
          <w:i/>
        </w:rPr>
        <w:t>Clb</w:t>
      </w:r>
      <w:proofErr w:type="spellEnd"/>
      <w:r w:rsidRPr="0008710D">
        <w:rPr>
          <w:i/>
        </w:rPr>
        <w:t xml:space="preserve"> is indicated for the treatment of patients with previously untreated chronic lymphocytic leukaemia (CLL).</w:t>
      </w:r>
    </w:p>
    <w:p w:rsidR="001F6307" w:rsidRPr="001F6307" w:rsidRDefault="001F6307" w:rsidP="0008710D">
      <w:pPr>
        <w:pStyle w:val="Heading5"/>
      </w:pPr>
      <w:r w:rsidRPr="001F6307">
        <w:t xml:space="preserve">Sponsor comment on issues raised in the Delegate’s </w:t>
      </w:r>
      <w:r w:rsidR="0008710D">
        <w:t>o</w:t>
      </w:r>
      <w:r w:rsidRPr="001F6307">
        <w:t>verview and advice sought of the ACPM</w:t>
      </w:r>
    </w:p>
    <w:p w:rsidR="001F6307" w:rsidRPr="0008710D" w:rsidRDefault="001F6307" w:rsidP="0008710D">
      <w:pPr>
        <w:pStyle w:val="Numberbullet0"/>
        <w:numPr>
          <w:ilvl w:val="0"/>
          <w:numId w:val="39"/>
        </w:numPr>
        <w:rPr>
          <w:i/>
        </w:rPr>
      </w:pPr>
      <w:r w:rsidRPr="0008710D">
        <w:rPr>
          <w:i/>
        </w:rPr>
        <w:t xml:space="preserve">Does the risk-benefit balance favour </w:t>
      </w:r>
      <w:proofErr w:type="spellStart"/>
      <w:r w:rsidRPr="0008710D">
        <w:rPr>
          <w:i/>
        </w:rPr>
        <w:t>obinutuzumab</w:t>
      </w:r>
      <w:proofErr w:type="spellEnd"/>
      <w:r w:rsidRPr="0008710D">
        <w:rPr>
          <w:i/>
        </w:rPr>
        <w:t xml:space="preserve"> use in the proposed indication?</w:t>
      </w:r>
    </w:p>
    <w:p w:rsidR="001F6307" w:rsidRPr="001F6307" w:rsidRDefault="001F6307" w:rsidP="0008710D">
      <w:r w:rsidRPr="001F6307">
        <w:t xml:space="preserve">The sponsor considers the benefit/risk profile of the </w:t>
      </w:r>
      <w:proofErr w:type="spellStart"/>
      <w:r w:rsidRPr="001F6307">
        <w:t>GClb</w:t>
      </w:r>
      <w:proofErr w:type="spellEnd"/>
      <w:r w:rsidRPr="001F6307">
        <w:t xml:space="preserve"> combination to be positive in the proposed indication. The efficacy data gained from pivotal Study BO21004 confirms the superiority of </w:t>
      </w:r>
      <w:proofErr w:type="spellStart"/>
      <w:r w:rsidRPr="001F6307">
        <w:t>GClb</w:t>
      </w:r>
      <w:proofErr w:type="spellEnd"/>
      <w:r w:rsidRPr="001F6307">
        <w:t xml:space="preserve"> treatment to the other study arms, with an acceptable safety profile.</w:t>
      </w:r>
    </w:p>
    <w:p w:rsidR="001F6307" w:rsidRPr="001F6307" w:rsidRDefault="001F6307" w:rsidP="0008710D">
      <w:r w:rsidRPr="001F6307">
        <w:t xml:space="preserve">CLL represents a serious, life threatening disease with medical need for improved treatment. The results obtained with </w:t>
      </w:r>
      <w:proofErr w:type="spellStart"/>
      <w:r w:rsidRPr="001F6307">
        <w:t>GClb</w:t>
      </w:r>
      <w:proofErr w:type="spellEnd"/>
      <w:r w:rsidRPr="001F6307">
        <w:t xml:space="preserve"> showed superiority over </w:t>
      </w:r>
      <w:proofErr w:type="spellStart"/>
      <w:r w:rsidRPr="001F6307">
        <w:t>Clb</w:t>
      </w:r>
      <w:proofErr w:type="spellEnd"/>
      <w:r w:rsidRPr="001F6307">
        <w:t xml:space="preserve"> for the first time in a randomised Phase III setting. This is an important advance in clinical benefit for this group of patients who otherwise have limited alternative treatment options. The results </w:t>
      </w:r>
      <w:r w:rsidRPr="001F6307">
        <w:lastRenderedPageBreak/>
        <w:t>are not only statistically significant and clinically relevant, but they also represent a “real world” setting since the median age of patients enrolled in BO21004 is very similar to the median age of patients diagnosed with CLL.</w:t>
      </w:r>
    </w:p>
    <w:p w:rsidR="001F6307" w:rsidRPr="001F6307" w:rsidRDefault="001F6307" w:rsidP="0008710D">
      <w:r w:rsidRPr="001F6307">
        <w:t xml:space="preserve">BO21004 was an open label, multicentre, three </w:t>
      </w:r>
      <w:proofErr w:type="gramStart"/>
      <w:r w:rsidRPr="001F6307">
        <w:t>arm</w:t>
      </w:r>
      <w:proofErr w:type="gramEnd"/>
      <w:r w:rsidRPr="001F6307">
        <w:t xml:space="preserve"> randomised, Phase III study comparing the efficacy and safety of </w:t>
      </w:r>
      <w:proofErr w:type="spellStart"/>
      <w:r w:rsidRPr="001F6307">
        <w:t>GClb</w:t>
      </w:r>
      <w:proofErr w:type="spellEnd"/>
      <w:r w:rsidRPr="001F6307">
        <w:t xml:space="preserve">, </w:t>
      </w:r>
      <w:proofErr w:type="spellStart"/>
      <w:r w:rsidRPr="001F6307">
        <w:t>RClb</w:t>
      </w:r>
      <w:proofErr w:type="spellEnd"/>
      <w:r w:rsidRPr="001F6307">
        <w:t xml:space="preserve">, and </w:t>
      </w:r>
      <w:proofErr w:type="spellStart"/>
      <w:r w:rsidRPr="001F6307">
        <w:t>Clb</w:t>
      </w:r>
      <w:proofErr w:type="spellEnd"/>
      <w:r w:rsidRPr="001F6307">
        <w:t xml:space="preserve"> alone in co-morbid patients with previously untreated CLL. The study was divided into two stages:</w:t>
      </w:r>
    </w:p>
    <w:tbl>
      <w:tblPr>
        <w:tblStyle w:val="TableTGAblue"/>
        <w:tblW w:w="0" w:type="auto"/>
        <w:tblLook w:val="0480" w:firstRow="0" w:lastRow="0" w:firstColumn="1" w:lastColumn="0" w:noHBand="0" w:noVBand="1"/>
      </w:tblPr>
      <w:tblGrid>
        <w:gridCol w:w="1384"/>
        <w:gridCol w:w="7336"/>
      </w:tblGrid>
      <w:tr w:rsidR="001F6307" w:rsidRPr="001F6307" w:rsidTr="0008710D">
        <w:tc>
          <w:tcPr>
            <w:tcW w:w="1384" w:type="dxa"/>
          </w:tcPr>
          <w:p w:rsidR="001F6307" w:rsidRPr="001F6307" w:rsidRDefault="001F6307" w:rsidP="0008710D">
            <w:r w:rsidRPr="001F6307">
              <w:t>Stage 1a</w:t>
            </w:r>
          </w:p>
        </w:tc>
        <w:tc>
          <w:tcPr>
            <w:tcW w:w="7336" w:type="dxa"/>
          </w:tcPr>
          <w:p w:rsidR="001F6307" w:rsidRPr="001F6307" w:rsidRDefault="001F6307" w:rsidP="0008710D">
            <w:r w:rsidRPr="001F6307">
              <w:t xml:space="preserve">A comparison of </w:t>
            </w:r>
            <w:proofErr w:type="spellStart"/>
            <w:r w:rsidRPr="001F6307">
              <w:t>Gazyva</w:t>
            </w:r>
            <w:proofErr w:type="spellEnd"/>
            <w:r w:rsidRPr="001F6307">
              <w:t xml:space="preserve"> plus </w:t>
            </w:r>
            <w:proofErr w:type="spellStart"/>
            <w:r w:rsidRPr="001F6307">
              <w:t>chlorambucil</w:t>
            </w:r>
            <w:proofErr w:type="spellEnd"/>
            <w:r w:rsidRPr="001F6307">
              <w:t xml:space="preserve"> (</w:t>
            </w:r>
            <w:proofErr w:type="spellStart"/>
            <w:r w:rsidRPr="001F6307">
              <w:t>GClb</w:t>
            </w:r>
            <w:proofErr w:type="spellEnd"/>
            <w:r w:rsidRPr="001F6307">
              <w:t xml:space="preserve">) versus </w:t>
            </w:r>
            <w:proofErr w:type="spellStart"/>
            <w:r w:rsidRPr="001F6307">
              <w:t>chlorambucil</w:t>
            </w:r>
            <w:proofErr w:type="spellEnd"/>
            <w:r w:rsidRPr="001F6307">
              <w:t xml:space="preserve"> (</w:t>
            </w:r>
            <w:proofErr w:type="spellStart"/>
            <w:r w:rsidRPr="001F6307">
              <w:t>Clb</w:t>
            </w:r>
            <w:proofErr w:type="spellEnd"/>
            <w:r w:rsidRPr="001F6307">
              <w:t>) alone</w:t>
            </w:r>
          </w:p>
        </w:tc>
      </w:tr>
      <w:tr w:rsidR="001F6307" w:rsidRPr="001F6307" w:rsidTr="0008710D">
        <w:tc>
          <w:tcPr>
            <w:tcW w:w="1384" w:type="dxa"/>
          </w:tcPr>
          <w:p w:rsidR="001F6307" w:rsidRPr="001F6307" w:rsidRDefault="001F6307" w:rsidP="0008710D">
            <w:r w:rsidRPr="001F6307">
              <w:t>Stage 1b</w:t>
            </w:r>
          </w:p>
        </w:tc>
        <w:tc>
          <w:tcPr>
            <w:tcW w:w="7336" w:type="dxa"/>
          </w:tcPr>
          <w:p w:rsidR="001F6307" w:rsidRPr="001F6307" w:rsidRDefault="001F6307" w:rsidP="0008710D">
            <w:r w:rsidRPr="001F6307">
              <w:t xml:space="preserve">A comparison of rituximab plus </w:t>
            </w:r>
            <w:proofErr w:type="spellStart"/>
            <w:r w:rsidRPr="001F6307">
              <w:t>chlorambucil</w:t>
            </w:r>
            <w:proofErr w:type="spellEnd"/>
            <w:r w:rsidRPr="001F6307">
              <w:t xml:space="preserve"> (</w:t>
            </w:r>
            <w:proofErr w:type="spellStart"/>
            <w:r w:rsidRPr="001F6307">
              <w:t>RClb</w:t>
            </w:r>
            <w:proofErr w:type="spellEnd"/>
            <w:r w:rsidRPr="001F6307">
              <w:t xml:space="preserve">) versus </w:t>
            </w:r>
            <w:proofErr w:type="spellStart"/>
            <w:r w:rsidRPr="001F6307">
              <w:t>chlorambucil</w:t>
            </w:r>
            <w:proofErr w:type="spellEnd"/>
            <w:r w:rsidRPr="001F6307">
              <w:t xml:space="preserve"> (</w:t>
            </w:r>
            <w:proofErr w:type="spellStart"/>
            <w:r w:rsidRPr="001F6307">
              <w:t>Clb</w:t>
            </w:r>
            <w:proofErr w:type="spellEnd"/>
            <w:r w:rsidRPr="001F6307">
              <w:t>) alone</w:t>
            </w:r>
          </w:p>
        </w:tc>
      </w:tr>
      <w:tr w:rsidR="001F6307" w:rsidRPr="001F6307" w:rsidTr="0008710D">
        <w:tc>
          <w:tcPr>
            <w:tcW w:w="1384" w:type="dxa"/>
          </w:tcPr>
          <w:p w:rsidR="001F6307" w:rsidRPr="001F6307" w:rsidRDefault="001F6307" w:rsidP="0008710D">
            <w:r w:rsidRPr="001F6307">
              <w:t>Stage 2</w:t>
            </w:r>
          </w:p>
        </w:tc>
        <w:tc>
          <w:tcPr>
            <w:tcW w:w="7336" w:type="dxa"/>
          </w:tcPr>
          <w:p w:rsidR="001F6307" w:rsidRPr="001F6307" w:rsidRDefault="001F6307" w:rsidP="0008710D">
            <w:r w:rsidRPr="001F6307">
              <w:t xml:space="preserve">A comparison of </w:t>
            </w:r>
            <w:proofErr w:type="spellStart"/>
            <w:r w:rsidRPr="001F6307">
              <w:t>RClb</w:t>
            </w:r>
            <w:proofErr w:type="spellEnd"/>
            <w:r w:rsidRPr="001F6307">
              <w:t xml:space="preserve"> versus </w:t>
            </w:r>
            <w:proofErr w:type="spellStart"/>
            <w:r w:rsidRPr="001F6307">
              <w:t>GClb</w:t>
            </w:r>
            <w:proofErr w:type="spellEnd"/>
            <w:r w:rsidRPr="001F6307">
              <w:t xml:space="preserve"> </w:t>
            </w:r>
          </w:p>
        </w:tc>
      </w:tr>
    </w:tbl>
    <w:p w:rsidR="001F6307" w:rsidRPr="001F6307" w:rsidRDefault="001F6307" w:rsidP="0008710D">
      <w:r w:rsidRPr="001F6307">
        <w:t xml:space="preserve">The results from Stage 1a of BO21004 demonstrated that treatment with </w:t>
      </w:r>
      <w:proofErr w:type="spellStart"/>
      <w:r w:rsidRPr="001F6307">
        <w:t>GClb</w:t>
      </w:r>
      <w:proofErr w:type="spellEnd"/>
      <w:r w:rsidRPr="001F6307">
        <w:t xml:space="preserve"> compared with </w:t>
      </w:r>
      <w:proofErr w:type="spellStart"/>
      <w:r w:rsidRPr="001F6307">
        <w:t>Clb</w:t>
      </w:r>
      <w:proofErr w:type="spellEnd"/>
      <w:r w:rsidRPr="001F6307">
        <w:t xml:space="preserve"> resulted in a clinically meaningful improvement in PFS (primary endpoint; stratified HR = 0.18, 95% CI [0.13; 0.24], log-rank test p &lt;0.0001, median PFS 26.7 months </w:t>
      </w:r>
      <w:proofErr w:type="spellStart"/>
      <w:r w:rsidRPr="001F6307">
        <w:t>GClb</w:t>
      </w:r>
      <w:proofErr w:type="spellEnd"/>
      <w:r w:rsidRPr="001F6307">
        <w:t xml:space="preserve"> arm versus 11.1 months </w:t>
      </w:r>
      <w:proofErr w:type="spellStart"/>
      <w:r w:rsidRPr="001F6307">
        <w:t>Clb</w:t>
      </w:r>
      <w:proofErr w:type="spellEnd"/>
      <w:r w:rsidRPr="001F6307">
        <w:t xml:space="preserve"> arm; updated analysis) and all time-to-event parameters. A statistically significant benefit in favour of </w:t>
      </w:r>
      <w:proofErr w:type="spellStart"/>
      <w:r w:rsidRPr="001F6307">
        <w:t>GClb</w:t>
      </w:r>
      <w:proofErr w:type="spellEnd"/>
      <w:r w:rsidRPr="001F6307">
        <w:t xml:space="preserve"> was also observed in OS (stratified HR = 0.41, 95% CI [0.23; 0.74], log-rank test p = 0.0022 [unadjusted for multiplicity], updated analysis).</w:t>
      </w:r>
    </w:p>
    <w:p w:rsidR="001F6307" w:rsidRPr="001F6307" w:rsidRDefault="001F6307" w:rsidP="0008710D">
      <w:r w:rsidRPr="001F6307">
        <w:t xml:space="preserve">The results from Stage 2 of BO21004 demonstrated that treatment with </w:t>
      </w:r>
      <w:proofErr w:type="spellStart"/>
      <w:r w:rsidRPr="001F6307">
        <w:t>GClb</w:t>
      </w:r>
      <w:proofErr w:type="spellEnd"/>
      <w:r w:rsidRPr="001F6307">
        <w:t xml:space="preserve"> resulted in a clinically meaningful and statistically significant improvement in the primary endpoint compared to </w:t>
      </w:r>
      <w:proofErr w:type="spellStart"/>
      <w:r w:rsidRPr="001F6307">
        <w:t>RClb</w:t>
      </w:r>
      <w:proofErr w:type="spellEnd"/>
      <w:r w:rsidRPr="001F6307">
        <w:t xml:space="preserve"> (PFS, stratified HR = 0.39, 95% CI [0.31; 0.49], log-rank test p-value &lt;0.0001, median PFS 26.7 months </w:t>
      </w:r>
      <w:proofErr w:type="spellStart"/>
      <w:r w:rsidRPr="001F6307">
        <w:t>GClb</w:t>
      </w:r>
      <w:proofErr w:type="spellEnd"/>
      <w:r w:rsidRPr="001F6307">
        <w:t xml:space="preserve"> arm versus 15.2 months </w:t>
      </w:r>
      <w:proofErr w:type="spellStart"/>
      <w:r w:rsidRPr="001F6307">
        <w:t>RClb</w:t>
      </w:r>
      <w:proofErr w:type="spellEnd"/>
      <w:r w:rsidRPr="001F6307">
        <w:t xml:space="preserve"> arm). The results were consistent for investigator and IRC assessed PFS and across the pre-specified subgroups for investigator assessed PFS. Sensitivity analyses of the PFS outcome supported the primary analysis. Statistically significant improvements were observed in all of the secondary efficacy endpoints apart from OS for which the data are not yet mature.</w:t>
      </w:r>
    </w:p>
    <w:p w:rsidR="001F6307" w:rsidRPr="001F6307" w:rsidRDefault="001F6307" w:rsidP="0008710D">
      <w:r w:rsidRPr="001F6307">
        <w:t xml:space="preserve">Efficacy data from supporting Phase I/II studies demonstrated </w:t>
      </w:r>
      <w:proofErr w:type="spellStart"/>
      <w:r w:rsidRPr="001F6307">
        <w:t>Gazyva</w:t>
      </w:r>
      <w:proofErr w:type="spellEnd"/>
      <w:r w:rsidRPr="001F6307">
        <w:t xml:space="preserve"> activity as a single agent or in combination with chemotherapy in patients with CLL, including patients who have been heavily pre-treated.</w:t>
      </w:r>
    </w:p>
    <w:p w:rsidR="001F6307" w:rsidRPr="001F6307" w:rsidRDefault="001F6307" w:rsidP="0008710D">
      <w:r w:rsidRPr="001F6307">
        <w:t xml:space="preserve">The overall safety profile of </w:t>
      </w:r>
      <w:proofErr w:type="spellStart"/>
      <w:r w:rsidRPr="001F6307">
        <w:t>Gazyva</w:t>
      </w:r>
      <w:proofErr w:type="spellEnd"/>
      <w:r w:rsidRPr="001F6307">
        <w:t xml:space="preserve"> based on data from Stage 2 of BO21004 is consistent in nature, severity and incidence with that observed in Stage 1a. The safety profile, with respect to type of AEs, was generally comparable between the </w:t>
      </w:r>
      <w:proofErr w:type="spellStart"/>
      <w:r w:rsidRPr="001F6307">
        <w:t>RClb</w:t>
      </w:r>
      <w:proofErr w:type="spellEnd"/>
      <w:r w:rsidRPr="001F6307">
        <w:t xml:space="preserve"> and </w:t>
      </w:r>
      <w:proofErr w:type="spellStart"/>
      <w:r w:rsidRPr="001F6307">
        <w:t>GClb</w:t>
      </w:r>
      <w:proofErr w:type="spellEnd"/>
      <w:r w:rsidRPr="001F6307">
        <w:t xml:space="preserve"> arms. There was a lower incidence of deaths (all cause) and grade 5 (fatal) AEs in the </w:t>
      </w:r>
      <w:proofErr w:type="spellStart"/>
      <w:r w:rsidRPr="001F6307">
        <w:t>GClb</w:t>
      </w:r>
      <w:proofErr w:type="spellEnd"/>
      <w:r w:rsidRPr="001F6307">
        <w:t xml:space="preserve"> arm compared with the </w:t>
      </w:r>
      <w:proofErr w:type="spellStart"/>
      <w:r w:rsidRPr="001F6307">
        <w:t>RClb</w:t>
      </w:r>
      <w:proofErr w:type="spellEnd"/>
      <w:r w:rsidRPr="001F6307">
        <w:t xml:space="preserve"> arm. There was a higher incidence with </w:t>
      </w:r>
      <w:proofErr w:type="spellStart"/>
      <w:r w:rsidRPr="001F6307">
        <w:t>GClb</w:t>
      </w:r>
      <w:proofErr w:type="spellEnd"/>
      <w:r w:rsidRPr="001F6307">
        <w:t xml:space="preserve"> compared with </w:t>
      </w:r>
      <w:proofErr w:type="spellStart"/>
      <w:r w:rsidRPr="001F6307">
        <w:t>RClb</w:t>
      </w:r>
      <w:proofErr w:type="spellEnd"/>
      <w:r w:rsidRPr="001F6307">
        <w:t xml:space="preserve"> for all Grade AEs, AEs leading to withdrawal of any study medication, SAEs, and grade ≥ 3 AEs. These differences were mainly driven by IRRs and to a lesser extent neutropenia and thrombocytopenia.</w:t>
      </w:r>
    </w:p>
    <w:p w:rsidR="001F6307" w:rsidRPr="001F6307" w:rsidRDefault="001F6307" w:rsidP="0008710D">
      <w:r w:rsidRPr="001F6307">
        <w:t xml:space="preserve">The higher incidence of IRRs in the </w:t>
      </w:r>
      <w:proofErr w:type="spellStart"/>
      <w:r w:rsidRPr="001F6307">
        <w:t>GClb</w:t>
      </w:r>
      <w:proofErr w:type="spellEnd"/>
      <w:r w:rsidRPr="001F6307">
        <w:t xml:space="preserve"> arm could be due to the more potent cytotoxic effect of OB on CD20 positive B cells and related cytokine release. CD19 positive lymphocytes (that is, lymphocytes of B cell lineage) were found to be more profoundly and rapidly depleted by OB than by rituximab. The rapid and profound depletion of B cells in Cycle 1 may explain the pattern of IRRs seen with OB. Overall, in the </w:t>
      </w:r>
      <w:proofErr w:type="spellStart"/>
      <w:r w:rsidRPr="001F6307">
        <w:t>GClb</w:t>
      </w:r>
      <w:proofErr w:type="spellEnd"/>
      <w:r w:rsidRPr="001F6307">
        <w:t xml:space="preserve"> arm, IRRs were generally manageable and the majority of events were grade 1 or 2 in severity. There were no fatal IRRs reported in either study arm.</w:t>
      </w:r>
    </w:p>
    <w:p w:rsidR="001F6307" w:rsidRPr="001F6307" w:rsidRDefault="001F6307" w:rsidP="0008710D">
      <w:r w:rsidRPr="001F6307">
        <w:t xml:space="preserve">Neutropenia is considered an expected effect of therapy with </w:t>
      </w:r>
      <w:proofErr w:type="spellStart"/>
      <w:r w:rsidRPr="001F6307">
        <w:t>Gazyva</w:t>
      </w:r>
      <w:proofErr w:type="spellEnd"/>
      <w:r w:rsidRPr="001F6307">
        <w:t xml:space="preserve"> based on previous clinical observations with rituximab and new understanding of the interactions between </w:t>
      </w:r>
      <w:r w:rsidRPr="001F6307">
        <w:lastRenderedPageBreak/>
        <w:t xml:space="preserve">CD20 targeted monoclonal antibodies and </w:t>
      </w:r>
      <w:proofErr w:type="spellStart"/>
      <w:r w:rsidRPr="001F6307">
        <w:t>polymorphonuclear</w:t>
      </w:r>
      <w:proofErr w:type="spellEnd"/>
      <w:r w:rsidRPr="001F6307">
        <w:t xml:space="preserve"> neutrophils.</w:t>
      </w:r>
      <w:r w:rsidRPr="001F6307">
        <w:rPr>
          <w:vertAlign w:val="superscript"/>
        </w:rPr>
        <w:footnoteReference w:id="4"/>
      </w:r>
      <w:r w:rsidRPr="001F6307">
        <w:t xml:space="preserve"> The higher incidence of neutropenia reported in the </w:t>
      </w:r>
      <w:proofErr w:type="spellStart"/>
      <w:r w:rsidRPr="001F6307">
        <w:t>GClb</w:t>
      </w:r>
      <w:proofErr w:type="spellEnd"/>
      <w:r w:rsidRPr="001F6307">
        <w:t xml:space="preserve"> arm may reflect the higher binding affinity of OB to CD16B expressed on neutrophils. Despite the more profound effect of OB on neutrophils and the more profound and prolonged depletion of B cells with </w:t>
      </w:r>
      <w:proofErr w:type="spellStart"/>
      <w:r w:rsidRPr="001F6307">
        <w:t>GClb</w:t>
      </w:r>
      <w:proofErr w:type="spellEnd"/>
      <w:r w:rsidRPr="001F6307">
        <w:t xml:space="preserve"> compared with </w:t>
      </w:r>
      <w:proofErr w:type="spellStart"/>
      <w:r w:rsidRPr="001F6307">
        <w:t>RClb</w:t>
      </w:r>
      <w:proofErr w:type="spellEnd"/>
      <w:r w:rsidRPr="001F6307">
        <w:t>, there were no imbalances in the incidence of infections, serious infections and withdrawals due to infections between the treatment arms. Fatal infections, which account for up to 50% of deaths in patients with CLL,</w:t>
      </w:r>
      <w:r w:rsidRPr="001F6307">
        <w:rPr>
          <w:vertAlign w:val="superscript"/>
        </w:rPr>
        <w:footnoteReference w:id="5"/>
      </w:r>
      <w:r w:rsidRPr="001F6307">
        <w:t xml:space="preserve"> occurred at a low incidence in BO21004. This favourable outcome may be partly attributed to the risk minimisation strategies implemented in the study protocol (prophylaxis with </w:t>
      </w:r>
      <w:proofErr w:type="spellStart"/>
      <w:r w:rsidRPr="001F6307">
        <w:t>granocyte</w:t>
      </w:r>
      <w:proofErr w:type="spellEnd"/>
      <w:r w:rsidRPr="001F6307">
        <w:t xml:space="preserve">-colony stimulating factor [G-CSF] and anti </w:t>
      </w:r>
      <w:proofErr w:type="spellStart"/>
      <w:r w:rsidRPr="001F6307">
        <w:t>infectives</w:t>
      </w:r>
      <w:proofErr w:type="spellEnd"/>
      <w:r w:rsidRPr="001F6307">
        <w:t xml:space="preserve">) but it could also reflect the superior efficacy afforded by the </w:t>
      </w:r>
      <w:proofErr w:type="spellStart"/>
      <w:r w:rsidRPr="001F6307">
        <w:t>GClb</w:t>
      </w:r>
      <w:proofErr w:type="spellEnd"/>
      <w:r w:rsidRPr="001F6307">
        <w:t xml:space="preserve"> regimen since patients in remission are less prone to infections. There were no cases of PML or hepatitis B virus reactivation among </w:t>
      </w:r>
      <w:proofErr w:type="spellStart"/>
      <w:r w:rsidRPr="001F6307">
        <w:t>GClb</w:t>
      </w:r>
      <w:proofErr w:type="spellEnd"/>
      <w:r w:rsidRPr="001F6307">
        <w:t xml:space="preserve"> treated patients. Reactivation of HBV was reported for two patients in the </w:t>
      </w:r>
      <w:proofErr w:type="spellStart"/>
      <w:r w:rsidRPr="001F6307">
        <w:t>RClb</w:t>
      </w:r>
      <w:proofErr w:type="spellEnd"/>
      <w:r w:rsidRPr="001F6307">
        <w:t xml:space="preserve"> arm.</w:t>
      </w:r>
    </w:p>
    <w:p w:rsidR="001F6307" w:rsidRPr="001F6307" w:rsidRDefault="001F6307" w:rsidP="0008710D">
      <w:r w:rsidRPr="001F6307">
        <w:t xml:space="preserve">Thrombocytopenia (all grade and grade 3 or 4) was more frequent with </w:t>
      </w:r>
      <w:proofErr w:type="spellStart"/>
      <w:r w:rsidRPr="001F6307">
        <w:t>GClb</w:t>
      </w:r>
      <w:proofErr w:type="spellEnd"/>
      <w:r w:rsidRPr="001F6307">
        <w:t xml:space="preserve"> compared with </w:t>
      </w:r>
      <w:proofErr w:type="spellStart"/>
      <w:r w:rsidRPr="001F6307">
        <w:t>RClb</w:t>
      </w:r>
      <w:proofErr w:type="spellEnd"/>
      <w:r w:rsidRPr="001F6307">
        <w:t xml:space="preserve">, mainly due to a higher rate of events in Cycle 1. However, the incidence of haemorrhagic events was balanced between the study arms and grade 5 events occurred in a similar number of patients in each arm (3 </w:t>
      </w:r>
      <w:proofErr w:type="spellStart"/>
      <w:r w:rsidRPr="001F6307">
        <w:t>RClb</w:t>
      </w:r>
      <w:proofErr w:type="spellEnd"/>
      <w:r w:rsidRPr="001F6307">
        <w:t xml:space="preserve"> versus 4 </w:t>
      </w:r>
      <w:proofErr w:type="spellStart"/>
      <w:r w:rsidRPr="001F6307">
        <w:t>GClb</w:t>
      </w:r>
      <w:proofErr w:type="spellEnd"/>
      <w:r w:rsidRPr="001F6307">
        <w:t xml:space="preserve">). All 4 deaths in the </w:t>
      </w:r>
      <w:proofErr w:type="spellStart"/>
      <w:r w:rsidRPr="001F6307">
        <w:t>GClb</w:t>
      </w:r>
      <w:proofErr w:type="spellEnd"/>
      <w:r w:rsidRPr="001F6307">
        <w:t xml:space="preserve"> arm occurred during Cycle 1 whereas deaths in the </w:t>
      </w:r>
      <w:proofErr w:type="spellStart"/>
      <w:r w:rsidRPr="001F6307">
        <w:t>RClb</w:t>
      </w:r>
      <w:proofErr w:type="spellEnd"/>
      <w:r w:rsidRPr="001F6307">
        <w:t xml:space="preserve"> arm all occurred late (after treatment completion). Review of deaths in the </w:t>
      </w:r>
      <w:proofErr w:type="spellStart"/>
      <w:r w:rsidRPr="001F6307">
        <w:t>GClb</w:t>
      </w:r>
      <w:proofErr w:type="spellEnd"/>
      <w:r w:rsidRPr="001F6307">
        <w:t xml:space="preserve"> arm did not show a clear relationship between thrombocytopenia and haemorrhages since, in the majority of cases, there were other confounding factors. In view of the early deaths due to haemorrhage observed in the </w:t>
      </w:r>
      <w:proofErr w:type="spellStart"/>
      <w:r w:rsidRPr="001F6307">
        <w:t>GClb</w:t>
      </w:r>
      <w:proofErr w:type="spellEnd"/>
      <w:r w:rsidRPr="001F6307">
        <w:t xml:space="preserve"> arm, the sponsor has proposed appropriate advice for the PI and issued a “Dear Healthcare Provider” letter to clinical trial investigators. Clinical trial guidance documents have also been updated to ensure prescribers and investigators are advised of the risk of fatal haemorrhagic events in Cycle 1 and implement the risk minimisation measures. The sponsor considers the safety profile of </w:t>
      </w:r>
      <w:proofErr w:type="spellStart"/>
      <w:r w:rsidRPr="001F6307">
        <w:t>Gazyva</w:t>
      </w:r>
      <w:proofErr w:type="spellEnd"/>
      <w:r w:rsidRPr="001F6307">
        <w:t xml:space="preserve"> to be acceptable and the AEs to be clinically manageable. The foremost safety risks associated with </w:t>
      </w:r>
      <w:proofErr w:type="spellStart"/>
      <w:r w:rsidRPr="001F6307">
        <w:t>Gazyva</w:t>
      </w:r>
      <w:proofErr w:type="spellEnd"/>
      <w:r w:rsidRPr="001F6307">
        <w:t xml:space="preserve"> therapy for the proposed indication are IRRs and </w:t>
      </w:r>
      <w:proofErr w:type="spellStart"/>
      <w:r w:rsidRPr="001F6307">
        <w:t>haematologic</w:t>
      </w:r>
      <w:proofErr w:type="spellEnd"/>
      <w:r w:rsidRPr="001F6307">
        <w:t xml:space="preserve"> toxicities (mainly neutropenia and thrombocytopenia) particularly during the first cycle, both of which occurred in BO21004 at a higher frequency and severity in the </w:t>
      </w:r>
      <w:proofErr w:type="spellStart"/>
      <w:r w:rsidRPr="001F6307">
        <w:t>GClb</w:t>
      </w:r>
      <w:proofErr w:type="spellEnd"/>
      <w:r w:rsidRPr="001F6307">
        <w:t xml:space="preserve"> arm compared with the </w:t>
      </w:r>
      <w:proofErr w:type="spellStart"/>
      <w:r w:rsidRPr="001F6307">
        <w:t>RClb</w:t>
      </w:r>
      <w:proofErr w:type="spellEnd"/>
      <w:r w:rsidRPr="001F6307">
        <w:t xml:space="preserve"> arm.</w:t>
      </w:r>
    </w:p>
    <w:p w:rsidR="001F6307" w:rsidRPr="001F6307" w:rsidRDefault="001F6307" w:rsidP="0008710D">
      <w:r w:rsidRPr="001F6307">
        <w:t xml:space="preserve">In conclusion, the benefit/risk profile of </w:t>
      </w:r>
      <w:proofErr w:type="spellStart"/>
      <w:r w:rsidRPr="001F6307">
        <w:t>GClb</w:t>
      </w:r>
      <w:proofErr w:type="spellEnd"/>
      <w:r w:rsidRPr="001F6307">
        <w:t xml:space="preserve"> over </w:t>
      </w:r>
      <w:proofErr w:type="spellStart"/>
      <w:r w:rsidRPr="001F6307">
        <w:t>Clb</w:t>
      </w:r>
      <w:proofErr w:type="spellEnd"/>
      <w:r w:rsidRPr="001F6307">
        <w:t xml:space="preserve"> and </w:t>
      </w:r>
      <w:proofErr w:type="spellStart"/>
      <w:r w:rsidRPr="001F6307">
        <w:t>RClb</w:t>
      </w:r>
      <w:proofErr w:type="spellEnd"/>
      <w:r w:rsidRPr="001F6307">
        <w:t xml:space="preserve"> is strongly positive in patients with previously untreated CLL. The magnitude of clinical benefit, achieved when </w:t>
      </w:r>
      <w:proofErr w:type="spellStart"/>
      <w:r w:rsidRPr="001F6307">
        <w:t>Gazyva</w:t>
      </w:r>
      <w:proofErr w:type="spellEnd"/>
      <w:r w:rsidRPr="001F6307">
        <w:t xml:space="preserve"> was combined with </w:t>
      </w:r>
      <w:proofErr w:type="spellStart"/>
      <w:r w:rsidRPr="001F6307">
        <w:t>Clb</w:t>
      </w:r>
      <w:proofErr w:type="spellEnd"/>
      <w:r w:rsidRPr="001F6307">
        <w:t xml:space="preserve"> was large and clinically meaningful, and occurred in the context of acceptable tolerability and in patients with few treatment options.</w:t>
      </w:r>
    </w:p>
    <w:p w:rsidR="001F6307" w:rsidRPr="0008710D" w:rsidRDefault="001F6307" w:rsidP="0008710D">
      <w:pPr>
        <w:pStyle w:val="Numberbullet0"/>
        <w:rPr>
          <w:i/>
        </w:rPr>
      </w:pPr>
      <w:r w:rsidRPr="0008710D">
        <w:rPr>
          <w:i/>
        </w:rPr>
        <w:t xml:space="preserve">What is the opinion of the Committee regarding extending the use of </w:t>
      </w:r>
      <w:proofErr w:type="spellStart"/>
      <w:r w:rsidRPr="0008710D">
        <w:rPr>
          <w:i/>
        </w:rPr>
        <w:t>Gazyva</w:t>
      </w:r>
      <w:proofErr w:type="spellEnd"/>
      <w:r w:rsidRPr="0008710D">
        <w:rPr>
          <w:i/>
        </w:rPr>
        <w:t xml:space="preserve"> in combination with </w:t>
      </w:r>
      <w:proofErr w:type="spellStart"/>
      <w:r w:rsidRPr="0008710D">
        <w:rPr>
          <w:i/>
        </w:rPr>
        <w:t>Clb</w:t>
      </w:r>
      <w:proofErr w:type="spellEnd"/>
      <w:r w:rsidRPr="0008710D">
        <w:rPr>
          <w:i/>
        </w:rPr>
        <w:t xml:space="preserve"> to patients with CLL that are not poorly functioning or with normal creatinine clearance?</w:t>
      </w:r>
    </w:p>
    <w:p w:rsidR="001F6307" w:rsidRPr="001F6307" w:rsidRDefault="001F6307" w:rsidP="0008710D">
      <w:r w:rsidRPr="001F6307">
        <w:t>The majority of patients with CLL are elderly. According to the latest data from the Australian Institute of Health and Welfare, during 2012 there were 1,230 cases of CLL (ICD10 C91.1) in Australia, and 354 deaths from CLL during 2010. For patients with CLL, mean age at diagnosis is about 70 years and mean age of death is 79 years. Currently on average, women are living for about 5.5 years longer than men.</w:t>
      </w:r>
      <w:r w:rsidRPr="001F6307">
        <w:rPr>
          <w:vertAlign w:val="superscript"/>
        </w:rPr>
        <w:footnoteReference w:id="6"/>
      </w:r>
      <w:r w:rsidRPr="001F6307">
        <w:t xml:space="preserve"> Similar data is available from the US where from 2005-2009, the median age at diagnosis was 72 years, and that </w:t>
      </w:r>
      <w:r w:rsidRPr="001F6307">
        <w:lastRenderedPageBreak/>
        <w:t xml:space="preserve">almost 70% of CLL patients were 65 years or </w:t>
      </w:r>
      <w:proofErr w:type="gramStart"/>
      <w:r w:rsidRPr="001F6307">
        <w:t>older,</w:t>
      </w:r>
      <w:proofErr w:type="gramEnd"/>
      <w:r w:rsidRPr="001F6307">
        <w:t xml:space="preserve"> and over 40% were older than 75 years.</w:t>
      </w:r>
      <w:r w:rsidRPr="001F6307">
        <w:rPr>
          <w:vertAlign w:val="superscript"/>
        </w:rPr>
        <w:footnoteReference w:id="7"/>
      </w:r>
    </w:p>
    <w:p w:rsidR="001F6307" w:rsidRPr="001F6307" w:rsidRDefault="001F6307" w:rsidP="0008710D">
      <w:r w:rsidRPr="001F6307">
        <w:t>Elderly patients frequently have concurrent medical conditions and/or physiological declines in organ function.</w:t>
      </w:r>
      <w:r w:rsidRPr="001F6307">
        <w:rPr>
          <w:vertAlign w:val="superscript"/>
        </w:rPr>
        <w:footnoteReference w:id="8"/>
      </w:r>
      <w:r w:rsidRPr="001F6307">
        <w:t xml:space="preserve"> Major co-morbidities have been described in 46% of patients with newly diagnosed CLL.</w:t>
      </w:r>
      <w:r w:rsidRPr="001F6307">
        <w:rPr>
          <w:vertAlign w:val="superscript"/>
        </w:rPr>
        <w:footnoteReference w:id="9"/>
      </w:r>
      <w:r w:rsidRPr="001F6307">
        <w:t xml:space="preserve"> CLL patients with multiple coexisting medical conditions have been reported to have inferior outcomes compared to CLL patients without coexisting medical conditions.</w:t>
      </w:r>
      <w:r w:rsidRPr="001F6307">
        <w:rPr>
          <w:vertAlign w:val="superscript"/>
        </w:rPr>
        <w:footnoteReference w:id="10"/>
      </w:r>
    </w:p>
    <w:p w:rsidR="001F6307" w:rsidRPr="001F6307" w:rsidRDefault="001F6307" w:rsidP="0008710D">
      <w:r w:rsidRPr="001F6307">
        <w:t>At present, CLL remains incurable using standard treatment approaches. Therefore, the aim of therapy is to control disease, improve symptoms, and prolong survival, while minimising toxicity with regimens which are well tolerated and acceptable to patients who are predominantly older than 65 years of age. Treatment is usually associated with a high rate of initial response, followed inevitably by relapse. Subsequent treatments can induce remissions but at a progressively lower rate with responses of shorter duration.</w:t>
      </w:r>
    </w:p>
    <w:p w:rsidR="001F6307" w:rsidRPr="001F6307" w:rsidRDefault="001F6307" w:rsidP="0008710D">
      <w:r w:rsidRPr="001F6307">
        <w:t>Since patients with CLL are typically elderly at diagnosis and frequently have other co-existing medical conditions and/or impaired organ function, the choice of first-line therapy for individual patients must take these factors into consideration, as well as disease-specific prognostic factors, such as the presence or absence of high risk genetic abnormalities (for example, 17p or 11q chromosomal deletions). The US National Comprehensive Cancer Network (NCCN) Guidelines</w:t>
      </w:r>
      <w:r w:rsidRPr="001F6307">
        <w:rPr>
          <w:vertAlign w:val="superscript"/>
        </w:rPr>
        <w:footnoteReference w:id="11"/>
      </w:r>
      <w:r w:rsidRPr="001F6307">
        <w:t xml:space="preserve"> recommend treatments based on the presence of comorbidities (for example, CIRS score), age, fitness and </w:t>
      </w:r>
      <w:proofErr w:type="spellStart"/>
      <w:r w:rsidRPr="001F6307">
        <w:t>cytogenetics</w:t>
      </w:r>
      <w:proofErr w:type="spellEnd"/>
      <w:r w:rsidRPr="001F6307">
        <w:t xml:space="preserve">. NCCN first line treatment recommendations are summarised in Table 24; the Guidelines were recently updated (January 2014) to include OB. It recommends </w:t>
      </w:r>
      <w:proofErr w:type="spellStart"/>
      <w:r w:rsidRPr="001F6307">
        <w:t>GClb</w:t>
      </w:r>
      <w:proofErr w:type="spellEnd"/>
      <w:r w:rsidRPr="001F6307">
        <w:t xml:space="preserve"> as a first line treatment option for all patients with CLL.</w:t>
      </w:r>
    </w:p>
    <w:p w:rsidR="001F6307" w:rsidRPr="001F6307" w:rsidRDefault="001F6307" w:rsidP="0008710D">
      <w:pPr>
        <w:pStyle w:val="TableTitle"/>
      </w:pPr>
      <w:proofErr w:type="gramStart"/>
      <w:r w:rsidRPr="001F6307">
        <w:t>Table 24: NCCN Guidelines for First-line Treatment of CLL.</w:t>
      </w:r>
      <w:proofErr w:type="gramEnd"/>
    </w:p>
    <w:p w:rsidR="001F6307" w:rsidRPr="001F6307" w:rsidRDefault="001F6307" w:rsidP="0008710D">
      <w:r>
        <w:rPr>
          <w:noProof/>
          <w:lang w:eastAsia="en-AU"/>
        </w:rPr>
        <w:drawing>
          <wp:inline distT="0" distB="0" distL="0" distR="0" wp14:anchorId="5AD12E5F" wp14:editId="25ECC828">
            <wp:extent cx="5391150" cy="1819275"/>
            <wp:effectExtent l="0" t="0" r="0" b="9525"/>
            <wp:docPr id="30" name="Picture 30" descr="Table 24: NCCN Guidelines for First-line Treatment of CLL." title="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Table 24: NCCN Guidelines for First-line Treatment of CL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91150" cy="1819275"/>
                    </a:xfrm>
                    <a:prstGeom prst="rect">
                      <a:avLst/>
                    </a:prstGeom>
                    <a:noFill/>
                    <a:ln>
                      <a:noFill/>
                    </a:ln>
                  </pic:spPr>
                </pic:pic>
              </a:graphicData>
            </a:graphic>
          </wp:inline>
        </w:drawing>
      </w:r>
    </w:p>
    <w:p w:rsidR="001F6307" w:rsidRPr="001F6307" w:rsidRDefault="001F6307" w:rsidP="0008710D">
      <w:pPr>
        <w:pStyle w:val="TableDescription"/>
      </w:pPr>
      <w:r w:rsidRPr="001F6307">
        <w:t xml:space="preserve">A </w:t>
      </w:r>
      <w:proofErr w:type="spellStart"/>
      <w:r w:rsidRPr="001F6307">
        <w:t>alemtuzumab</w:t>
      </w:r>
      <w:proofErr w:type="spellEnd"/>
      <w:r w:rsidRPr="001F6307">
        <w:t xml:space="preserve">; B </w:t>
      </w:r>
      <w:proofErr w:type="spellStart"/>
      <w:r w:rsidRPr="001F6307">
        <w:t>bendamustine</w:t>
      </w:r>
      <w:proofErr w:type="spellEnd"/>
      <w:r w:rsidRPr="001F6307">
        <w:t xml:space="preserve">; </w:t>
      </w:r>
      <w:proofErr w:type="spellStart"/>
      <w:r w:rsidRPr="001F6307">
        <w:t>Clb</w:t>
      </w:r>
      <w:proofErr w:type="spellEnd"/>
      <w:r w:rsidRPr="001F6307">
        <w:t xml:space="preserve"> </w:t>
      </w:r>
      <w:proofErr w:type="spellStart"/>
      <w:r w:rsidRPr="001F6307">
        <w:t>chlorambucil</w:t>
      </w:r>
      <w:proofErr w:type="spellEnd"/>
      <w:r w:rsidRPr="001F6307">
        <w:t xml:space="preserve">; C cyclophosphamide; F </w:t>
      </w:r>
      <w:proofErr w:type="spellStart"/>
      <w:r w:rsidRPr="001F6307">
        <w:t>fludarabine</w:t>
      </w:r>
      <w:proofErr w:type="spellEnd"/>
      <w:r w:rsidRPr="001F6307">
        <w:t xml:space="preserve">; G </w:t>
      </w:r>
      <w:proofErr w:type="spellStart"/>
      <w:r w:rsidRPr="001F6307">
        <w:t>obinutuzumab</w:t>
      </w:r>
      <w:proofErr w:type="spellEnd"/>
      <w:r w:rsidRPr="001F6307">
        <w:t xml:space="preserve">; HDMP high-dose methylprednisolone; P </w:t>
      </w:r>
      <w:proofErr w:type="spellStart"/>
      <w:r w:rsidRPr="001F6307">
        <w:t>pentostatin</w:t>
      </w:r>
      <w:proofErr w:type="spellEnd"/>
      <w:r w:rsidRPr="001F6307">
        <w:t xml:space="preserve">; </w:t>
      </w:r>
      <w:proofErr w:type="spellStart"/>
      <w:r w:rsidRPr="001F6307">
        <w:t>Pred</w:t>
      </w:r>
      <w:proofErr w:type="spellEnd"/>
      <w:r w:rsidRPr="001F6307">
        <w:t xml:space="preserve"> prednisone; R rituximab.</w:t>
      </w:r>
    </w:p>
    <w:p w:rsidR="001F6307" w:rsidRPr="001F6307" w:rsidRDefault="001F6307" w:rsidP="0008710D">
      <w:pPr>
        <w:pStyle w:val="TableDescription"/>
      </w:pPr>
      <w:r w:rsidRPr="001F6307">
        <w:t xml:space="preserve">*Note: regimens are listed in the order of preference except for the </w:t>
      </w:r>
      <w:proofErr w:type="gramStart"/>
      <w:r w:rsidRPr="001F6307">
        <w:t>del(</w:t>
      </w:r>
      <w:proofErr w:type="gramEnd"/>
      <w:r w:rsidRPr="001F6307">
        <w:t>17p) subgroup where the regimens are in alphabetical order</w:t>
      </w:r>
    </w:p>
    <w:p w:rsidR="001F6307" w:rsidRPr="001F6307" w:rsidRDefault="001F6307" w:rsidP="0008710D">
      <w:r w:rsidRPr="001F6307">
        <w:lastRenderedPageBreak/>
        <w:t xml:space="preserve">It should be highlighted that </w:t>
      </w:r>
      <w:proofErr w:type="spellStart"/>
      <w:r w:rsidRPr="001F6307">
        <w:t>GClb</w:t>
      </w:r>
      <w:proofErr w:type="spellEnd"/>
      <w:r w:rsidRPr="001F6307">
        <w:t xml:space="preserve"> is listed as a treatment option for patients with unfavourable </w:t>
      </w:r>
      <w:proofErr w:type="spellStart"/>
      <w:r w:rsidRPr="001F6307">
        <w:t>cytogentics</w:t>
      </w:r>
      <w:proofErr w:type="spellEnd"/>
      <w:r w:rsidRPr="001F6307">
        <w:t xml:space="preserve"> (</w:t>
      </w:r>
      <w:proofErr w:type="gramStart"/>
      <w:r w:rsidRPr="001F6307">
        <w:t>del(</w:t>
      </w:r>
      <w:proofErr w:type="gramEnd"/>
      <w:r w:rsidRPr="001F6307">
        <w:t>17p)) and for younger patients or those without comorbidities, as well as the treatment of choice in older patients and younger patients with comorbidities.</w:t>
      </w:r>
    </w:p>
    <w:p w:rsidR="001F6307" w:rsidRPr="001F6307" w:rsidRDefault="001F6307" w:rsidP="0008710D">
      <w:r w:rsidRPr="001F6307">
        <w:t xml:space="preserve">The update to the NCCN guidelines allows patients and physicians to make a decision together on individual treatment options on a case by case basis. Alternative therapies for this patient population include </w:t>
      </w:r>
      <w:proofErr w:type="spellStart"/>
      <w:r w:rsidRPr="001F6307">
        <w:t>fludarabine</w:t>
      </w:r>
      <w:proofErr w:type="spellEnd"/>
      <w:r w:rsidRPr="001F6307">
        <w:t xml:space="preserve">, </w:t>
      </w:r>
      <w:proofErr w:type="spellStart"/>
      <w:r w:rsidRPr="001F6307">
        <w:t>pentostatin</w:t>
      </w:r>
      <w:proofErr w:type="spellEnd"/>
      <w:r w:rsidRPr="001F6307">
        <w:t xml:space="preserve"> and </w:t>
      </w:r>
      <w:proofErr w:type="spellStart"/>
      <w:r w:rsidRPr="001F6307">
        <w:t>bendamustine</w:t>
      </w:r>
      <w:proofErr w:type="spellEnd"/>
      <w:r w:rsidRPr="001F6307">
        <w:t xml:space="preserve"> which are all associated with known toxicity. There is no reason to believe that patients without comorbidities (CIRS &lt;6) or renal impairment (</w:t>
      </w:r>
      <w:proofErr w:type="spellStart"/>
      <w:r w:rsidRPr="001F6307">
        <w:t>CrCl</w:t>
      </w:r>
      <w:proofErr w:type="spellEnd"/>
      <w:r w:rsidRPr="001F6307">
        <w:t xml:space="preserve"> &gt;70mL/min) would behave differently in terms of efficacy outcomes compared to that observed in the patient population studied. In fact the safety profile with </w:t>
      </w:r>
      <w:proofErr w:type="spellStart"/>
      <w:r w:rsidRPr="001F6307">
        <w:t>GClb</w:t>
      </w:r>
      <w:proofErr w:type="spellEnd"/>
      <w:r w:rsidRPr="001F6307">
        <w:t xml:space="preserve"> could be expected to be more favourable than in the comorbid patient population since patients without comorbidities or renal impairment can be considered to be more able to tolerate toxicity.</w:t>
      </w:r>
    </w:p>
    <w:p w:rsidR="001F6307" w:rsidRPr="001F6307" w:rsidRDefault="001F6307" w:rsidP="001F6307">
      <w:r w:rsidRPr="001F6307">
        <w:t xml:space="preserve">Of note, historically trials in CLL have been conducted in younger, fitter patients representing only a subgroup of the overall CLL patient population (~30%) and not </w:t>
      </w:r>
      <w:proofErr w:type="gramStart"/>
      <w:r w:rsidRPr="001F6307">
        <w:t>reflective</w:t>
      </w:r>
      <w:proofErr w:type="gramEnd"/>
      <w:r w:rsidRPr="001F6307">
        <w:t xml:space="preserve"> of a typical newly diagnosed CLL patient. For this reason many of the treatment guidelines and medication labels were restricted to this fitter patient population to protect the typical CLL patient who would be at risk of toxicity.</w:t>
      </w:r>
    </w:p>
    <w:p w:rsidR="001F6307" w:rsidRPr="001F6307" w:rsidRDefault="001F6307" w:rsidP="0008710D">
      <w:r w:rsidRPr="001F6307">
        <w:t>There is no cure for CLL and irrespective of first line treatment patients eventually relapse and die from their disease. A comparative study versus immunotherapy such as FCR (</w:t>
      </w:r>
      <w:proofErr w:type="spellStart"/>
      <w:r w:rsidRPr="001F6307">
        <w:t>fludarabine</w:t>
      </w:r>
      <w:proofErr w:type="spellEnd"/>
      <w:r w:rsidRPr="001F6307">
        <w:t xml:space="preserve"> + cyclophosphamide + rituximab) would require a study very long in duration to demonstrate a PFS improvement in addition to the improvement anticipated from current treatments. This would delay the availability of a novel treatment option for patients.</w:t>
      </w:r>
    </w:p>
    <w:p w:rsidR="001F6307" w:rsidRPr="001F6307" w:rsidRDefault="001F6307" w:rsidP="0008710D">
      <w:r w:rsidRPr="001F6307">
        <w:t>There is no evidence that patients without co-morbidities or renal impairment will benefit differently to those with comorbidities and the safety profile in patients without comorbidities or renal function is expected to be better than those with comorbidities. The proposed indication does not preclude the use of second line therapies and allows physicians and patients the choice of a new treatment option for a disease with an unmet medical need.</w:t>
      </w:r>
    </w:p>
    <w:p w:rsidR="001F6307" w:rsidRPr="0008710D" w:rsidRDefault="001F6307" w:rsidP="0008710D">
      <w:pPr>
        <w:pStyle w:val="Numberbullet0"/>
        <w:rPr>
          <w:i/>
        </w:rPr>
      </w:pPr>
      <w:r w:rsidRPr="0008710D">
        <w:rPr>
          <w:i/>
        </w:rPr>
        <w:t>What is the opinion of the Committee regarding the premedication and dose splitting regimens proposed?</w:t>
      </w:r>
    </w:p>
    <w:p w:rsidR="001F6307" w:rsidRPr="001F6307" w:rsidRDefault="001F6307" w:rsidP="0008710D">
      <w:r w:rsidRPr="001F6307">
        <w:t>IRRs were the most frequently reported AEs in BO21004. The risk of IRRs was mostly limited to the first infusion. The incidence and severity of infusion related symptoms decreased substantially after the first 1000 mg was infused, with most patients having no IRRs during subsequent administrations and no grade ≥ 3 IRR reported beyond the first infusion.</w:t>
      </w:r>
    </w:p>
    <w:p w:rsidR="001F6307" w:rsidRPr="001F6307" w:rsidRDefault="001F6307" w:rsidP="0008710D">
      <w:r w:rsidRPr="001F6307">
        <w:t>The mechanism by which IRRs are triggered appears to be related to the release of cytokines/</w:t>
      </w:r>
      <w:proofErr w:type="spellStart"/>
      <w:r w:rsidRPr="001F6307">
        <w:t>chemokines</w:t>
      </w:r>
      <w:proofErr w:type="spellEnd"/>
      <w:r w:rsidRPr="001F6307">
        <w:t xml:space="preserve"> and/or other mediators from B cells targeted by OB. IRRs are a class effect of </w:t>
      </w:r>
      <w:proofErr w:type="spellStart"/>
      <w:r w:rsidRPr="001F6307">
        <w:t>anti tumour</w:t>
      </w:r>
      <w:proofErr w:type="spellEnd"/>
      <w:r w:rsidRPr="001F6307">
        <w:t xml:space="preserve"> antibodies that use antibody dependent cellular cytotoxicity as a mode of action. Cytokine release can occur as a consequence of the antibody-antigen interaction between OB and the CD20 antigen on B lymphocytes, resulting in Fc receptor crosslinking of </w:t>
      </w:r>
      <w:proofErr w:type="spellStart"/>
      <w:r w:rsidRPr="001F6307">
        <w:t>FcγRIII</w:t>
      </w:r>
      <w:proofErr w:type="spellEnd"/>
      <w:r w:rsidRPr="001F6307">
        <w:t xml:space="preserve"> on immune effector cells such as NK cells and macrophages/monocytes and subsequent cytokine release from these cells. Compared to conventional IgG1 antibodies, </w:t>
      </w:r>
      <w:proofErr w:type="spellStart"/>
      <w:r w:rsidRPr="001F6307">
        <w:t>FcγRIII</w:t>
      </w:r>
      <w:proofErr w:type="spellEnd"/>
      <w:r w:rsidRPr="001F6307">
        <w:t xml:space="preserve"> affinity of OB is enhanced due to </w:t>
      </w:r>
      <w:proofErr w:type="spellStart"/>
      <w:r w:rsidRPr="001F6307">
        <w:t>glycoengineering</w:t>
      </w:r>
      <w:proofErr w:type="spellEnd"/>
      <w:r w:rsidRPr="001F6307">
        <w:t xml:space="preserve"> resulting in improved efficacy and a higher potential for cytokine release. This could explain the higher incidence of cytokine related infusion reactions with </w:t>
      </w:r>
      <w:proofErr w:type="spellStart"/>
      <w:r w:rsidRPr="001F6307">
        <w:t>Gazyva</w:t>
      </w:r>
      <w:proofErr w:type="spellEnd"/>
      <w:r w:rsidRPr="001F6307">
        <w:t xml:space="preserve"> compared to other anti CD20 antibodies.</w:t>
      </w:r>
    </w:p>
    <w:p w:rsidR="001F6307" w:rsidRPr="001F6307" w:rsidRDefault="001F6307" w:rsidP="0008710D">
      <w:r w:rsidRPr="001F6307">
        <w:t>Pre-medication with IV corticosteroids, antipyretics and antihistamines and split dose over 2 days was recommended in study BO21004 to minimise the risk of IRRs.</w:t>
      </w:r>
    </w:p>
    <w:p w:rsidR="001F6307" w:rsidRPr="001F6307" w:rsidRDefault="001F6307" w:rsidP="0008710D">
      <w:r w:rsidRPr="001F6307">
        <w:lastRenderedPageBreak/>
        <w:t xml:space="preserve">The effectiveness of pre-medication in mitigating the risk of cytokine release and thus the risk of IRRs has been investigated </w:t>
      </w:r>
      <w:r w:rsidRPr="001F6307">
        <w:rPr>
          <w:i/>
        </w:rPr>
        <w:t>in vitro</w:t>
      </w:r>
      <w:r w:rsidRPr="001F6307">
        <w:t xml:space="preserve"> studies. A study conducted with human whole blood revealed that cytokine release can be significantly reduced by administration of corticosteroids.</w:t>
      </w:r>
      <w:r w:rsidRPr="001F6307">
        <w:rPr>
          <w:vertAlign w:val="superscript"/>
        </w:rPr>
        <w:footnoteReference w:id="12"/>
      </w:r>
      <w:r w:rsidRPr="001F6307">
        <w:t xml:space="preserve"> Acknowledging the </w:t>
      </w:r>
      <w:proofErr w:type="spellStart"/>
      <w:r w:rsidRPr="001F6307">
        <w:t>predictivity</w:t>
      </w:r>
      <w:proofErr w:type="spellEnd"/>
      <w:r w:rsidRPr="001F6307">
        <w:t xml:space="preserve"> of </w:t>
      </w:r>
      <w:r w:rsidRPr="001F6307">
        <w:rPr>
          <w:i/>
        </w:rPr>
        <w:t>in vitro</w:t>
      </w:r>
      <w:r w:rsidRPr="001F6307">
        <w:t xml:space="preserve"> whole blood assays to assess the risk for cytokine release in man leads to the assumption that pre-treatment with corticosteroids may also be effective to reduce cytokine release following </w:t>
      </w:r>
      <w:proofErr w:type="spellStart"/>
      <w:r w:rsidRPr="001F6307">
        <w:t>Gazyva</w:t>
      </w:r>
      <w:proofErr w:type="spellEnd"/>
      <w:r w:rsidRPr="001F6307">
        <w:t xml:space="preserve"> administration.</w:t>
      </w:r>
    </w:p>
    <w:p w:rsidR="001F6307" w:rsidRPr="001F6307" w:rsidRDefault="001F6307" w:rsidP="0008710D">
      <w:r w:rsidRPr="001F6307">
        <w:t>The split dose over 2 days for the first dose approach along with other measures (mandatory premedication with glucocorticoids, omission of antihypertensive medication on the day of first infusion, slow infusion) helped to decrease the incidence of all grade IRRs on Cycle 1 Day 1, however with a limited impact on grade 3-4 IRRs. As these risk minimisation measures were implemented in parallel, it is not possible to assess the effectiveness of the split dose infusion to minimise IRRs in isolation.</w:t>
      </w:r>
    </w:p>
    <w:p w:rsidR="001F6307" w:rsidRPr="001F6307" w:rsidRDefault="001F6307" w:rsidP="0008710D">
      <w:r w:rsidRPr="001F6307">
        <w:t>Approximately 60% of patients were able to have the first infusion without interruption and rate modification.</w:t>
      </w:r>
      <w:r w:rsidRPr="001F6307">
        <w:rPr>
          <w:vertAlign w:val="superscript"/>
        </w:rPr>
        <w:footnoteReference w:id="13"/>
      </w:r>
      <w:r w:rsidRPr="001F6307">
        <w:t xml:space="preserve"> Thus, it is recommended that if no modifications/interruptions of the infusion are required during the first 4 h, the complete dose may be administered within the same day, provided that the infusion takes place under appropriate conditions and medical supervision is available throughout the infusion.</w:t>
      </w:r>
    </w:p>
    <w:p w:rsidR="001F6307" w:rsidRPr="001F6307" w:rsidRDefault="001F6307" w:rsidP="0008710D">
      <w:r w:rsidRPr="001F6307">
        <w:t>As the majority of first IRRs (~70% of all Grade and Grade 3-4 events) start within the first 2 h, the same slow initial infusion rate of 25 mg/h (4 h infusion for the first 100 mg) is recommended for all patients. A slow infusion rate (25 mg/h) may attenuate the incidence and/or severity of symptoms due to cytokine release by allowing clearance of these cytokines and so allow physicians and nursing staff to detect the start of an IRR earlier and to react faster to the developing signs and symptoms.</w:t>
      </w:r>
    </w:p>
    <w:p w:rsidR="001F6307" w:rsidRPr="001F6307" w:rsidRDefault="001F6307" w:rsidP="0008710D">
      <w:r w:rsidRPr="001F6307">
        <w:t xml:space="preserve">Given the mechanism of action of </w:t>
      </w:r>
      <w:proofErr w:type="spellStart"/>
      <w:r w:rsidRPr="001F6307">
        <w:t>Gazyva</w:t>
      </w:r>
      <w:proofErr w:type="spellEnd"/>
      <w:r w:rsidRPr="001F6307">
        <w:t xml:space="preserve">, with a contribution of cytokine release of IL-6, IL-8 and IL-10 to the occurrence of IRRs, the sponsor considers that the risk minimisation measures listed below and included in the </w:t>
      </w:r>
      <w:proofErr w:type="spellStart"/>
      <w:r w:rsidRPr="001F6307">
        <w:t>Gazyva</w:t>
      </w:r>
      <w:proofErr w:type="spellEnd"/>
      <w:r w:rsidRPr="001F6307">
        <w:t xml:space="preserve"> PI to be appropriate:</w:t>
      </w:r>
    </w:p>
    <w:p w:rsidR="001F6307" w:rsidRPr="001F6307" w:rsidRDefault="001F6307" w:rsidP="0008710D">
      <w:pPr>
        <w:pStyle w:val="ListBullet"/>
      </w:pPr>
      <w:r w:rsidRPr="001F6307">
        <w:t>Premedication with IV corticosteroids, antipyretics and antihistamines may reduce the symptoms caused by cytokine release syndrome.</w:t>
      </w:r>
    </w:p>
    <w:p w:rsidR="001F6307" w:rsidRPr="001F6307" w:rsidRDefault="001F6307" w:rsidP="0008710D">
      <w:pPr>
        <w:pStyle w:val="ListBullet"/>
      </w:pPr>
      <w:r w:rsidRPr="001F6307">
        <w:t>A very slow initial infusion may attenuate the incidence and/or severity of symptoms due to cytokine release by allowing clearance of these cytokines.</w:t>
      </w:r>
    </w:p>
    <w:p w:rsidR="001F6307" w:rsidRPr="001F6307" w:rsidRDefault="001F6307" w:rsidP="0008710D">
      <w:pPr>
        <w:pStyle w:val="ListBullet"/>
      </w:pPr>
      <w:r w:rsidRPr="001F6307">
        <w:t xml:space="preserve">Patients who tolerate the first 100 mg without any IRR are allowed to continue the remaining 900 mg on the same day provided that appropriate time, conditions and medical supervision are available throughout the infusion. If there are any modifications to the infusion rate or interruptions during the first 100 mg, the second bag must be administered the following day. Split dosing may attenuate the incidence and/or severity of symptoms due to cytokine release by allowing a progressive lytic action of OB on </w:t>
      </w:r>
      <w:proofErr w:type="spellStart"/>
      <w:r w:rsidRPr="001F6307">
        <w:t>tumoural</w:t>
      </w:r>
      <w:proofErr w:type="spellEnd"/>
      <w:r w:rsidRPr="001F6307">
        <w:t xml:space="preserve"> CD20 lymphocytes.</w:t>
      </w:r>
    </w:p>
    <w:p w:rsidR="001F6307" w:rsidRPr="0008710D" w:rsidRDefault="001F6307" w:rsidP="0008710D">
      <w:pPr>
        <w:pStyle w:val="Numberbullet0"/>
        <w:rPr>
          <w:i/>
        </w:rPr>
      </w:pPr>
      <w:r w:rsidRPr="0008710D">
        <w:rPr>
          <w:i/>
        </w:rPr>
        <w:t xml:space="preserve">What is the opinion of the Committee regarding specific warnings for: hepatitis B reactivation, PML, </w:t>
      </w:r>
      <w:proofErr w:type="spellStart"/>
      <w:r w:rsidRPr="0008710D">
        <w:rPr>
          <w:i/>
        </w:rPr>
        <w:t>thrombocytopaenia</w:t>
      </w:r>
      <w:proofErr w:type="spellEnd"/>
      <w:r w:rsidRPr="0008710D">
        <w:rPr>
          <w:i/>
        </w:rPr>
        <w:t>, and fatal haemorrhagic events during the first cycle?</w:t>
      </w:r>
    </w:p>
    <w:p w:rsidR="001F6307" w:rsidRPr="001F6307" w:rsidRDefault="001F6307" w:rsidP="0008710D">
      <w:r w:rsidRPr="001F6307">
        <w:t>The sponsor acknowledges the Delegate’s recommendation for boxed warnings regarding the risks of PML and hepatitis B reactivation. The sponsor provides the following comment on these recommendations, as well as the proposed Precaution for thrombocytopenia and fatal haemorrhagic events.</w:t>
      </w:r>
    </w:p>
    <w:p w:rsidR="001F6307" w:rsidRPr="001F6307" w:rsidRDefault="001F6307" w:rsidP="0008710D">
      <w:r w:rsidRPr="001F6307">
        <w:lastRenderedPageBreak/>
        <w:t>The sponsor accepts the recommendation for a PML boxed warning and a proposed boxed warning has been included in the PI. Given the typical clinical course of PML and its outcome, the inclusion of a boxed warning for the risk of PML is warranted.</w:t>
      </w:r>
    </w:p>
    <w:p w:rsidR="001F6307" w:rsidRPr="001F6307" w:rsidRDefault="001F6307" w:rsidP="0008710D">
      <w:r w:rsidRPr="001F6307">
        <w:t xml:space="preserve">With regard to a boxed warning for the risk of hepatitis B reactivation, the sponsor consider the detailed risk minimisation measures described in the proposed Precaution to be appropriate to address this risk, and that a boxed warning is not currently warranted. Up to March 2014, there have been no cases of fatal HBV reactivation among subjects exposed to </w:t>
      </w:r>
      <w:proofErr w:type="spellStart"/>
      <w:r w:rsidRPr="001F6307">
        <w:t>Gazyva</w:t>
      </w:r>
      <w:proofErr w:type="spellEnd"/>
      <w:r w:rsidRPr="001F6307">
        <w:t xml:space="preserve">. Further, up to 2 July 2013, 2 patients among an estimated 94 hepatitis B core antibody positive patients exposed to </w:t>
      </w:r>
      <w:proofErr w:type="spellStart"/>
      <w:r w:rsidRPr="001F6307">
        <w:t>Gazyva</w:t>
      </w:r>
      <w:proofErr w:type="spellEnd"/>
      <w:r w:rsidRPr="001F6307">
        <w:t xml:space="preserve"> in clinical studies have experienced hepatitis B reactivation as defined by an occurrence of HBV DNA &gt;1000 IU/mL at least once after exposure to </w:t>
      </w:r>
      <w:proofErr w:type="spellStart"/>
      <w:r w:rsidRPr="001F6307">
        <w:t>Gazyva</w:t>
      </w:r>
      <w:proofErr w:type="spellEnd"/>
      <w:r w:rsidRPr="001F6307">
        <w:t>. Both these patients who experienced HBV reactivation had benign clinical courses with no signs or symptoms of hepatitis or any liver function test abnormalities.</w:t>
      </w:r>
    </w:p>
    <w:p w:rsidR="001F6307" w:rsidRPr="001F6307" w:rsidRDefault="001F6307" w:rsidP="0008710D">
      <w:r w:rsidRPr="001F6307">
        <w:t xml:space="preserve">The sponsor will continue to assess the emerging data regarding HBV reactivation to further characterise this risk and will communicate diligently any relevant information to all prescribers and investigators. At this request of the TGA, the sponsor will implement a guided questionnaire to collect information to allow continued assessment of the clinical course and profile of HBV reactivation in </w:t>
      </w:r>
      <w:proofErr w:type="spellStart"/>
      <w:r w:rsidRPr="001F6307">
        <w:t>Gazyva</w:t>
      </w:r>
      <w:proofErr w:type="spellEnd"/>
      <w:r w:rsidRPr="001F6307">
        <w:t xml:space="preserve"> treated patients. Assessment of the guided questionnaire by TGA was an ongoing process at the time of this response.</w:t>
      </w:r>
    </w:p>
    <w:p w:rsidR="001F6307" w:rsidRPr="001F6307" w:rsidRDefault="001F6307" w:rsidP="001F6307">
      <w:r w:rsidRPr="001F6307">
        <w:t>For thrombocytopenia and the risk of fatal haemorrhagic events during the first infusion cycle, the Precaution proposed for the PI provides the following advice for prescribers:</w:t>
      </w:r>
    </w:p>
    <w:p w:rsidR="001F6307" w:rsidRPr="001F6307" w:rsidRDefault="001F6307" w:rsidP="0008710D">
      <w:pPr>
        <w:pStyle w:val="ListBullet"/>
      </w:pPr>
      <w:r w:rsidRPr="001F6307">
        <w:t>That patients should be closely monitored for thrombocytopenia, especially during the first infusion cycle;</w:t>
      </w:r>
    </w:p>
    <w:p w:rsidR="001F6307" w:rsidRPr="001F6307" w:rsidRDefault="001F6307" w:rsidP="0008710D">
      <w:pPr>
        <w:pStyle w:val="ListBullet"/>
      </w:pPr>
      <w:r w:rsidRPr="001F6307">
        <w:t>That regular lab tests should be performed and that dose delays should be considered in the case of severe or life threatening thrombocytopenia;</w:t>
      </w:r>
    </w:p>
    <w:p w:rsidR="001F6307" w:rsidRPr="001F6307" w:rsidRDefault="001F6307" w:rsidP="0008710D">
      <w:pPr>
        <w:pStyle w:val="ListBullet"/>
      </w:pPr>
      <w:r w:rsidRPr="001F6307">
        <w:t>That platelet transfusion should be at the discretion of the treating physician; and</w:t>
      </w:r>
    </w:p>
    <w:p w:rsidR="001F6307" w:rsidRPr="001F6307" w:rsidRDefault="001F6307" w:rsidP="0008710D">
      <w:pPr>
        <w:pStyle w:val="ListBullet"/>
      </w:pPr>
      <w:r w:rsidRPr="001F6307">
        <w:t xml:space="preserve">Use of all concomitant therapies, which could possibly worsen thrombocytopenia related events such as platelet inhibitors and </w:t>
      </w:r>
      <w:proofErr w:type="spellStart"/>
      <w:r w:rsidRPr="001F6307">
        <w:t>anticoagulents</w:t>
      </w:r>
      <w:proofErr w:type="spellEnd"/>
      <w:r w:rsidRPr="001F6307">
        <w:t>, should also be taken into consideration, especially during the first cycle.</w:t>
      </w:r>
    </w:p>
    <w:p w:rsidR="001F6307" w:rsidRPr="001F6307" w:rsidRDefault="001F6307" w:rsidP="0008710D">
      <w:r w:rsidRPr="001F6307">
        <w:t xml:space="preserve">The sponsor considers these risk minimisation measures to be appropriate and will inform the prescriber and protect the patient. Additionally, the sponsor has implemented appropriate risk minimisation measures in all relevant ongoing </w:t>
      </w:r>
      <w:proofErr w:type="spellStart"/>
      <w:r w:rsidRPr="001F6307">
        <w:t>Gazyva</w:t>
      </w:r>
      <w:proofErr w:type="spellEnd"/>
      <w:r w:rsidRPr="001F6307">
        <w:t xml:space="preserve"> clinical trials (updated Informed Consent Form, protocol amendments and publication of a “Dear Healthcare Provider” letter). The sponsor will continue to assess the emerging data to further characterise the nature, severity and frequency of all haemorrhagic events and will communicate diligently any relevant information to all prescribers and investigators.</w:t>
      </w:r>
    </w:p>
    <w:p w:rsidR="001F6307" w:rsidRPr="001F6307" w:rsidRDefault="001F6307" w:rsidP="0008710D">
      <w:pPr>
        <w:pStyle w:val="Heading4"/>
      </w:pPr>
      <w:r w:rsidRPr="001F6307">
        <w:t xml:space="preserve">Advisory </w:t>
      </w:r>
      <w:r w:rsidR="0008710D">
        <w:t>c</w:t>
      </w:r>
      <w:r w:rsidRPr="001F6307">
        <w:t xml:space="preserve">ommittee </w:t>
      </w:r>
      <w:r w:rsidR="0008710D">
        <w:t>c</w:t>
      </w:r>
      <w:r w:rsidRPr="001F6307">
        <w:t>onsiderations</w:t>
      </w:r>
    </w:p>
    <w:p w:rsidR="001F6307" w:rsidRPr="001F6307" w:rsidRDefault="001F6307" w:rsidP="0008710D">
      <w:r w:rsidRPr="001F6307">
        <w:t xml:space="preserve">The ACPM, taking into account the submitted evidence of efficacy, safety and quality, agreed with the delegate and considered </w:t>
      </w:r>
      <w:proofErr w:type="spellStart"/>
      <w:r w:rsidRPr="001F6307">
        <w:t>Gazyva</w:t>
      </w:r>
      <w:proofErr w:type="spellEnd"/>
      <w:r w:rsidRPr="001F6307">
        <w:t xml:space="preserve"> solution for injection containing 25 mg/ml of OB to have an overall positive benefit-risk profile for the indication: </w:t>
      </w:r>
    </w:p>
    <w:p w:rsidR="001F6307" w:rsidRPr="0008710D" w:rsidRDefault="001F6307" w:rsidP="0008710D">
      <w:pPr>
        <w:ind w:left="720"/>
        <w:rPr>
          <w:i/>
        </w:rPr>
      </w:pPr>
      <w:proofErr w:type="spellStart"/>
      <w:r w:rsidRPr="0008710D">
        <w:rPr>
          <w:i/>
        </w:rPr>
        <w:t>Gazyva</w:t>
      </w:r>
      <w:proofErr w:type="spellEnd"/>
      <w:r w:rsidRPr="0008710D">
        <w:rPr>
          <w:i/>
        </w:rPr>
        <w:t xml:space="preserve">, in combination with </w:t>
      </w:r>
      <w:proofErr w:type="spellStart"/>
      <w:r w:rsidRPr="0008710D">
        <w:rPr>
          <w:i/>
        </w:rPr>
        <w:t>chlorambucil</w:t>
      </w:r>
      <w:proofErr w:type="spellEnd"/>
      <w:r w:rsidRPr="0008710D">
        <w:rPr>
          <w:i/>
        </w:rPr>
        <w:t>, is indicated for the treatment of patients with previously untreated chronic lymphocytic leukaemia</w:t>
      </w:r>
    </w:p>
    <w:p w:rsidR="001F6307" w:rsidRPr="001F6307" w:rsidRDefault="001F6307" w:rsidP="0008710D">
      <w:pPr>
        <w:pStyle w:val="Heading5"/>
        <w:rPr>
          <w:rFonts w:eastAsia="MS Mincho"/>
          <w:lang w:eastAsia="ja-JP"/>
        </w:rPr>
      </w:pPr>
      <w:r w:rsidRPr="001F6307">
        <w:rPr>
          <w:rFonts w:eastAsia="MS Mincho"/>
          <w:lang w:eastAsia="ja-JP"/>
        </w:rPr>
        <w:t>Proposed conditions of registration</w:t>
      </w:r>
    </w:p>
    <w:p w:rsidR="001F6307" w:rsidRPr="001F6307" w:rsidRDefault="001F6307" w:rsidP="0008710D">
      <w:r w:rsidRPr="001F6307">
        <w:t xml:space="preserve">The ACPM agreed with the Delegate on the proposed conditions of registration. </w:t>
      </w:r>
    </w:p>
    <w:p w:rsidR="001F6307" w:rsidRPr="001F6307" w:rsidRDefault="001F6307" w:rsidP="0008710D">
      <w:pPr>
        <w:pStyle w:val="Heading5"/>
        <w:rPr>
          <w:rFonts w:eastAsia="MS Mincho"/>
          <w:u w:val="single"/>
          <w:lang w:eastAsia="ja-JP"/>
        </w:rPr>
      </w:pPr>
      <w:r w:rsidRPr="001F6307">
        <w:rPr>
          <w:rFonts w:eastAsia="MS Mincho"/>
          <w:lang w:eastAsia="ja-JP"/>
        </w:rPr>
        <w:lastRenderedPageBreak/>
        <w:t>Proposed Product Information (PI)/Consumer Medicine Information (CMI) amendments:</w:t>
      </w:r>
      <w:r w:rsidRPr="001F6307">
        <w:rPr>
          <w:rFonts w:eastAsia="MS Mincho"/>
          <w:highlight w:val="yellow"/>
          <w:lang w:eastAsia="ja-JP"/>
        </w:rPr>
        <w:t xml:space="preserve"> </w:t>
      </w:r>
    </w:p>
    <w:p w:rsidR="001F6307" w:rsidRPr="001F6307" w:rsidRDefault="001F6307" w:rsidP="0008710D">
      <w:r w:rsidRPr="001F6307">
        <w:t xml:space="preserve">The ACPM agreed with the delegate to the proposed amendments to the PI and CMI and specifically advised on the inclusion of the following: </w:t>
      </w:r>
    </w:p>
    <w:p w:rsidR="001F6307" w:rsidRPr="001F6307" w:rsidRDefault="001F6307" w:rsidP="0008710D">
      <w:pPr>
        <w:pStyle w:val="ListBullet"/>
      </w:pPr>
      <w:r w:rsidRPr="001F6307">
        <w:t xml:space="preserve">Cross reference in the PRECAUTIONS section on TLS to the section on Worsening Pre-existing Cardiac </w:t>
      </w:r>
      <w:r w:rsidRPr="0008710D">
        <w:t>Conditions</w:t>
      </w:r>
      <w:r w:rsidRPr="001F6307">
        <w:t xml:space="preserve"> as high fluid loads are part of TLS management or prevention and this needs to be considered. It may further exacerbate congestive cardiac failure.</w:t>
      </w:r>
    </w:p>
    <w:p w:rsidR="001F6307" w:rsidRPr="001F6307" w:rsidRDefault="001F6307" w:rsidP="0008710D">
      <w:pPr>
        <w:pStyle w:val="Heading5"/>
        <w:rPr>
          <w:rFonts w:eastAsia="MS Mincho"/>
          <w:highlight w:val="yellow"/>
          <w:lang w:eastAsia="ja-JP"/>
        </w:rPr>
      </w:pPr>
      <w:r w:rsidRPr="001F6307">
        <w:rPr>
          <w:rFonts w:eastAsia="MS Mincho"/>
          <w:lang w:eastAsia="ja-JP"/>
        </w:rPr>
        <w:t xml:space="preserve">Specific </w:t>
      </w:r>
      <w:r w:rsidR="0008710D">
        <w:rPr>
          <w:rFonts w:eastAsia="MS Mincho"/>
          <w:lang w:eastAsia="ja-JP"/>
        </w:rPr>
        <w:t>a</w:t>
      </w:r>
      <w:r w:rsidRPr="001F6307">
        <w:rPr>
          <w:rFonts w:eastAsia="MS Mincho"/>
          <w:lang w:eastAsia="ja-JP"/>
        </w:rPr>
        <w:t>dvice:</w:t>
      </w:r>
    </w:p>
    <w:p w:rsidR="001F6307" w:rsidRPr="001F6307" w:rsidRDefault="001F6307" w:rsidP="0008710D">
      <w:r w:rsidRPr="001F6307">
        <w:t>The ACPM advised the following in response to the specific Delegate’s questions on this submission:</w:t>
      </w:r>
    </w:p>
    <w:p w:rsidR="001F6307" w:rsidRPr="0008710D" w:rsidRDefault="001F6307" w:rsidP="0008710D">
      <w:pPr>
        <w:pStyle w:val="Numberbullet0"/>
        <w:numPr>
          <w:ilvl w:val="0"/>
          <w:numId w:val="40"/>
        </w:numPr>
        <w:rPr>
          <w:i/>
        </w:rPr>
      </w:pPr>
      <w:r w:rsidRPr="0008710D">
        <w:rPr>
          <w:i/>
        </w:rPr>
        <w:t xml:space="preserve">Does the benefit-risk balance favour </w:t>
      </w:r>
      <w:proofErr w:type="spellStart"/>
      <w:r w:rsidRPr="0008710D">
        <w:rPr>
          <w:i/>
        </w:rPr>
        <w:t>obinutuzumab</w:t>
      </w:r>
      <w:proofErr w:type="spellEnd"/>
      <w:r w:rsidRPr="0008710D">
        <w:rPr>
          <w:i/>
        </w:rPr>
        <w:t xml:space="preserve"> use in the proposed indication?</w:t>
      </w:r>
    </w:p>
    <w:p w:rsidR="001F6307" w:rsidRPr="001F6307" w:rsidRDefault="001F6307" w:rsidP="0008710D">
      <w:r w:rsidRPr="001F6307">
        <w:t>The benefit-risk balance favours the proposed indication although data regarding OS are not mature and CLL is a disease where, due to age of onset, death from another cause can occur. The data suggesting improvement in PFS, eradication of minimal residual disease, treatment response, and EFS are compelling. There is no evidence of adverse effect on quality of life measures from patient reports. IRRs appear mostly manageable after first infusion.</w:t>
      </w:r>
    </w:p>
    <w:p w:rsidR="001F6307" w:rsidRPr="0008710D" w:rsidRDefault="001F6307" w:rsidP="0008710D">
      <w:pPr>
        <w:pStyle w:val="Numberbullet0"/>
        <w:rPr>
          <w:i/>
        </w:rPr>
      </w:pPr>
      <w:r w:rsidRPr="0008710D">
        <w:rPr>
          <w:i/>
        </w:rPr>
        <w:t xml:space="preserve">What is the opinion of the Committee regarding extending the use of </w:t>
      </w:r>
      <w:proofErr w:type="spellStart"/>
      <w:r w:rsidRPr="0008710D">
        <w:rPr>
          <w:i/>
        </w:rPr>
        <w:t>Gazyva</w:t>
      </w:r>
      <w:proofErr w:type="spellEnd"/>
      <w:r w:rsidRPr="0008710D">
        <w:rPr>
          <w:i/>
        </w:rPr>
        <w:t xml:space="preserve"> in combination with </w:t>
      </w:r>
      <w:proofErr w:type="spellStart"/>
      <w:r w:rsidRPr="0008710D">
        <w:rPr>
          <w:i/>
        </w:rPr>
        <w:t>Clb</w:t>
      </w:r>
      <w:proofErr w:type="spellEnd"/>
      <w:r w:rsidRPr="0008710D">
        <w:rPr>
          <w:i/>
        </w:rPr>
        <w:t xml:space="preserve"> to patients with CLL that are not poorly functioning or with normal creatinine clearance?</w:t>
      </w:r>
    </w:p>
    <w:p w:rsidR="001F6307" w:rsidRPr="001F6307" w:rsidRDefault="001F6307" w:rsidP="0008710D">
      <w:r w:rsidRPr="001F6307">
        <w:t xml:space="preserve">The ACPM agreed with the sponsor that this is an obvious next step. These patients are often eligible for more intensive therapy on the basis of performance status and ultimately the treatment decision would remain with the clinicians. Off-label use with other agents may provoke unanticipated consequences. However, the indication proposed is for </w:t>
      </w:r>
      <w:r w:rsidRPr="001F6307">
        <w:rPr>
          <w:b/>
        </w:rPr>
        <w:t>untreated</w:t>
      </w:r>
      <w:r w:rsidRPr="001F6307">
        <w:t xml:space="preserve"> patients in combination with </w:t>
      </w:r>
      <w:proofErr w:type="spellStart"/>
      <w:r w:rsidRPr="001F6307">
        <w:t>Clb</w:t>
      </w:r>
      <w:proofErr w:type="spellEnd"/>
      <w:r w:rsidRPr="001F6307">
        <w:t>.</w:t>
      </w:r>
    </w:p>
    <w:p w:rsidR="001F6307" w:rsidRPr="0008710D" w:rsidRDefault="001F6307" w:rsidP="0008710D">
      <w:pPr>
        <w:pStyle w:val="Numberbullet0"/>
        <w:rPr>
          <w:i/>
        </w:rPr>
      </w:pPr>
      <w:r w:rsidRPr="0008710D">
        <w:rPr>
          <w:i/>
        </w:rPr>
        <w:t>What is the opinion of the Committee regarding the premedication and dose splitting regimens proposed?</w:t>
      </w:r>
    </w:p>
    <w:p w:rsidR="001F6307" w:rsidRPr="001F6307" w:rsidRDefault="001F6307" w:rsidP="0008710D">
      <w:r w:rsidRPr="001F6307">
        <w:t xml:space="preserve">The ACPM advised that the use of pre-medications for the management of IRRs is relatively standard. The dose splitting regimen used in the pivotal trial reduced IRRs significantly; but not those of a </w:t>
      </w:r>
      <w:r w:rsidR="0008710D">
        <w:t>more severe nature (grade 3-4).</w:t>
      </w:r>
    </w:p>
    <w:p w:rsidR="001F6307" w:rsidRPr="0008710D" w:rsidRDefault="001F6307" w:rsidP="0008710D">
      <w:pPr>
        <w:pStyle w:val="Numberbullet0"/>
        <w:rPr>
          <w:i/>
        </w:rPr>
      </w:pPr>
      <w:r w:rsidRPr="0008710D">
        <w:rPr>
          <w:i/>
        </w:rPr>
        <w:t xml:space="preserve">What is the opinion of the Committee regarding specific warnings for: hepatitis B reactivation, PML, </w:t>
      </w:r>
      <w:proofErr w:type="spellStart"/>
      <w:r w:rsidRPr="0008710D">
        <w:rPr>
          <w:i/>
        </w:rPr>
        <w:t>thrombocytopaenia</w:t>
      </w:r>
      <w:proofErr w:type="spellEnd"/>
      <w:r w:rsidRPr="0008710D">
        <w:rPr>
          <w:i/>
        </w:rPr>
        <w:t>, and fatal haemorrhagic</w:t>
      </w:r>
      <w:r w:rsidR="0008710D" w:rsidRPr="0008710D">
        <w:rPr>
          <w:i/>
        </w:rPr>
        <w:t xml:space="preserve"> events during the first cycle?</w:t>
      </w:r>
    </w:p>
    <w:p w:rsidR="001F6307" w:rsidRPr="001F6307" w:rsidRDefault="001F6307" w:rsidP="0008710D">
      <w:r w:rsidRPr="001F6307">
        <w:t>A specific black box warning on the risk PML is appropriate, although there were no cases in the pivotal trial. The ACPM noted the sponsor has agreed. Practicing haematologists and oncologists are keenly aware of the risk of hepatitis B reactivation with many forms of anti-cancer treatment. A suitable statement could be included in the PRECAUTIONS.</w:t>
      </w:r>
    </w:p>
    <w:p w:rsidR="001F6307" w:rsidRPr="001F6307" w:rsidRDefault="001F6307" w:rsidP="0008710D">
      <w:r w:rsidRPr="001F6307">
        <w:t xml:space="preserve">The risk of early onset thrombocytopenia needs to be made very obvious to health care providers and patients. Although </w:t>
      </w:r>
      <w:proofErr w:type="spellStart"/>
      <w:r w:rsidRPr="001F6307">
        <w:t>thrombocytopaenia</w:t>
      </w:r>
      <w:proofErr w:type="spellEnd"/>
      <w:r w:rsidRPr="001F6307">
        <w:t xml:space="preserve"> is well managed by haematologists who will be prescribing this medication, the early onset is unusual. The “Dear Healthcare Provider” letter recommended by ACSOM was endorsed.</w:t>
      </w:r>
    </w:p>
    <w:p w:rsidR="001F6307" w:rsidRPr="001F6307" w:rsidRDefault="001F6307" w:rsidP="0008710D">
      <w:r w:rsidRPr="001F6307">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1F6307" w:rsidRPr="001F6307" w:rsidRDefault="001F6307" w:rsidP="0008710D">
      <w:pPr>
        <w:pStyle w:val="Heading3"/>
      </w:pPr>
      <w:bookmarkStart w:id="165" w:name="_Toc247691532"/>
      <w:bookmarkStart w:id="166" w:name="_Toc314842516"/>
      <w:bookmarkStart w:id="167" w:name="_Toc395872583"/>
      <w:bookmarkStart w:id="168" w:name="_Toc399425161"/>
      <w:bookmarkEnd w:id="115"/>
      <w:bookmarkEnd w:id="162"/>
      <w:bookmarkEnd w:id="163"/>
      <w:r w:rsidRPr="001F6307">
        <w:lastRenderedPageBreak/>
        <w:t>Outcome</w:t>
      </w:r>
      <w:bookmarkEnd w:id="165"/>
      <w:bookmarkEnd w:id="166"/>
      <w:bookmarkEnd w:id="167"/>
      <w:bookmarkEnd w:id="168"/>
    </w:p>
    <w:p w:rsidR="001F6307" w:rsidRPr="001F6307" w:rsidRDefault="001F6307" w:rsidP="0008710D">
      <w:bookmarkStart w:id="169" w:name="_Toc247691533"/>
      <w:bookmarkStart w:id="170" w:name="_Toc314842517"/>
      <w:r w:rsidRPr="001F6307">
        <w:t xml:space="preserve">Based on a review of quality, safety and efficacy, TGA approved the registration of </w:t>
      </w:r>
      <w:proofErr w:type="spellStart"/>
      <w:r w:rsidRPr="001F6307">
        <w:t>Gazyva</w:t>
      </w:r>
      <w:proofErr w:type="spellEnd"/>
      <w:r w:rsidRPr="001F6307">
        <w:t xml:space="preserve"> </w:t>
      </w:r>
      <w:proofErr w:type="spellStart"/>
      <w:r w:rsidRPr="001F6307">
        <w:t>obinutuzumab</w:t>
      </w:r>
      <w:proofErr w:type="spellEnd"/>
      <w:r w:rsidRPr="001F6307">
        <w:t xml:space="preserve"> (</w:t>
      </w:r>
      <w:proofErr w:type="spellStart"/>
      <w:r w:rsidRPr="001F6307">
        <w:t>rch</w:t>
      </w:r>
      <w:proofErr w:type="spellEnd"/>
      <w:r w:rsidRPr="001F6307">
        <w:t>) 1000 mg/40 mL concentrate solution for infusion vial for the indication:</w:t>
      </w:r>
    </w:p>
    <w:p w:rsidR="001F6307" w:rsidRPr="0008710D" w:rsidRDefault="001F6307" w:rsidP="0008710D">
      <w:pPr>
        <w:ind w:left="720"/>
        <w:rPr>
          <w:i/>
        </w:rPr>
      </w:pPr>
      <w:proofErr w:type="spellStart"/>
      <w:r w:rsidRPr="0008710D">
        <w:rPr>
          <w:i/>
        </w:rPr>
        <w:t>Gazyva</w:t>
      </w:r>
      <w:proofErr w:type="spellEnd"/>
      <w:r w:rsidRPr="0008710D">
        <w:rPr>
          <w:i/>
        </w:rPr>
        <w:t xml:space="preserve"> in combination with </w:t>
      </w:r>
      <w:proofErr w:type="spellStart"/>
      <w:r w:rsidRPr="0008710D">
        <w:rPr>
          <w:i/>
        </w:rPr>
        <w:t>chlorambucil</w:t>
      </w:r>
      <w:proofErr w:type="spellEnd"/>
      <w:r w:rsidRPr="0008710D">
        <w:rPr>
          <w:i/>
        </w:rPr>
        <w:t xml:space="preserve"> is indicated for the treatment of patients with previously untreated chronic lymphocytic leukaemia (CLL).</w:t>
      </w:r>
    </w:p>
    <w:p w:rsidR="001F6307" w:rsidRPr="001F6307" w:rsidRDefault="001F6307" w:rsidP="0008710D">
      <w:pPr>
        <w:pStyle w:val="Heading4"/>
      </w:pPr>
      <w:r w:rsidRPr="001F6307">
        <w:t>Specific conditions of registration applying to these goods</w:t>
      </w:r>
    </w:p>
    <w:p w:rsidR="001F6307" w:rsidRPr="001F6307" w:rsidRDefault="001F6307" w:rsidP="0008710D">
      <w:pPr>
        <w:pStyle w:val="ListBullet"/>
      </w:pPr>
      <w:r w:rsidRPr="001F6307">
        <w:t xml:space="preserve">Implementation in Australia of the </w:t>
      </w:r>
      <w:proofErr w:type="spellStart"/>
      <w:r w:rsidRPr="001F6307">
        <w:t>Gazyva</w:t>
      </w:r>
      <w:proofErr w:type="spellEnd"/>
      <w:r w:rsidRPr="001F6307">
        <w:t xml:space="preserve"> (</w:t>
      </w:r>
      <w:proofErr w:type="spellStart"/>
      <w:r w:rsidRPr="001F6307">
        <w:t>obinutuzumab</w:t>
      </w:r>
      <w:proofErr w:type="spellEnd"/>
      <w:r w:rsidRPr="001F6307">
        <w:t>) EU-RMP version: 1.0, dated March 2013 with an ASA version: 1.0 dated June 2013 (to be revised as agreed in the sponsor's correspondence of 6 January 2014) and with the addition of a “Dear Healthcare Provider” letter, to be issued within 3 months of registration as agreed with the Delegate, and any future updates as agreed with the TGA’s OPR.</w:t>
      </w:r>
    </w:p>
    <w:p w:rsidR="001F6307" w:rsidRPr="001F6307" w:rsidRDefault="001F6307" w:rsidP="0008710D">
      <w:pPr>
        <w:pStyle w:val="Heading2"/>
      </w:pPr>
      <w:bookmarkStart w:id="171" w:name="_Toc395872584"/>
      <w:bookmarkStart w:id="172" w:name="_Toc399425162"/>
      <w:proofErr w:type="gramStart"/>
      <w:r w:rsidRPr="001F6307">
        <w:t>Attachment 1.</w:t>
      </w:r>
      <w:proofErr w:type="gramEnd"/>
      <w:r w:rsidRPr="001F6307">
        <w:tab/>
        <w:t>Product Information</w:t>
      </w:r>
      <w:bookmarkEnd w:id="169"/>
      <w:bookmarkEnd w:id="170"/>
      <w:bookmarkEnd w:id="171"/>
      <w:bookmarkEnd w:id="172"/>
    </w:p>
    <w:p w:rsidR="001F6307" w:rsidRPr="001F6307" w:rsidRDefault="001F6307" w:rsidP="0008710D">
      <w:pPr>
        <w:rPr>
          <w:color w:val="000000"/>
          <w:lang w:eastAsia="en-AU"/>
        </w:rPr>
      </w:pPr>
      <w:r w:rsidRPr="001F6307">
        <w:t xml:space="preserve">The PI approved for </w:t>
      </w:r>
      <w:proofErr w:type="spellStart"/>
      <w:r w:rsidRPr="001F6307">
        <w:t>Gazyva</w:t>
      </w:r>
      <w:proofErr w:type="spellEnd"/>
      <w:r w:rsidRPr="001F6307">
        <w:t xml:space="preserve"> at the time this </w:t>
      </w:r>
      <w:proofErr w:type="spellStart"/>
      <w:r w:rsidRPr="001F6307">
        <w:t>AusPAR</w:t>
      </w:r>
      <w:proofErr w:type="spellEnd"/>
      <w:r w:rsidRPr="001F6307">
        <w:t xml:space="preserve"> was published is at Attachment 1. For the most recent PI, please refer to the TGA website at &lt;</w:t>
      </w:r>
      <w:hyperlink r:id="rId46" w:history="1">
        <w:r w:rsidRPr="001F6307">
          <w:rPr>
            <w:color w:val="0000FF"/>
            <w:u w:val="single"/>
          </w:rPr>
          <w:t>http://www.tga.gov.au/hp/information-medicines-pi.htm</w:t>
        </w:r>
      </w:hyperlink>
      <w:r w:rsidRPr="001F6307">
        <w:t>&gt;.</w:t>
      </w:r>
    </w:p>
    <w:p w:rsidR="001F6307" w:rsidRPr="001F6307" w:rsidRDefault="001F6307" w:rsidP="0008710D">
      <w:pPr>
        <w:pStyle w:val="Heading2"/>
        <w:rPr>
          <w:lang w:eastAsia="en-AU"/>
        </w:rPr>
      </w:pPr>
      <w:bookmarkStart w:id="173" w:name="_Toc395872585"/>
      <w:bookmarkStart w:id="174" w:name="_Toc399425163"/>
      <w:proofErr w:type="gramStart"/>
      <w:r w:rsidRPr="001F6307">
        <w:rPr>
          <w:lang w:eastAsia="en-AU"/>
        </w:rPr>
        <w:t>Attachment 2.</w:t>
      </w:r>
      <w:proofErr w:type="gramEnd"/>
      <w:r w:rsidRPr="001F6307">
        <w:rPr>
          <w:lang w:eastAsia="en-AU"/>
        </w:rPr>
        <w:t xml:space="preserve"> Extract from the Clinical Evaluation Report</w:t>
      </w:r>
      <w:bookmarkEnd w:id="173"/>
      <w:bookmarkEnd w:id="174"/>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47"/>
          <w:headerReference w:type="default" r:id="rId48"/>
          <w:headerReference w:type="first" r:id="rId49"/>
          <w:footerReference w:type="first" r:id="rId5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EB11CF">
        <w:trPr>
          <w:trHeight w:hRule="exact" w:val="704"/>
        </w:trPr>
        <w:tc>
          <w:tcPr>
            <w:tcW w:w="9175" w:type="dxa"/>
          </w:tcPr>
          <w:p w:rsidR="001C32CD" w:rsidRPr="00487162" w:rsidRDefault="001C32CD" w:rsidP="00EB11CF">
            <w:pPr>
              <w:pStyle w:val="TGASignoff"/>
            </w:pPr>
            <w:r w:rsidRPr="00487162">
              <w:lastRenderedPageBreak/>
              <w:t>Therapeutic Goods Administration</w:t>
            </w:r>
          </w:p>
        </w:tc>
      </w:tr>
      <w:tr w:rsidR="001C32CD" w:rsidRPr="004C239D" w:rsidTr="00EB11CF">
        <w:trPr>
          <w:trHeight w:val="1221"/>
        </w:trPr>
        <w:tc>
          <w:tcPr>
            <w:tcW w:w="9175" w:type="dxa"/>
            <w:tcMar>
              <w:top w:w="28" w:type="dxa"/>
            </w:tcMar>
          </w:tcPr>
          <w:p w:rsidR="001C32CD" w:rsidRPr="00487162" w:rsidRDefault="001C32CD" w:rsidP="00EB11CF">
            <w:pPr>
              <w:pStyle w:val="Address"/>
            </w:pPr>
            <w:r w:rsidRPr="00487162">
              <w:t>PO Box 100 Woden ACT 2606 Australia</w:t>
            </w:r>
          </w:p>
          <w:p w:rsidR="001C32CD" w:rsidRPr="00487162" w:rsidRDefault="001C32CD" w:rsidP="00EB11CF">
            <w:pPr>
              <w:pStyle w:val="Address"/>
            </w:pPr>
            <w:r w:rsidRPr="00487162">
              <w:t xml:space="preserve">Email: </w:t>
            </w:r>
            <w:hyperlink r:id="rId51" w:history="1">
              <w:r w:rsidRPr="004C239D">
                <w:rPr>
                  <w:rStyle w:val="Hyperlink"/>
                </w:rPr>
                <w:t>info@tga.gov.au</w:t>
              </w:r>
            </w:hyperlink>
            <w:r w:rsidRPr="00487162">
              <w:t xml:space="preserve">  Phone: 1800 020 653  Fax: 02 6232 8605</w:t>
            </w:r>
          </w:p>
          <w:p w:rsidR="001C32CD" w:rsidRPr="004C239D" w:rsidRDefault="00EB11CF" w:rsidP="00EB11CF">
            <w:pPr>
              <w:pStyle w:val="Address"/>
              <w:spacing w:line="260" w:lineRule="atLeast"/>
              <w:rPr>
                <w:b/>
                <w:color w:val="0000FF"/>
                <w:u w:val="single"/>
              </w:rPr>
            </w:pPr>
            <w:hyperlink r:id="rId52" w:history="1">
              <w:r w:rsidR="001C32CD" w:rsidRPr="00607888">
                <w:rPr>
                  <w:rStyle w:val="Hyperlink"/>
                  <w:b/>
                </w:rPr>
                <w:t>http://www.tga.gov.au</w:t>
              </w:r>
            </w:hyperlink>
          </w:p>
        </w:tc>
      </w:tr>
    </w:tbl>
    <w:p w:rsidR="00774E1D" w:rsidRPr="008A5E0B" w:rsidRDefault="00774E1D" w:rsidP="004C239D"/>
    <w:sectPr w:rsidR="00774E1D" w:rsidRPr="008A5E0B" w:rsidSect="001C32CD">
      <w:headerReference w:type="even" r:id="rId53"/>
      <w:headerReference w:type="default" r:id="rId54"/>
      <w:footerReference w:type="default" r:id="rId55"/>
      <w:headerReference w:type="first" r:id="rId56"/>
      <w:footerReference w:type="first" r:id="rId5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3D0" w:rsidRDefault="00DC73D0" w:rsidP="00C40A36">
      <w:pPr>
        <w:spacing w:after="0"/>
      </w:pPr>
      <w:r>
        <w:separator/>
      </w:r>
    </w:p>
  </w:endnote>
  <w:endnote w:type="continuationSeparator" w:id="0">
    <w:p w:rsidR="00DC73D0" w:rsidRDefault="00DC73D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DC73D0" w:rsidRPr="00487162" w:rsidTr="00DB750B">
      <w:trPr>
        <w:trHeight w:val="269"/>
      </w:trPr>
      <w:tc>
        <w:tcPr>
          <w:tcW w:w="7371" w:type="dxa"/>
          <w:tcMar>
            <w:top w:w="142" w:type="dxa"/>
            <w:bottom w:w="0" w:type="dxa"/>
          </w:tcMar>
        </w:tcPr>
        <w:p w:rsidR="00DC73D0" w:rsidRDefault="00DC73D0" w:rsidP="001F6307">
          <w:pPr>
            <w:pStyle w:val="Footer"/>
          </w:pPr>
          <w:proofErr w:type="spellStart"/>
          <w:r>
            <w:t>AusPAR</w:t>
          </w:r>
          <w:proofErr w:type="spellEnd"/>
          <w:r>
            <w:t xml:space="preserve"> </w:t>
          </w:r>
          <w:proofErr w:type="spellStart"/>
          <w:r>
            <w:t>Gazyva</w:t>
          </w:r>
          <w:proofErr w:type="spellEnd"/>
          <w:r>
            <w:t xml:space="preserve"> Roche Products Pty Ltd PM-2013-01148-1-4</w:t>
          </w:r>
        </w:p>
        <w:p w:rsidR="00DC73D0" w:rsidRPr="00487162" w:rsidRDefault="00DC73D0" w:rsidP="001F6307">
          <w:pPr>
            <w:pStyle w:val="Footer"/>
          </w:pPr>
          <w:r>
            <w:t>Final 26 August 2014</w:t>
          </w:r>
        </w:p>
      </w:tc>
      <w:tc>
        <w:tcPr>
          <w:tcW w:w="1490" w:type="dxa"/>
          <w:tcMar>
            <w:top w:w="142" w:type="dxa"/>
            <w:bottom w:w="0" w:type="dxa"/>
          </w:tcMar>
        </w:tcPr>
        <w:p w:rsidR="00DC73D0" w:rsidRPr="00487162" w:rsidRDefault="00DC73D0" w:rsidP="00DB750B">
          <w:pPr>
            <w:pStyle w:val="Footer"/>
            <w:jc w:val="right"/>
          </w:pPr>
          <w:r w:rsidRPr="00487162">
            <w:t xml:space="preserve">Page </w:t>
          </w:r>
          <w:r>
            <w:fldChar w:fldCharType="begin"/>
          </w:r>
          <w:r>
            <w:instrText xml:space="preserve"> PAGE  \* Arabic </w:instrText>
          </w:r>
          <w:r>
            <w:fldChar w:fldCharType="separate"/>
          </w:r>
          <w:r w:rsidR="00475AC5">
            <w:rPr>
              <w:noProof/>
            </w:rPr>
            <w:t>56</w:t>
          </w:r>
          <w:r>
            <w:fldChar w:fldCharType="end"/>
          </w:r>
          <w:r w:rsidRPr="00487162">
            <w:t xml:space="preserve"> of </w:t>
          </w:r>
          <w:fldSimple w:instr=" NUMPAGES  \* Arabic ">
            <w:r w:rsidR="00475AC5">
              <w:rPr>
                <w:noProof/>
              </w:rPr>
              <w:t>57</w:t>
            </w:r>
          </w:fldSimple>
        </w:p>
      </w:tc>
    </w:tr>
  </w:tbl>
  <w:p w:rsidR="00DC73D0" w:rsidRDefault="00DC73D0" w:rsidP="003D1E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DC73D0" w:rsidRPr="00487162" w:rsidTr="00E45619">
      <w:trPr>
        <w:trHeight w:val="269"/>
      </w:trPr>
      <w:tc>
        <w:tcPr>
          <w:tcW w:w="4519" w:type="dxa"/>
          <w:tcBorders>
            <w:top w:val="single" w:sz="4" w:space="0" w:color="auto"/>
          </w:tcBorders>
          <w:tcMar>
            <w:top w:w="142" w:type="dxa"/>
            <w:bottom w:w="0" w:type="dxa"/>
          </w:tcMar>
        </w:tcPr>
        <w:p w:rsidR="00DC73D0" w:rsidRPr="00487162" w:rsidRDefault="00DC73D0" w:rsidP="00FE1DEE">
          <w:pPr>
            <w:pStyle w:val="Footer"/>
          </w:pPr>
          <w:r w:rsidRPr="00487162">
            <w:t>Document title, Part #, Section # - Section title</w:t>
          </w:r>
        </w:p>
        <w:p w:rsidR="00DC73D0" w:rsidRPr="00487162" w:rsidRDefault="00DC73D0" w:rsidP="00FE1DEE">
          <w:pPr>
            <w:pStyle w:val="Footer"/>
          </w:pPr>
          <w:r w:rsidRPr="00487162">
            <w:t>V1.0 October 2010</w:t>
          </w:r>
        </w:p>
      </w:tc>
      <w:tc>
        <w:tcPr>
          <w:tcW w:w="4342" w:type="dxa"/>
          <w:tcBorders>
            <w:top w:val="single" w:sz="4" w:space="0" w:color="auto"/>
          </w:tcBorders>
          <w:tcMar>
            <w:top w:w="142" w:type="dxa"/>
            <w:bottom w:w="0" w:type="dxa"/>
          </w:tcMar>
        </w:tcPr>
        <w:p w:rsidR="00DC73D0" w:rsidRPr="00487162" w:rsidRDefault="00DC73D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DC73D0" w:rsidRDefault="00DC73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Pr="001C32CD" w:rsidRDefault="00DC73D0" w:rsidP="001C32C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DC73D0" w:rsidTr="0010601F">
      <w:trPr>
        <w:trHeight w:val="108"/>
      </w:trPr>
      <w:tc>
        <w:tcPr>
          <w:tcW w:w="8875" w:type="dxa"/>
          <w:gridSpan w:val="2"/>
          <w:tcBorders>
            <w:bottom w:val="single" w:sz="4" w:space="0" w:color="auto"/>
          </w:tcBorders>
          <w:tcMar>
            <w:right w:w="284" w:type="dxa"/>
          </w:tcMar>
        </w:tcPr>
        <w:p w:rsidR="00DC73D0" w:rsidRDefault="00DC73D0" w:rsidP="006E08B3">
          <w:pPr>
            <w:pStyle w:val="Heading3"/>
          </w:pPr>
          <w:r>
            <w:t>Copyright</w:t>
          </w:r>
        </w:p>
        <w:p w:rsidR="00DC73D0" w:rsidRDefault="00DC73D0" w:rsidP="006E08B3">
          <w:r>
            <w:rPr>
              <w:rFonts w:cs="Arial"/>
            </w:rPr>
            <w:t>©</w:t>
          </w:r>
          <w:r>
            <w:t xml:space="preserve"> Commonwealth of Australia [add year]</w:t>
          </w:r>
        </w:p>
        <w:p w:rsidR="00DC73D0" w:rsidRDefault="00DC73D0" w:rsidP="006E08B3"/>
        <w:p w:rsidR="00DC73D0" w:rsidRDefault="00DC73D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DC73D0" w:rsidRDefault="00DC73D0" w:rsidP="006E08B3"/>
        <w:p w:rsidR="00DC73D0" w:rsidRDefault="00DC73D0" w:rsidP="006E08B3">
          <w:pPr>
            <w:pStyle w:val="Heading3"/>
          </w:pPr>
          <w:r>
            <w:t>Confidentiality</w:t>
          </w:r>
        </w:p>
        <w:p w:rsidR="00DC73D0" w:rsidRDefault="00DC73D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DC73D0" w:rsidRDefault="00DC73D0" w:rsidP="006E08B3"/>
        <w:p w:rsidR="00DC73D0" w:rsidRDefault="00DC73D0" w:rsidP="006E08B3">
          <w:r>
            <w:t>For submission made by individuals, all personal details, other than your name, will be removed from your submission before it is published on the TGA’s Internet site.</w:t>
          </w:r>
        </w:p>
        <w:p w:rsidR="00DC73D0" w:rsidRDefault="00DC73D0" w:rsidP="006E08B3"/>
        <w:p w:rsidR="00DC73D0" w:rsidRDefault="00DC73D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DC73D0" w:rsidTr="0010601F">
      <w:trPr>
        <w:trHeight w:val="417"/>
      </w:trPr>
      <w:tc>
        <w:tcPr>
          <w:tcW w:w="4519" w:type="dxa"/>
          <w:tcBorders>
            <w:top w:val="single" w:sz="4" w:space="0" w:color="auto"/>
          </w:tcBorders>
          <w:tcMar>
            <w:top w:w="142" w:type="dxa"/>
            <w:bottom w:w="0" w:type="dxa"/>
          </w:tcMar>
        </w:tcPr>
        <w:p w:rsidR="00DC73D0" w:rsidRDefault="00DC73D0" w:rsidP="006E08B3">
          <w:r>
            <w:t>Document title, Part #, Section # - Section title</w:t>
          </w:r>
        </w:p>
        <w:p w:rsidR="00DC73D0" w:rsidRDefault="00DC73D0" w:rsidP="006E08B3">
          <w:r>
            <w:t>V1.0 October 2010</w:t>
          </w:r>
        </w:p>
      </w:tc>
      <w:tc>
        <w:tcPr>
          <w:tcW w:w="4356" w:type="dxa"/>
          <w:tcBorders>
            <w:top w:val="single" w:sz="4" w:space="0" w:color="auto"/>
          </w:tcBorders>
          <w:tcMar>
            <w:top w:w="142" w:type="dxa"/>
            <w:bottom w:w="0" w:type="dxa"/>
          </w:tcMar>
        </w:tcPr>
        <w:p w:rsidR="00DC73D0" w:rsidRDefault="00DC73D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DC73D0" w:rsidRDefault="00DC73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3D0" w:rsidRDefault="00DC73D0" w:rsidP="00C40A36">
      <w:pPr>
        <w:spacing w:after="0"/>
      </w:pPr>
      <w:r>
        <w:separator/>
      </w:r>
    </w:p>
  </w:footnote>
  <w:footnote w:type="continuationSeparator" w:id="0">
    <w:p w:rsidR="00DC73D0" w:rsidRDefault="00DC73D0" w:rsidP="00C40A36">
      <w:pPr>
        <w:spacing w:after="0"/>
      </w:pPr>
      <w:r>
        <w:continuationSeparator/>
      </w:r>
    </w:p>
  </w:footnote>
  <w:footnote w:id="1">
    <w:p w:rsidR="00DC73D0" w:rsidRDefault="00DC73D0" w:rsidP="001F6307">
      <w:pPr>
        <w:pStyle w:val="FootnoteText"/>
      </w:pPr>
      <w:r>
        <w:rPr>
          <w:rStyle w:val="FootnoteReference"/>
        </w:rPr>
        <w:footnoteRef/>
      </w:r>
      <w:r>
        <w:t xml:space="preserve"> </w:t>
      </w:r>
      <w:proofErr w:type="gramStart"/>
      <w:r w:rsidRPr="00264719">
        <w:t xml:space="preserve">European Medicines </w:t>
      </w:r>
      <w:r w:rsidRPr="00E86CA1">
        <w:t>Agency, “</w:t>
      </w:r>
      <w:r w:rsidRPr="00301A25">
        <w:t>ICH guideline S6 (R1) – preclinical safety evaluation of biotechnology-derived pharmaceuticals</w:t>
      </w:r>
      <w:r>
        <w:t xml:space="preserve"> (</w:t>
      </w:r>
      <w:r w:rsidRPr="00301A25">
        <w:t>EMA/CHMP/ICH/731268/1998</w:t>
      </w:r>
      <w:r>
        <w:t>)</w:t>
      </w:r>
      <w:r w:rsidRPr="00E86CA1">
        <w:t xml:space="preserve">”, </w:t>
      </w:r>
      <w:r>
        <w:t>June 2011.</w:t>
      </w:r>
      <w:proofErr w:type="gramEnd"/>
    </w:p>
  </w:footnote>
  <w:footnote w:id="2">
    <w:p w:rsidR="00DC73D0" w:rsidRDefault="00DC73D0" w:rsidP="001F6307">
      <w:pPr>
        <w:pStyle w:val="FootnoteText"/>
      </w:pPr>
      <w:r>
        <w:rPr>
          <w:rStyle w:val="FootnoteReference"/>
        </w:rPr>
        <w:footnoteRef/>
      </w:r>
      <w:r>
        <w:t xml:space="preserve"> Pregnancy Category C: </w:t>
      </w:r>
      <w:r w:rsidRPr="002138E1">
        <w:t>Drugs which, owing to their pharmacological effects, have caused or may be suspected of causing, harmful effects on the human f</w:t>
      </w:r>
      <w:r>
        <w:t>o</w:t>
      </w:r>
      <w:r w:rsidRPr="002138E1">
        <w:t>etus or neonate without causing malformations. These effects may be reversible. Accompanying texts should be consulted for further details.</w:t>
      </w:r>
    </w:p>
  </w:footnote>
  <w:footnote w:id="3">
    <w:p w:rsidR="00DC73D0" w:rsidRDefault="00DC73D0" w:rsidP="001F6307">
      <w:pPr>
        <w:pStyle w:val="FootnoteText"/>
      </w:pPr>
      <w:r>
        <w:rPr>
          <w:rStyle w:val="FootnoteReference"/>
        </w:rPr>
        <w:footnoteRef/>
      </w:r>
      <w:r>
        <w:t xml:space="preserve"> </w:t>
      </w:r>
      <w:r w:rsidRPr="00E13E73">
        <w:t xml:space="preserve">Australian Institute </w:t>
      </w:r>
      <w:r>
        <w:t>of Health and Welfare, Australian Cancer Incidence and Mortality (ACIM) book for Chronic Lymphocytic Leukaemia (ICD-10 code C91.1), Canberra, 2014.</w:t>
      </w:r>
    </w:p>
  </w:footnote>
  <w:footnote w:id="4">
    <w:p w:rsidR="00DC73D0" w:rsidRDefault="00DC73D0" w:rsidP="001F6307">
      <w:pPr>
        <w:pStyle w:val="FootnoteText"/>
      </w:pPr>
      <w:r>
        <w:rPr>
          <w:rStyle w:val="FootnoteReference"/>
        </w:rPr>
        <w:footnoteRef/>
      </w:r>
      <w:r>
        <w:t xml:space="preserve"> </w:t>
      </w:r>
      <w:proofErr w:type="spellStart"/>
      <w:r w:rsidRPr="004D522D">
        <w:t>Golay</w:t>
      </w:r>
      <w:proofErr w:type="spellEnd"/>
      <w:r w:rsidRPr="004D522D">
        <w:t xml:space="preserve"> J, </w:t>
      </w:r>
      <w:r>
        <w:t xml:space="preserve">et al. (2013) </w:t>
      </w:r>
      <w:proofErr w:type="spellStart"/>
      <w:r w:rsidRPr="004D522D">
        <w:t>Glycoengineered</w:t>
      </w:r>
      <w:proofErr w:type="spellEnd"/>
      <w:r w:rsidRPr="004D522D">
        <w:t xml:space="preserve"> CD20 antibody </w:t>
      </w:r>
      <w:proofErr w:type="spellStart"/>
      <w:r w:rsidRPr="004D522D">
        <w:t>obinutuzumab</w:t>
      </w:r>
      <w:proofErr w:type="spellEnd"/>
      <w:r w:rsidRPr="004D522D">
        <w:t xml:space="preserve"> activates neutrophils and mediates phagocytosis through CD16B more efficiently than rituximab. </w:t>
      </w:r>
      <w:proofErr w:type="gramStart"/>
      <w:r w:rsidRPr="004D2D63">
        <w:rPr>
          <w:i/>
        </w:rPr>
        <w:t xml:space="preserve">Blood </w:t>
      </w:r>
      <w:r>
        <w:t>122</w:t>
      </w:r>
      <w:r w:rsidRPr="004D522D">
        <w:t>:</w:t>
      </w:r>
      <w:r>
        <w:t xml:space="preserve"> </w:t>
      </w:r>
      <w:r w:rsidRPr="004D522D">
        <w:t>3482-</w:t>
      </w:r>
      <w:r>
        <w:t>34</w:t>
      </w:r>
      <w:r w:rsidRPr="004D522D">
        <w:t>91</w:t>
      </w:r>
      <w:r>
        <w:t>.</w:t>
      </w:r>
      <w:proofErr w:type="gramEnd"/>
    </w:p>
  </w:footnote>
  <w:footnote w:id="5">
    <w:p w:rsidR="00DC73D0" w:rsidRDefault="00DC73D0" w:rsidP="001F6307">
      <w:pPr>
        <w:pStyle w:val="FootnoteText"/>
      </w:pPr>
      <w:r>
        <w:rPr>
          <w:rStyle w:val="FootnoteReference"/>
        </w:rPr>
        <w:footnoteRef/>
      </w:r>
      <w:r>
        <w:t xml:space="preserve"> </w:t>
      </w:r>
      <w:proofErr w:type="spellStart"/>
      <w:proofErr w:type="gramStart"/>
      <w:r w:rsidRPr="004D2D63">
        <w:t>Nosari</w:t>
      </w:r>
      <w:proofErr w:type="spellEnd"/>
      <w:r w:rsidRPr="004D2D63">
        <w:t xml:space="preserve"> A. </w:t>
      </w:r>
      <w:r>
        <w:t xml:space="preserve">(2012) </w:t>
      </w:r>
      <w:r w:rsidRPr="004D2D63">
        <w:t xml:space="preserve">Infectious complications in chronic lymphocytic </w:t>
      </w:r>
      <w:proofErr w:type="spellStart"/>
      <w:r w:rsidRPr="004D2D63">
        <w:t>leukemia</w:t>
      </w:r>
      <w:proofErr w:type="spellEnd"/>
      <w:r w:rsidRPr="004D2D63">
        <w:t>.</w:t>
      </w:r>
      <w:proofErr w:type="gramEnd"/>
      <w:r w:rsidRPr="004D2D63">
        <w:t xml:space="preserve"> </w:t>
      </w:r>
      <w:proofErr w:type="spellStart"/>
      <w:r w:rsidRPr="004B6C15">
        <w:rPr>
          <w:i/>
        </w:rPr>
        <w:t>Mediterr</w:t>
      </w:r>
      <w:proofErr w:type="spellEnd"/>
      <w:r w:rsidRPr="004B6C15">
        <w:rPr>
          <w:i/>
        </w:rPr>
        <w:t xml:space="preserve"> J </w:t>
      </w:r>
      <w:proofErr w:type="spellStart"/>
      <w:r w:rsidRPr="004B6C15">
        <w:rPr>
          <w:i/>
        </w:rPr>
        <w:t>Hematol</w:t>
      </w:r>
      <w:proofErr w:type="spellEnd"/>
      <w:r w:rsidRPr="004B6C15">
        <w:rPr>
          <w:i/>
        </w:rPr>
        <w:t xml:space="preserve"> Infect Dis. </w:t>
      </w:r>
      <w:r>
        <w:t>4</w:t>
      </w:r>
      <w:r w:rsidRPr="004D2D63">
        <w:t>:</w:t>
      </w:r>
      <w:r>
        <w:t xml:space="preserve"> </w:t>
      </w:r>
      <w:r w:rsidRPr="004D2D63">
        <w:t>e2012070.</w:t>
      </w:r>
    </w:p>
  </w:footnote>
  <w:footnote w:id="6">
    <w:p w:rsidR="00DC73D0" w:rsidRDefault="00DC73D0" w:rsidP="001F6307">
      <w:pPr>
        <w:pStyle w:val="FootnoteText"/>
      </w:pPr>
      <w:r>
        <w:rPr>
          <w:rStyle w:val="FootnoteReference"/>
        </w:rPr>
        <w:footnoteRef/>
      </w:r>
      <w:r>
        <w:t xml:space="preserve"> </w:t>
      </w:r>
      <w:r w:rsidRPr="00E13E73">
        <w:t xml:space="preserve">Australian Institute </w:t>
      </w:r>
      <w:r>
        <w:t xml:space="preserve">of Health and Welfare, Australian Cancer Incidence and Mortality (ACIM) book for Chronic Lymphocytic Leukaemia (ICD-10 code C91.1), Canberra, 2014; </w:t>
      </w:r>
      <w:r w:rsidRPr="00956E01">
        <w:t xml:space="preserve">Cancer in Australia: An Overview </w:t>
      </w:r>
      <w:r>
        <w:t>(2012)</w:t>
      </w:r>
      <w:r w:rsidRPr="00956E01">
        <w:t xml:space="preserve"> Cancer series number 74 Australian Institute of Health and Welfare, Canberra AIHW cat no. CAN 70</w:t>
      </w:r>
      <w:r>
        <w:t>.</w:t>
      </w:r>
    </w:p>
  </w:footnote>
  <w:footnote w:id="7">
    <w:p w:rsidR="00DC73D0" w:rsidRDefault="00DC73D0" w:rsidP="001F6307">
      <w:pPr>
        <w:pStyle w:val="FootnoteText"/>
      </w:pPr>
      <w:r>
        <w:rPr>
          <w:rStyle w:val="FootnoteReference"/>
        </w:rPr>
        <w:footnoteRef/>
      </w:r>
      <w:r>
        <w:t xml:space="preserve"> </w:t>
      </w:r>
      <w:proofErr w:type="spellStart"/>
      <w:r>
        <w:t>Howlader</w:t>
      </w:r>
      <w:proofErr w:type="spellEnd"/>
      <w:r>
        <w:t xml:space="preserve"> N, </w:t>
      </w:r>
      <w:r w:rsidRPr="005A795B">
        <w:t>et al. 2012 SEER Cancer Statistics Review 1975-2009 (Vintage 2009 Populations): Introduction p</w:t>
      </w:r>
      <w:r>
        <w:t xml:space="preserve">p. </w:t>
      </w:r>
      <w:r w:rsidRPr="005A795B">
        <w:t>1-6</w:t>
      </w:r>
      <w:r>
        <w:t>.</w:t>
      </w:r>
    </w:p>
  </w:footnote>
  <w:footnote w:id="8">
    <w:p w:rsidR="00DC73D0" w:rsidRDefault="00DC73D0" w:rsidP="001F6307">
      <w:pPr>
        <w:pStyle w:val="FootnoteText"/>
      </w:pPr>
      <w:r>
        <w:rPr>
          <w:rStyle w:val="FootnoteReference"/>
        </w:rPr>
        <w:footnoteRef/>
      </w:r>
      <w:r>
        <w:t xml:space="preserve"> </w:t>
      </w:r>
      <w:proofErr w:type="spellStart"/>
      <w:proofErr w:type="gramStart"/>
      <w:r w:rsidRPr="005A795B">
        <w:t>Yancik</w:t>
      </w:r>
      <w:proofErr w:type="spellEnd"/>
      <w:r w:rsidRPr="005A795B">
        <w:t xml:space="preserve"> R. </w:t>
      </w:r>
      <w:r>
        <w:t xml:space="preserve">(1997) </w:t>
      </w:r>
      <w:r w:rsidRPr="005A795B">
        <w:t>Epidemiology of cancer in the elderly.</w:t>
      </w:r>
      <w:proofErr w:type="gramEnd"/>
      <w:r w:rsidRPr="005A795B">
        <w:t xml:space="preserve"> </w:t>
      </w:r>
      <w:proofErr w:type="gramStart"/>
      <w:r w:rsidRPr="005A795B">
        <w:t>Current status and projections for the future.</w:t>
      </w:r>
      <w:proofErr w:type="gramEnd"/>
      <w:r w:rsidRPr="005A795B">
        <w:t xml:space="preserve"> </w:t>
      </w:r>
      <w:r w:rsidRPr="005A795B">
        <w:rPr>
          <w:i/>
        </w:rPr>
        <w:t xml:space="preserve">Rays </w:t>
      </w:r>
      <w:r w:rsidRPr="005A795B">
        <w:t xml:space="preserve">22(1 </w:t>
      </w:r>
      <w:proofErr w:type="spellStart"/>
      <w:r w:rsidRPr="005A795B">
        <w:t>Suppl</w:t>
      </w:r>
      <w:proofErr w:type="spellEnd"/>
      <w:r w:rsidRPr="005A795B">
        <w:t>):</w:t>
      </w:r>
      <w:r>
        <w:t xml:space="preserve"> </w:t>
      </w:r>
      <w:r w:rsidRPr="005A795B">
        <w:t>3-9.</w:t>
      </w:r>
    </w:p>
  </w:footnote>
  <w:footnote w:id="9">
    <w:p w:rsidR="00DC73D0" w:rsidRDefault="00DC73D0" w:rsidP="001F6307">
      <w:pPr>
        <w:pStyle w:val="FootnoteText"/>
      </w:pPr>
      <w:r>
        <w:rPr>
          <w:rStyle w:val="FootnoteReference"/>
        </w:rPr>
        <w:footnoteRef/>
      </w:r>
      <w:r w:rsidRPr="00766EE2">
        <w:t xml:space="preserve"> </w:t>
      </w:r>
      <w:proofErr w:type="spellStart"/>
      <w:r>
        <w:t>Thurmes</w:t>
      </w:r>
      <w:proofErr w:type="spellEnd"/>
      <w:r>
        <w:t xml:space="preserve"> P, et al. (2008) </w:t>
      </w:r>
      <w:r w:rsidRPr="00766EE2">
        <w:t xml:space="preserve">Comorbid conditions and survival in unselected, newly diagnosed patients with chronic </w:t>
      </w:r>
      <w:r>
        <w:t xml:space="preserve">lymphocytic </w:t>
      </w:r>
      <w:proofErr w:type="spellStart"/>
      <w:r>
        <w:t>leukemia</w:t>
      </w:r>
      <w:proofErr w:type="spellEnd"/>
      <w:r>
        <w:t xml:space="preserve">. </w:t>
      </w:r>
      <w:proofErr w:type="spellStart"/>
      <w:r w:rsidRPr="00766EE2">
        <w:rPr>
          <w:i/>
        </w:rPr>
        <w:t>Le</w:t>
      </w:r>
      <w:r>
        <w:rPr>
          <w:i/>
        </w:rPr>
        <w:t>uk</w:t>
      </w:r>
      <w:proofErr w:type="spellEnd"/>
      <w:r>
        <w:rPr>
          <w:i/>
        </w:rPr>
        <w:t xml:space="preserve"> Lymphoma</w:t>
      </w:r>
      <w:r>
        <w:t xml:space="preserve"> 49</w:t>
      </w:r>
      <w:r w:rsidRPr="00766EE2">
        <w:t>:</w:t>
      </w:r>
      <w:r>
        <w:t xml:space="preserve"> </w:t>
      </w:r>
      <w:r w:rsidRPr="00766EE2">
        <w:t>49-56</w:t>
      </w:r>
      <w:r>
        <w:t>.</w:t>
      </w:r>
    </w:p>
  </w:footnote>
  <w:footnote w:id="10">
    <w:p w:rsidR="00DC73D0" w:rsidRDefault="00DC73D0" w:rsidP="001F6307">
      <w:pPr>
        <w:pStyle w:val="FootnoteText"/>
      </w:pPr>
      <w:r>
        <w:rPr>
          <w:rStyle w:val="FootnoteReference"/>
        </w:rPr>
        <w:footnoteRef/>
      </w:r>
      <w:r>
        <w:t xml:space="preserve"> </w:t>
      </w:r>
      <w:proofErr w:type="spellStart"/>
      <w:r w:rsidRPr="000830BF">
        <w:t>Goede</w:t>
      </w:r>
      <w:proofErr w:type="spellEnd"/>
      <w:r w:rsidRPr="000830BF">
        <w:t xml:space="preserve"> V</w:t>
      </w:r>
      <w:r>
        <w:t>,</w:t>
      </w:r>
      <w:r w:rsidRPr="000830BF">
        <w:t xml:space="preserve"> et al. </w:t>
      </w:r>
      <w:r>
        <w:t xml:space="preserve">(2005) </w:t>
      </w:r>
      <w:r w:rsidRPr="000830BF">
        <w:t xml:space="preserve">Distribution and impact of comorbidity in chronic lymphocytic leukaemia: </w:t>
      </w:r>
      <w:proofErr w:type="spellStart"/>
      <w:r w:rsidRPr="000830BF">
        <w:t>metaanalysis</w:t>
      </w:r>
      <w:proofErr w:type="spellEnd"/>
      <w:r w:rsidRPr="000830BF">
        <w:t xml:space="preserve"> of two phase III trials of the German CLL Study Group (GCLLSG). </w:t>
      </w:r>
      <w:proofErr w:type="spellStart"/>
      <w:r w:rsidRPr="00766EE2">
        <w:rPr>
          <w:i/>
        </w:rPr>
        <w:t>Le</w:t>
      </w:r>
      <w:r>
        <w:rPr>
          <w:i/>
        </w:rPr>
        <w:t>uk</w:t>
      </w:r>
      <w:proofErr w:type="spellEnd"/>
      <w:r>
        <w:rPr>
          <w:i/>
        </w:rPr>
        <w:t xml:space="preserve"> Lymphoma</w:t>
      </w:r>
      <w:r>
        <w:t xml:space="preserve"> </w:t>
      </w:r>
      <w:r w:rsidRPr="000830BF">
        <w:t>46(</w:t>
      </w:r>
      <w:proofErr w:type="spellStart"/>
      <w:r w:rsidRPr="000830BF">
        <w:t>suppl</w:t>
      </w:r>
      <w:proofErr w:type="spellEnd"/>
      <w:r w:rsidRPr="000830BF">
        <w:t xml:space="preserve"> 1): S105</w:t>
      </w:r>
      <w:r>
        <w:t xml:space="preserve">; Cramer P, </w:t>
      </w:r>
      <w:r w:rsidRPr="00D97B38">
        <w:t xml:space="preserve">et al. </w:t>
      </w:r>
      <w:r>
        <w:t xml:space="preserve">(2006) </w:t>
      </w:r>
      <w:r w:rsidRPr="00D97B38">
        <w:t xml:space="preserve">Impact of Different Chemotherapy Regimen in Comorbid Patients with Advanced Chronic Lymphocytic Leukaemia: </w:t>
      </w:r>
      <w:proofErr w:type="spellStart"/>
      <w:r w:rsidRPr="00D97B38">
        <w:t>Metaanalysis</w:t>
      </w:r>
      <w:proofErr w:type="spellEnd"/>
      <w:r w:rsidRPr="00D97B38">
        <w:t xml:space="preserve"> of Two Phase III Trials of the German CLL St</w:t>
      </w:r>
      <w:r>
        <w:t xml:space="preserve">udy Group. </w:t>
      </w:r>
      <w:proofErr w:type="gramStart"/>
      <w:r>
        <w:t>Abstract #2840.</w:t>
      </w:r>
      <w:proofErr w:type="gramEnd"/>
      <w:r>
        <w:t xml:space="preserve"> </w:t>
      </w:r>
      <w:r w:rsidRPr="00D97B38">
        <w:t xml:space="preserve">ASH Annual Meeting Abstracts Part 1, </w:t>
      </w:r>
      <w:proofErr w:type="spellStart"/>
      <w:r w:rsidRPr="00D97B38">
        <w:t>Vol</w:t>
      </w:r>
      <w:proofErr w:type="spellEnd"/>
      <w:r w:rsidRPr="00D97B38">
        <w:t xml:space="preserve"> 108, Issue 11.</w:t>
      </w:r>
    </w:p>
  </w:footnote>
  <w:footnote w:id="11">
    <w:p w:rsidR="00DC73D0" w:rsidRDefault="00DC73D0" w:rsidP="001F6307">
      <w:pPr>
        <w:pStyle w:val="FootnoteText"/>
      </w:pPr>
      <w:r>
        <w:rPr>
          <w:rStyle w:val="FootnoteReference"/>
        </w:rPr>
        <w:footnoteRef/>
      </w:r>
      <w:r>
        <w:t xml:space="preserve"> </w:t>
      </w:r>
      <w:proofErr w:type="gramStart"/>
      <w:r w:rsidRPr="00D97B38">
        <w:t>NCCN NHL Guidelines version 1.2014</w:t>
      </w:r>
      <w:r>
        <w:t>.</w:t>
      </w:r>
      <w:proofErr w:type="gramEnd"/>
    </w:p>
  </w:footnote>
  <w:footnote w:id="12">
    <w:p w:rsidR="00DC73D0" w:rsidRDefault="00DC73D0" w:rsidP="001F6307">
      <w:pPr>
        <w:pStyle w:val="FootnoteText"/>
      </w:pPr>
      <w:r>
        <w:rPr>
          <w:rStyle w:val="FootnoteReference"/>
        </w:rPr>
        <w:footnoteRef/>
      </w:r>
      <w:r>
        <w:t xml:space="preserve"> </w:t>
      </w:r>
      <w:proofErr w:type="gramStart"/>
      <w:r w:rsidRPr="00BC667E">
        <w:t>Report # 1053430.</w:t>
      </w:r>
      <w:proofErr w:type="gramEnd"/>
      <w:r w:rsidRPr="00BC667E">
        <w:t xml:space="preserve"> </w:t>
      </w:r>
      <w:proofErr w:type="gramStart"/>
      <w:r w:rsidRPr="00BC667E">
        <w:t xml:space="preserve">Effect of </w:t>
      </w:r>
      <w:proofErr w:type="spellStart"/>
      <w:r w:rsidRPr="00BC667E">
        <w:t>Immunosuppressants</w:t>
      </w:r>
      <w:proofErr w:type="spellEnd"/>
      <w:r w:rsidRPr="00BC667E">
        <w:t xml:space="preserve"> on Cytokine Release in a 24-hour Human Whole Blood Assay.</w:t>
      </w:r>
      <w:proofErr w:type="gramEnd"/>
      <w:r w:rsidRPr="00BC667E">
        <w:t xml:space="preserve"> 20 December 2013.</w:t>
      </w:r>
    </w:p>
  </w:footnote>
  <w:footnote w:id="13">
    <w:p w:rsidR="00DC73D0" w:rsidRDefault="00DC73D0" w:rsidP="001F6307">
      <w:pPr>
        <w:pStyle w:val="FootnoteText"/>
      </w:pPr>
      <w:r>
        <w:rPr>
          <w:rStyle w:val="FootnoteReference"/>
        </w:rPr>
        <w:footnoteRef/>
      </w:r>
      <w:r>
        <w:t xml:space="preserve"> </w:t>
      </w:r>
      <w:proofErr w:type="gramStart"/>
      <w:r w:rsidRPr="00406BE5">
        <w:t>Drug Safety Report # 10588</w:t>
      </w:r>
      <w:r>
        <w:t>47.</w:t>
      </w:r>
      <w:proofErr w:type="gramEnd"/>
      <w:r>
        <w:t xml:space="preserve"> Infusion Related Reactions -</w:t>
      </w:r>
      <w:r w:rsidRPr="00406BE5">
        <w:t xml:space="preserve"> Risk minimi</w:t>
      </w:r>
      <w:r>
        <w:t>s</w:t>
      </w:r>
      <w:r w:rsidRPr="00406BE5">
        <w:t>ation measures. 17 January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DC73D0" w:rsidRDefault="00DC73D0" w:rsidP="00593AD1">
    <w:pPr>
      <w:pStyle w:val="HeaderNoLine"/>
    </w:pPr>
    <w:r>
      <w:rPr>
        <w:noProof/>
        <w:lang w:eastAsia="en-AU"/>
      </w:rPr>
      <w:drawing>
        <wp:inline distT="0" distB="0" distL="0" distR="0">
          <wp:extent cx="5396230" cy="7637780"/>
          <wp:effectExtent l="0" t="0" r="0" b="1270"/>
          <wp:docPr id="58"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230" cy="763778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rsidP="004C239D">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3D0" w:rsidRDefault="00DC73D0" w:rsidP="006E08B3">
    <w:r>
      <w:t>Therapeutic Goods Administration</w:t>
    </w:r>
  </w:p>
  <w:p w:rsidR="00DC73D0" w:rsidRDefault="00DC73D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BEC08C7"/>
    <w:multiLevelType w:val="hybridMultilevel"/>
    <w:tmpl w:val="E2E4D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EFD0A2F"/>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A7B76DF"/>
    <w:multiLevelType w:val="hybridMultilevel"/>
    <w:tmpl w:val="C39009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07D705F"/>
    <w:multiLevelType w:val="hybridMultilevel"/>
    <w:tmpl w:val="AC7458D4"/>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1">
    <w:nsid w:val="489B15D7"/>
    <w:multiLevelType w:val="hybridMultilevel"/>
    <w:tmpl w:val="D1C27772"/>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22AEE226">
      <w:numFmt w:val="bullet"/>
      <w:lvlText w:val="•"/>
      <w:lvlJc w:val="left"/>
      <w:pPr>
        <w:ind w:left="1440" w:hanging="360"/>
      </w:pPr>
      <w:rPr>
        <w:rFonts w:ascii="Cambria" w:eastAsia="Calibri" w:hAnsi="Cambria"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2E61955"/>
    <w:multiLevelType w:val="hybridMultilevel"/>
    <w:tmpl w:val="F11666B6"/>
    <w:lvl w:ilvl="0" w:tplc="0C090001">
      <w:start w:val="1"/>
      <w:numFmt w:val="bullet"/>
      <w:lvlText w:val=""/>
      <w:lvlJc w:val="left"/>
      <w:pPr>
        <w:ind w:left="750" w:hanging="360"/>
      </w:pPr>
      <w:rPr>
        <w:rFonts w:ascii="Symbol" w:hAnsi="Symbol"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3">
    <w:nsid w:val="5DAA7FB7"/>
    <w:multiLevelType w:val="singleLevel"/>
    <w:tmpl w:val="A2A89B54"/>
    <w:lvl w:ilvl="0">
      <w:start w:val="1"/>
      <w:numFmt w:val="decimal"/>
      <w:lvlText w:val="%1."/>
      <w:lvlJc w:val="left"/>
      <w:pPr>
        <w:tabs>
          <w:tab w:val="num" w:pos="570"/>
        </w:tabs>
        <w:ind w:left="570" w:hanging="570"/>
      </w:pPr>
      <w:rPr>
        <w:rFonts w:hint="default"/>
      </w:rPr>
    </w:lvl>
  </w:abstractNum>
  <w:abstractNum w:abstractNumId="14">
    <w:nsid w:val="704377B2"/>
    <w:multiLevelType w:val="hybridMultilevel"/>
    <w:tmpl w:val="99747018"/>
    <w:lvl w:ilvl="0" w:tplc="0C09000F">
      <w:start w:val="1"/>
      <w:numFmt w:val="decimal"/>
      <w:lvlText w:val="%1."/>
      <w:lvlJc w:val="left"/>
      <w:pPr>
        <w:ind w:left="360" w:hanging="360"/>
      </w:pPr>
    </w:lvl>
    <w:lvl w:ilvl="1" w:tplc="46441B2C">
      <w:numFmt w:val="bullet"/>
      <w:lvlText w:val="-"/>
      <w:lvlJc w:val="left"/>
      <w:pPr>
        <w:ind w:left="1298" w:hanging="360"/>
      </w:pPr>
      <w:rPr>
        <w:rFonts w:ascii="Cambria" w:eastAsia="MS Mincho" w:hAnsi="Cambria" w:cs="Times New Roman" w:hint="default"/>
      </w:r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5">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6625BFC"/>
    <w:multiLevelType w:val="hybridMultilevel"/>
    <w:tmpl w:val="98765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4"/>
  </w:num>
  <w:num w:numId="29">
    <w:abstractNumId w:val="7"/>
  </w:num>
  <w:num w:numId="30">
    <w:abstractNumId w:val="9"/>
  </w:num>
  <w:num w:numId="31">
    <w:abstractNumId w:val="10"/>
  </w:num>
  <w:num w:numId="32">
    <w:abstractNumId w:val="12"/>
  </w:num>
  <w:num w:numId="33">
    <w:abstractNumId w:val="16"/>
  </w:num>
  <w:num w:numId="34">
    <w:abstractNumId w:val="13"/>
  </w:num>
  <w:num w:numId="35">
    <w:abstractNumId w:val="15"/>
  </w:num>
  <w:num w:numId="36">
    <w:abstractNumId w:val="14"/>
  </w:num>
  <w:num w:numId="37">
    <w:abstractNumId w:val="8"/>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307"/>
    <w:rsid w:val="00002031"/>
    <w:rsid w:val="00004734"/>
    <w:rsid w:val="00006B22"/>
    <w:rsid w:val="0001276A"/>
    <w:rsid w:val="000246AE"/>
    <w:rsid w:val="00025C67"/>
    <w:rsid w:val="00044772"/>
    <w:rsid w:val="0005559E"/>
    <w:rsid w:val="000604D6"/>
    <w:rsid w:val="000734D8"/>
    <w:rsid w:val="00077775"/>
    <w:rsid w:val="0008710D"/>
    <w:rsid w:val="00090471"/>
    <w:rsid w:val="00096AA7"/>
    <w:rsid w:val="000A3AED"/>
    <w:rsid w:val="000B3532"/>
    <w:rsid w:val="000B3A75"/>
    <w:rsid w:val="000C690F"/>
    <w:rsid w:val="000D1295"/>
    <w:rsid w:val="000D391B"/>
    <w:rsid w:val="000D3D6D"/>
    <w:rsid w:val="000D4FC7"/>
    <w:rsid w:val="000F4869"/>
    <w:rsid w:val="000F5A84"/>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307"/>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3624"/>
    <w:rsid w:val="002E40B3"/>
    <w:rsid w:val="002E4C9A"/>
    <w:rsid w:val="002F11F8"/>
    <w:rsid w:val="002F3F56"/>
    <w:rsid w:val="002F44B5"/>
    <w:rsid w:val="00311AC0"/>
    <w:rsid w:val="0032583B"/>
    <w:rsid w:val="00327883"/>
    <w:rsid w:val="00335504"/>
    <w:rsid w:val="00347824"/>
    <w:rsid w:val="00350567"/>
    <w:rsid w:val="003521E8"/>
    <w:rsid w:val="003728F3"/>
    <w:rsid w:val="0037496E"/>
    <w:rsid w:val="00386150"/>
    <w:rsid w:val="003874CE"/>
    <w:rsid w:val="00390900"/>
    <w:rsid w:val="00391254"/>
    <w:rsid w:val="003A7F6C"/>
    <w:rsid w:val="003B4D60"/>
    <w:rsid w:val="003B7E39"/>
    <w:rsid w:val="003C58DC"/>
    <w:rsid w:val="003D1E62"/>
    <w:rsid w:val="003E2486"/>
    <w:rsid w:val="003E3208"/>
    <w:rsid w:val="003F0B04"/>
    <w:rsid w:val="0040134E"/>
    <w:rsid w:val="004334C7"/>
    <w:rsid w:val="00440A2D"/>
    <w:rsid w:val="004564A7"/>
    <w:rsid w:val="004617BF"/>
    <w:rsid w:val="00463658"/>
    <w:rsid w:val="004722CC"/>
    <w:rsid w:val="00475AC5"/>
    <w:rsid w:val="004936E4"/>
    <w:rsid w:val="00494E60"/>
    <w:rsid w:val="00497487"/>
    <w:rsid w:val="004B7B76"/>
    <w:rsid w:val="004C239D"/>
    <w:rsid w:val="004C2DCA"/>
    <w:rsid w:val="004F0C4A"/>
    <w:rsid w:val="004F0F38"/>
    <w:rsid w:val="00501921"/>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603F32"/>
    <w:rsid w:val="00605AD4"/>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615BC"/>
    <w:rsid w:val="00762F05"/>
    <w:rsid w:val="007652FF"/>
    <w:rsid w:val="00770EF1"/>
    <w:rsid w:val="00773EF7"/>
    <w:rsid w:val="00774E1D"/>
    <w:rsid w:val="0077675A"/>
    <w:rsid w:val="00780355"/>
    <w:rsid w:val="007819FD"/>
    <w:rsid w:val="00785721"/>
    <w:rsid w:val="00793A59"/>
    <w:rsid w:val="007B6132"/>
    <w:rsid w:val="007B6E9F"/>
    <w:rsid w:val="007C1216"/>
    <w:rsid w:val="007C1AF7"/>
    <w:rsid w:val="00805D27"/>
    <w:rsid w:val="00821776"/>
    <w:rsid w:val="008321F5"/>
    <w:rsid w:val="00832369"/>
    <w:rsid w:val="00834660"/>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47317"/>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79F0"/>
    <w:rsid w:val="00BF046D"/>
    <w:rsid w:val="00BF1190"/>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37"/>
    <w:rsid w:val="00C801AF"/>
    <w:rsid w:val="00C80256"/>
    <w:rsid w:val="00C9747E"/>
    <w:rsid w:val="00CB6BC0"/>
    <w:rsid w:val="00CC1B7C"/>
    <w:rsid w:val="00CC727F"/>
    <w:rsid w:val="00CF15C3"/>
    <w:rsid w:val="00CF2B6F"/>
    <w:rsid w:val="00CF58B6"/>
    <w:rsid w:val="00D017ED"/>
    <w:rsid w:val="00D040D3"/>
    <w:rsid w:val="00D04C65"/>
    <w:rsid w:val="00D201D2"/>
    <w:rsid w:val="00D224FE"/>
    <w:rsid w:val="00D23139"/>
    <w:rsid w:val="00D411F4"/>
    <w:rsid w:val="00D425BB"/>
    <w:rsid w:val="00D6493E"/>
    <w:rsid w:val="00D7195D"/>
    <w:rsid w:val="00D7301E"/>
    <w:rsid w:val="00D83AE1"/>
    <w:rsid w:val="00D855D4"/>
    <w:rsid w:val="00D93466"/>
    <w:rsid w:val="00DA1124"/>
    <w:rsid w:val="00DB6124"/>
    <w:rsid w:val="00DB750B"/>
    <w:rsid w:val="00DB75B7"/>
    <w:rsid w:val="00DC6E02"/>
    <w:rsid w:val="00DC73D0"/>
    <w:rsid w:val="00DE02AE"/>
    <w:rsid w:val="00DF1D7F"/>
    <w:rsid w:val="00DF4BE4"/>
    <w:rsid w:val="00E02FB4"/>
    <w:rsid w:val="00E20571"/>
    <w:rsid w:val="00E235F7"/>
    <w:rsid w:val="00E23659"/>
    <w:rsid w:val="00E239D4"/>
    <w:rsid w:val="00E26130"/>
    <w:rsid w:val="00E40B22"/>
    <w:rsid w:val="00E45619"/>
    <w:rsid w:val="00E4588F"/>
    <w:rsid w:val="00E46DA3"/>
    <w:rsid w:val="00E51BB1"/>
    <w:rsid w:val="00E624A5"/>
    <w:rsid w:val="00E7344E"/>
    <w:rsid w:val="00EB0798"/>
    <w:rsid w:val="00EB11CF"/>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8710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1">
    <w:name w:val="Table Grid1"/>
    <w:basedOn w:val="TableNormal"/>
    <w:next w:val="TableGrid"/>
    <w:uiPriority w:val="59"/>
    <w:rsid w:val="001F6307"/>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1F6307"/>
    <w:rPr>
      <w:rFonts w:ascii="Calibri" w:eastAsia="Calibri" w:hAnsi="Calibri"/>
      <w:b/>
      <w:color w:val="FFFFFF"/>
      <w:sz w:val="20"/>
    </w:rPr>
  </w:style>
  <w:style w:type="paragraph" w:customStyle="1" w:styleId="TableHeading1">
    <w:name w:val="Table Heading 1"/>
    <w:basedOn w:val="Normal"/>
    <w:rsid w:val="001F6307"/>
    <w:rPr>
      <w:b/>
      <w:color w:val="FFFFFF"/>
      <w:sz w:val="19"/>
    </w:rPr>
  </w:style>
  <w:style w:type="paragraph" w:customStyle="1" w:styleId="TableHeading2">
    <w:name w:val="Table Heading 2"/>
    <w:basedOn w:val="Normal"/>
    <w:rsid w:val="001F6307"/>
    <w:rPr>
      <w:b/>
      <w:sz w:val="19"/>
    </w:rPr>
  </w:style>
  <w:style w:type="table" w:customStyle="1" w:styleId="TableTGAblue1">
    <w:name w:val="Table TGA blue1"/>
    <w:basedOn w:val="TableNormal"/>
    <w:uiPriority w:val="99"/>
    <w:qFormat/>
    <w:rsid w:val="001F6307"/>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1">
    <w:name w:val="Table TGA black1"/>
    <w:basedOn w:val="TableNormal"/>
    <w:uiPriority w:val="99"/>
    <w:rsid w:val="001F6307"/>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qFormat/>
    <w:rsid w:val="001F6307"/>
    <w:pPr>
      <w:spacing w:after="0" w:line="240" w:lineRule="auto"/>
    </w:pPr>
    <w:rPr>
      <w:rFonts w:ascii="Calibri" w:eastAsia="Calibri" w:hAnsi="Calibri" w:cs="Times New Roman"/>
    </w:rPr>
  </w:style>
  <w:style w:type="paragraph" w:customStyle="1" w:styleId="Bulletpoint">
    <w:name w:val="Bullet point"/>
    <w:basedOn w:val="Normal"/>
    <w:rsid w:val="001F6307"/>
    <w:pPr>
      <w:numPr>
        <w:numId w:val="27"/>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F6307"/>
    <w:pPr>
      <w:spacing w:before="0" w:after="220" w:line="252" w:lineRule="auto"/>
    </w:pPr>
    <w:rPr>
      <w:rFonts w:eastAsia="Times New Roman"/>
      <w:snapToGrid w:val="0"/>
      <w:kern w:val="16"/>
      <w:szCs w:val="24"/>
    </w:rPr>
  </w:style>
  <w:style w:type="character" w:customStyle="1" w:styleId="StandardChar">
    <w:name w:val="Standard Char"/>
    <w:link w:val="Standard"/>
    <w:rsid w:val="001F6307"/>
    <w:rPr>
      <w:rFonts w:ascii="Cambria" w:eastAsia="Times New Roman" w:hAnsi="Cambria" w:cs="Times New Roman"/>
      <w:snapToGrid w:val="0"/>
      <w:kern w:val="16"/>
      <w:szCs w:val="24"/>
    </w:rPr>
  </w:style>
  <w:style w:type="paragraph" w:customStyle="1" w:styleId="WhiteSpace">
    <w:name w:val="White Space"/>
    <w:basedOn w:val="Standard"/>
    <w:link w:val="WhiteSpaceChar"/>
    <w:rsid w:val="001F6307"/>
    <w:pPr>
      <w:spacing w:after="0"/>
    </w:pPr>
    <w:rPr>
      <w:sz w:val="16"/>
      <w:szCs w:val="16"/>
    </w:rPr>
  </w:style>
  <w:style w:type="paragraph" w:customStyle="1" w:styleId="AssessmentSubsection">
    <w:name w:val="Assessment Subsection"/>
    <w:basedOn w:val="Standard"/>
    <w:next w:val="Standard"/>
    <w:rsid w:val="001F6307"/>
    <w:pPr>
      <w:keepNext/>
      <w:spacing w:after="110"/>
      <w:outlineLvl w:val="2"/>
    </w:pPr>
    <w:rPr>
      <w:b/>
      <w:i/>
    </w:rPr>
  </w:style>
  <w:style w:type="character" w:customStyle="1" w:styleId="WhiteSpaceChar">
    <w:name w:val="White Space Char"/>
    <w:link w:val="WhiteSpace"/>
    <w:rsid w:val="001F6307"/>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1F6307"/>
    <w:pPr>
      <w:spacing w:before="0" w:after="0" w:line="240" w:lineRule="auto"/>
      <w:ind w:left="720"/>
      <w:contextualSpacing/>
    </w:pPr>
    <w:rPr>
      <w:rFonts w:eastAsia="MS Mincho"/>
      <w:sz w:val="23"/>
    </w:rPr>
  </w:style>
  <w:style w:type="paragraph" w:customStyle="1" w:styleId="AssessmentSubsection2">
    <w:name w:val="Assessment Subsection 2"/>
    <w:basedOn w:val="AssessmentSubsection"/>
    <w:next w:val="Standard"/>
    <w:rsid w:val="001F6307"/>
    <w:pPr>
      <w:outlineLvl w:val="3"/>
    </w:pPr>
    <w:rPr>
      <w:b w:val="0"/>
    </w:rPr>
  </w:style>
  <w:style w:type="paragraph" w:customStyle="1" w:styleId="TableCaption">
    <w:name w:val="Table Caption"/>
    <w:basedOn w:val="Standard"/>
    <w:next w:val="Standard"/>
    <w:link w:val="TableCaptionChar"/>
    <w:rsid w:val="001F6307"/>
    <w:pPr>
      <w:spacing w:before="60" w:after="440" w:line="215" w:lineRule="exact"/>
      <w:ind w:left="170"/>
    </w:pPr>
    <w:rPr>
      <w:sz w:val="18"/>
      <w:szCs w:val="19"/>
    </w:rPr>
  </w:style>
  <w:style w:type="character" w:customStyle="1" w:styleId="TableCaptionChar">
    <w:name w:val="Table Caption Char"/>
    <w:link w:val="TableCaption"/>
    <w:rsid w:val="001F6307"/>
    <w:rPr>
      <w:rFonts w:ascii="Cambria" w:eastAsia="Times New Roman" w:hAnsi="Cambria" w:cs="Times New Roman"/>
      <w:snapToGrid w:val="0"/>
      <w:kern w:val="16"/>
      <w:sz w:val="18"/>
      <w:szCs w:val="19"/>
    </w:rPr>
  </w:style>
  <w:style w:type="numbering" w:styleId="1ai">
    <w:name w:val="Outline List 1"/>
    <w:basedOn w:val="NoList"/>
    <w:semiHidden/>
    <w:rsid w:val="001F6307"/>
    <w:pPr>
      <w:numPr>
        <w:numId w:val="29"/>
      </w:numPr>
    </w:pPr>
  </w:style>
  <w:style w:type="paragraph" w:customStyle="1" w:styleId="Bullet1">
    <w:name w:val="Bullet 1"/>
    <w:basedOn w:val="Normal"/>
    <w:rsid w:val="001F6307"/>
    <w:pPr>
      <w:numPr>
        <w:numId w:val="30"/>
      </w:numPr>
      <w:spacing w:after="0" w:line="240" w:lineRule="auto"/>
    </w:pPr>
    <w:rPr>
      <w:rFonts w:eastAsia="Times New Roman"/>
      <w:kern w:val="24"/>
      <w:szCs w:val="24"/>
      <w:lang w:eastAsia="en-AU"/>
    </w:rPr>
  </w:style>
  <w:style w:type="character" w:styleId="CommentReference">
    <w:name w:val="annotation reference"/>
    <w:uiPriority w:val="99"/>
    <w:semiHidden/>
    <w:unhideWhenUsed/>
    <w:rsid w:val="001F6307"/>
    <w:rPr>
      <w:sz w:val="16"/>
      <w:szCs w:val="16"/>
    </w:rPr>
  </w:style>
  <w:style w:type="paragraph" w:styleId="CommentText">
    <w:name w:val="annotation text"/>
    <w:basedOn w:val="Normal"/>
    <w:link w:val="CommentTextChar"/>
    <w:uiPriority w:val="99"/>
    <w:semiHidden/>
    <w:unhideWhenUsed/>
    <w:rsid w:val="001F6307"/>
    <w:rPr>
      <w:sz w:val="20"/>
      <w:szCs w:val="20"/>
    </w:rPr>
  </w:style>
  <w:style w:type="character" w:customStyle="1" w:styleId="CommentTextChar">
    <w:name w:val="Comment Text Char"/>
    <w:basedOn w:val="DefaultParagraphFont"/>
    <w:link w:val="CommentText"/>
    <w:uiPriority w:val="99"/>
    <w:semiHidden/>
    <w:rsid w:val="001F6307"/>
    <w:rPr>
      <w:rFonts w:ascii="Cambria" w:eastAsia="Cambria" w:hAnsi="Cambria"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8710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table" w:customStyle="1" w:styleId="TableGrid1">
    <w:name w:val="Table Grid1"/>
    <w:basedOn w:val="TableNormal"/>
    <w:next w:val="TableGrid"/>
    <w:uiPriority w:val="59"/>
    <w:rsid w:val="001F6307"/>
    <w:pPr>
      <w:spacing w:after="0" w:line="240" w:lineRule="auto"/>
    </w:pPr>
    <w:rPr>
      <w:rFonts w:ascii="Cambria" w:eastAsia="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1F6307"/>
    <w:rPr>
      <w:rFonts w:ascii="Calibri" w:eastAsia="Calibri" w:hAnsi="Calibri"/>
      <w:b/>
      <w:color w:val="FFFFFF"/>
      <w:sz w:val="20"/>
    </w:rPr>
  </w:style>
  <w:style w:type="paragraph" w:customStyle="1" w:styleId="TableHeading1">
    <w:name w:val="Table Heading 1"/>
    <w:basedOn w:val="Normal"/>
    <w:rsid w:val="001F6307"/>
    <w:rPr>
      <w:b/>
      <w:color w:val="FFFFFF"/>
      <w:sz w:val="19"/>
    </w:rPr>
  </w:style>
  <w:style w:type="paragraph" w:customStyle="1" w:styleId="TableHeading2">
    <w:name w:val="Table Heading 2"/>
    <w:basedOn w:val="Normal"/>
    <w:rsid w:val="001F6307"/>
    <w:rPr>
      <w:b/>
      <w:sz w:val="19"/>
    </w:rPr>
  </w:style>
  <w:style w:type="table" w:customStyle="1" w:styleId="TableTGAblue1">
    <w:name w:val="Table TGA blue1"/>
    <w:basedOn w:val="TableNormal"/>
    <w:uiPriority w:val="99"/>
    <w:qFormat/>
    <w:rsid w:val="001F6307"/>
    <w:pPr>
      <w:spacing w:after="0" w:line="240" w:lineRule="auto"/>
      <w:ind w:left="170" w:right="170"/>
    </w:pPr>
    <w:rPr>
      <w:rFonts w:ascii="Cambria" w:eastAsia="Cambria" w:hAnsi="Cambria" w:cs="Times New Roman"/>
      <w:color w:val="000000"/>
      <w:sz w:val="20"/>
      <w:szCs w:val="21"/>
      <w:lang w:eastAsia="en-AU"/>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keepNext/>
        <w:wordWrap/>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1">
    <w:name w:val="Table TGA black1"/>
    <w:basedOn w:val="TableNormal"/>
    <w:uiPriority w:val="99"/>
    <w:rsid w:val="001F6307"/>
    <w:pPr>
      <w:spacing w:before="60" w:after="0" w:line="240" w:lineRule="auto"/>
      <w:ind w:left="170" w:right="170"/>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NoSpacing">
    <w:name w:val="No Spacing"/>
    <w:uiPriority w:val="1"/>
    <w:qFormat/>
    <w:rsid w:val="001F6307"/>
    <w:pPr>
      <w:spacing w:after="0" w:line="240" w:lineRule="auto"/>
    </w:pPr>
    <w:rPr>
      <w:rFonts w:ascii="Calibri" w:eastAsia="Calibri" w:hAnsi="Calibri" w:cs="Times New Roman"/>
    </w:rPr>
  </w:style>
  <w:style w:type="paragraph" w:customStyle="1" w:styleId="Bulletpoint">
    <w:name w:val="Bullet point"/>
    <w:basedOn w:val="Normal"/>
    <w:rsid w:val="001F6307"/>
    <w:pPr>
      <w:numPr>
        <w:numId w:val="27"/>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1F6307"/>
    <w:pPr>
      <w:spacing w:before="0" w:after="220" w:line="252" w:lineRule="auto"/>
    </w:pPr>
    <w:rPr>
      <w:rFonts w:eastAsia="Times New Roman"/>
      <w:snapToGrid w:val="0"/>
      <w:kern w:val="16"/>
      <w:szCs w:val="24"/>
    </w:rPr>
  </w:style>
  <w:style w:type="character" w:customStyle="1" w:styleId="StandardChar">
    <w:name w:val="Standard Char"/>
    <w:link w:val="Standard"/>
    <w:rsid w:val="001F6307"/>
    <w:rPr>
      <w:rFonts w:ascii="Cambria" w:eastAsia="Times New Roman" w:hAnsi="Cambria" w:cs="Times New Roman"/>
      <w:snapToGrid w:val="0"/>
      <w:kern w:val="16"/>
      <w:szCs w:val="24"/>
    </w:rPr>
  </w:style>
  <w:style w:type="paragraph" w:customStyle="1" w:styleId="WhiteSpace">
    <w:name w:val="White Space"/>
    <w:basedOn w:val="Standard"/>
    <w:link w:val="WhiteSpaceChar"/>
    <w:rsid w:val="001F6307"/>
    <w:pPr>
      <w:spacing w:after="0"/>
    </w:pPr>
    <w:rPr>
      <w:sz w:val="16"/>
      <w:szCs w:val="16"/>
    </w:rPr>
  </w:style>
  <w:style w:type="paragraph" w:customStyle="1" w:styleId="AssessmentSubsection">
    <w:name w:val="Assessment Subsection"/>
    <w:basedOn w:val="Standard"/>
    <w:next w:val="Standard"/>
    <w:rsid w:val="001F6307"/>
    <w:pPr>
      <w:keepNext/>
      <w:spacing w:after="110"/>
      <w:outlineLvl w:val="2"/>
    </w:pPr>
    <w:rPr>
      <w:b/>
      <w:i/>
    </w:rPr>
  </w:style>
  <w:style w:type="character" w:customStyle="1" w:styleId="WhiteSpaceChar">
    <w:name w:val="White Space Char"/>
    <w:link w:val="WhiteSpace"/>
    <w:rsid w:val="001F6307"/>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1F6307"/>
    <w:pPr>
      <w:spacing w:before="0" w:after="0" w:line="240" w:lineRule="auto"/>
      <w:ind w:left="720"/>
      <w:contextualSpacing/>
    </w:pPr>
    <w:rPr>
      <w:rFonts w:eastAsia="MS Mincho"/>
      <w:sz w:val="23"/>
    </w:rPr>
  </w:style>
  <w:style w:type="paragraph" w:customStyle="1" w:styleId="AssessmentSubsection2">
    <w:name w:val="Assessment Subsection 2"/>
    <w:basedOn w:val="AssessmentSubsection"/>
    <w:next w:val="Standard"/>
    <w:rsid w:val="001F6307"/>
    <w:pPr>
      <w:outlineLvl w:val="3"/>
    </w:pPr>
    <w:rPr>
      <w:b w:val="0"/>
    </w:rPr>
  </w:style>
  <w:style w:type="paragraph" w:customStyle="1" w:styleId="TableCaption">
    <w:name w:val="Table Caption"/>
    <w:basedOn w:val="Standard"/>
    <w:next w:val="Standard"/>
    <w:link w:val="TableCaptionChar"/>
    <w:rsid w:val="001F6307"/>
    <w:pPr>
      <w:spacing w:before="60" w:after="440" w:line="215" w:lineRule="exact"/>
      <w:ind w:left="170"/>
    </w:pPr>
    <w:rPr>
      <w:sz w:val="18"/>
      <w:szCs w:val="19"/>
    </w:rPr>
  </w:style>
  <w:style w:type="character" w:customStyle="1" w:styleId="TableCaptionChar">
    <w:name w:val="Table Caption Char"/>
    <w:link w:val="TableCaption"/>
    <w:rsid w:val="001F6307"/>
    <w:rPr>
      <w:rFonts w:ascii="Cambria" w:eastAsia="Times New Roman" w:hAnsi="Cambria" w:cs="Times New Roman"/>
      <w:snapToGrid w:val="0"/>
      <w:kern w:val="16"/>
      <w:sz w:val="18"/>
      <w:szCs w:val="19"/>
    </w:rPr>
  </w:style>
  <w:style w:type="numbering" w:styleId="1ai">
    <w:name w:val="Outline List 1"/>
    <w:basedOn w:val="NoList"/>
    <w:semiHidden/>
    <w:rsid w:val="001F6307"/>
    <w:pPr>
      <w:numPr>
        <w:numId w:val="29"/>
      </w:numPr>
    </w:pPr>
  </w:style>
  <w:style w:type="paragraph" w:customStyle="1" w:styleId="Bullet1">
    <w:name w:val="Bullet 1"/>
    <w:basedOn w:val="Normal"/>
    <w:rsid w:val="001F6307"/>
    <w:pPr>
      <w:numPr>
        <w:numId w:val="30"/>
      </w:numPr>
      <w:spacing w:after="0" w:line="240" w:lineRule="auto"/>
    </w:pPr>
    <w:rPr>
      <w:rFonts w:eastAsia="Times New Roman"/>
      <w:kern w:val="24"/>
      <w:szCs w:val="24"/>
      <w:lang w:eastAsia="en-AU"/>
    </w:rPr>
  </w:style>
  <w:style w:type="character" w:styleId="CommentReference">
    <w:name w:val="annotation reference"/>
    <w:uiPriority w:val="99"/>
    <w:semiHidden/>
    <w:unhideWhenUsed/>
    <w:rsid w:val="001F6307"/>
    <w:rPr>
      <w:sz w:val="16"/>
      <w:szCs w:val="16"/>
    </w:rPr>
  </w:style>
  <w:style w:type="paragraph" w:styleId="CommentText">
    <w:name w:val="annotation text"/>
    <w:basedOn w:val="Normal"/>
    <w:link w:val="CommentTextChar"/>
    <w:uiPriority w:val="99"/>
    <w:semiHidden/>
    <w:unhideWhenUsed/>
    <w:rsid w:val="001F6307"/>
    <w:rPr>
      <w:sz w:val="20"/>
      <w:szCs w:val="20"/>
    </w:rPr>
  </w:style>
  <w:style w:type="character" w:customStyle="1" w:styleId="CommentTextChar">
    <w:name w:val="Comment Text Char"/>
    <w:basedOn w:val="DefaultParagraphFont"/>
    <w:link w:val="CommentText"/>
    <w:uiPriority w:val="99"/>
    <w:semiHidden/>
    <w:rsid w:val="001F6307"/>
    <w:rPr>
      <w:rFonts w:ascii="Cambria" w:eastAsia="Cambria"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ga.gov.au/hp/information-medicines-pi.htm"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eader" Target="header4.xml"/><Relationship Id="rId50" Type="http://schemas.openxmlformats.org/officeDocument/2006/relationships/footer" Target="footer4.xml"/><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tga.gov.au/hp/information-medicines-pi.ht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eader" Target="header7.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header" Target="header6.xml"/><Relationship Id="rId57" Type="http://schemas.openxmlformats.org/officeDocument/2006/relationships/footer" Target="footer6.xml"/><Relationship Id="rId10" Type="http://schemas.openxmlformats.org/officeDocument/2006/relationships/hyperlink" Target="mailto:tga.copyright@tga.gov.au"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tga.gov.au" TargetMode="Externa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5.xml"/><Relationship Id="rId5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4%2009\lisa\auspars\AusPAR%20template%20-%20v1.6%20-%20web%20team%20only.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82D0F-30BC-4EDE-83C8-FB6ED3A78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 - v1.6 - web team only.DOTX</Template>
  <TotalTime>103</TotalTime>
  <Pages>57</Pages>
  <Words>19426</Words>
  <Characters>110733</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Australian Public Assessment Report for obinutuzumab</vt:lpstr>
    </vt:vector>
  </TitlesOfParts>
  <Company>Department of Health Therapeutic Goods Administration</Company>
  <LinksUpToDate>false</LinksUpToDate>
  <CharactersWithSpaces>129900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obinutuzumab</dc:title>
  <dc:subject>prescription medicine regulation</dc:subject>
  <dc:creator>Therapeutic Goods Administration</dc:creator>
  <cp:keywords>auspar, prescription, medicine, assessment, regulation, australia, obinutuzumab, gazyva, roche</cp:keywords>
  <cp:lastModifiedBy>Searson, Lisa</cp:lastModifiedBy>
  <cp:revision>2</cp:revision>
  <cp:lastPrinted>2010-12-20T22:59:00Z</cp:lastPrinted>
  <dcterms:created xsi:type="dcterms:W3CDTF">2014-09-25T04:35:00Z</dcterms:created>
  <dcterms:modified xsi:type="dcterms:W3CDTF">2014-09-25T06:18:00Z</dcterms:modified>
  <cp:category>external publication</cp:category>
</cp:coreProperties>
</file>