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1CE17C" w14:textId="7D75E95E" w:rsidR="000A0F9E" w:rsidRPr="00B9099F" w:rsidRDefault="000A0F9E" w:rsidP="0055588E">
      <w:pPr>
        <w:pStyle w:val="Heading1"/>
        <w:rPr>
          <w:lang w:val="en-US"/>
        </w:rPr>
      </w:pPr>
      <w:r w:rsidRPr="00B9099F">
        <w:rPr>
          <w:lang w:val="en-US"/>
        </w:rPr>
        <w:t>PRODUCT INFORMATION</w:t>
      </w:r>
    </w:p>
    <w:p w14:paraId="540310D6" w14:textId="77777777" w:rsidR="00F0604E" w:rsidRPr="00B9099F" w:rsidRDefault="00EB0AB0" w:rsidP="0055588E">
      <w:proofErr w:type="gramStart"/>
      <w:r w:rsidRPr="00B9099F">
        <w:t xml:space="preserve">SPINRAZA </w:t>
      </w:r>
      <w:r w:rsidRPr="00B9099F">
        <w:rPr>
          <w:color w:val="000000"/>
        </w:rPr>
        <w:t>nusinersen heptadecasodium</w:t>
      </w:r>
      <w:r w:rsidR="00F0604E" w:rsidRPr="00B9099F">
        <w:t xml:space="preserve"> solution for injection.</w:t>
      </w:r>
      <w:proofErr w:type="gramEnd"/>
    </w:p>
    <w:p w14:paraId="14A9C3D4" w14:textId="77777777" w:rsidR="009211E8" w:rsidRPr="00B9099F" w:rsidRDefault="009211E8" w:rsidP="0055588E">
      <w:pPr>
        <w:rPr>
          <w:rFonts w:cs="Arial"/>
          <w:sz w:val="22"/>
          <w:szCs w:val="22"/>
          <w:lang w:val="en-US"/>
        </w:rPr>
      </w:pPr>
    </w:p>
    <w:p w14:paraId="4FCA4693" w14:textId="77777777" w:rsidR="00D945DF" w:rsidRPr="00B9099F" w:rsidRDefault="00D945DF" w:rsidP="0055588E">
      <w:pPr>
        <w:rPr>
          <w:rFonts w:cs="Arial"/>
          <w:sz w:val="22"/>
          <w:szCs w:val="22"/>
          <w:lang w:val="en-US"/>
        </w:rPr>
      </w:pPr>
    </w:p>
    <w:p w14:paraId="1E0255D6" w14:textId="77777777" w:rsidR="00E33E7B" w:rsidRPr="00B9099F" w:rsidRDefault="000A0F9E" w:rsidP="0077745D">
      <w:pPr>
        <w:pStyle w:val="Heading2"/>
      </w:pPr>
      <w:r w:rsidRPr="00B9099F">
        <w:t>NAME OF THE MEDICINE</w:t>
      </w:r>
    </w:p>
    <w:p w14:paraId="5AA3C3D0" w14:textId="77777777" w:rsidR="0005397B" w:rsidRPr="00B9099F" w:rsidRDefault="0005397B" w:rsidP="0005397B">
      <w:r w:rsidRPr="00B9099F">
        <w:t>Nusinersen</w:t>
      </w:r>
      <w:r w:rsidRPr="00B9099F" w:rsidDel="00B3328D">
        <w:t xml:space="preserve"> </w:t>
      </w:r>
      <w:r w:rsidRPr="00B9099F">
        <w:t>is a fully modified 2′</w:t>
      </w:r>
      <w:r w:rsidRPr="00B9099F">
        <w:noBreakHyphen/>
        <w:t>O</w:t>
      </w:r>
      <w:r w:rsidRPr="00B9099F">
        <w:noBreakHyphen/>
        <w:t>2</w:t>
      </w:r>
      <w:r w:rsidRPr="00B9099F">
        <w:noBreakHyphen/>
        <w:t>methoxyethyl antisense oligonucleotide designed to bind to a specific sequence in the intron downstream of Exon 7 of the SMN2 transcript.</w:t>
      </w:r>
    </w:p>
    <w:p w14:paraId="579BF0EE" w14:textId="77777777" w:rsidR="00CC0661" w:rsidRPr="00B9099F" w:rsidRDefault="00CC0661" w:rsidP="0005397B"/>
    <w:p w14:paraId="1476C9A8" w14:textId="77777777" w:rsidR="00314C77" w:rsidRPr="00B9099F" w:rsidRDefault="00314C77" w:rsidP="0055588E">
      <w:pPr>
        <w:rPr>
          <w:rFonts w:cs="Arial"/>
        </w:rPr>
      </w:pPr>
    </w:p>
    <w:p w14:paraId="2C22FACA" w14:textId="77777777" w:rsidR="0005397B" w:rsidRPr="00B9099F" w:rsidRDefault="0005397B" w:rsidP="0055588E">
      <w:pPr>
        <w:rPr>
          <w:rFonts w:cs="Arial"/>
        </w:rPr>
      </w:pPr>
    </w:p>
    <w:p w14:paraId="54FBD92B" w14:textId="77777777" w:rsidR="00CE016D" w:rsidRPr="00B9099F" w:rsidRDefault="00031F00" w:rsidP="0055588E">
      <w:pPr>
        <w:rPr>
          <w:rFonts w:cs="Arial"/>
        </w:rPr>
      </w:pPr>
      <w:r w:rsidRPr="00B9099F">
        <w:object w:dxaOrig="22285" w:dyaOrig="13212" w14:anchorId="6A3FD1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252pt" o:ole="">
            <v:imagedata r:id="rId16" o:title=""/>
          </v:shape>
          <o:OLEObject Type="Embed" ProgID="ChemDraw.Document.6.0" ShapeID="_x0000_i1025" DrawAspect="Content" ObjectID="_1597040646" r:id="rId17"/>
        </w:object>
      </w:r>
    </w:p>
    <w:p w14:paraId="5CC732E4" w14:textId="77777777" w:rsidR="0005397B" w:rsidRPr="00B9099F" w:rsidRDefault="0005397B" w:rsidP="0055588E">
      <w:pPr>
        <w:rPr>
          <w:rFonts w:cs="Arial"/>
        </w:rPr>
      </w:pPr>
    </w:p>
    <w:p w14:paraId="60F840B9" w14:textId="77777777" w:rsidR="0005397B" w:rsidRPr="00B9099F" w:rsidRDefault="0077745D" w:rsidP="0055588E">
      <w:pPr>
        <w:rPr>
          <w:rFonts w:cs="Arial"/>
        </w:rPr>
      </w:pPr>
      <w:r w:rsidRPr="00B9099F">
        <w:rPr>
          <w:rFonts w:cs="Arial"/>
        </w:rPr>
        <w:t>Australian approved name:</w:t>
      </w:r>
      <w:r w:rsidR="003D48FF" w:rsidRPr="00B9099F">
        <w:rPr>
          <w:rFonts w:cs="Arial"/>
        </w:rPr>
        <w:t xml:space="preserve"> nusinersen heptadecasodium</w:t>
      </w:r>
    </w:p>
    <w:p w14:paraId="2ED7E8A0" w14:textId="77777777" w:rsidR="00A57AF9" w:rsidRPr="00B9099F" w:rsidRDefault="001D3C35" w:rsidP="00851386">
      <w:pPr>
        <w:autoSpaceDE w:val="0"/>
        <w:autoSpaceDN w:val="0"/>
        <w:adjustRightInd w:val="0"/>
        <w:jc w:val="left"/>
        <w:rPr>
          <w:rFonts w:cs="Arial"/>
        </w:rPr>
      </w:pPr>
      <w:r w:rsidRPr="00B9099F">
        <w:rPr>
          <w:rFonts w:cs="Arial"/>
        </w:rPr>
        <w:t>CAS</w:t>
      </w:r>
      <w:r w:rsidR="008926EF" w:rsidRPr="00B9099F">
        <w:rPr>
          <w:rFonts w:cs="Arial"/>
        </w:rPr>
        <w:t xml:space="preserve"> registry number</w:t>
      </w:r>
      <w:r w:rsidR="00C41D7E" w:rsidRPr="00B9099F">
        <w:rPr>
          <w:rFonts w:cs="Arial"/>
        </w:rPr>
        <w:t xml:space="preserve"> (nusinersen)</w:t>
      </w:r>
      <w:r w:rsidRPr="00B9099F">
        <w:rPr>
          <w:rFonts w:cs="Arial"/>
        </w:rPr>
        <w:t xml:space="preserve">: </w:t>
      </w:r>
      <w:r w:rsidR="003D48FF" w:rsidRPr="00B9099F">
        <w:rPr>
          <w:szCs w:val="22"/>
        </w:rPr>
        <w:t>1258984-36-9</w:t>
      </w:r>
    </w:p>
    <w:p w14:paraId="2C041FC9" w14:textId="77777777" w:rsidR="00851386" w:rsidRPr="00B9099F" w:rsidRDefault="00851386" w:rsidP="00851386">
      <w:pPr>
        <w:autoSpaceDE w:val="0"/>
        <w:autoSpaceDN w:val="0"/>
        <w:adjustRightInd w:val="0"/>
        <w:jc w:val="left"/>
        <w:rPr>
          <w:rFonts w:cs="Arial"/>
          <w:color w:val="000000"/>
        </w:rPr>
      </w:pPr>
      <w:r w:rsidRPr="00B9099F">
        <w:rPr>
          <w:rFonts w:cs="Arial"/>
          <w:color w:val="000000"/>
        </w:rPr>
        <w:t>C</w:t>
      </w:r>
      <w:r w:rsidRPr="00B9099F">
        <w:rPr>
          <w:rFonts w:cs="Arial"/>
          <w:color w:val="000000"/>
          <w:vertAlign w:val="subscript"/>
        </w:rPr>
        <w:t>234</w:t>
      </w:r>
      <w:r w:rsidRPr="00B9099F">
        <w:rPr>
          <w:rFonts w:cs="Arial"/>
          <w:color w:val="000000"/>
        </w:rPr>
        <w:t>H</w:t>
      </w:r>
      <w:r w:rsidRPr="00B9099F">
        <w:rPr>
          <w:rFonts w:cs="Arial"/>
          <w:color w:val="000000"/>
          <w:vertAlign w:val="subscript"/>
        </w:rPr>
        <w:t>340</w:t>
      </w:r>
      <w:r w:rsidRPr="00B9099F">
        <w:rPr>
          <w:rFonts w:cs="Arial"/>
          <w:color w:val="000000"/>
        </w:rPr>
        <w:t>N</w:t>
      </w:r>
      <w:r w:rsidRPr="00B9099F">
        <w:rPr>
          <w:rFonts w:cs="Arial"/>
          <w:color w:val="000000"/>
          <w:vertAlign w:val="subscript"/>
        </w:rPr>
        <w:t>61</w:t>
      </w:r>
      <w:r w:rsidRPr="00B9099F">
        <w:rPr>
          <w:rFonts w:cs="Arial"/>
          <w:color w:val="000000"/>
        </w:rPr>
        <w:t>O</w:t>
      </w:r>
      <w:r w:rsidRPr="00B9099F">
        <w:rPr>
          <w:rFonts w:cs="Arial"/>
          <w:color w:val="000000"/>
          <w:vertAlign w:val="subscript"/>
        </w:rPr>
        <w:t>128</w:t>
      </w:r>
      <w:r w:rsidRPr="00B9099F">
        <w:rPr>
          <w:rFonts w:cs="Arial"/>
          <w:color w:val="000000"/>
        </w:rPr>
        <w:t>P</w:t>
      </w:r>
      <w:r w:rsidRPr="00B9099F">
        <w:rPr>
          <w:rFonts w:cs="Arial"/>
          <w:color w:val="000000"/>
          <w:vertAlign w:val="subscript"/>
        </w:rPr>
        <w:t>17</w:t>
      </w:r>
      <w:r w:rsidRPr="00B9099F">
        <w:rPr>
          <w:rFonts w:cs="Arial"/>
          <w:color w:val="000000"/>
        </w:rPr>
        <w:t>S</w:t>
      </w:r>
      <w:r w:rsidRPr="00B9099F">
        <w:rPr>
          <w:rFonts w:cs="Arial"/>
          <w:color w:val="000000"/>
          <w:vertAlign w:val="subscript"/>
        </w:rPr>
        <w:t>17</w:t>
      </w:r>
      <w:r w:rsidRPr="00B9099F">
        <w:rPr>
          <w:rFonts w:cs="Arial"/>
          <w:color w:val="000000"/>
        </w:rPr>
        <w:t xml:space="preserve"> (</w:t>
      </w:r>
      <w:proofErr w:type="spellStart"/>
      <w:r w:rsidRPr="00B9099F">
        <w:rPr>
          <w:rFonts w:cs="Arial"/>
          <w:color w:val="000000"/>
        </w:rPr>
        <w:t>nusinersen</w:t>
      </w:r>
      <w:proofErr w:type="spellEnd"/>
      <w:r w:rsidRPr="00B9099F">
        <w:rPr>
          <w:rFonts w:cs="Arial"/>
          <w:color w:val="000000"/>
        </w:rPr>
        <w:t xml:space="preserve">) MW 7127.1 </w:t>
      </w:r>
      <w:r w:rsidR="00A57AF9" w:rsidRPr="00B9099F">
        <w:rPr>
          <w:rFonts w:cs="Arial"/>
          <w:color w:val="000000"/>
        </w:rPr>
        <w:t>g/</w:t>
      </w:r>
      <w:proofErr w:type="spellStart"/>
      <w:r w:rsidR="00A57AF9" w:rsidRPr="00B9099F">
        <w:rPr>
          <w:rFonts w:cs="Arial"/>
          <w:color w:val="000000"/>
        </w:rPr>
        <w:t>mol</w:t>
      </w:r>
      <w:proofErr w:type="spellEnd"/>
    </w:p>
    <w:p w14:paraId="35443DCF" w14:textId="77777777" w:rsidR="00851386" w:rsidRPr="00B9099F" w:rsidRDefault="00851386" w:rsidP="00851386">
      <w:pPr>
        <w:rPr>
          <w:rFonts w:cs="Arial"/>
          <w:color w:val="000000"/>
        </w:rPr>
      </w:pPr>
      <w:r w:rsidRPr="00B9099F">
        <w:rPr>
          <w:rFonts w:cs="Arial"/>
          <w:color w:val="000000"/>
        </w:rPr>
        <w:t>C</w:t>
      </w:r>
      <w:r w:rsidRPr="00B9099F">
        <w:rPr>
          <w:rFonts w:cs="Arial"/>
          <w:color w:val="000000"/>
          <w:vertAlign w:val="subscript"/>
        </w:rPr>
        <w:t>234</w:t>
      </w:r>
      <w:r w:rsidRPr="00B9099F">
        <w:rPr>
          <w:rFonts w:cs="Arial"/>
          <w:color w:val="000000"/>
        </w:rPr>
        <w:t>H</w:t>
      </w:r>
      <w:r w:rsidRPr="00B9099F">
        <w:rPr>
          <w:rFonts w:cs="Arial"/>
          <w:color w:val="000000"/>
          <w:vertAlign w:val="subscript"/>
        </w:rPr>
        <w:t>323</w:t>
      </w:r>
      <w:r w:rsidRPr="00B9099F">
        <w:rPr>
          <w:rFonts w:cs="Arial"/>
          <w:color w:val="000000"/>
        </w:rPr>
        <w:t>N</w:t>
      </w:r>
      <w:r w:rsidRPr="00B9099F">
        <w:rPr>
          <w:rFonts w:cs="Arial"/>
          <w:color w:val="000000"/>
          <w:vertAlign w:val="subscript"/>
        </w:rPr>
        <w:t>61</w:t>
      </w:r>
      <w:r w:rsidRPr="00B9099F">
        <w:rPr>
          <w:rFonts w:cs="Arial"/>
          <w:color w:val="000000"/>
        </w:rPr>
        <w:t>O</w:t>
      </w:r>
      <w:r w:rsidRPr="00B9099F">
        <w:rPr>
          <w:rFonts w:cs="Arial"/>
          <w:color w:val="000000"/>
          <w:vertAlign w:val="subscript"/>
        </w:rPr>
        <w:t>128</w:t>
      </w:r>
      <w:r w:rsidRPr="00B9099F">
        <w:rPr>
          <w:rFonts w:cs="Arial"/>
          <w:color w:val="000000"/>
        </w:rPr>
        <w:t>P</w:t>
      </w:r>
      <w:r w:rsidRPr="00B9099F">
        <w:rPr>
          <w:rFonts w:cs="Arial"/>
          <w:color w:val="000000"/>
          <w:vertAlign w:val="subscript"/>
        </w:rPr>
        <w:t>17</w:t>
      </w:r>
      <w:r w:rsidRPr="00B9099F">
        <w:rPr>
          <w:rFonts w:cs="Arial"/>
          <w:color w:val="000000"/>
        </w:rPr>
        <w:t>S</w:t>
      </w:r>
      <w:r w:rsidRPr="00B9099F">
        <w:rPr>
          <w:rFonts w:cs="Arial"/>
          <w:color w:val="000000"/>
          <w:vertAlign w:val="subscript"/>
        </w:rPr>
        <w:t>17</w:t>
      </w:r>
      <w:r w:rsidRPr="00B9099F">
        <w:rPr>
          <w:rFonts w:cs="Arial"/>
          <w:color w:val="000000"/>
        </w:rPr>
        <w:t>Na</w:t>
      </w:r>
      <w:r w:rsidRPr="00B9099F">
        <w:rPr>
          <w:rFonts w:cs="Arial"/>
          <w:color w:val="000000"/>
          <w:vertAlign w:val="subscript"/>
        </w:rPr>
        <w:t>17</w:t>
      </w:r>
      <w:r w:rsidRPr="00B9099F">
        <w:rPr>
          <w:rFonts w:cs="Arial"/>
          <w:color w:val="000000"/>
        </w:rPr>
        <w:t xml:space="preserve"> (nusinersen </w:t>
      </w:r>
      <w:proofErr w:type="spellStart"/>
      <w:r w:rsidRPr="00B9099F">
        <w:rPr>
          <w:rFonts w:cs="Arial"/>
          <w:color w:val="000000"/>
        </w:rPr>
        <w:t>heptadecasodium</w:t>
      </w:r>
      <w:proofErr w:type="spellEnd"/>
      <w:r w:rsidRPr="00B9099F">
        <w:rPr>
          <w:rFonts w:cs="Arial"/>
          <w:color w:val="000000"/>
        </w:rPr>
        <w:t>) MW 7501.0</w:t>
      </w:r>
      <w:r w:rsidR="00A57AF9" w:rsidRPr="00B9099F">
        <w:rPr>
          <w:rFonts w:cs="Arial"/>
          <w:color w:val="000000"/>
        </w:rPr>
        <w:t xml:space="preserve"> g/</w:t>
      </w:r>
      <w:proofErr w:type="spellStart"/>
      <w:r w:rsidR="00A57AF9" w:rsidRPr="00B9099F">
        <w:rPr>
          <w:rFonts w:cs="Arial"/>
          <w:color w:val="000000"/>
        </w:rPr>
        <w:t>mol</w:t>
      </w:r>
      <w:proofErr w:type="spellEnd"/>
    </w:p>
    <w:p w14:paraId="1603F53C" w14:textId="77777777" w:rsidR="00A57AF9" w:rsidRPr="00B9099F" w:rsidRDefault="00A57AF9" w:rsidP="00851386">
      <w:pPr>
        <w:rPr>
          <w:rFonts w:cs="Arial"/>
          <w:color w:val="000000"/>
        </w:rPr>
      </w:pPr>
      <w:r w:rsidRPr="00B9099F">
        <w:rPr>
          <w:rFonts w:cs="Arial"/>
          <w:color w:val="000000"/>
        </w:rPr>
        <w:t>Chemical name:</w:t>
      </w:r>
    </w:p>
    <w:p w14:paraId="30E3B9C4" w14:textId="77777777" w:rsidR="00A57AF9" w:rsidRPr="00B9099F" w:rsidRDefault="000E3809" w:rsidP="00851386">
      <w:pPr>
        <w:rPr>
          <w:rFonts w:cs="Arial"/>
        </w:rPr>
      </w:pPr>
      <w:r w:rsidRPr="00B9099F">
        <w:rPr>
          <w:rFonts w:cs="Arial"/>
          <w:i/>
          <w:iCs/>
        </w:rPr>
        <w:t>all-P-ambo-2'-O-</w:t>
      </w:r>
      <w:r w:rsidRPr="00B9099F">
        <w:rPr>
          <w:rFonts w:cs="Arial"/>
        </w:rPr>
        <w:t>(2-methoxyethyl)-5-methyl-</w:t>
      </w:r>
      <w:r w:rsidRPr="00B9099F">
        <w:rPr>
          <w:rFonts w:cs="Arial"/>
          <w:i/>
          <w:iCs/>
        </w:rPr>
        <w:t>P</w:t>
      </w:r>
      <w:r w:rsidRPr="00B9099F">
        <w:rPr>
          <w:rFonts w:cs="Arial"/>
        </w:rPr>
        <w:t>-thiouridylyl-(3'→5')-2'-</w:t>
      </w:r>
      <w:r w:rsidRPr="00B9099F">
        <w:rPr>
          <w:rFonts w:cs="Arial"/>
          <w:i/>
          <w:iCs/>
        </w:rPr>
        <w:t>O</w:t>
      </w:r>
      <w:r w:rsidRPr="00B9099F">
        <w:rPr>
          <w:rFonts w:cs="Arial"/>
        </w:rPr>
        <w:t>-(2-methoxyethyl)-5-methyl-</w:t>
      </w:r>
      <w:r w:rsidRPr="00B9099F">
        <w:rPr>
          <w:rFonts w:cs="Arial"/>
          <w:i/>
          <w:iCs/>
        </w:rPr>
        <w:t>P</w:t>
      </w:r>
      <w:r w:rsidRPr="00B9099F">
        <w:rPr>
          <w:rFonts w:cs="Arial"/>
        </w:rPr>
        <w:t>-thiocytidylyl-(3'→5')-2'-</w:t>
      </w:r>
      <w:r w:rsidRPr="00B9099F">
        <w:rPr>
          <w:rFonts w:cs="Arial"/>
          <w:i/>
          <w:iCs/>
        </w:rPr>
        <w:t>O</w:t>
      </w:r>
      <w:r w:rsidRPr="00B9099F">
        <w:rPr>
          <w:rFonts w:cs="Arial"/>
        </w:rPr>
        <w:t>-(2-methoxyethyl)-</w:t>
      </w:r>
      <w:r w:rsidRPr="00B9099F">
        <w:rPr>
          <w:rFonts w:cs="Arial"/>
          <w:i/>
          <w:iCs/>
        </w:rPr>
        <w:t>P</w:t>
      </w:r>
      <w:r w:rsidRPr="00B9099F">
        <w:rPr>
          <w:rFonts w:cs="Arial"/>
        </w:rPr>
        <w:t>-thioadenylyl-(3'→5')-2'-</w:t>
      </w:r>
      <w:r w:rsidRPr="00B9099F">
        <w:rPr>
          <w:rFonts w:cs="Arial"/>
          <w:i/>
          <w:iCs/>
        </w:rPr>
        <w:t>O</w:t>
      </w:r>
      <w:r w:rsidRPr="00B9099F">
        <w:rPr>
          <w:rFonts w:cs="Arial"/>
        </w:rPr>
        <w:t>-(2-methoxyethyl)-5-methyl-</w:t>
      </w:r>
      <w:r w:rsidRPr="00B9099F">
        <w:rPr>
          <w:rFonts w:cs="Arial"/>
          <w:i/>
          <w:iCs/>
        </w:rPr>
        <w:t>P</w:t>
      </w:r>
      <w:r w:rsidRPr="00B9099F">
        <w:rPr>
          <w:rFonts w:cs="Arial"/>
        </w:rPr>
        <w:t>-thiocytidylyl-(3'→5')-2'-</w:t>
      </w:r>
      <w:r w:rsidRPr="00B9099F">
        <w:rPr>
          <w:rFonts w:cs="Arial"/>
          <w:i/>
          <w:iCs/>
        </w:rPr>
        <w:t>O</w:t>
      </w:r>
      <w:r w:rsidRPr="00B9099F">
        <w:rPr>
          <w:rFonts w:cs="Arial"/>
        </w:rPr>
        <w:t>-(2-methoxyethyl)-5-methyl-</w:t>
      </w:r>
      <w:r w:rsidRPr="00B9099F">
        <w:rPr>
          <w:rFonts w:cs="Arial"/>
          <w:i/>
          <w:iCs/>
        </w:rPr>
        <w:t>P</w:t>
      </w:r>
      <w:r w:rsidRPr="00B9099F">
        <w:rPr>
          <w:rFonts w:cs="Arial"/>
        </w:rPr>
        <w:t>-thiouridylyl-(3'→5')-2'-</w:t>
      </w:r>
      <w:r w:rsidRPr="00B9099F">
        <w:rPr>
          <w:rFonts w:cs="Arial"/>
          <w:i/>
          <w:iCs/>
        </w:rPr>
        <w:t>O</w:t>
      </w:r>
      <w:r w:rsidRPr="00B9099F">
        <w:rPr>
          <w:rFonts w:cs="Arial"/>
        </w:rPr>
        <w:t>-(2-methoxyethyl)-5-methyl-</w:t>
      </w:r>
      <w:r w:rsidRPr="00B9099F">
        <w:rPr>
          <w:rFonts w:cs="Arial"/>
          <w:i/>
          <w:iCs/>
        </w:rPr>
        <w:t>P</w:t>
      </w:r>
      <w:r w:rsidRPr="00B9099F">
        <w:rPr>
          <w:rFonts w:cs="Arial"/>
        </w:rPr>
        <w:t>-thiouridylyl-(3'→5')-2'-</w:t>
      </w:r>
      <w:r w:rsidRPr="00B9099F">
        <w:rPr>
          <w:rFonts w:cs="Arial"/>
          <w:i/>
          <w:iCs/>
        </w:rPr>
        <w:t>O</w:t>
      </w:r>
      <w:r w:rsidRPr="00B9099F">
        <w:rPr>
          <w:rFonts w:cs="Arial"/>
        </w:rPr>
        <w:t>-(2-methoxyethyl)-5-methyl-</w:t>
      </w:r>
      <w:r w:rsidRPr="00B9099F">
        <w:rPr>
          <w:rFonts w:cs="Arial"/>
          <w:i/>
          <w:iCs/>
        </w:rPr>
        <w:t>P</w:t>
      </w:r>
      <w:r w:rsidRPr="00B9099F">
        <w:rPr>
          <w:rFonts w:cs="Arial"/>
        </w:rPr>
        <w:t>-thiouridylyl-(3'→5')-2'-</w:t>
      </w:r>
      <w:r w:rsidRPr="00B9099F">
        <w:rPr>
          <w:rFonts w:cs="Arial"/>
          <w:i/>
          <w:iCs/>
        </w:rPr>
        <w:t>O</w:t>
      </w:r>
      <w:r w:rsidRPr="00B9099F">
        <w:rPr>
          <w:rFonts w:cs="Arial"/>
        </w:rPr>
        <w:t>-(2-methoxyethyl)-5-methyl-</w:t>
      </w:r>
      <w:r w:rsidRPr="00B9099F">
        <w:rPr>
          <w:rFonts w:cs="Arial"/>
          <w:i/>
          <w:iCs/>
        </w:rPr>
        <w:t>P</w:t>
      </w:r>
      <w:r w:rsidRPr="00B9099F">
        <w:rPr>
          <w:rFonts w:cs="Arial"/>
        </w:rPr>
        <w:t>-thiocytidylyl-(3'→5')-2'-</w:t>
      </w:r>
      <w:r w:rsidRPr="00B9099F">
        <w:rPr>
          <w:rFonts w:cs="Arial"/>
          <w:i/>
          <w:iCs/>
        </w:rPr>
        <w:t>O</w:t>
      </w:r>
      <w:r w:rsidRPr="00B9099F">
        <w:rPr>
          <w:rFonts w:cs="Arial"/>
        </w:rPr>
        <w:t>-(2-methoxyethyl)-</w:t>
      </w:r>
      <w:r w:rsidRPr="00B9099F">
        <w:rPr>
          <w:rFonts w:cs="Arial"/>
          <w:i/>
          <w:iCs/>
        </w:rPr>
        <w:t>P</w:t>
      </w:r>
      <w:r w:rsidRPr="00B9099F">
        <w:rPr>
          <w:rFonts w:cs="Arial"/>
        </w:rPr>
        <w:t>-thioadenylyl-(3'→5')-2'-</w:t>
      </w:r>
      <w:r w:rsidRPr="00B9099F">
        <w:rPr>
          <w:rFonts w:cs="Arial"/>
          <w:i/>
          <w:iCs/>
        </w:rPr>
        <w:t>O</w:t>
      </w:r>
      <w:r w:rsidRPr="00B9099F">
        <w:rPr>
          <w:rFonts w:cs="Arial"/>
        </w:rPr>
        <w:t>-(2-methoxyethyl)-5-methyl-</w:t>
      </w:r>
      <w:r w:rsidRPr="00B9099F">
        <w:rPr>
          <w:rFonts w:cs="Arial"/>
          <w:i/>
          <w:iCs/>
        </w:rPr>
        <w:t>P</w:t>
      </w:r>
      <w:r w:rsidRPr="00B9099F">
        <w:rPr>
          <w:rFonts w:cs="Arial"/>
        </w:rPr>
        <w:t>-thiouridylyl-(3'→5')-2'-</w:t>
      </w:r>
      <w:r w:rsidRPr="00B9099F">
        <w:rPr>
          <w:rFonts w:cs="Arial"/>
          <w:i/>
          <w:iCs/>
        </w:rPr>
        <w:t>O</w:t>
      </w:r>
      <w:r w:rsidRPr="00B9099F">
        <w:rPr>
          <w:rFonts w:cs="Arial"/>
        </w:rPr>
        <w:t>-(2-methoxyethyl)-</w:t>
      </w:r>
      <w:r w:rsidRPr="00B9099F">
        <w:rPr>
          <w:rFonts w:cs="Arial"/>
          <w:i/>
          <w:iCs/>
        </w:rPr>
        <w:t>P</w:t>
      </w:r>
      <w:r w:rsidRPr="00B9099F">
        <w:rPr>
          <w:rFonts w:cs="Arial"/>
        </w:rPr>
        <w:t>-thioadenylyl-(3'→5')-2'-</w:t>
      </w:r>
      <w:r w:rsidRPr="00B9099F">
        <w:rPr>
          <w:rFonts w:cs="Arial"/>
          <w:i/>
          <w:iCs/>
        </w:rPr>
        <w:t>O</w:t>
      </w:r>
      <w:r w:rsidRPr="00B9099F">
        <w:rPr>
          <w:rFonts w:cs="Arial"/>
        </w:rPr>
        <w:t>-(2-methoxyethyl)-</w:t>
      </w:r>
      <w:r w:rsidRPr="00B9099F">
        <w:rPr>
          <w:rFonts w:cs="Arial"/>
          <w:i/>
          <w:iCs/>
        </w:rPr>
        <w:t>P</w:t>
      </w:r>
      <w:r w:rsidRPr="00B9099F">
        <w:rPr>
          <w:rFonts w:cs="Arial"/>
        </w:rPr>
        <w:t>-thioadenylyl-(3'→5')-2'-</w:t>
      </w:r>
      <w:r w:rsidRPr="00B9099F">
        <w:rPr>
          <w:rFonts w:cs="Arial"/>
          <w:i/>
          <w:iCs/>
        </w:rPr>
        <w:t>O</w:t>
      </w:r>
      <w:r w:rsidRPr="00B9099F">
        <w:rPr>
          <w:rFonts w:cs="Arial"/>
        </w:rPr>
        <w:t>-(2-methoxyethyl)-5-methyl-</w:t>
      </w:r>
      <w:r w:rsidRPr="00B9099F">
        <w:rPr>
          <w:rFonts w:cs="Arial"/>
          <w:i/>
          <w:iCs/>
        </w:rPr>
        <w:t>P</w:t>
      </w:r>
      <w:r w:rsidRPr="00B9099F">
        <w:rPr>
          <w:rFonts w:cs="Arial"/>
        </w:rPr>
        <w:t>-thiouridylyl-(3'→5')-2'-</w:t>
      </w:r>
      <w:r w:rsidRPr="00B9099F">
        <w:rPr>
          <w:rFonts w:cs="Arial"/>
          <w:i/>
          <w:iCs/>
        </w:rPr>
        <w:t>O</w:t>
      </w:r>
      <w:r w:rsidRPr="00B9099F">
        <w:rPr>
          <w:rFonts w:cs="Arial"/>
        </w:rPr>
        <w:t>-(2-methoxyethyl)-</w:t>
      </w:r>
      <w:r w:rsidRPr="00B9099F">
        <w:rPr>
          <w:rFonts w:cs="Arial"/>
          <w:i/>
          <w:iCs/>
        </w:rPr>
        <w:t>P</w:t>
      </w:r>
      <w:r w:rsidRPr="00B9099F">
        <w:rPr>
          <w:rFonts w:cs="Arial"/>
        </w:rPr>
        <w:t>-thioguanylyl-(3'→5')-2'-</w:t>
      </w:r>
      <w:r w:rsidRPr="00B9099F">
        <w:rPr>
          <w:rFonts w:cs="Arial"/>
          <w:i/>
          <w:iCs/>
        </w:rPr>
        <w:t>O</w:t>
      </w:r>
      <w:r w:rsidRPr="00B9099F">
        <w:rPr>
          <w:rFonts w:cs="Arial"/>
        </w:rPr>
        <w:t>-(2-methoxyethyl)-5-methyl-</w:t>
      </w:r>
      <w:r w:rsidRPr="00B9099F">
        <w:rPr>
          <w:rFonts w:cs="Arial"/>
          <w:i/>
          <w:iCs/>
        </w:rPr>
        <w:t>P</w:t>
      </w:r>
      <w:r w:rsidRPr="00B9099F">
        <w:rPr>
          <w:rFonts w:cs="Arial"/>
        </w:rPr>
        <w:t>-thiocytidylyl-(3'→5')-2'-</w:t>
      </w:r>
      <w:r w:rsidRPr="00B9099F">
        <w:rPr>
          <w:rFonts w:cs="Arial"/>
          <w:i/>
          <w:iCs/>
        </w:rPr>
        <w:t>O</w:t>
      </w:r>
      <w:r w:rsidRPr="00B9099F">
        <w:rPr>
          <w:rFonts w:cs="Arial"/>
        </w:rPr>
        <w:t>-(2-methoxyethyl)-5-methyl-</w:t>
      </w:r>
      <w:r w:rsidRPr="00B9099F">
        <w:rPr>
          <w:rFonts w:cs="Arial"/>
          <w:i/>
          <w:iCs/>
        </w:rPr>
        <w:t>P</w:t>
      </w:r>
      <w:r w:rsidRPr="00B9099F">
        <w:rPr>
          <w:rFonts w:cs="Arial"/>
        </w:rPr>
        <w:t>-thiouridylyl-(3'→5')-2'-</w:t>
      </w:r>
      <w:r w:rsidRPr="00B9099F">
        <w:rPr>
          <w:rFonts w:cs="Arial"/>
          <w:i/>
          <w:iCs/>
        </w:rPr>
        <w:t>O</w:t>
      </w:r>
      <w:r w:rsidRPr="00B9099F">
        <w:rPr>
          <w:rFonts w:cs="Arial"/>
        </w:rPr>
        <w:t>-(2-methoxyethyl)-</w:t>
      </w:r>
      <w:r w:rsidRPr="00B9099F">
        <w:rPr>
          <w:rFonts w:cs="Arial"/>
          <w:i/>
          <w:iCs/>
        </w:rPr>
        <w:t>P</w:t>
      </w:r>
      <w:r w:rsidRPr="00B9099F">
        <w:rPr>
          <w:rFonts w:cs="Arial"/>
        </w:rPr>
        <w:t>-thioguanylyl-(3'→5')-2'-</w:t>
      </w:r>
      <w:r w:rsidRPr="00B9099F">
        <w:rPr>
          <w:rFonts w:cs="Arial"/>
          <w:i/>
          <w:iCs/>
        </w:rPr>
        <w:t>O</w:t>
      </w:r>
      <w:r w:rsidRPr="00B9099F">
        <w:rPr>
          <w:rFonts w:cs="Arial"/>
        </w:rPr>
        <w:t>-(2-methoxyethyl)guanosine</w:t>
      </w:r>
    </w:p>
    <w:p w14:paraId="2B5A6C2C" w14:textId="77777777" w:rsidR="00D945DF" w:rsidRPr="00B9099F" w:rsidRDefault="00D945DF" w:rsidP="0055588E">
      <w:pPr>
        <w:rPr>
          <w:rFonts w:cs="Arial"/>
        </w:rPr>
      </w:pPr>
    </w:p>
    <w:p w14:paraId="46F490E7" w14:textId="77777777" w:rsidR="00E33E7B" w:rsidRPr="00B9099F" w:rsidRDefault="000A0F9E" w:rsidP="0055588E">
      <w:pPr>
        <w:pStyle w:val="Heading2"/>
        <w:rPr>
          <w:lang w:val="en-US"/>
        </w:rPr>
      </w:pPr>
      <w:r w:rsidRPr="00B9099F">
        <w:rPr>
          <w:lang w:val="en-US"/>
        </w:rPr>
        <w:lastRenderedPageBreak/>
        <w:t>DESCRIPTION</w:t>
      </w:r>
    </w:p>
    <w:p w14:paraId="2F67BB3F" w14:textId="77777777" w:rsidR="00250961" w:rsidRPr="00B9099F" w:rsidRDefault="00250961" w:rsidP="00250961">
      <w:pPr>
        <w:rPr>
          <w:lang w:val="en-US"/>
        </w:rPr>
      </w:pPr>
      <w:bookmarkStart w:id="0" w:name="gbae32f1b-1c74-4ce5-b264-b10a56dd4f79"/>
      <w:bookmarkStart w:id="1" w:name="Gad3bb974-d5e0-4e20-b2bd-866bb7853665"/>
      <w:bookmarkStart w:id="2" w:name="ga49ed935-4b12-485d-9d04-9419f0c40d82"/>
      <w:bookmarkStart w:id="3" w:name="gf09198bd-e71c-43a3-bda4-30794d0e35a5"/>
      <w:bookmarkStart w:id="4" w:name="g094fc15f-b0c9-4d28-a8fa-864a5e659708"/>
      <w:bookmarkStart w:id="5" w:name="ga28bb17b-9ad5-43c4-b9a8-561d0359be64"/>
      <w:bookmarkStart w:id="6" w:name="gec691f1a-e309-4f2f-aed6-ffe0f407f9d7"/>
      <w:bookmarkStart w:id="7" w:name="gd8316db9-969e-439e-9e10-5cdcb898c6ff"/>
      <w:bookmarkStart w:id="8" w:name="gb16e5a99-532d-4096-87eb-6320931fb5d8"/>
      <w:bookmarkStart w:id="9" w:name="gb6079575-9e8a-4d01-91a9-bb9301dd5928"/>
      <w:bookmarkEnd w:id="0"/>
      <w:bookmarkEnd w:id="1"/>
      <w:bookmarkEnd w:id="2"/>
      <w:bookmarkEnd w:id="3"/>
      <w:bookmarkEnd w:id="4"/>
      <w:bookmarkEnd w:id="5"/>
      <w:bookmarkEnd w:id="6"/>
      <w:bookmarkEnd w:id="7"/>
      <w:bookmarkEnd w:id="8"/>
      <w:bookmarkEnd w:id="9"/>
      <w:r w:rsidRPr="00B9099F">
        <w:rPr>
          <w:lang w:val="en-US"/>
        </w:rPr>
        <w:t xml:space="preserve">The </w:t>
      </w:r>
      <w:proofErr w:type="spellStart"/>
      <w:r w:rsidRPr="00B9099F">
        <w:rPr>
          <w:lang w:val="en-US"/>
        </w:rPr>
        <w:t>pKa</w:t>
      </w:r>
      <w:proofErr w:type="spellEnd"/>
      <w:r w:rsidRPr="00B9099F">
        <w:rPr>
          <w:lang w:val="en-US"/>
        </w:rPr>
        <w:t xml:space="preserve"> of the </w:t>
      </w:r>
      <w:proofErr w:type="spellStart"/>
      <w:r w:rsidRPr="00B9099F">
        <w:rPr>
          <w:lang w:val="en-US"/>
        </w:rPr>
        <w:t>dinucleoside</w:t>
      </w:r>
      <w:proofErr w:type="spellEnd"/>
      <w:r w:rsidRPr="00B9099F">
        <w:rPr>
          <w:lang w:val="en-US"/>
        </w:rPr>
        <w:t xml:space="preserve"> phosphate </w:t>
      </w:r>
      <w:proofErr w:type="spellStart"/>
      <w:r w:rsidRPr="00B9099F">
        <w:rPr>
          <w:lang w:val="en-US"/>
        </w:rPr>
        <w:t>diester</w:t>
      </w:r>
      <w:proofErr w:type="spellEnd"/>
      <w:r w:rsidRPr="00B9099F">
        <w:rPr>
          <w:lang w:val="en-US"/>
        </w:rPr>
        <w:t xml:space="preserve"> is approximately 2. The bases have acidic and basic </w:t>
      </w:r>
      <w:proofErr w:type="spellStart"/>
      <w:r w:rsidRPr="00B9099F">
        <w:rPr>
          <w:lang w:val="en-US"/>
        </w:rPr>
        <w:t>pKas</w:t>
      </w:r>
      <w:proofErr w:type="spellEnd"/>
      <w:r w:rsidRPr="00B9099F">
        <w:rPr>
          <w:lang w:val="en-US"/>
        </w:rPr>
        <w:t xml:space="preserve"> ranging from approximately 3.5 to 10 and the 5’ and 3′-hydroxy groups have </w:t>
      </w:r>
      <w:proofErr w:type="spellStart"/>
      <w:r w:rsidRPr="00B9099F">
        <w:rPr>
          <w:lang w:val="en-US"/>
        </w:rPr>
        <w:t>pKas</w:t>
      </w:r>
      <w:proofErr w:type="spellEnd"/>
      <w:r w:rsidRPr="00B9099F">
        <w:rPr>
          <w:lang w:val="en-US"/>
        </w:rPr>
        <w:t xml:space="preserve"> of approximately 16 and 12, respectively. The API is a white to yellow amorphous, hygroscopic solid.</w:t>
      </w:r>
    </w:p>
    <w:p w14:paraId="398724BF" w14:textId="77777777" w:rsidR="00250961" w:rsidRPr="00B9099F" w:rsidRDefault="00250961" w:rsidP="00250961">
      <w:pPr>
        <w:rPr>
          <w:lang w:val="en-US"/>
        </w:rPr>
      </w:pPr>
    </w:p>
    <w:p w14:paraId="10998A75" w14:textId="77777777" w:rsidR="0005397B" w:rsidRPr="00B9099F" w:rsidRDefault="0005397B" w:rsidP="00250961">
      <w:r w:rsidRPr="00B9099F">
        <w:t>SPINRAZA</w:t>
      </w:r>
      <w:r w:rsidR="00DD2894" w:rsidRPr="00B9099F">
        <w:t xml:space="preserve"> </w:t>
      </w:r>
      <w:r w:rsidR="00C41D7E" w:rsidRPr="00B9099F">
        <w:t>is a sterile, preservative-free clear to colourless isotonic solution for injection in a single use vial, practically free from visible particles.</w:t>
      </w:r>
    </w:p>
    <w:p w14:paraId="6D616086" w14:textId="77777777" w:rsidR="0005397B" w:rsidRPr="00B9099F" w:rsidRDefault="0005397B" w:rsidP="0055588E"/>
    <w:p w14:paraId="4BC0F375" w14:textId="77777777" w:rsidR="0005397B" w:rsidRPr="00B9099F" w:rsidRDefault="00DD2894" w:rsidP="0055588E">
      <w:r w:rsidRPr="00B9099F">
        <w:t>Each single-use vial contains</w:t>
      </w:r>
      <w:r w:rsidR="0005397B" w:rsidRPr="00B9099F">
        <w:t xml:space="preserve"> 12.6 mg of nusinersen heptadecasodium equivalent to 12 mg of nusinersen as the free acid (or 2.4 mg/mL) in artificial cerebr</w:t>
      </w:r>
      <w:r w:rsidR="000B0064" w:rsidRPr="00B9099F">
        <w:t>o</w:t>
      </w:r>
      <w:r w:rsidR="0005397B" w:rsidRPr="00B9099F">
        <w:t>spinal fluid.</w:t>
      </w:r>
    </w:p>
    <w:p w14:paraId="4448B63B" w14:textId="77777777" w:rsidR="0005397B" w:rsidRPr="00B9099F" w:rsidRDefault="0005397B" w:rsidP="0055588E"/>
    <w:p w14:paraId="3483D066" w14:textId="77777777" w:rsidR="000E3809" w:rsidRPr="00B9099F" w:rsidRDefault="0005397B" w:rsidP="00250961">
      <w:pPr>
        <w:rPr>
          <w:lang w:val="en-US"/>
        </w:rPr>
      </w:pPr>
      <w:r w:rsidRPr="00B9099F">
        <w:t>T</w:t>
      </w:r>
      <w:r w:rsidR="00DD2894" w:rsidRPr="00B9099F">
        <w:t xml:space="preserve">he product contains the following excipients: </w:t>
      </w:r>
      <w:r w:rsidRPr="00B9099F">
        <w:t xml:space="preserve">sodium chloride, potassium chloride, calcium chloride </w:t>
      </w:r>
      <w:r w:rsidR="00072291" w:rsidRPr="00B9099F">
        <w:t>di</w:t>
      </w:r>
      <w:r w:rsidRPr="00B9099F">
        <w:t>hydrate, magnesium chloride hexahydrate, dibasic sodium phosphate</w:t>
      </w:r>
      <w:r w:rsidR="00072291" w:rsidRPr="00B9099F">
        <w:t>, sodium phosphate monobasic di</w:t>
      </w:r>
      <w:r w:rsidRPr="00B9099F">
        <w:t>hydrate, sodium hydroxide (</w:t>
      </w:r>
      <w:proofErr w:type="spellStart"/>
      <w:r w:rsidRPr="00B9099F">
        <w:t>q.s</w:t>
      </w:r>
      <w:proofErr w:type="spellEnd"/>
      <w:r w:rsidRPr="00B9099F">
        <w:t>.), hydrochloric acid (</w:t>
      </w:r>
      <w:proofErr w:type="spellStart"/>
      <w:r w:rsidRPr="00B9099F">
        <w:t>q.s</w:t>
      </w:r>
      <w:proofErr w:type="spellEnd"/>
      <w:r w:rsidRPr="00B9099F">
        <w:t xml:space="preserve">.), </w:t>
      </w:r>
      <w:proofErr w:type="gramStart"/>
      <w:r w:rsidRPr="00B9099F">
        <w:t>water</w:t>
      </w:r>
      <w:proofErr w:type="gramEnd"/>
      <w:r w:rsidRPr="00B9099F">
        <w:t xml:space="preserve"> for injection</w:t>
      </w:r>
      <w:r w:rsidR="00A57AF9" w:rsidRPr="00B9099F">
        <w:t>s</w:t>
      </w:r>
      <w:r w:rsidRPr="00B9099F">
        <w:t xml:space="preserve"> </w:t>
      </w:r>
      <w:proofErr w:type="spellStart"/>
      <w:r w:rsidRPr="00B9099F">
        <w:t>q.s</w:t>
      </w:r>
      <w:proofErr w:type="spellEnd"/>
      <w:r w:rsidRPr="00B9099F">
        <w:t xml:space="preserve">. to 5 </w:t>
      </w:r>
      <w:proofErr w:type="spellStart"/>
      <w:r w:rsidRPr="00B9099F">
        <w:t>mL.</w:t>
      </w:r>
      <w:proofErr w:type="spellEnd"/>
      <w:r w:rsidRPr="00B9099F">
        <w:t xml:space="preserve"> The pH is approximately 7.2.</w:t>
      </w:r>
    </w:p>
    <w:p w14:paraId="3FDEA029" w14:textId="77777777" w:rsidR="00DD2894" w:rsidRPr="00B9099F" w:rsidRDefault="00DD2894" w:rsidP="0055588E"/>
    <w:p w14:paraId="5AB32D32" w14:textId="70B50444" w:rsidR="00D945DF" w:rsidRDefault="002212E2" w:rsidP="0055588E">
      <w:proofErr w:type="gramStart"/>
      <w:r w:rsidRPr="00B9099F">
        <w:t>For intra</w:t>
      </w:r>
      <w:r w:rsidR="0005397B" w:rsidRPr="00B9099F">
        <w:t>thecal</w:t>
      </w:r>
      <w:r w:rsidRPr="00B9099F">
        <w:t xml:space="preserve"> administration only</w:t>
      </w:r>
      <w:r w:rsidR="0005397B" w:rsidRPr="00B9099F">
        <w:t xml:space="preserve"> by lumbar puncture</w:t>
      </w:r>
      <w:r w:rsidRPr="00B9099F">
        <w:t>.</w:t>
      </w:r>
      <w:proofErr w:type="gramEnd"/>
    </w:p>
    <w:p w14:paraId="6B7196D1" w14:textId="77777777" w:rsidR="001B41E2" w:rsidRPr="00B9099F" w:rsidRDefault="001B41E2" w:rsidP="0055588E"/>
    <w:p w14:paraId="26D9AB03" w14:textId="77777777" w:rsidR="00A57AF9" w:rsidRPr="00B9099F" w:rsidRDefault="00A57AF9" w:rsidP="0055588E">
      <w:pPr>
        <w:pStyle w:val="Heading2"/>
        <w:rPr>
          <w:lang w:val="en-US"/>
        </w:rPr>
      </w:pPr>
    </w:p>
    <w:p w14:paraId="07824F63" w14:textId="77777777" w:rsidR="00E33E7B" w:rsidRPr="00B9099F" w:rsidRDefault="000A0F9E" w:rsidP="0055588E">
      <w:pPr>
        <w:pStyle w:val="Heading2"/>
        <w:rPr>
          <w:lang w:val="en-US"/>
        </w:rPr>
      </w:pPr>
      <w:r w:rsidRPr="00B9099F">
        <w:rPr>
          <w:lang w:val="en-US"/>
        </w:rPr>
        <w:t>PHARMACOLOGY</w:t>
      </w:r>
    </w:p>
    <w:p w14:paraId="2D2C2C68" w14:textId="22079C8D" w:rsidR="002176FD" w:rsidRPr="00B9099F" w:rsidRDefault="002176FD" w:rsidP="002176FD">
      <w:r w:rsidRPr="00B9099F">
        <w:t xml:space="preserve">SPINRAZA is an antisense oligonucleotide (ASO) specifically designed to treat </w:t>
      </w:r>
      <w:r w:rsidR="00000EE2">
        <w:t>Spinal Muscular Atrophy (</w:t>
      </w:r>
      <w:r w:rsidRPr="00B9099F">
        <w:t>SMA</w:t>
      </w:r>
      <w:r w:rsidR="00000EE2">
        <w:t>)</w:t>
      </w:r>
      <w:r w:rsidRPr="00B9099F">
        <w:t xml:space="preserve">, an autosomal recessive progressive neuromuscular disease, due to mutations in the chromosome 5q. These mutations lead to loss of function of the survival motor neuron 1 (SMN1) gene, resulting in deficiency of SMN protein. The SMN2 gene also produces SMN protein but at low levels. </w:t>
      </w:r>
    </w:p>
    <w:p w14:paraId="12B06867" w14:textId="77777777" w:rsidR="002176FD" w:rsidRPr="00B9099F" w:rsidRDefault="002176FD" w:rsidP="002176FD"/>
    <w:p w14:paraId="14A1E9FF" w14:textId="77777777" w:rsidR="002176FD" w:rsidRPr="00B9099F" w:rsidRDefault="002176FD" w:rsidP="002176FD">
      <w:r w:rsidRPr="00B9099F">
        <w:t xml:space="preserve">SMA is a clinical spectrum of disease, with age of onset and disease severity </w:t>
      </w:r>
      <w:r w:rsidR="00D670EF" w:rsidRPr="00B9099F">
        <w:t xml:space="preserve">associated </w:t>
      </w:r>
      <w:r w:rsidRPr="00B9099F">
        <w:t>to the number of SMN2 gene copies present; fewer SMN2 gene copies are associated with earlier age of onset and increased severity of symptoms.</w:t>
      </w:r>
    </w:p>
    <w:p w14:paraId="229AA66B" w14:textId="77777777" w:rsidR="002176FD" w:rsidRPr="00B9099F" w:rsidRDefault="002176FD" w:rsidP="002176FD"/>
    <w:p w14:paraId="21EF14FD" w14:textId="77777777" w:rsidR="002176FD" w:rsidRPr="00B9099F" w:rsidRDefault="00200E44" w:rsidP="002176FD">
      <w:r w:rsidRPr="00B9099F">
        <w:rPr>
          <w:szCs w:val="22"/>
        </w:rPr>
        <w:t xml:space="preserve">Nusinersen (contained in </w:t>
      </w:r>
      <w:r w:rsidR="002176FD" w:rsidRPr="00B9099F">
        <w:t>SPINRAZA</w:t>
      </w:r>
      <w:r w:rsidRPr="00B9099F">
        <w:t>)</w:t>
      </w:r>
      <w:r w:rsidR="002176FD" w:rsidRPr="00B9099F">
        <w:t xml:space="preserve"> increases the proportion of exon 7 inclusion in SMN2 messenger ribonucleic acid (mRNA) transcripts by binding to an intronic splice silencing site (ISS</w:t>
      </w:r>
      <w:r w:rsidR="002176FD" w:rsidRPr="00B9099F">
        <w:noBreakHyphen/>
        <w:t>N1) found in intron 7 of the SMN2 pre</w:t>
      </w:r>
      <w:r w:rsidR="002176FD" w:rsidRPr="00B9099F">
        <w:noBreakHyphen/>
        <w:t>messenger ribonucleic acid (pre</w:t>
      </w:r>
      <w:r w:rsidR="002176FD" w:rsidRPr="00B9099F">
        <w:noBreakHyphen/>
        <w:t xml:space="preserve">mRNA). By binding, the ASO displaces splicing factors, which normally suppress splicing. Displacement of these factors leads to retention of exon 7 in the SMN2 mRNA. Once SMN2 mRNA is produced, it </w:t>
      </w:r>
      <w:r w:rsidR="00005C92" w:rsidRPr="00B9099F">
        <w:t xml:space="preserve">can be </w:t>
      </w:r>
      <w:r w:rsidR="002176FD" w:rsidRPr="00B9099F">
        <w:t>translated into the functional full length SMN protein.</w:t>
      </w:r>
    </w:p>
    <w:p w14:paraId="6C04F7A3" w14:textId="77777777" w:rsidR="00B113B3" w:rsidRPr="00B9099F" w:rsidRDefault="00B113B3" w:rsidP="0055588E">
      <w:pPr>
        <w:rPr>
          <w:bCs/>
          <w:sz w:val="22"/>
          <w:szCs w:val="22"/>
          <w:lang w:val="en-US"/>
        </w:rPr>
      </w:pPr>
    </w:p>
    <w:p w14:paraId="159D1E3B" w14:textId="77777777" w:rsidR="006A6BAF" w:rsidRPr="00B9099F" w:rsidRDefault="006A6BAF" w:rsidP="0055588E">
      <w:pPr>
        <w:pStyle w:val="Heading3"/>
        <w:rPr>
          <w:lang w:val="en-US"/>
        </w:rPr>
      </w:pPr>
      <w:r w:rsidRPr="00B9099F">
        <w:rPr>
          <w:lang w:val="en-US"/>
        </w:rPr>
        <w:t>Pharmacodynamics</w:t>
      </w:r>
    </w:p>
    <w:p w14:paraId="479D7435" w14:textId="77777777" w:rsidR="002176FD" w:rsidRPr="00B9099F" w:rsidRDefault="002176FD" w:rsidP="002176FD">
      <w:bookmarkStart w:id="10" w:name="gafd7d268-423c-4656-980b-c3d2b87325dc"/>
      <w:bookmarkStart w:id="11" w:name="g666ef321-545d-4ef1-993b-7d214eea51e2"/>
      <w:bookmarkStart w:id="12" w:name="g280fe6da-6eac-48ff-a718-e86608878667"/>
      <w:bookmarkEnd w:id="10"/>
      <w:bookmarkEnd w:id="11"/>
      <w:bookmarkEnd w:id="12"/>
      <w:r w:rsidRPr="00B9099F">
        <w:t>The pharmacodynamic effects are consistent with the biological effects of nusinersen.</w:t>
      </w:r>
    </w:p>
    <w:p w14:paraId="7E7FE69F" w14:textId="77777777" w:rsidR="002176FD" w:rsidRPr="00B9099F" w:rsidRDefault="002176FD" w:rsidP="002176FD"/>
    <w:p w14:paraId="0BBF6C02" w14:textId="77777777" w:rsidR="002176FD" w:rsidRPr="00B9099F" w:rsidRDefault="002176FD" w:rsidP="002176FD">
      <w:r w:rsidRPr="00B9099F">
        <w:t xml:space="preserve">Autopsy samples from treated infants had higher levels of SMN2 messenger ribonucleic acid (mRNA) containing exon 7 in the thoracic spinal cord compared to untreated SMA infants. </w:t>
      </w:r>
    </w:p>
    <w:p w14:paraId="499F4126" w14:textId="77777777" w:rsidR="00B113B3" w:rsidRPr="00B9099F" w:rsidRDefault="00B113B3" w:rsidP="0055588E">
      <w:pPr>
        <w:rPr>
          <w:sz w:val="22"/>
          <w:szCs w:val="22"/>
        </w:rPr>
      </w:pPr>
      <w:bookmarkStart w:id="13" w:name="_GoBack"/>
    </w:p>
    <w:bookmarkEnd w:id="13"/>
    <w:p w14:paraId="7D932006" w14:textId="77777777" w:rsidR="008B02FB" w:rsidRPr="00B9099F" w:rsidRDefault="008B02FB" w:rsidP="0055588E">
      <w:pPr>
        <w:pStyle w:val="Heading3"/>
      </w:pPr>
      <w:r w:rsidRPr="00B9099F">
        <w:lastRenderedPageBreak/>
        <w:t>Pharmacokinetic</w:t>
      </w:r>
      <w:r w:rsidR="00E92B06" w:rsidRPr="00B9099F">
        <w:t>s</w:t>
      </w:r>
    </w:p>
    <w:p w14:paraId="1040827D" w14:textId="77777777" w:rsidR="002176FD" w:rsidRPr="00B9099F" w:rsidRDefault="002176FD" w:rsidP="002176FD">
      <w:pPr>
        <w:rPr>
          <w:b/>
        </w:rPr>
      </w:pPr>
      <w:bookmarkStart w:id="14" w:name="Emphasis_31_Italic"/>
      <w:r w:rsidRPr="00B9099F">
        <w:t>Single</w:t>
      </w:r>
      <w:r w:rsidRPr="00B9099F">
        <w:noBreakHyphen/>
        <w:t xml:space="preserve"> and multiple</w:t>
      </w:r>
      <w:r w:rsidRPr="00B9099F">
        <w:noBreakHyphen/>
        <w:t>dose pharmacokinetics of nusinersen, administered via intrathecal injection, were determined in p</w:t>
      </w:r>
      <w:r w:rsidR="00ED296B" w:rsidRPr="00B9099F">
        <w:t>a</w:t>
      </w:r>
      <w:r w:rsidRPr="00B9099F">
        <w:t>ediatric patients diagnosed with SMA.</w:t>
      </w:r>
    </w:p>
    <w:p w14:paraId="15DAB614" w14:textId="77777777" w:rsidR="00B113B3" w:rsidRPr="00B9099F" w:rsidRDefault="00B113B3" w:rsidP="0055588E">
      <w:pPr>
        <w:rPr>
          <w:sz w:val="22"/>
          <w:szCs w:val="22"/>
        </w:rPr>
      </w:pPr>
    </w:p>
    <w:p w14:paraId="0287C761" w14:textId="77777777" w:rsidR="002176FD" w:rsidRPr="00B9099F" w:rsidRDefault="002176FD" w:rsidP="0077745D">
      <w:pPr>
        <w:pStyle w:val="Heading4"/>
      </w:pPr>
      <w:r w:rsidRPr="00B9099F">
        <w:t>Absorption</w:t>
      </w:r>
    </w:p>
    <w:p w14:paraId="2DF88ADD" w14:textId="77777777" w:rsidR="002176FD" w:rsidRPr="00B9099F" w:rsidRDefault="002176FD" w:rsidP="002176FD">
      <w:r w:rsidRPr="00B9099F">
        <w:t xml:space="preserve">Intrathecal injection of nusinersen into the cerebrospinal fluid (CSF) allows nusinersen to be fully available for distribution from the CSF to the target central nervous system (CNS) tissues. </w:t>
      </w:r>
    </w:p>
    <w:p w14:paraId="32F403B9" w14:textId="77777777" w:rsidR="002176FD" w:rsidRPr="00B9099F" w:rsidRDefault="002176FD" w:rsidP="002176FD">
      <w:pPr>
        <w:rPr>
          <w:b/>
        </w:rPr>
      </w:pPr>
    </w:p>
    <w:p w14:paraId="563FACF8" w14:textId="77777777" w:rsidR="002176FD" w:rsidRPr="00B9099F" w:rsidRDefault="002176FD" w:rsidP="002176FD">
      <w:r w:rsidRPr="00B9099F">
        <w:t>Mean CSF trough concentrations of nusinersen accumulated approximately 1.4</w:t>
      </w:r>
      <w:r w:rsidRPr="00B9099F">
        <w:noBreakHyphen/>
        <w:t xml:space="preserve"> to 3</w:t>
      </w:r>
      <w:r w:rsidRPr="00B9099F">
        <w:noBreakHyphen/>
        <w:t>fold after multiple loading and maintenance doses, and reached a steady state within approximately 24 months. No further accumulation in CSF or CNS tissues would be expected with additional doses after steady state.</w:t>
      </w:r>
    </w:p>
    <w:p w14:paraId="63DB7AFC" w14:textId="77777777" w:rsidR="002176FD" w:rsidRPr="00B9099F" w:rsidRDefault="002176FD" w:rsidP="002176FD">
      <w:pPr>
        <w:rPr>
          <w:b/>
        </w:rPr>
      </w:pPr>
    </w:p>
    <w:p w14:paraId="760A0E07" w14:textId="77777777" w:rsidR="002176FD" w:rsidRPr="00B9099F" w:rsidRDefault="002176FD" w:rsidP="002176FD">
      <w:r w:rsidRPr="00B9099F">
        <w:t xml:space="preserve">Following IT administration trough plasma concentrations of nusinersen were relatively low compared to the trough CSF concentration. Median plasma </w:t>
      </w:r>
      <w:proofErr w:type="spellStart"/>
      <w:r w:rsidRPr="00B9099F">
        <w:t>T</w:t>
      </w:r>
      <w:r w:rsidRPr="00B9099F">
        <w:rPr>
          <w:vertAlign w:val="subscript"/>
        </w:rPr>
        <w:t>max</w:t>
      </w:r>
      <w:proofErr w:type="spellEnd"/>
      <w:r w:rsidRPr="00B9099F">
        <w:t xml:space="preserve"> values ranged from 1.7 to 6.0 hours. Mean plasma </w:t>
      </w:r>
      <w:proofErr w:type="spellStart"/>
      <w:r w:rsidRPr="00B9099F">
        <w:t>C</w:t>
      </w:r>
      <w:r w:rsidRPr="00B9099F">
        <w:rPr>
          <w:vertAlign w:val="subscript"/>
        </w:rPr>
        <w:t>max</w:t>
      </w:r>
      <w:proofErr w:type="spellEnd"/>
      <w:r w:rsidRPr="00B9099F">
        <w:t xml:space="preserve"> and AUC values increased approximately dose proportionally over the evaluated dose range. There is no accumulation in plasma exposure measures (</w:t>
      </w:r>
      <w:proofErr w:type="spellStart"/>
      <w:r w:rsidRPr="00B9099F">
        <w:t>C</w:t>
      </w:r>
      <w:r w:rsidRPr="00B9099F">
        <w:rPr>
          <w:vertAlign w:val="subscript"/>
        </w:rPr>
        <w:t>max</w:t>
      </w:r>
      <w:proofErr w:type="spellEnd"/>
      <w:r w:rsidRPr="00B9099F">
        <w:t xml:space="preserve"> and AUC) after multiple doses.</w:t>
      </w:r>
    </w:p>
    <w:p w14:paraId="7AC925BD" w14:textId="77777777" w:rsidR="00B3137B" w:rsidRPr="00B9099F" w:rsidRDefault="00B3137B" w:rsidP="0077745D"/>
    <w:p w14:paraId="11B9C5F7" w14:textId="77777777" w:rsidR="00474CBB" w:rsidRPr="00B9099F" w:rsidRDefault="00474CBB" w:rsidP="0077745D">
      <w:pPr>
        <w:pStyle w:val="Heading4"/>
      </w:pPr>
      <w:r w:rsidRPr="00B9099F">
        <w:t>Distribution</w:t>
      </w:r>
    </w:p>
    <w:p w14:paraId="1EEC436A" w14:textId="77777777" w:rsidR="00474CBB" w:rsidRPr="00B9099F" w:rsidRDefault="00474CBB" w:rsidP="00474CBB">
      <w:r w:rsidRPr="00B9099F">
        <w:t>Autopsy data from patients (</w:t>
      </w:r>
      <w:r w:rsidRPr="00B9099F">
        <w:rPr>
          <w:i/>
        </w:rPr>
        <w:t>n</w:t>
      </w:r>
      <w:r w:rsidRPr="00B9099F">
        <w:t xml:space="preserve">=3) show that nusinersen administered intrathecally is broadly distributed within the CNS achieving therapeutic levels in the target spinal cord tissues. Presence of nusinersen was also demonstrated in neurons and other cell types in the spinal cord and brain, and peripheral tissues such as skeletal muscle, liver, and kidney.  </w:t>
      </w:r>
    </w:p>
    <w:p w14:paraId="68E2F333" w14:textId="77777777" w:rsidR="00474CBB" w:rsidRPr="00B9099F" w:rsidRDefault="00474CBB" w:rsidP="00474CBB"/>
    <w:p w14:paraId="6598E67C" w14:textId="77777777" w:rsidR="00474CBB" w:rsidRPr="00B9099F" w:rsidRDefault="00474CBB" w:rsidP="0077745D">
      <w:pPr>
        <w:pStyle w:val="Heading4"/>
      </w:pPr>
      <w:r w:rsidRPr="00B9099F">
        <w:t>Metabolism/Biotransformation</w:t>
      </w:r>
    </w:p>
    <w:p w14:paraId="35CEFFA9" w14:textId="77777777" w:rsidR="00474CBB" w:rsidRPr="00B9099F" w:rsidRDefault="00474CBB" w:rsidP="00474CBB">
      <w:pPr>
        <w:rPr>
          <w:b/>
        </w:rPr>
      </w:pPr>
      <w:r w:rsidRPr="00B9099F">
        <w:t>Nusinersen is metaboli</w:t>
      </w:r>
      <w:r w:rsidR="00ED296B" w:rsidRPr="00B9099F">
        <w:t>s</w:t>
      </w:r>
      <w:r w:rsidRPr="00B9099F">
        <w:t>ed slowly via exonuclease (3’- and 5’</w:t>
      </w:r>
      <w:proofErr w:type="gramStart"/>
      <w:r w:rsidRPr="00B9099F">
        <w:t>)</w:t>
      </w:r>
      <w:r w:rsidRPr="00B9099F">
        <w:noBreakHyphen/>
      </w:r>
      <w:proofErr w:type="gramEnd"/>
      <w:r w:rsidRPr="00B9099F">
        <w:t>mediated hydrolysis</w:t>
      </w:r>
      <w:r w:rsidRPr="00B9099F" w:rsidDel="00CE5E2B">
        <w:t xml:space="preserve"> </w:t>
      </w:r>
      <w:r w:rsidRPr="00B9099F">
        <w:t>and is not a substrate for, or inhibitor or inducer of CYP450 enzymes.</w:t>
      </w:r>
    </w:p>
    <w:p w14:paraId="6132BD5A" w14:textId="77777777" w:rsidR="00474CBB" w:rsidRPr="00B9099F" w:rsidRDefault="00474CBB" w:rsidP="00474CBB"/>
    <w:p w14:paraId="7297000E" w14:textId="77777777" w:rsidR="00474CBB" w:rsidRPr="00B9099F" w:rsidRDefault="00474CBB" w:rsidP="0077745D">
      <w:pPr>
        <w:pStyle w:val="Heading4"/>
      </w:pPr>
      <w:r w:rsidRPr="00B9099F">
        <w:t>Elimination</w:t>
      </w:r>
    </w:p>
    <w:p w14:paraId="25EA1B8A" w14:textId="77777777" w:rsidR="00474CBB" w:rsidRPr="00B9099F" w:rsidRDefault="00474CBB" w:rsidP="00474CBB">
      <w:pPr>
        <w:rPr>
          <w:b/>
        </w:rPr>
      </w:pPr>
      <w:r w:rsidRPr="00B9099F">
        <w:t>The mean terminal elimination half-life in CSF is estimated at 135 to 177 days. The primary route of elimination is likely by urinary excretion of nusinersen and its metabolites.</w:t>
      </w:r>
    </w:p>
    <w:p w14:paraId="212F39C1" w14:textId="77777777" w:rsidR="00474CBB" w:rsidRPr="00B9099F" w:rsidRDefault="00474CBB" w:rsidP="00474CBB"/>
    <w:p w14:paraId="2BC75291" w14:textId="77777777" w:rsidR="00474CBB" w:rsidRPr="00B9099F" w:rsidRDefault="00474CBB" w:rsidP="0077745D">
      <w:pPr>
        <w:pStyle w:val="Heading4"/>
      </w:pPr>
      <w:r w:rsidRPr="00B9099F">
        <w:t>Renal and hepatic impairment</w:t>
      </w:r>
    </w:p>
    <w:p w14:paraId="18B75A06" w14:textId="77777777" w:rsidR="00474CBB" w:rsidRPr="00B9099F" w:rsidRDefault="00474CBB" w:rsidP="00474CBB">
      <w:r w:rsidRPr="00B9099F">
        <w:t>The pharmacokinetics of nusinersen in patients with renal impairment or hepatic impairment has not been studied.</w:t>
      </w:r>
    </w:p>
    <w:p w14:paraId="4D054762" w14:textId="77777777" w:rsidR="00474CBB" w:rsidRPr="00B9099F" w:rsidRDefault="00474CBB" w:rsidP="00474CBB"/>
    <w:p w14:paraId="5E906513" w14:textId="77777777" w:rsidR="00474CBB" w:rsidRPr="00B9099F" w:rsidRDefault="00474CBB" w:rsidP="0077745D">
      <w:pPr>
        <w:pStyle w:val="Heading4"/>
      </w:pPr>
      <w:r w:rsidRPr="00B9099F">
        <w:t>Gender</w:t>
      </w:r>
    </w:p>
    <w:p w14:paraId="64826803" w14:textId="77777777" w:rsidR="00474CBB" w:rsidRPr="00B9099F" w:rsidRDefault="00474CBB" w:rsidP="00474CBB">
      <w:r w:rsidRPr="00B9099F">
        <w:t>Population pharmacokinetic analysis shows that gender does not affect the pharmacokinetics of nusinersen.</w:t>
      </w:r>
    </w:p>
    <w:p w14:paraId="79DD1A52" w14:textId="77777777" w:rsidR="002176FD" w:rsidRPr="00B9099F" w:rsidRDefault="002176FD" w:rsidP="0055588E">
      <w:pPr>
        <w:rPr>
          <w:sz w:val="22"/>
          <w:szCs w:val="22"/>
        </w:rPr>
      </w:pPr>
    </w:p>
    <w:p w14:paraId="3247B6D3" w14:textId="77777777" w:rsidR="002176FD" w:rsidRPr="00B9099F" w:rsidRDefault="002176FD" w:rsidP="0055588E">
      <w:pPr>
        <w:rPr>
          <w:sz w:val="22"/>
          <w:szCs w:val="22"/>
        </w:rPr>
      </w:pPr>
    </w:p>
    <w:bookmarkEnd w:id="14"/>
    <w:p w14:paraId="043D7A06" w14:textId="77777777" w:rsidR="00474CBB" w:rsidRPr="00B9099F" w:rsidRDefault="00E42D10" w:rsidP="0077745D">
      <w:pPr>
        <w:pStyle w:val="Heading2"/>
      </w:pPr>
      <w:r w:rsidRPr="00B9099F">
        <w:t>C</w:t>
      </w:r>
      <w:r w:rsidR="000A0F9E" w:rsidRPr="00B9099F">
        <w:t>LINICAL TRIALS</w:t>
      </w:r>
      <w:bookmarkStart w:id="15" w:name="g5a3c70f1-9eb2-48c3-ae01-1e988cf79f7a"/>
      <w:bookmarkStart w:id="16" w:name="g227f46f1-b450-4f66-94ed-46846e4cfe8d"/>
      <w:bookmarkStart w:id="17" w:name="g9ca27236-71e0-47d9-8d46-00532f147419"/>
      <w:bookmarkStart w:id="18" w:name="g527a5879-7cee-4db8-905a-7fd4fb9b721f"/>
      <w:bookmarkEnd w:id="15"/>
      <w:bookmarkEnd w:id="16"/>
      <w:bookmarkEnd w:id="17"/>
      <w:bookmarkEnd w:id="18"/>
    </w:p>
    <w:p w14:paraId="457EE297" w14:textId="77777777" w:rsidR="00D86AF4" w:rsidRPr="00B9099F" w:rsidRDefault="00D86AF4" w:rsidP="00474CBB"/>
    <w:p w14:paraId="2FC78D5A" w14:textId="77777777" w:rsidR="00474CBB" w:rsidRPr="00B9099F" w:rsidRDefault="00474CBB" w:rsidP="00474CBB">
      <w:pPr>
        <w:pStyle w:val="Heading3"/>
      </w:pPr>
      <w:r w:rsidRPr="00B9099F">
        <w:t>Efficacy Results</w:t>
      </w:r>
    </w:p>
    <w:p w14:paraId="15868F03" w14:textId="3AF6978E" w:rsidR="00474CBB" w:rsidRPr="00B9099F" w:rsidRDefault="00474CBB" w:rsidP="00474CBB">
      <w:pPr>
        <w:tabs>
          <w:tab w:val="left" w:pos="4959"/>
        </w:tabs>
      </w:pPr>
      <w:r w:rsidRPr="00B9099F">
        <w:t xml:space="preserve">The efficacy of SPINRAZA was demonstrated in </w:t>
      </w:r>
      <w:r w:rsidR="00E51F89" w:rsidRPr="00B9099F">
        <w:t>5</w:t>
      </w:r>
      <w:r w:rsidRPr="00B9099F">
        <w:t xml:space="preserve"> clinical trials in symptomatic patients (Stud</w:t>
      </w:r>
      <w:r w:rsidR="000B17ED" w:rsidRPr="00B9099F">
        <w:t>ies</w:t>
      </w:r>
      <w:r w:rsidRPr="00B9099F">
        <w:t xml:space="preserve"> </w:t>
      </w:r>
      <w:r w:rsidR="00ED296B" w:rsidRPr="00B9099F">
        <w:t>CS3B</w:t>
      </w:r>
      <w:r w:rsidRPr="00B9099F">
        <w:t xml:space="preserve">, </w:t>
      </w:r>
      <w:r w:rsidR="00ED296B" w:rsidRPr="00B9099F">
        <w:t>CS3A</w:t>
      </w:r>
      <w:r w:rsidRPr="00B9099F">
        <w:t>,</w:t>
      </w:r>
      <w:r w:rsidR="000B17ED" w:rsidRPr="00B9099F">
        <w:t xml:space="preserve"> CS4,</w:t>
      </w:r>
      <w:r w:rsidRPr="00B9099F">
        <w:t xml:space="preserve"> </w:t>
      </w:r>
      <w:r w:rsidR="00ED296B" w:rsidRPr="00B9099F">
        <w:t>CS2</w:t>
      </w:r>
      <w:r w:rsidRPr="00B9099F">
        <w:t xml:space="preserve"> and </w:t>
      </w:r>
      <w:r w:rsidR="00ED296B" w:rsidRPr="00B9099F">
        <w:t>CS12</w:t>
      </w:r>
      <w:r w:rsidRPr="00B9099F">
        <w:t xml:space="preserve">), who ranged in age from </w:t>
      </w:r>
      <w:r w:rsidRPr="00B9099F">
        <w:lastRenderedPageBreak/>
        <w:t>30 days to 15 years at the time of first dose, and one clinical trial in pre</w:t>
      </w:r>
      <w:r w:rsidRPr="00B9099F">
        <w:noBreakHyphen/>
        <w:t xml:space="preserve">symptomatic patients (Study </w:t>
      </w:r>
      <w:r w:rsidR="00ED296B" w:rsidRPr="00B9099F">
        <w:t>CS</w:t>
      </w:r>
      <w:r w:rsidRPr="00B9099F">
        <w:t xml:space="preserve">5), who ranged in age from </w:t>
      </w:r>
      <w:r w:rsidR="00842792" w:rsidRPr="00B9099F">
        <w:t>3 </w:t>
      </w:r>
      <w:r w:rsidRPr="00B9099F">
        <w:t>days to 42 days at the time of first dose.</w:t>
      </w:r>
      <w:r w:rsidR="00F017D3" w:rsidRPr="00B9099F">
        <w:t xml:space="preserve"> Efficacy results from these studies demonstrate that treatment with SPINRAZA provides benefit across disease phenotypes</w:t>
      </w:r>
      <w:r w:rsidR="00BC5488" w:rsidRPr="00B9099F">
        <w:t xml:space="preserve"> and support the initiation of treatment as soon as possibl</w:t>
      </w:r>
      <w:r w:rsidR="005C12A2" w:rsidRPr="00B9099F">
        <w:t xml:space="preserve">e following diagnosis (Figures </w:t>
      </w:r>
      <w:r w:rsidR="00951BDB" w:rsidRPr="00B9099F">
        <w:t>6</w:t>
      </w:r>
      <w:r w:rsidR="005C12A2" w:rsidRPr="00B9099F">
        <w:t xml:space="preserve"> and </w:t>
      </w:r>
      <w:r w:rsidR="00951BDB" w:rsidRPr="00B9099F">
        <w:t>7</w:t>
      </w:r>
      <w:r w:rsidR="00BC5488" w:rsidRPr="00B9099F">
        <w:t>)</w:t>
      </w:r>
      <w:r w:rsidR="00F017D3" w:rsidRPr="00B9099F">
        <w:t>.</w:t>
      </w:r>
      <w:r w:rsidR="005A2B55">
        <w:t xml:space="preserve"> SPINRAZA has only been studied in patients with 5q SMA.</w:t>
      </w:r>
    </w:p>
    <w:p w14:paraId="66292D58" w14:textId="77777777" w:rsidR="00474CBB" w:rsidRPr="00B9099F" w:rsidRDefault="00474CBB" w:rsidP="00474CBB"/>
    <w:p w14:paraId="54BD7F34" w14:textId="77777777" w:rsidR="00474CBB" w:rsidRPr="00B9099F" w:rsidRDefault="00474CBB" w:rsidP="00474CBB">
      <w:r w:rsidRPr="00B9099F">
        <w:t xml:space="preserve">Motor </w:t>
      </w:r>
      <w:r w:rsidR="006D684D" w:rsidRPr="00B9099F">
        <w:t>f</w:t>
      </w:r>
      <w:r w:rsidRPr="00B9099F">
        <w:t>unction measures used in clinical studies:</w:t>
      </w:r>
    </w:p>
    <w:p w14:paraId="04C5DFDC" w14:textId="466EBA6C" w:rsidR="00474CBB" w:rsidRPr="00B9099F" w:rsidRDefault="00474CBB" w:rsidP="00C82590">
      <w:pPr>
        <w:numPr>
          <w:ilvl w:val="0"/>
          <w:numId w:val="2"/>
        </w:numPr>
      </w:pPr>
      <w:r w:rsidRPr="00B9099F">
        <w:t xml:space="preserve">Hammersmith Infant Neurological Examination (HINE) Section 2: a measure of the achievement of motor milestones comprised of 8 milestone categories (head control, sitting, grasping, </w:t>
      </w:r>
      <w:proofErr w:type="gramStart"/>
      <w:r w:rsidRPr="00B9099F">
        <w:t>ability</w:t>
      </w:r>
      <w:proofErr w:type="gramEnd"/>
      <w:r w:rsidRPr="00B9099F">
        <w:t xml:space="preserve"> to kick in supine position, rolling, crawling, standing and walking) with 3 to 5 progressively more difficult items for each milestone category.</w:t>
      </w:r>
    </w:p>
    <w:p w14:paraId="3629B8F7" w14:textId="77777777" w:rsidR="00474CBB" w:rsidRPr="00B9099F" w:rsidRDefault="00474CBB" w:rsidP="00C82590">
      <w:pPr>
        <w:numPr>
          <w:ilvl w:val="0"/>
          <w:numId w:val="2"/>
        </w:numPr>
      </w:pPr>
      <w:r w:rsidRPr="00B9099F">
        <w:t>WHO motor milestones: a set of 6 major motor milestones (sitting without support, standing with assistance, hands and knees crawling, walking with assistance, standing alone, walking alone) that are expected to be attained by 24 months of age in healthy children.</w:t>
      </w:r>
    </w:p>
    <w:p w14:paraId="79A99E7D" w14:textId="77777777" w:rsidR="00474CBB" w:rsidRPr="00B9099F" w:rsidRDefault="00474CBB" w:rsidP="00C82590">
      <w:pPr>
        <w:numPr>
          <w:ilvl w:val="0"/>
          <w:numId w:val="2"/>
        </w:numPr>
      </w:pPr>
      <w:r w:rsidRPr="00B9099F">
        <w:t>Children’s Hospital of Philadelphia Infant Test for Neuromuscular Disease (CHOP INTEND): a 64</w:t>
      </w:r>
      <w:r w:rsidRPr="00B9099F">
        <w:noBreakHyphen/>
        <w:t>point motor assessment that captures neck, trunk, proximal, and distal limb strength in 14 elicited and 2 observational items, designed to evaluate muscle strength and function in infants with SMA.</w:t>
      </w:r>
    </w:p>
    <w:p w14:paraId="7B321B8A" w14:textId="77777777" w:rsidR="00474CBB" w:rsidRPr="00B9099F" w:rsidRDefault="00474CBB" w:rsidP="00C82590">
      <w:pPr>
        <w:numPr>
          <w:ilvl w:val="0"/>
          <w:numId w:val="2"/>
        </w:numPr>
      </w:pPr>
      <w:r w:rsidRPr="00B9099F">
        <w:t>Hammersmith Functional Motor Scale – Expanded (HFMSE): a measure to assess motor function in children with limited ambulation, comprising of 33 scored activities that give objective information on motor ability and clinical progression.</w:t>
      </w:r>
    </w:p>
    <w:p w14:paraId="4C578055" w14:textId="77777777" w:rsidR="00474CBB" w:rsidRPr="00B9099F" w:rsidRDefault="00474CBB" w:rsidP="00C82590">
      <w:pPr>
        <w:numPr>
          <w:ilvl w:val="0"/>
          <w:numId w:val="2"/>
        </w:numPr>
      </w:pPr>
      <w:r w:rsidRPr="00B9099F">
        <w:t>Upper Limb Module (ULM): designed to assess upper limb function in non</w:t>
      </w:r>
      <w:r w:rsidRPr="00B9099F">
        <w:noBreakHyphen/>
        <w:t xml:space="preserve">ambulatory patients, consisting of 9 upper limb performance items reflective of activities of daily living. Higher scores indicate greater functional abilities. </w:t>
      </w:r>
    </w:p>
    <w:p w14:paraId="53E318D1" w14:textId="77777777" w:rsidR="00BC5488" w:rsidRPr="00B9099F" w:rsidRDefault="00BC5488" w:rsidP="00BC5488">
      <w:pPr>
        <w:pStyle w:val="ListParagraph"/>
        <w:numPr>
          <w:ilvl w:val="0"/>
          <w:numId w:val="2"/>
        </w:numPr>
        <w:spacing w:after="0" w:line="240" w:lineRule="auto"/>
        <w:contextualSpacing w:val="0"/>
        <w:jc w:val="left"/>
        <w:rPr>
          <w:rFonts w:ascii="Arial" w:eastAsia="Times New Roman" w:hAnsi="Arial" w:cs="Times New Roman"/>
          <w:sz w:val="24"/>
          <w:szCs w:val="24"/>
          <w:lang w:val="en-AU"/>
        </w:rPr>
      </w:pPr>
      <w:r w:rsidRPr="00B9099F">
        <w:rPr>
          <w:rFonts w:ascii="Arial" w:eastAsia="Times New Roman" w:hAnsi="Arial" w:cs="Times New Roman"/>
          <w:sz w:val="24"/>
          <w:szCs w:val="24"/>
          <w:lang w:val="en-AU"/>
        </w:rPr>
        <w:t xml:space="preserve">Revised Upper Limb Module (RULM):  designed to assess upper limb function in patients with SMA, consistent of 20 items for a maximum total score of 37, </w:t>
      </w:r>
    </w:p>
    <w:p w14:paraId="4A3BDEE5" w14:textId="77777777" w:rsidR="00474CBB" w:rsidRPr="00B9099F" w:rsidRDefault="00474CBB" w:rsidP="00C82590">
      <w:pPr>
        <w:numPr>
          <w:ilvl w:val="0"/>
          <w:numId w:val="2"/>
        </w:numPr>
      </w:pPr>
      <w:r w:rsidRPr="00B9099F">
        <w:t>Six</w:t>
      </w:r>
      <w:r w:rsidRPr="00B9099F">
        <w:noBreakHyphen/>
        <w:t>Minute Walk Test (6 MWT): an evaluation of the distance a person can walk quickly in 6 minutes</w:t>
      </w:r>
      <w:r w:rsidR="001446A3" w:rsidRPr="00B9099F">
        <w:t>.</w:t>
      </w:r>
      <w:r w:rsidRPr="00B9099F">
        <w:t xml:space="preserve"> </w:t>
      </w:r>
    </w:p>
    <w:p w14:paraId="75E2D047" w14:textId="77777777" w:rsidR="00474CBB" w:rsidRPr="00B9099F" w:rsidRDefault="00474CBB" w:rsidP="00C82590">
      <w:pPr>
        <w:pStyle w:val="ListParagraph"/>
        <w:numPr>
          <w:ilvl w:val="0"/>
          <w:numId w:val="1"/>
        </w:numPr>
        <w:spacing w:after="0" w:line="240" w:lineRule="auto"/>
        <w:contextualSpacing w:val="0"/>
        <w:jc w:val="left"/>
        <w:rPr>
          <w:rFonts w:ascii="Arial" w:eastAsia="Times New Roman" w:hAnsi="Arial" w:cs="Times New Roman"/>
          <w:sz w:val="24"/>
          <w:szCs w:val="24"/>
          <w:lang w:val="en-AU"/>
        </w:rPr>
      </w:pPr>
      <w:r w:rsidRPr="00B9099F">
        <w:rPr>
          <w:rFonts w:ascii="Arial" w:eastAsia="Times New Roman" w:hAnsi="Arial" w:cs="Times New Roman"/>
          <w:sz w:val="24"/>
          <w:szCs w:val="24"/>
          <w:lang w:val="en-AU"/>
        </w:rPr>
        <w:t>Compound Muscle Action Potential (CMAP): an electrophysiological measure of motor neuron health for tracking disease progression in neuromuscular disorders, such as SMA.</w:t>
      </w:r>
    </w:p>
    <w:p w14:paraId="195D32E0" w14:textId="77777777" w:rsidR="00B3137B" w:rsidRPr="00B9099F" w:rsidRDefault="00B3137B" w:rsidP="00FA4459"/>
    <w:p w14:paraId="27757140" w14:textId="77777777" w:rsidR="00FA4459" w:rsidRPr="00B9099F" w:rsidRDefault="00FA4459" w:rsidP="00FA4459">
      <w:pPr>
        <w:pStyle w:val="Heading3"/>
      </w:pPr>
      <w:r w:rsidRPr="00B9099F">
        <w:t>Symptomatic Patients</w:t>
      </w:r>
    </w:p>
    <w:p w14:paraId="5F866EBA" w14:textId="77777777" w:rsidR="00BC5488" w:rsidRPr="00B9099F" w:rsidRDefault="00BC5488" w:rsidP="00942EBB"/>
    <w:p w14:paraId="4352C48A" w14:textId="77777777" w:rsidR="00BC5488" w:rsidRPr="00B9099F" w:rsidRDefault="00BC5488" w:rsidP="00BC5488">
      <w:pPr>
        <w:rPr>
          <w:rStyle w:val="Heading6Char"/>
          <w:b/>
          <w:i w:val="0"/>
        </w:rPr>
      </w:pPr>
      <w:r w:rsidRPr="00B9099F">
        <w:rPr>
          <w:rStyle w:val="Heading6Char"/>
          <w:b/>
        </w:rPr>
        <w:t>Patients with Infantile-onset SMA</w:t>
      </w:r>
    </w:p>
    <w:p w14:paraId="594ABC58" w14:textId="77777777" w:rsidR="00BC5488" w:rsidRPr="00B9099F" w:rsidRDefault="00BC5488" w:rsidP="00942EBB"/>
    <w:p w14:paraId="2328707C" w14:textId="77777777" w:rsidR="00487F87" w:rsidRPr="00B9099F" w:rsidRDefault="00FA4459" w:rsidP="0077745D">
      <w:pPr>
        <w:pStyle w:val="Heading4"/>
        <w:rPr>
          <w:rStyle w:val="Heading6Char"/>
          <w:i/>
          <w:iCs/>
        </w:rPr>
      </w:pPr>
      <w:r w:rsidRPr="00B9099F">
        <w:rPr>
          <w:rStyle w:val="Heading6Char"/>
          <w:i/>
          <w:iCs/>
        </w:rPr>
        <w:t xml:space="preserve">Study </w:t>
      </w:r>
      <w:r w:rsidR="003318B0" w:rsidRPr="00B9099F">
        <w:rPr>
          <w:rStyle w:val="Heading6Char"/>
          <w:i/>
          <w:iCs/>
        </w:rPr>
        <w:t>CS3B</w:t>
      </w:r>
      <w:r w:rsidR="00325EA0" w:rsidRPr="00B9099F">
        <w:rPr>
          <w:rStyle w:val="Heading6Char"/>
          <w:i/>
          <w:iCs/>
        </w:rPr>
        <w:t xml:space="preserve"> </w:t>
      </w:r>
      <w:r w:rsidR="003318B0" w:rsidRPr="00B9099F">
        <w:rPr>
          <w:rStyle w:val="Heading6Char"/>
          <w:i/>
          <w:iCs/>
        </w:rPr>
        <w:t>(</w:t>
      </w:r>
      <w:r w:rsidR="00325EA0" w:rsidRPr="00B9099F">
        <w:rPr>
          <w:rStyle w:val="Heading6Char"/>
          <w:i/>
          <w:iCs/>
        </w:rPr>
        <w:t>ENDEAR)</w:t>
      </w:r>
    </w:p>
    <w:p w14:paraId="617009D4" w14:textId="5443C995" w:rsidR="00FA4459" w:rsidRDefault="00FA4459" w:rsidP="00487F87">
      <w:r w:rsidRPr="00B9099F">
        <w:t>Study </w:t>
      </w:r>
      <w:r w:rsidR="003318B0" w:rsidRPr="00B9099F">
        <w:t>CS3B</w:t>
      </w:r>
      <w:r w:rsidRPr="00B9099F">
        <w:t xml:space="preserve"> </w:t>
      </w:r>
      <w:r w:rsidR="000B17ED" w:rsidRPr="00B9099F">
        <w:t>was</w:t>
      </w:r>
      <w:r w:rsidRPr="00B9099F">
        <w:t xml:space="preserve"> a phase 3, </w:t>
      </w:r>
      <w:r w:rsidR="00595511" w:rsidRPr="00B9099F">
        <w:t xml:space="preserve">randomized, double-blind, </w:t>
      </w:r>
      <w:r w:rsidRPr="00B9099F">
        <w:t>sham</w:t>
      </w:r>
      <w:r w:rsidRPr="00B9099F">
        <w:noBreakHyphen/>
        <w:t xml:space="preserve">procedure controlled study </w:t>
      </w:r>
      <w:r w:rsidR="00BC5488" w:rsidRPr="00B9099F">
        <w:t xml:space="preserve">conducted </w:t>
      </w:r>
      <w:r w:rsidRPr="00B9099F">
        <w:t xml:space="preserve">in 121 symptomatic </w:t>
      </w:r>
      <w:proofErr w:type="gramStart"/>
      <w:r w:rsidRPr="00B9099F">
        <w:t>infants</w:t>
      </w:r>
      <w:proofErr w:type="gramEnd"/>
      <w:r w:rsidRPr="00B9099F">
        <w:t xml:space="preserve"> ≤ 7 months of age, diagnosed with SMA (symptom onset before 6 months of age). Patients were randomized 2:1 to either </w:t>
      </w:r>
      <w:r w:rsidR="00E13651" w:rsidRPr="00B9099F">
        <w:t>SPINRAZA</w:t>
      </w:r>
      <w:r w:rsidRPr="00B9099F">
        <w:t xml:space="preserve"> or sham</w:t>
      </w:r>
      <w:r w:rsidRPr="00B9099F">
        <w:noBreakHyphen/>
        <w:t xml:space="preserve">control, with a length of treatment ranging from 6 to 442 days (median </w:t>
      </w:r>
      <w:r w:rsidR="00BC5488" w:rsidRPr="00B9099F">
        <w:t>258</w:t>
      </w:r>
      <w:r w:rsidRPr="00B9099F">
        <w:t>).</w:t>
      </w:r>
      <w:r w:rsidR="00B367EA" w:rsidRPr="00B9099F">
        <w:t xml:space="preserve"> SPINRAZA-treated patient</w:t>
      </w:r>
      <w:r w:rsidR="00BE2B02">
        <w:t>s</w:t>
      </w:r>
      <w:r w:rsidR="00B367EA" w:rsidRPr="00B9099F">
        <w:t xml:space="preserve"> received a 12</w:t>
      </w:r>
      <w:r w:rsidR="00022767">
        <w:t xml:space="preserve"> </w:t>
      </w:r>
      <w:r w:rsidR="00B367EA" w:rsidRPr="00B9099F">
        <w:t>mg scaled equivalent dose based on CSF volume scaling on study days 1, 15, 29, 64, 183 and 302.</w:t>
      </w:r>
      <w:r w:rsidRPr="00B9099F">
        <w:t xml:space="preserve"> The median age of onset of clinical signs and symptoms of SMA was 6.5 weeks (range 2</w:t>
      </w:r>
      <w:r w:rsidRPr="00B9099F">
        <w:noBreakHyphen/>
        <w:t>18) and 8 weeks (range 1</w:t>
      </w:r>
      <w:r w:rsidRPr="00B9099F">
        <w:noBreakHyphen/>
        <w:t xml:space="preserve">20) for </w:t>
      </w:r>
      <w:r w:rsidR="00E13651" w:rsidRPr="00B9099F">
        <w:t>SPINRAZA</w:t>
      </w:r>
      <w:r w:rsidRPr="00B9099F">
        <w:t>-treated versus sham</w:t>
      </w:r>
      <w:r w:rsidRPr="00B9099F">
        <w:noBreakHyphen/>
        <w:t xml:space="preserve">control patients </w:t>
      </w:r>
      <w:r w:rsidRPr="00B9099F">
        <w:lastRenderedPageBreak/>
        <w:t xml:space="preserve">respectively, with </w:t>
      </w:r>
      <w:r w:rsidR="00BC5488" w:rsidRPr="00B9099F">
        <w:t>99</w:t>
      </w:r>
      <w:r w:rsidRPr="00B9099F">
        <w:t xml:space="preserve">% of patients having 2 copies of the SMN2 </w:t>
      </w:r>
      <w:proofErr w:type="gramStart"/>
      <w:r w:rsidRPr="00B9099F">
        <w:t>gene.</w:t>
      </w:r>
      <w:proofErr w:type="gramEnd"/>
      <w:r w:rsidRPr="00B9099F">
        <w:t xml:space="preserve"> Patients in this study were deemed most likely to develop </w:t>
      </w:r>
      <w:r w:rsidR="00A756C8" w:rsidRPr="00B9099F">
        <w:t>T</w:t>
      </w:r>
      <w:r w:rsidRPr="00B9099F">
        <w:t xml:space="preserve">ype I SMA. </w:t>
      </w:r>
      <w:r w:rsidR="00BC5488" w:rsidRPr="00B9099F">
        <w:t xml:space="preserve"> At baseline, the mean total motor milestone score was 1.37 (range 0-6), the median CHOP INTEND score was 28 (range 8-50.5), and the median CMAP amplitudes were 0.20 (range 0.00-0.87) and 0.30 (range 0.00-1.50) for the ulnar nerve and peroneal nerves, respectively. </w:t>
      </w:r>
      <w:r w:rsidRPr="00B9099F">
        <w:t>The median age when patients received their first dose was 164.5 days (range 52</w:t>
      </w:r>
      <w:r w:rsidRPr="00B9099F">
        <w:noBreakHyphen/>
        <w:t>242) for treated patients, and 205 days (range 30</w:t>
      </w:r>
      <w:r w:rsidRPr="00B9099F">
        <w:noBreakHyphen/>
        <w:t>262) for sham</w:t>
      </w:r>
      <w:r w:rsidR="0029669F" w:rsidRPr="00B9099F">
        <w:t>-control</w:t>
      </w:r>
      <w:r w:rsidRPr="00B9099F">
        <w:t>.</w:t>
      </w:r>
    </w:p>
    <w:p w14:paraId="75F04D38" w14:textId="77777777" w:rsidR="00BE2B02" w:rsidRPr="00B9099F" w:rsidRDefault="00BE2B02" w:rsidP="00487F87"/>
    <w:p w14:paraId="2236007B" w14:textId="77777777" w:rsidR="00BC5488" w:rsidRPr="00B9099F" w:rsidRDefault="00BC5488" w:rsidP="00BC5488">
      <w:r w:rsidRPr="00B9099F">
        <w:t xml:space="preserve">Baseline disease characteristics were largely similar in the </w:t>
      </w:r>
      <w:r w:rsidR="002C4C67" w:rsidRPr="00B9099F">
        <w:t>SPINRAZA</w:t>
      </w:r>
      <w:r w:rsidRPr="00B9099F">
        <w:t xml:space="preserve"> treated patients and sham-control patients except that </w:t>
      </w:r>
      <w:r w:rsidR="002C4C67" w:rsidRPr="00B9099F">
        <w:t>SPINRAZA</w:t>
      </w:r>
      <w:r w:rsidRPr="00B9099F">
        <w:t xml:space="preserve"> treated patients at baseline had a higher percentage compared to sham-control patients of paradoxical breathing (89% vs 66%), pneumonia or respiratory symptoms (35% vs 22%), swallowing or feeding difficulties (51% vs 29%) and requirement for respiratory support (26% vs 15%).</w:t>
      </w:r>
    </w:p>
    <w:p w14:paraId="0CBD28D5" w14:textId="77777777" w:rsidR="00474CBB" w:rsidRPr="00B9099F" w:rsidRDefault="00474CBB" w:rsidP="00474CBB"/>
    <w:p w14:paraId="4FD4250E" w14:textId="54F29239" w:rsidR="00776A5D" w:rsidRPr="00B9099F" w:rsidRDefault="00776A5D" w:rsidP="00776A5D">
      <w:r w:rsidRPr="00B9099F">
        <w:t>A planned interim analysis was conducted based on patients with the opportunity to reach a 6 month evaluation. The primary endpoint assessed at the interim analysis was the proportion of responders: patients achieving a pre-defined level of improvement in motor milestones</w:t>
      </w:r>
      <w:r w:rsidR="007379B5">
        <w:t xml:space="preserve"> (HINE Section 2</w:t>
      </w:r>
      <w:proofErr w:type="gramStart"/>
      <w:r w:rsidR="007379B5">
        <w:t>)</w:t>
      </w:r>
      <w:r w:rsidRPr="00B9099F">
        <w:t xml:space="preserve"> </w:t>
      </w:r>
      <w:r w:rsidRPr="00B9099F">
        <w:rPr>
          <w:rFonts w:cs="Calibri"/>
        </w:rPr>
        <w:t>.</w:t>
      </w:r>
      <w:proofErr w:type="gramEnd"/>
      <w:r w:rsidR="00466D2F">
        <w:rPr>
          <w:rFonts w:cs="Calibri"/>
        </w:rPr>
        <w:t xml:space="preserve"> </w:t>
      </w:r>
      <w:r w:rsidR="007E4C34">
        <w:t xml:space="preserve"> </w:t>
      </w:r>
      <w:r w:rsidR="00000EE2" w:rsidDel="00000EE2">
        <w:t xml:space="preserve"> </w:t>
      </w:r>
    </w:p>
    <w:p w14:paraId="189E7456" w14:textId="77777777" w:rsidR="00776A5D" w:rsidRPr="00B9099F" w:rsidRDefault="00776A5D" w:rsidP="00AE2317"/>
    <w:p w14:paraId="1F069103" w14:textId="0EA4A3CE" w:rsidR="00776A5D" w:rsidRPr="00B9099F" w:rsidRDefault="00776A5D" w:rsidP="00776A5D">
      <w:r w:rsidRPr="00B9099F">
        <w:rPr>
          <w:rFonts w:cs="Calibri"/>
        </w:rPr>
        <w:t xml:space="preserve">At the final analysis, </w:t>
      </w:r>
      <w:r w:rsidRPr="00B9099F">
        <w:t>time to death or permanent ventilation (≥ 16 hours ventilation/day continuously for &gt; 21 days in the absence of an acute reversible event or tracheostomy) was assessed as the primary endpoint. Statistically significant effects on event-free survival, overall survival, the proportion of patients achieving the definition of a motor milestone responder, and the percentage of patients with at least a 4</w:t>
      </w:r>
      <w:r w:rsidR="00AC6B5B">
        <w:t>-</w:t>
      </w:r>
      <w:r w:rsidRPr="00B9099F">
        <w:t xml:space="preserve">point improvement from baseline in CHOP-INTEND score were observed in patients in the </w:t>
      </w:r>
      <w:r w:rsidR="002C4C67" w:rsidRPr="00B9099F">
        <w:t>SPINRAZA</w:t>
      </w:r>
      <w:r w:rsidRPr="00B9099F">
        <w:t xml:space="preserve"> group compared to those in</w:t>
      </w:r>
      <w:r w:rsidR="00D65835" w:rsidRPr="00B9099F">
        <w:t xml:space="preserve"> the sham-control group (Table 1</w:t>
      </w:r>
      <w:r w:rsidR="002963C4">
        <w:t>, Figures 1 and 2</w:t>
      </w:r>
      <w:r w:rsidRPr="00B9099F">
        <w:t>).</w:t>
      </w:r>
    </w:p>
    <w:p w14:paraId="555CBC37" w14:textId="77777777" w:rsidR="00776A5D" w:rsidRPr="00B9099F" w:rsidRDefault="00776A5D" w:rsidP="00776A5D"/>
    <w:p w14:paraId="61AD7102" w14:textId="722BC93D" w:rsidR="00776A5D" w:rsidRPr="00B9099F" w:rsidRDefault="00776A5D" w:rsidP="00776A5D">
      <w:pPr>
        <w:rPr>
          <w:iCs/>
        </w:rPr>
      </w:pPr>
      <w:r w:rsidRPr="00B9099F">
        <w:t xml:space="preserve">In the efficacy set, 18 (25%) patients in the </w:t>
      </w:r>
      <w:r w:rsidR="002C4C67" w:rsidRPr="00B9099F">
        <w:t>SPINRAZA</w:t>
      </w:r>
      <w:r w:rsidRPr="00B9099F">
        <w:t xml:space="preserve"> group and 12 (32%) patients in the sham-control group required permanent ventilation. Of these patients,</w:t>
      </w:r>
      <w:r w:rsidRPr="00B9099F">
        <w:rPr>
          <w:iCs/>
        </w:rPr>
        <w:t xml:space="preserve"> 6 (33%) in the </w:t>
      </w:r>
      <w:r w:rsidR="002C4C67" w:rsidRPr="00B9099F">
        <w:rPr>
          <w:iCs/>
        </w:rPr>
        <w:t>SPINRAZA</w:t>
      </w:r>
      <w:r w:rsidRPr="00B9099F">
        <w:rPr>
          <w:iCs/>
        </w:rPr>
        <w:t xml:space="preserve"> group and 0 (0%) in the sham-control group met the protocol-defined criteria for a motor-milestone responder.</w:t>
      </w:r>
      <w:r w:rsidRPr="00B9099F">
        <w:rPr>
          <w:i/>
          <w:iCs/>
        </w:rPr>
        <w:t xml:space="preserve"> </w:t>
      </w:r>
    </w:p>
    <w:p w14:paraId="55D535AA" w14:textId="77777777" w:rsidR="00950134" w:rsidRPr="00B9099F" w:rsidRDefault="00950134" w:rsidP="00776A5D">
      <w:pPr>
        <w:rPr>
          <w:iCs/>
        </w:rPr>
      </w:pPr>
    </w:p>
    <w:p w14:paraId="7F2EABA8" w14:textId="77777777" w:rsidR="00776A5D" w:rsidRPr="00B9099F" w:rsidRDefault="009970CE" w:rsidP="00602461">
      <w:pPr>
        <w:pStyle w:val="Heading3"/>
      </w:pPr>
      <w:r w:rsidRPr="00B9099F">
        <w:br w:type="page"/>
      </w:r>
      <w:r w:rsidR="00776A5D" w:rsidRPr="00B9099F">
        <w:lastRenderedPageBreak/>
        <w:t>Table</w:t>
      </w:r>
      <w:r w:rsidR="00D65835" w:rsidRPr="00B9099F">
        <w:t> 1</w:t>
      </w:r>
      <w:r w:rsidR="00776A5D" w:rsidRPr="00B9099F">
        <w:t>: Primary and secondary endpo</w:t>
      </w:r>
      <w:r w:rsidR="000B17ED" w:rsidRPr="00B9099F">
        <w:t>ints at final analysis – Study CS3B</w:t>
      </w:r>
    </w:p>
    <w:tbl>
      <w:tblPr>
        <w:tblStyle w:val="TableGrid"/>
        <w:tblW w:w="0" w:type="auto"/>
        <w:tblLook w:val="04A0" w:firstRow="1" w:lastRow="0" w:firstColumn="1" w:lastColumn="0" w:noHBand="0" w:noVBand="1"/>
      </w:tblPr>
      <w:tblGrid>
        <w:gridCol w:w="3558"/>
        <w:gridCol w:w="2767"/>
        <w:gridCol w:w="2692"/>
      </w:tblGrid>
      <w:tr w:rsidR="00776A5D" w:rsidRPr="00B9099F" w14:paraId="707B38B7" w14:textId="77777777" w:rsidTr="00F85BF8">
        <w:tc>
          <w:tcPr>
            <w:tcW w:w="3558" w:type="dxa"/>
          </w:tcPr>
          <w:p w14:paraId="3C7C4B2F" w14:textId="77777777" w:rsidR="00776A5D" w:rsidRPr="00B9099F" w:rsidRDefault="00776A5D" w:rsidP="006A233D">
            <w:pPr>
              <w:rPr>
                <w:b/>
                <w:sz w:val="22"/>
              </w:rPr>
            </w:pPr>
            <w:r w:rsidRPr="00B9099F">
              <w:rPr>
                <w:b/>
                <w:sz w:val="22"/>
              </w:rPr>
              <w:t>Efficacy Parameter</w:t>
            </w:r>
          </w:p>
        </w:tc>
        <w:tc>
          <w:tcPr>
            <w:tcW w:w="2767" w:type="dxa"/>
          </w:tcPr>
          <w:p w14:paraId="075D2D5C" w14:textId="77777777" w:rsidR="00776A5D" w:rsidRPr="00B9099F" w:rsidRDefault="002C4C67" w:rsidP="006A233D">
            <w:pPr>
              <w:jc w:val="center"/>
              <w:rPr>
                <w:b/>
                <w:sz w:val="22"/>
              </w:rPr>
            </w:pPr>
            <w:r w:rsidRPr="00B9099F">
              <w:rPr>
                <w:b/>
                <w:sz w:val="22"/>
              </w:rPr>
              <w:t>SPINRAZA</w:t>
            </w:r>
            <w:r w:rsidR="00776A5D" w:rsidRPr="00B9099F">
              <w:rPr>
                <w:b/>
                <w:sz w:val="22"/>
              </w:rPr>
              <w:t>-treated Patients</w:t>
            </w:r>
          </w:p>
        </w:tc>
        <w:tc>
          <w:tcPr>
            <w:tcW w:w="2692" w:type="dxa"/>
          </w:tcPr>
          <w:p w14:paraId="1CA1C963" w14:textId="77777777" w:rsidR="00776A5D" w:rsidRPr="00B9099F" w:rsidRDefault="00776A5D" w:rsidP="006A233D">
            <w:pPr>
              <w:jc w:val="center"/>
              <w:rPr>
                <w:b/>
                <w:sz w:val="22"/>
              </w:rPr>
            </w:pPr>
            <w:r w:rsidRPr="00B9099F">
              <w:rPr>
                <w:b/>
                <w:sz w:val="22"/>
              </w:rPr>
              <w:t>Sham</w:t>
            </w:r>
            <w:r w:rsidRPr="00B9099F">
              <w:rPr>
                <w:b/>
                <w:sz w:val="22"/>
              </w:rPr>
              <w:noBreakHyphen/>
              <w:t>control Patients</w:t>
            </w:r>
          </w:p>
          <w:p w14:paraId="05B79FD4" w14:textId="77777777" w:rsidR="00776A5D" w:rsidRPr="00B9099F" w:rsidRDefault="00776A5D" w:rsidP="006A233D">
            <w:pPr>
              <w:rPr>
                <w:b/>
                <w:sz w:val="22"/>
              </w:rPr>
            </w:pPr>
          </w:p>
        </w:tc>
      </w:tr>
      <w:tr w:rsidR="00776A5D" w:rsidRPr="00B9099F" w14:paraId="0A56FAED" w14:textId="77777777" w:rsidTr="00F85BF8">
        <w:tc>
          <w:tcPr>
            <w:tcW w:w="9017" w:type="dxa"/>
            <w:gridSpan w:val="3"/>
          </w:tcPr>
          <w:p w14:paraId="423BC73B" w14:textId="77777777" w:rsidR="00776A5D" w:rsidRPr="00B9099F" w:rsidRDefault="00776A5D" w:rsidP="006A233D">
            <w:pPr>
              <w:rPr>
                <w:b/>
                <w:sz w:val="22"/>
              </w:rPr>
            </w:pPr>
            <w:r w:rsidRPr="00B9099F">
              <w:rPr>
                <w:b/>
                <w:sz w:val="22"/>
              </w:rPr>
              <w:t>Survival</w:t>
            </w:r>
          </w:p>
        </w:tc>
      </w:tr>
      <w:tr w:rsidR="00776A5D" w:rsidRPr="00B9099F" w14:paraId="75412F0B" w14:textId="77777777" w:rsidTr="00F85BF8">
        <w:tc>
          <w:tcPr>
            <w:tcW w:w="3558" w:type="dxa"/>
            <w:vMerge w:val="restart"/>
          </w:tcPr>
          <w:p w14:paraId="45E51D6E" w14:textId="278C05D5" w:rsidR="00776A5D" w:rsidRPr="00B9099F" w:rsidRDefault="00776A5D" w:rsidP="006A233D">
            <w:pPr>
              <w:rPr>
                <w:b/>
                <w:sz w:val="22"/>
              </w:rPr>
            </w:pPr>
            <w:r w:rsidRPr="00B9099F">
              <w:rPr>
                <w:b/>
                <w:sz w:val="22"/>
              </w:rPr>
              <w:t>Event-free survival</w:t>
            </w:r>
            <w:r w:rsidR="00F70732">
              <w:rPr>
                <w:b/>
                <w:sz w:val="22"/>
                <w:vertAlign w:val="superscript"/>
              </w:rPr>
              <w:t>2</w:t>
            </w:r>
            <w:r w:rsidR="00D857DD">
              <w:rPr>
                <w:b/>
                <w:sz w:val="22"/>
                <w:vertAlign w:val="superscript"/>
              </w:rPr>
              <w:t>,</w:t>
            </w:r>
            <w:r w:rsidR="00F85BF8">
              <w:rPr>
                <w:b/>
                <w:sz w:val="22"/>
                <w:vertAlign w:val="superscript"/>
              </w:rPr>
              <w:t>3</w:t>
            </w:r>
          </w:p>
          <w:p w14:paraId="01A6DBCF" w14:textId="77777777" w:rsidR="00776A5D" w:rsidRPr="00B9099F" w:rsidRDefault="00776A5D" w:rsidP="006A233D">
            <w:pPr>
              <w:rPr>
                <w:b/>
                <w:sz w:val="22"/>
              </w:rPr>
            </w:pPr>
          </w:p>
          <w:p w14:paraId="794B3550" w14:textId="77777777" w:rsidR="00776A5D" w:rsidRPr="00B9099F" w:rsidRDefault="00776A5D" w:rsidP="006A233D">
            <w:pPr>
              <w:rPr>
                <w:sz w:val="22"/>
              </w:rPr>
            </w:pPr>
            <w:r w:rsidRPr="00B9099F">
              <w:rPr>
                <w:sz w:val="22"/>
              </w:rPr>
              <w:t>Number of patients who died or received permanent ventilation</w:t>
            </w:r>
          </w:p>
          <w:p w14:paraId="55494934" w14:textId="77777777" w:rsidR="00776A5D" w:rsidRPr="00B9099F" w:rsidRDefault="00776A5D" w:rsidP="006A233D">
            <w:pPr>
              <w:rPr>
                <w:sz w:val="22"/>
              </w:rPr>
            </w:pPr>
          </w:p>
          <w:p w14:paraId="778A411B" w14:textId="77777777" w:rsidR="00776A5D" w:rsidRPr="00B9099F" w:rsidRDefault="00776A5D" w:rsidP="006A233D">
            <w:pPr>
              <w:rPr>
                <w:sz w:val="22"/>
              </w:rPr>
            </w:pPr>
            <w:r w:rsidRPr="00B9099F">
              <w:rPr>
                <w:sz w:val="22"/>
              </w:rPr>
              <w:t>Hazard ratio (95% CI)</w:t>
            </w:r>
          </w:p>
          <w:p w14:paraId="0DF09442" w14:textId="77777777" w:rsidR="00776A5D" w:rsidRPr="00B9099F" w:rsidRDefault="00776A5D" w:rsidP="006A233D">
            <w:pPr>
              <w:rPr>
                <w:sz w:val="22"/>
              </w:rPr>
            </w:pPr>
          </w:p>
          <w:p w14:paraId="61746DBC" w14:textId="41C87639" w:rsidR="00776A5D" w:rsidRPr="00B9099F" w:rsidRDefault="00776A5D" w:rsidP="006A233D">
            <w:pPr>
              <w:rPr>
                <w:sz w:val="22"/>
              </w:rPr>
            </w:pPr>
            <w:r w:rsidRPr="00B9099F">
              <w:rPr>
                <w:sz w:val="22"/>
              </w:rPr>
              <w:t>p-value</w:t>
            </w:r>
            <w:r w:rsidR="00F85BF8">
              <w:rPr>
                <w:sz w:val="22"/>
                <w:vertAlign w:val="superscript"/>
              </w:rPr>
              <w:t>4</w:t>
            </w:r>
          </w:p>
        </w:tc>
        <w:tc>
          <w:tcPr>
            <w:tcW w:w="2767" w:type="dxa"/>
          </w:tcPr>
          <w:p w14:paraId="4AA2A342" w14:textId="77777777" w:rsidR="00776A5D" w:rsidRPr="00B9099F" w:rsidRDefault="00776A5D" w:rsidP="006A233D">
            <w:pPr>
              <w:jc w:val="center"/>
              <w:rPr>
                <w:sz w:val="22"/>
              </w:rPr>
            </w:pPr>
          </w:p>
          <w:p w14:paraId="5C5DEC46" w14:textId="77777777" w:rsidR="00776A5D" w:rsidRPr="002963C4" w:rsidRDefault="00776A5D" w:rsidP="006A233D">
            <w:pPr>
              <w:jc w:val="center"/>
              <w:rPr>
                <w:sz w:val="22"/>
              </w:rPr>
            </w:pPr>
          </w:p>
          <w:p w14:paraId="1A3E1658" w14:textId="77777777" w:rsidR="00776A5D" w:rsidRPr="00381933" w:rsidRDefault="00776A5D" w:rsidP="006A233D">
            <w:pPr>
              <w:jc w:val="center"/>
              <w:rPr>
                <w:sz w:val="22"/>
              </w:rPr>
            </w:pPr>
            <w:r w:rsidRPr="00381933">
              <w:rPr>
                <w:sz w:val="22"/>
              </w:rPr>
              <w:t>31 (39%)</w:t>
            </w:r>
          </w:p>
          <w:p w14:paraId="5AEBEA6F" w14:textId="77777777" w:rsidR="00776A5D" w:rsidRPr="00381933" w:rsidRDefault="00776A5D" w:rsidP="006A233D">
            <w:pPr>
              <w:jc w:val="center"/>
              <w:rPr>
                <w:sz w:val="22"/>
              </w:rPr>
            </w:pPr>
          </w:p>
        </w:tc>
        <w:tc>
          <w:tcPr>
            <w:tcW w:w="2692" w:type="dxa"/>
          </w:tcPr>
          <w:p w14:paraId="278D9492" w14:textId="77777777" w:rsidR="00776A5D" w:rsidRPr="008908E5" w:rsidRDefault="00776A5D" w:rsidP="006A233D">
            <w:pPr>
              <w:jc w:val="center"/>
              <w:rPr>
                <w:sz w:val="22"/>
              </w:rPr>
            </w:pPr>
          </w:p>
          <w:p w14:paraId="7D895C42" w14:textId="77777777" w:rsidR="00776A5D" w:rsidRPr="00D857DD" w:rsidRDefault="00776A5D" w:rsidP="006A233D">
            <w:pPr>
              <w:jc w:val="center"/>
              <w:rPr>
                <w:sz w:val="22"/>
              </w:rPr>
            </w:pPr>
          </w:p>
          <w:p w14:paraId="19A54B29" w14:textId="77777777" w:rsidR="00776A5D" w:rsidRPr="00D857DD" w:rsidRDefault="00776A5D" w:rsidP="006A233D">
            <w:pPr>
              <w:jc w:val="center"/>
              <w:rPr>
                <w:sz w:val="22"/>
              </w:rPr>
            </w:pPr>
            <w:r w:rsidRPr="00D857DD">
              <w:rPr>
                <w:sz w:val="22"/>
              </w:rPr>
              <w:t>28 (68%)</w:t>
            </w:r>
          </w:p>
        </w:tc>
      </w:tr>
      <w:tr w:rsidR="00776A5D" w:rsidRPr="00B9099F" w14:paraId="55656011" w14:textId="77777777" w:rsidTr="00F85BF8">
        <w:tc>
          <w:tcPr>
            <w:tcW w:w="3558" w:type="dxa"/>
            <w:vMerge/>
          </w:tcPr>
          <w:p w14:paraId="60B6C051" w14:textId="77777777" w:rsidR="00776A5D" w:rsidRPr="00B9099F" w:rsidRDefault="00776A5D" w:rsidP="006A233D">
            <w:pPr>
              <w:rPr>
                <w:b/>
                <w:sz w:val="22"/>
              </w:rPr>
            </w:pPr>
          </w:p>
        </w:tc>
        <w:tc>
          <w:tcPr>
            <w:tcW w:w="5459" w:type="dxa"/>
            <w:gridSpan w:val="2"/>
          </w:tcPr>
          <w:p w14:paraId="5DFCBF10" w14:textId="77777777" w:rsidR="00776A5D" w:rsidRPr="00B9099F" w:rsidRDefault="00776A5D" w:rsidP="006A233D">
            <w:pPr>
              <w:jc w:val="center"/>
              <w:rPr>
                <w:sz w:val="22"/>
              </w:rPr>
            </w:pPr>
          </w:p>
          <w:p w14:paraId="443AA845" w14:textId="77777777" w:rsidR="00776A5D" w:rsidRPr="00B9099F" w:rsidRDefault="00776A5D" w:rsidP="006A233D">
            <w:pPr>
              <w:jc w:val="center"/>
              <w:rPr>
                <w:sz w:val="22"/>
              </w:rPr>
            </w:pPr>
            <w:r w:rsidRPr="00B9099F">
              <w:rPr>
                <w:sz w:val="22"/>
              </w:rPr>
              <w:t>0.53 (0.32 -0.89)</w:t>
            </w:r>
          </w:p>
          <w:p w14:paraId="195648A5" w14:textId="77777777" w:rsidR="00776A5D" w:rsidRPr="002963C4" w:rsidRDefault="00776A5D" w:rsidP="006A233D">
            <w:pPr>
              <w:jc w:val="center"/>
              <w:rPr>
                <w:sz w:val="22"/>
              </w:rPr>
            </w:pPr>
          </w:p>
          <w:p w14:paraId="1E2D92CC" w14:textId="77777777" w:rsidR="00776A5D" w:rsidRPr="00B9099F" w:rsidRDefault="00776A5D" w:rsidP="006A233D">
            <w:pPr>
              <w:jc w:val="center"/>
              <w:rPr>
                <w:sz w:val="22"/>
              </w:rPr>
            </w:pPr>
            <w:r w:rsidRPr="00381933">
              <w:rPr>
                <w:sz w:val="22"/>
              </w:rPr>
              <w:t>p = 0.0046</w:t>
            </w:r>
          </w:p>
        </w:tc>
      </w:tr>
      <w:tr w:rsidR="00776A5D" w:rsidRPr="00B9099F" w14:paraId="24EC895D" w14:textId="77777777" w:rsidTr="00F85BF8">
        <w:tc>
          <w:tcPr>
            <w:tcW w:w="3558" w:type="dxa"/>
            <w:vMerge w:val="restart"/>
          </w:tcPr>
          <w:p w14:paraId="2D2362B7" w14:textId="426C4B3D" w:rsidR="00776A5D" w:rsidRPr="00B9099F" w:rsidRDefault="00776A5D" w:rsidP="006A233D">
            <w:pPr>
              <w:rPr>
                <w:b/>
                <w:sz w:val="22"/>
              </w:rPr>
            </w:pPr>
            <w:r w:rsidRPr="00B9099F">
              <w:rPr>
                <w:b/>
                <w:sz w:val="22"/>
              </w:rPr>
              <w:t>Overall survival</w:t>
            </w:r>
            <w:r w:rsidR="00F70732">
              <w:rPr>
                <w:b/>
                <w:sz w:val="22"/>
                <w:vertAlign w:val="superscript"/>
              </w:rPr>
              <w:t>2</w:t>
            </w:r>
          </w:p>
          <w:p w14:paraId="418EC798" w14:textId="77777777" w:rsidR="00776A5D" w:rsidRPr="00B9099F" w:rsidRDefault="00776A5D" w:rsidP="006A233D">
            <w:pPr>
              <w:rPr>
                <w:b/>
                <w:sz w:val="22"/>
              </w:rPr>
            </w:pPr>
          </w:p>
          <w:p w14:paraId="1D8BE624" w14:textId="77777777" w:rsidR="00776A5D" w:rsidRPr="00B9099F" w:rsidRDefault="00776A5D" w:rsidP="006A233D">
            <w:pPr>
              <w:rPr>
                <w:sz w:val="22"/>
              </w:rPr>
            </w:pPr>
            <w:r w:rsidRPr="00B9099F">
              <w:rPr>
                <w:sz w:val="22"/>
              </w:rPr>
              <w:t xml:space="preserve">Number of </w:t>
            </w:r>
            <w:r w:rsidRPr="00B9099F">
              <w:t xml:space="preserve">patients </w:t>
            </w:r>
            <w:r w:rsidRPr="00B9099F">
              <w:rPr>
                <w:sz w:val="22"/>
              </w:rPr>
              <w:t>who died</w:t>
            </w:r>
          </w:p>
          <w:p w14:paraId="1B08B757" w14:textId="77777777" w:rsidR="00776A5D" w:rsidRPr="00B9099F" w:rsidRDefault="00776A5D" w:rsidP="006A233D">
            <w:pPr>
              <w:rPr>
                <w:sz w:val="22"/>
              </w:rPr>
            </w:pPr>
          </w:p>
          <w:p w14:paraId="386E4A4A" w14:textId="77777777" w:rsidR="00776A5D" w:rsidRPr="00B9099F" w:rsidRDefault="00776A5D" w:rsidP="006A233D">
            <w:pPr>
              <w:rPr>
                <w:sz w:val="22"/>
              </w:rPr>
            </w:pPr>
            <w:r w:rsidRPr="00B9099F">
              <w:rPr>
                <w:sz w:val="22"/>
              </w:rPr>
              <w:t>Hazard Ratio (95% CI)</w:t>
            </w:r>
          </w:p>
          <w:p w14:paraId="7A24CFDF" w14:textId="77777777" w:rsidR="00776A5D" w:rsidRPr="00B9099F" w:rsidRDefault="00776A5D" w:rsidP="006A233D">
            <w:pPr>
              <w:rPr>
                <w:sz w:val="22"/>
              </w:rPr>
            </w:pPr>
          </w:p>
          <w:p w14:paraId="714799CA" w14:textId="4F8F3787" w:rsidR="00776A5D" w:rsidRPr="00B9099F" w:rsidRDefault="00776A5D" w:rsidP="006A233D">
            <w:pPr>
              <w:rPr>
                <w:sz w:val="22"/>
              </w:rPr>
            </w:pPr>
            <w:r w:rsidRPr="00B9099F">
              <w:rPr>
                <w:sz w:val="22"/>
              </w:rPr>
              <w:t>p-value</w:t>
            </w:r>
            <w:r w:rsidR="00F85BF8">
              <w:rPr>
                <w:sz w:val="22"/>
                <w:vertAlign w:val="superscript"/>
              </w:rPr>
              <w:t>4</w:t>
            </w:r>
          </w:p>
        </w:tc>
        <w:tc>
          <w:tcPr>
            <w:tcW w:w="2767" w:type="dxa"/>
          </w:tcPr>
          <w:p w14:paraId="62E3DD48" w14:textId="77777777" w:rsidR="00776A5D" w:rsidRPr="00B9099F" w:rsidRDefault="00776A5D" w:rsidP="006A233D">
            <w:pPr>
              <w:jc w:val="center"/>
              <w:rPr>
                <w:sz w:val="22"/>
              </w:rPr>
            </w:pPr>
          </w:p>
          <w:p w14:paraId="5AACF995" w14:textId="77777777" w:rsidR="00776A5D" w:rsidRPr="002963C4" w:rsidRDefault="00776A5D" w:rsidP="006A233D">
            <w:pPr>
              <w:jc w:val="center"/>
              <w:rPr>
                <w:sz w:val="22"/>
              </w:rPr>
            </w:pPr>
          </w:p>
          <w:p w14:paraId="38EFAE95" w14:textId="77777777" w:rsidR="00776A5D" w:rsidRPr="00381933" w:rsidRDefault="00776A5D" w:rsidP="006A233D">
            <w:pPr>
              <w:jc w:val="center"/>
              <w:rPr>
                <w:sz w:val="22"/>
              </w:rPr>
            </w:pPr>
            <w:r w:rsidRPr="00381933">
              <w:rPr>
                <w:sz w:val="22"/>
              </w:rPr>
              <w:t>13 (16%)</w:t>
            </w:r>
          </w:p>
        </w:tc>
        <w:tc>
          <w:tcPr>
            <w:tcW w:w="2692" w:type="dxa"/>
          </w:tcPr>
          <w:p w14:paraId="5E0961B8" w14:textId="77777777" w:rsidR="00776A5D" w:rsidRPr="00381933" w:rsidRDefault="00776A5D" w:rsidP="006A233D">
            <w:pPr>
              <w:jc w:val="center"/>
              <w:rPr>
                <w:sz w:val="22"/>
              </w:rPr>
            </w:pPr>
          </w:p>
          <w:p w14:paraId="28F6B6A6" w14:textId="77777777" w:rsidR="00776A5D" w:rsidRPr="008908E5" w:rsidRDefault="00776A5D" w:rsidP="006A233D">
            <w:pPr>
              <w:jc w:val="center"/>
              <w:rPr>
                <w:sz w:val="22"/>
              </w:rPr>
            </w:pPr>
          </w:p>
          <w:p w14:paraId="1BC9B9E0" w14:textId="77777777" w:rsidR="00776A5D" w:rsidRPr="00D857DD" w:rsidRDefault="00776A5D" w:rsidP="006A233D">
            <w:pPr>
              <w:jc w:val="center"/>
              <w:rPr>
                <w:sz w:val="22"/>
              </w:rPr>
            </w:pPr>
            <w:r w:rsidRPr="00D857DD">
              <w:rPr>
                <w:sz w:val="22"/>
              </w:rPr>
              <w:t>16 (39%)</w:t>
            </w:r>
          </w:p>
        </w:tc>
      </w:tr>
      <w:tr w:rsidR="00776A5D" w:rsidRPr="00B9099F" w14:paraId="75F56E81" w14:textId="77777777" w:rsidTr="00F85BF8">
        <w:tc>
          <w:tcPr>
            <w:tcW w:w="3558" w:type="dxa"/>
            <w:vMerge/>
          </w:tcPr>
          <w:p w14:paraId="215E7719" w14:textId="77777777" w:rsidR="00776A5D" w:rsidRPr="00B9099F" w:rsidRDefault="00776A5D" w:rsidP="006A233D">
            <w:pPr>
              <w:rPr>
                <w:b/>
                <w:sz w:val="22"/>
              </w:rPr>
            </w:pPr>
          </w:p>
        </w:tc>
        <w:tc>
          <w:tcPr>
            <w:tcW w:w="5459" w:type="dxa"/>
            <w:gridSpan w:val="2"/>
          </w:tcPr>
          <w:p w14:paraId="400BCA68" w14:textId="77777777" w:rsidR="00776A5D" w:rsidRPr="00B9099F" w:rsidRDefault="00776A5D" w:rsidP="006A233D">
            <w:pPr>
              <w:jc w:val="center"/>
              <w:rPr>
                <w:sz w:val="22"/>
              </w:rPr>
            </w:pPr>
          </w:p>
          <w:p w14:paraId="1F60C6D5" w14:textId="77777777" w:rsidR="00776A5D" w:rsidRPr="00B9099F" w:rsidRDefault="00776A5D" w:rsidP="006A233D">
            <w:pPr>
              <w:jc w:val="center"/>
              <w:rPr>
                <w:sz w:val="22"/>
              </w:rPr>
            </w:pPr>
            <w:r w:rsidRPr="00B9099F">
              <w:rPr>
                <w:sz w:val="22"/>
              </w:rPr>
              <w:t>0.37 (0.18 – 0.77)</w:t>
            </w:r>
          </w:p>
          <w:p w14:paraId="5EB8A50E" w14:textId="77777777" w:rsidR="00776A5D" w:rsidRPr="002963C4" w:rsidRDefault="00776A5D" w:rsidP="006A233D">
            <w:pPr>
              <w:jc w:val="center"/>
              <w:rPr>
                <w:sz w:val="22"/>
              </w:rPr>
            </w:pPr>
          </w:p>
          <w:p w14:paraId="6CA0F575" w14:textId="77777777" w:rsidR="00776A5D" w:rsidRPr="00B9099F" w:rsidRDefault="00776A5D" w:rsidP="006A233D">
            <w:pPr>
              <w:jc w:val="center"/>
              <w:rPr>
                <w:sz w:val="22"/>
              </w:rPr>
            </w:pPr>
            <w:r w:rsidRPr="00381933">
              <w:rPr>
                <w:sz w:val="22"/>
              </w:rPr>
              <w:t>p=0.0041</w:t>
            </w:r>
          </w:p>
        </w:tc>
      </w:tr>
      <w:tr w:rsidR="00776A5D" w:rsidRPr="00B9099F" w14:paraId="237B26C1" w14:textId="77777777" w:rsidTr="00F85BF8">
        <w:tc>
          <w:tcPr>
            <w:tcW w:w="9017" w:type="dxa"/>
            <w:gridSpan w:val="3"/>
          </w:tcPr>
          <w:p w14:paraId="639D455F" w14:textId="77777777" w:rsidR="00776A5D" w:rsidRPr="00B9099F" w:rsidRDefault="00776A5D" w:rsidP="006A233D">
            <w:pPr>
              <w:rPr>
                <w:b/>
                <w:sz w:val="22"/>
              </w:rPr>
            </w:pPr>
            <w:r w:rsidRPr="00B9099F">
              <w:rPr>
                <w:b/>
                <w:sz w:val="22"/>
              </w:rPr>
              <w:t>Motor function</w:t>
            </w:r>
          </w:p>
        </w:tc>
      </w:tr>
      <w:tr w:rsidR="00776A5D" w:rsidRPr="00B9099F" w14:paraId="37F1BAD0" w14:textId="77777777" w:rsidTr="00F85BF8">
        <w:tc>
          <w:tcPr>
            <w:tcW w:w="3558" w:type="dxa"/>
          </w:tcPr>
          <w:p w14:paraId="468A7A67" w14:textId="4452241D" w:rsidR="00776A5D" w:rsidRPr="00B9099F" w:rsidRDefault="00776A5D" w:rsidP="006A233D">
            <w:pPr>
              <w:rPr>
                <w:b/>
                <w:sz w:val="22"/>
              </w:rPr>
            </w:pPr>
            <w:r w:rsidRPr="00B9099F">
              <w:rPr>
                <w:b/>
                <w:sz w:val="22"/>
              </w:rPr>
              <w:t>Motor milestones</w:t>
            </w:r>
            <w:r w:rsidR="00F85BF8">
              <w:rPr>
                <w:b/>
                <w:sz w:val="22"/>
                <w:vertAlign w:val="superscript"/>
              </w:rPr>
              <w:t>5</w:t>
            </w:r>
          </w:p>
          <w:p w14:paraId="4986956A" w14:textId="77777777" w:rsidR="00776A5D" w:rsidRPr="00B9099F" w:rsidRDefault="00776A5D" w:rsidP="006A233D">
            <w:pPr>
              <w:rPr>
                <w:sz w:val="22"/>
              </w:rPr>
            </w:pPr>
          </w:p>
          <w:p w14:paraId="4B1ECEBC" w14:textId="21DE8DCD" w:rsidR="00776A5D" w:rsidRPr="00B9099F" w:rsidRDefault="00776A5D" w:rsidP="006A233D">
            <w:pPr>
              <w:rPr>
                <w:sz w:val="22"/>
              </w:rPr>
            </w:pPr>
            <w:r w:rsidRPr="00B9099F">
              <w:rPr>
                <w:sz w:val="22"/>
              </w:rPr>
              <w:t>Proportion achieving pre-defined motor milestone responder criteria  (HINE section 2)</w:t>
            </w:r>
            <w:r w:rsidR="00D857DD">
              <w:rPr>
                <w:sz w:val="22"/>
                <w:vertAlign w:val="superscript"/>
              </w:rPr>
              <w:t>6</w:t>
            </w:r>
            <w:r w:rsidR="00F85BF8">
              <w:rPr>
                <w:sz w:val="22"/>
                <w:vertAlign w:val="superscript"/>
              </w:rPr>
              <w:t>,7</w:t>
            </w:r>
          </w:p>
          <w:p w14:paraId="77EDEA38" w14:textId="71F2B1C2" w:rsidR="00776A5D" w:rsidRPr="00B9099F" w:rsidRDefault="00776A5D" w:rsidP="006A233D">
            <w:pPr>
              <w:ind w:left="720"/>
              <w:rPr>
                <w:sz w:val="22"/>
              </w:rPr>
            </w:pPr>
            <w:r w:rsidRPr="00B9099F">
              <w:rPr>
                <w:sz w:val="22"/>
              </w:rPr>
              <w:t>Proportion at Day 183</w:t>
            </w:r>
            <w:r w:rsidR="00F85BF8">
              <w:rPr>
                <w:sz w:val="22"/>
                <w:vertAlign w:val="superscript"/>
              </w:rPr>
              <w:t>8</w:t>
            </w:r>
          </w:p>
          <w:p w14:paraId="7D3F6412" w14:textId="069A59D7" w:rsidR="00776A5D" w:rsidRPr="00B9099F" w:rsidRDefault="00776A5D" w:rsidP="006A233D">
            <w:pPr>
              <w:ind w:left="720"/>
              <w:rPr>
                <w:sz w:val="22"/>
              </w:rPr>
            </w:pPr>
            <w:r w:rsidRPr="00B9099F">
              <w:rPr>
                <w:sz w:val="22"/>
              </w:rPr>
              <w:t>Proportion at Day 302</w:t>
            </w:r>
            <w:r w:rsidR="00F85BF8">
              <w:rPr>
                <w:sz w:val="22"/>
                <w:vertAlign w:val="superscript"/>
              </w:rPr>
              <w:t>8</w:t>
            </w:r>
          </w:p>
          <w:p w14:paraId="03EEFEF4" w14:textId="6A75320B" w:rsidR="00776A5D" w:rsidRPr="00B9099F" w:rsidRDefault="00776A5D" w:rsidP="006A233D">
            <w:pPr>
              <w:ind w:left="720"/>
              <w:rPr>
                <w:sz w:val="22"/>
              </w:rPr>
            </w:pPr>
            <w:r w:rsidRPr="00B9099F">
              <w:rPr>
                <w:sz w:val="22"/>
              </w:rPr>
              <w:t>Proportion at Day 394</w:t>
            </w:r>
            <w:r w:rsidR="00F85BF8">
              <w:rPr>
                <w:sz w:val="22"/>
                <w:vertAlign w:val="superscript"/>
              </w:rPr>
              <w:t>8</w:t>
            </w:r>
          </w:p>
          <w:p w14:paraId="02B78639" w14:textId="77777777" w:rsidR="00776A5D" w:rsidRPr="00B9099F" w:rsidRDefault="00776A5D" w:rsidP="006A233D">
            <w:pPr>
              <w:ind w:left="720"/>
              <w:rPr>
                <w:sz w:val="22"/>
              </w:rPr>
            </w:pPr>
          </w:p>
          <w:p w14:paraId="55A4F94B" w14:textId="77777777" w:rsidR="00776A5D" w:rsidRPr="00B9099F" w:rsidRDefault="00776A5D" w:rsidP="006A233D">
            <w:pPr>
              <w:rPr>
                <w:sz w:val="22"/>
              </w:rPr>
            </w:pPr>
            <w:r w:rsidRPr="00B9099F">
              <w:rPr>
                <w:sz w:val="22"/>
              </w:rPr>
              <w:t>Proportion with improvement in total motor milestone score</w:t>
            </w:r>
          </w:p>
          <w:p w14:paraId="34FCA21E" w14:textId="77777777" w:rsidR="00776A5D" w:rsidRPr="00B9099F" w:rsidRDefault="00776A5D" w:rsidP="006A233D">
            <w:pPr>
              <w:rPr>
                <w:sz w:val="22"/>
              </w:rPr>
            </w:pPr>
          </w:p>
          <w:p w14:paraId="5AE42AA5" w14:textId="77777777" w:rsidR="00776A5D" w:rsidRPr="00B9099F" w:rsidRDefault="00776A5D" w:rsidP="006A233D">
            <w:pPr>
              <w:rPr>
                <w:sz w:val="22"/>
              </w:rPr>
            </w:pPr>
            <w:r w:rsidRPr="00B9099F">
              <w:rPr>
                <w:sz w:val="22"/>
              </w:rPr>
              <w:t>Proportion with worsening in total motor milestone score</w:t>
            </w:r>
          </w:p>
        </w:tc>
        <w:tc>
          <w:tcPr>
            <w:tcW w:w="2767" w:type="dxa"/>
          </w:tcPr>
          <w:p w14:paraId="7E44DC4C" w14:textId="77777777" w:rsidR="00776A5D" w:rsidRPr="00B9099F" w:rsidRDefault="00776A5D" w:rsidP="006A233D">
            <w:pPr>
              <w:jc w:val="center"/>
              <w:rPr>
                <w:sz w:val="22"/>
              </w:rPr>
            </w:pPr>
          </w:p>
          <w:p w14:paraId="32C44014" w14:textId="77777777" w:rsidR="00776A5D" w:rsidRPr="002963C4" w:rsidRDefault="00776A5D" w:rsidP="006A233D">
            <w:pPr>
              <w:jc w:val="center"/>
              <w:rPr>
                <w:sz w:val="22"/>
              </w:rPr>
            </w:pPr>
          </w:p>
          <w:p w14:paraId="2DDB0B78" w14:textId="23475443" w:rsidR="00776A5D" w:rsidRPr="00381933" w:rsidRDefault="00776A5D" w:rsidP="006A233D">
            <w:pPr>
              <w:jc w:val="center"/>
              <w:rPr>
                <w:sz w:val="22"/>
              </w:rPr>
            </w:pPr>
            <w:r w:rsidRPr="00381933">
              <w:rPr>
                <w:sz w:val="22"/>
              </w:rPr>
              <w:t>37 (51%)</w:t>
            </w:r>
            <w:r w:rsidR="00F70732" w:rsidRPr="00F85BF8">
              <w:rPr>
                <w:sz w:val="22"/>
                <w:vertAlign w:val="superscript"/>
              </w:rPr>
              <w:t>1</w:t>
            </w:r>
          </w:p>
          <w:p w14:paraId="4753CA05" w14:textId="77777777" w:rsidR="00776A5D" w:rsidRPr="00381933" w:rsidRDefault="00776A5D" w:rsidP="006A233D">
            <w:pPr>
              <w:jc w:val="center"/>
              <w:rPr>
                <w:sz w:val="22"/>
              </w:rPr>
            </w:pPr>
            <w:r w:rsidRPr="00381933">
              <w:rPr>
                <w:sz w:val="22"/>
              </w:rPr>
              <w:t>P&lt;0.0001</w:t>
            </w:r>
          </w:p>
          <w:p w14:paraId="7479E9F8" w14:textId="77777777" w:rsidR="00776A5D" w:rsidRPr="008908E5" w:rsidRDefault="00776A5D" w:rsidP="006A233D">
            <w:pPr>
              <w:jc w:val="center"/>
              <w:rPr>
                <w:sz w:val="22"/>
              </w:rPr>
            </w:pPr>
          </w:p>
          <w:p w14:paraId="0411CC3A" w14:textId="77777777" w:rsidR="00776A5D" w:rsidRPr="00D857DD" w:rsidRDefault="00776A5D" w:rsidP="006A233D">
            <w:pPr>
              <w:jc w:val="center"/>
              <w:rPr>
                <w:sz w:val="22"/>
              </w:rPr>
            </w:pPr>
            <w:r w:rsidRPr="00D857DD">
              <w:rPr>
                <w:sz w:val="22"/>
              </w:rPr>
              <w:t>41%</w:t>
            </w:r>
          </w:p>
          <w:p w14:paraId="39D48DBC" w14:textId="77777777" w:rsidR="00776A5D" w:rsidRPr="00D857DD" w:rsidRDefault="00776A5D" w:rsidP="006A233D">
            <w:pPr>
              <w:jc w:val="center"/>
              <w:rPr>
                <w:sz w:val="22"/>
              </w:rPr>
            </w:pPr>
            <w:r w:rsidRPr="00D857DD">
              <w:rPr>
                <w:sz w:val="22"/>
              </w:rPr>
              <w:t>45%</w:t>
            </w:r>
          </w:p>
          <w:p w14:paraId="2A4E35C6" w14:textId="77777777" w:rsidR="00776A5D" w:rsidRPr="00AA1DF3" w:rsidRDefault="00776A5D" w:rsidP="006A233D">
            <w:pPr>
              <w:jc w:val="center"/>
              <w:rPr>
                <w:sz w:val="22"/>
              </w:rPr>
            </w:pPr>
            <w:r w:rsidRPr="00AA1DF3">
              <w:rPr>
                <w:sz w:val="22"/>
              </w:rPr>
              <w:t>54%</w:t>
            </w:r>
          </w:p>
          <w:p w14:paraId="1571A38E" w14:textId="77777777" w:rsidR="00776A5D" w:rsidRPr="00AA1DF3" w:rsidRDefault="00776A5D" w:rsidP="006A233D">
            <w:pPr>
              <w:jc w:val="center"/>
              <w:rPr>
                <w:sz w:val="22"/>
              </w:rPr>
            </w:pPr>
          </w:p>
          <w:p w14:paraId="439C4206" w14:textId="77777777" w:rsidR="00776A5D" w:rsidRPr="00AA1DF3" w:rsidRDefault="00776A5D" w:rsidP="006A233D">
            <w:pPr>
              <w:jc w:val="center"/>
              <w:rPr>
                <w:sz w:val="22"/>
              </w:rPr>
            </w:pPr>
            <w:r w:rsidRPr="00AA1DF3">
              <w:rPr>
                <w:sz w:val="22"/>
              </w:rPr>
              <w:t>49 (67%)</w:t>
            </w:r>
          </w:p>
          <w:p w14:paraId="5C9DA5F0" w14:textId="77777777" w:rsidR="00776A5D" w:rsidRPr="00AA1DF3" w:rsidRDefault="00776A5D" w:rsidP="006A233D">
            <w:pPr>
              <w:jc w:val="center"/>
              <w:rPr>
                <w:sz w:val="22"/>
              </w:rPr>
            </w:pPr>
          </w:p>
          <w:p w14:paraId="26F3C626" w14:textId="77777777" w:rsidR="00776A5D" w:rsidRPr="00AA1DF3" w:rsidRDefault="00776A5D" w:rsidP="006A233D">
            <w:pPr>
              <w:jc w:val="center"/>
              <w:rPr>
                <w:sz w:val="22"/>
              </w:rPr>
            </w:pPr>
          </w:p>
          <w:p w14:paraId="71057119" w14:textId="77777777" w:rsidR="00776A5D" w:rsidRPr="00AA1DF3" w:rsidRDefault="00776A5D" w:rsidP="006A233D">
            <w:pPr>
              <w:jc w:val="center"/>
              <w:rPr>
                <w:sz w:val="22"/>
              </w:rPr>
            </w:pPr>
            <w:r w:rsidRPr="00AA1DF3">
              <w:rPr>
                <w:sz w:val="22"/>
              </w:rPr>
              <w:t>1 (1%)</w:t>
            </w:r>
          </w:p>
        </w:tc>
        <w:tc>
          <w:tcPr>
            <w:tcW w:w="2692" w:type="dxa"/>
          </w:tcPr>
          <w:p w14:paraId="78D0CF5A" w14:textId="77777777" w:rsidR="00776A5D" w:rsidRPr="00CB1E7C" w:rsidRDefault="00776A5D" w:rsidP="006A233D">
            <w:pPr>
              <w:jc w:val="center"/>
              <w:rPr>
                <w:sz w:val="22"/>
              </w:rPr>
            </w:pPr>
          </w:p>
          <w:p w14:paraId="7DAFB8E3" w14:textId="77777777" w:rsidR="00776A5D" w:rsidRPr="00B9099F" w:rsidRDefault="00776A5D" w:rsidP="006A233D">
            <w:pPr>
              <w:jc w:val="center"/>
              <w:rPr>
                <w:sz w:val="22"/>
              </w:rPr>
            </w:pPr>
          </w:p>
          <w:p w14:paraId="5954CCC8" w14:textId="77777777" w:rsidR="00776A5D" w:rsidRPr="00B9099F" w:rsidRDefault="00776A5D" w:rsidP="006A233D">
            <w:pPr>
              <w:jc w:val="center"/>
              <w:rPr>
                <w:sz w:val="22"/>
              </w:rPr>
            </w:pPr>
            <w:r w:rsidRPr="00B9099F">
              <w:rPr>
                <w:sz w:val="22"/>
              </w:rPr>
              <w:t>0 (0%)</w:t>
            </w:r>
          </w:p>
          <w:p w14:paraId="2540F949" w14:textId="77777777" w:rsidR="00776A5D" w:rsidRPr="00B9099F" w:rsidRDefault="00776A5D" w:rsidP="006A233D">
            <w:pPr>
              <w:jc w:val="center"/>
              <w:rPr>
                <w:sz w:val="22"/>
              </w:rPr>
            </w:pPr>
          </w:p>
          <w:p w14:paraId="48A83D2F" w14:textId="77777777" w:rsidR="00776A5D" w:rsidRPr="00B9099F" w:rsidRDefault="00776A5D" w:rsidP="006A233D">
            <w:pPr>
              <w:jc w:val="center"/>
              <w:rPr>
                <w:sz w:val="22"/>
              </w:rPr>
            </w:pPr>
          </w:p>
          <w:p w14:paraId="794021D7" w14:textId="77777777" w:rsidR="00776A5D" w:rsidRPr="00B9099F" w:rsidRDefault="00776A5D" w:rsidP="006A233D">
            <w:pPr>
              <w:jc w:val="center"/>
              <w:rPr>
                <w:sz w:val="22"/>
              </w:rPr>
            </w:pPr>
            <w:r w:rsidRPr="00B9099F">
              <w:rPr>
                <w:sz w:val="22"/>
              </w:rPr>
              <w:t>5%</w:t>
            </w:r>
          </w:p>
          <w:p w14:paraId="2C5F3948" w14:textId="77777777" w:rsidR="00776A5D" w:rsidRPr="00B9099F" w:rsidRDefault="00776A5D" w:rsidP="006A233D">
            <w:pPr>
              <w:jc w:val="center"/>
              <w:rPr>
                <w:sz w:val="22"/>
              </w:rPr>
            </w:pPr>
            <w:r w:rsidRPr="00B9099F">
              <w:rPr>
                <w:sz w:val="22"/>
              </w:rPr>
              <w:t>0%</w:t>
            </w:r>
          </w:p>
          <w:p w14:paraId="5C254284" w14:textId="77777777" w:rsidR="00776A5D" w:rsidRPr="00B9099F" w:rsidRDefault="00776A5D" w:rsidP="006A233D">
            <w:pPr>
              <w:jc w:val="center"/>
              <w:rPr>
                <w:sz w:val="22"/>
              </w:rPr>
            </w:pPr>
            <w:r w:rsidRPr="00B9099F">
              <w:rPr>
                <w:sz w:val="22"/>
              </w:rPr>
              <w:t>0%</w:t>
            </w:r>
          </w:p>
          <w:p w14:paraId="1C75A71C" w14:textId="77777777" w:rsidR="00776A5D" w:rsidRPr="00B9099F" w:rsidRDefault="00776A5D" w:rsidP="006A233D">
            <w:pPr>
              <w:jc w:val="center"/>
              <w:rPr>
                <w:sz w:val="22"/>
              </w:rPr>
            </w:pPr>
          </w:p>
          <w:p w14:paraId="689898E3" w14:textId="77777777" w:rsidR="00776A5D" w:rsidRPr="00B9099F" w:rsidRDefault="00776A5D" w:rsidP="006A233D">
            <w:pPr>
              <w:jc w:val="center"/>
              <w:rPr>
                <w:sz w:val="22"/>
              </w:rPr>
            </w:pPr>
            <w:r w:rsidRPr="00B9099F">
              <w:rPr>
                <w:sz w:val="22"/>
              </w:rPr>
              <w:t>5 (14%)</w:t>
            </w:r>
          </w:p>
          <w:p w14:paraId="412E33C0" w14:textId="77777777" w:rsidR="00776A5D" w:rsidRPr="00B9099F" w:rsidRDefault="00776A5D" w:rsidP="006A233D">
            <w:pPr>
              <w:jc w:val="center"/>
              <w:rPr>
                <w:sz w:val="22"/>
              </w:rPr>
            </w:pPr>
          </w:p>
          <w:p w14:paraId="24842D2F" w14:textId="77777777" w:rsidR="00776A5D" w:rsidRPr="00B9099F" w:rsidRDefault="00776A5D" w:rsidP="006A233D">
            <w:pPr>
              <w:jc w:val="center"/>
              <w:rPr>
                <w:sz w:val="22"/>
              </w:rPr>
            </w:pPr>
          </w:p>
          <w:p w14:paraId="7DC63525" w14:textId="77777777" w:rsidR="00776A5D" w:rsidRPr="00B9099F" w:rsidRDefault="00776A5D" w:rsidP="006A233D">
            <w:pPr>
              <w:jc w:val="center"/>
              <w:rPr>
                <w:sz w:val="22"/>
              </w:rPr>
            </w:pPr>
            <w:r w:rsidRPr="00B9099F">
              <w:rPr>
                <w:sz w:val="22"/>
              </w:rPr>
              <w:t>8 (22%)</w:t>
            </w:r>
          </w:p>
        </w:tc>
      </w:tr>
      <w:tr w:rsidR="00776A5D" w:rsidRPr="00B9099F" w14:paraId="6646AC92" w14:textId="77777777" w:rsidTr="00F85BF8">
        <w:tc>
          <w:tcPr>
            <w:tcW w:w="3558" w:type="dxa"/>
          </w:tcPr>
          <w:p w14:paraId="4F988678" w14:textId="2D0DBEE4" w:rsidR="00776A5D" w:rsidRPr="00B9099F" w:rsidRDefault="00776A5D" w:rsidP="006A233D">
            <w:pPr>
              <w:rPr>
                <w:b/>
                <w:sz w:val="22"/>
              </w:rPr>
            </w:pPr>
            <w:r w:rsidRPr="00B9099F">
              <w:rPr>
                <w:b/>
                <w:sz w:val="22"/>
              </w:rPr>
              <w:t>CHOP-INTEND</w:t>
            </w:r>
            <w:r w:rsidR="00F85BF8">
              <w:rPr>
                <w:b/>
                <w:sz w:val="22"/>
                <w:vertAlign w:val="superscript"/>
              </w:rPr>
              <w:t>5</w:t>
            </w:r>
          </w:p>
          <w:p w14:paraId="296B7952" w14:textId="77777777" w:rsidR="00776A5D" w:rsidRPr="00B9099F" w:rsidRDefault="00776A5D" w:rsidP="006A233D">
            <w:pPr>
              <w:rPr>
                <w:b/>
                <w:sz w:val="22"/>
              </w:rPr>
            </w:pPr>
          </w:p>
          <w:p w14:paraId="1B19FC75" w14:textId="77777777" w:rsidR="00776A5D" w:rsidRPr="00B9099F" w:rsidRDefault="00776A5D" w:rsidP="006A233D">
            <w:pPr>
              <w:rPr>
                <w:sz w:val="22"/>
              </w:rPr>
            </w:pPr>
            <w:r w:rsidRPr="00B9099F">
              <w:rPr>
                <w:sz w:val="22"/>
              </w:rPr>
              <w:t>Proportion achieving a 4-point improvement</w:t>
            </w:r>
          </w:p>
          <w:p w14:paraId="4EF6DAC9" w14:textId="77777777" w:rsidR="00776A5D" w:rsidRPr="00B9099F" w:rsidRDefault="00776A5D" w:rsidP="006A233D">
            <w:pPr>
              <w:rPr>
                <w:sz w:val="22"/>
              </w:rPr>
            </w:pPr>
          </w:p>
          <w:p w14:paraId="6F343964" w14:textId="77777777" w:rsidR="00776A5D" w:rsidRPr="00B9099F" w:rsidRDefault="00776A5D" w:rsidP="006A233D">
            <w:pPr>
              <w:rPr>
                <w:sz w:val="22"/>
              </w:rPr>
            </w:pPr>
            <w:r w:rsidRPr="00B9099F">
              <w:rPr>
                <w:sz w:val="22"/>
              </w:rPr>
              <w:t>Proportion achieving a 4-point worsening</w:t>
            </w:r>
          </w:p>
          <w:p w14:paraId="418AB281" w14:textId="77777777" w:rsidR="00776A5D" w:rsidRPr="00B9099F" w:rsidRDefault="00776A5D" w:rsidP="006A233D">
            <w:pPr>
              <w:rPr>
                <w:sz w:val="22"/>
              </w:rPr>
            </w:pPr>
          </w:p>
          <w:p w14:paraId="00EEDE67" w14:textId="77777777" w:rsidR="00776A5D" w:rsidRPr="00B9099F" w:rsidRDefault="00776A5D" w:rsidP="006A233D">
            <w:pPr>
              <w:rPr>
                <w:sz w:val="22"/>
              </w:rPr>
            </w:pPr>
            <w:r w:rsidRPr="00B9099F">
              <w:rPr>
                <w:sz w:val="22"/>
              </w:rPr>
              <w:t xml:space="preserve">Proportion with any improvement </w:t>
            </w:r>
          </w:p>
          <w:p w14:paraId="66D6B93B" w14:textId="77777777" w:rsidR="00776A5D" w:rsidRPr="00B9099F" w:rsidRDefault="00776A5D" w:rsidP="006A233D">
            <w:pPr>
              <w:rPr>
                <w:sz w:val="22"/>
              </w:rPr>
            </w:pPr>
          </w:p>
          <w:p w14:paraId="568D05E4" w14:textId="77777777" w:rsidR="00776A5D" w:rsidRPr="00B9099F" w:rsidRDefault="00776A5D" w:rsidP="006A233D">
            <w:pPr>
              <w:rPr>
                <w:b/>
                <w:sz w:val="22"/>
              </w:rPr>
            </w:pPr>
            <w:r w:rsidRPr="00B9099F">
              <w:rPr>
                <w:sz w:val="22"/>
              </w:rPr>
              <w:t xml:space="preserve">Proportion with any worsening </w:t>
            </w:r>
          </w:p>
        </w:tc>
        <w:tc>
          <w:tcPr>
            <w:tcW w:w="2767" w:type="dxa"/>
          </w:tcPr>
          <w:p w14:paraId="7B27F1FD" w14:textId="77777777" w:rsidR="00776A5D" w:rsidRPr="00B9099F" w:rsidRDefault="00776A5D" w:rsidP="006A233D">
            <w:pPr>
              <w:jc w:val="center"/>
              <w:rPr>
                <w:sz w:val="22"/>
              </w:rPr>
            </w:pPr>
          </w:p>
          <w:p w14:paraId="467B61E8" w14:textId="77777777" w:rsidR="00776A5D" w:rsidRPr="002963C4" w:rsidRDefault="00776A5D" w:rsidP="006A233D">
            <w:pPr>
              <w:jc w:val="center"/>
              <w:rPr>
                <w:sz w:val="22"/>
              </w:rPr>
            </w:pPr>
          </w:p>
          <w:p w14:paraId="0667E9CF" w14:textId="77777777" w:rsidR="00776A5D" w:rsidRPr="00381933" w:rsidRDefault="00776A5D" w:rsidP="006A233D">
            <w:pPr>
              <w:jc w:val="center"/>
              <w:rPr>
                <w:sz w:val="22"/>
              </w:rPr>
            </w:pPr>
            <w:r w:rsidRPr="00381933">
              <w:rPr>
                <w:sz w:val="22"/>
              </w:rPr>
              <w:t>52 (71%)</w:t>
            </w:r>
          </w:p>
          <w:p w14:paraId="5B816C96" w14:textId="77777777" w:rsidR="00776A5D" w:rsidRPr="00381933" w:rsidRDefault="00776A5D" w:rsidP="006A233D">
            <w:pPr>
              <w:jc w:val="center"/>
              <w:rPr>
                <w:sz w:val="22"/>
              </w:rPr>
            </w:pPr>
            <w:r w:rsidRPr="00381933">
              <w:rPr>
                <w:sz w:val="22"/>
              </w:rPr>
              <w:t>P&lt;0.0001</w:t>
            </w:r>
          </w:p>
          <w:p w14:paraId="0F2F8DC9" w14:textId="77777777" w:rsidR="00776A5D" w:rsidRPr="008908E5" w:rsidRDefault="00776A5D" w:rsidP="006A233D">
            <w:pPr>
              <w:jc w:val="center"/>
              <w:rPr>
                <w:sz w:val="22"/>
              </w:rPr>
            </w:pPr>
          </w:p>
          <w:p w14:paraId="2E5F22F3" w14:textId="77777777" w:rsidR="00776A5D" w:rsidRPr="00D857DD" w:rsidRDefault="00776A5D" w:rsidP="006A233D">
            <w:pPr>
              <w:jc w:val="center"/>
              <w:rPr>
                <w:sz w:val="22"/>
              </w:rPr>
            </w:pPr>
            <w:r w:rsidRPr="00D857DD">
              <w:rPr>
                <w:sz w:val="22"/>
              </w:rPr>
              <w:t>2 (3%)</w:t>
            </w:r>
          </w:p>
          <w:p w14:paraId="12CC9055" w14:textId="77777777" w:rsidR="00776A5D" w:rsidRPr="00D857DD" w:rsidRDefault="00776A5D" w:rsidP="006A233D">
            <w:pPr>
              <w:jc w:val="center"/>
              <w:rPr>
                <w:sz w:val="22"/>
              </w:rPr>
            </w:pPr>
          </w:p>
          <w:p w14:paraId="4CC9CE5E" w14:textId="77777777" w:rsidR="00776A5D" w:rsidRPr="00AA1DF3" w:rsidRDefault="00776A5D" w:rsidP="006A233D">
            <w:pPr>
              <w:jc w:val="center"/>
              <w:rPr>
                <w:sz w:val="22"/>
              </w:rPr>
            </w:pPr>
          </w:p>
          <w:p w14:paraId="74FEBC8B" w14:textId="77777777" w:rsidR="00776A5D" w:rsidRPr="00AA1DF3" w:rsidRDefault="00776A5D" w:rsidP="006A233D">
            <w:pPr>
              <w:jc w:val="center"/>
              <w:rPr>
                <w:sz w:val="22"/>
              </w:rPr>
            </w:pPr>
            <w:r w:rsidRPr="00AA1DF3">
              <w:rPr>
                <w:sz w:val="22"/>
              </w:rPr>
              <w:t>53 (73%)</w:t>
            </w:r>
          </w:p>
          <w:p w14:paraId="6B941CE0" w14:textId="77777777" w:rsidR="00776A5D" w:rsidRPr="00AA1DF3" w:rsidRDefault="00776A5D" w:rsidP="006A233D">
            <w:pPr>
              <w:jc w:val="center"/>
              <w:rPr>
                <w:sz w:val="22"/>
              </w:rPr>
            </w:pPr>
          </w:p>
          <w:p w14:paraId="2C24AB4C" w14:textId="77777777" w:rsidR="00776A5D" w:rsidRPr="00AA1DF3" w:rsidRDefault="00776A5D" w:rsidP="006A233D">
            <w:pPr>
              <w:jc w:val="center"/>
              <w:rPr>
                <w:sz w:val="22"/>
              </w:rPr>
            </w:pPr>
            <w:r w:rsidRPr="00AA1DF3">
              <w:rPr>
                <w:sz w:val="22"/>
              </w:rPr>
              <w:t>5 (7%)</w:t>
            </w:r>
          </w:p>
        </w:tc>
        <w:tc>
          <w:tcPr>
            <w:tcW w:w="2692" w:type="dxa"/>
          </w:tcPr>
          <w:p w14:paraId="15CC4812" w14:textId="77777777" w:rsidR="00776A5D" w:rsidRPr="00AA1DF3" w:rsidRDefault="00776A5D" w:rsidP="006A233D">
            <w:pPr>
              <w:jc w:val="center"/>
              <w:rPr>
                <w:sz w:val="22"/>
              </w:rPr>
            </w:pPr>
          </w:p>
          <w:p w14:paraId="58F59CA0" w14:textId="77777777" w:rsidR="00776A5D" w:rsidRPr="00AA1DF3" w:rsidRDefault="00776A5D" w:rsidP="006A233D">
            <w:pPr>
              <w:jc w:val="center"/>
              <w:rPr>
                <w:sz w:val="22"/>
              </w:rPr>
            </w:pPr>
          </w:p>
          <w:p w14:paraId="618687E8" w14:textId="77777777" w:rsidR="00776A5D" w:rsidRPr="00CB1E7C" w:rsidRDefault="00776A5D" w:rsidP="006A233D">
            <w:pPr>
              <w:jc w:val="center"/>
              <w:rPr>
                <w:sz w:val="22"/>
              </w:rPr>
            </w:pPr>
            <w:r w:rsidRPr="00CB1E7C">
              <w:rPr>
                <w:sz w:val="22"/>
              </w:rPr>
              <w:t>1 (3%)</w:t>
            </w:r>
          </w:p>
          <w:p w14:paraId="0118AAB3" w14:textId="77777777" w:rsidR="00776A5D" w:rsidRPr="00B9099F" w:rsidRDefault="00776A5D" w:rsidP="006A233D">
            <w:pPr>
              <w:jc w:val="center"/>
              <w:rPr>
                <w:sz w:val="22"/>
              </w:rPr>
            </w:pPr>
          </w:p>
          <w:p w14:paraId="2A593938" w14:textId="77777777" w:rsidR="00776A5D" w:rsidRPr="00B9099F" w:rsidRDefault="00776A5D" w:rsidP="006A233D">
            <w:pPr>
              <w:jc w:val="center"/>
              <w:rPr>
                <w:sz w:val="22"/>
              </w:rPr>
            </w:pPr>
          </w:p>
          <w:p w14:paraId="3BF4E8EB" w14:textId="77777777" w:rsidR="00776A5D" w:rsidRPr="00B9099F" w:rsidRDefault="00776A5D" w:rsidP="006A233D">
            <w:pPr>
              <w:jc w:val="center"/>
              <w:rPr>
                <w:sz w:val="22"/>
              </w:rPr>
            </w:pPr>
            <w:r w:rsidRPr="00B9099F">
              <w:rPr>
                <w:sz w:val="22"/>
              </w:rPr>
              <w:t>17 (46%)</w:t>
            </w:r>
          </w:p>
          <w:p w14:paraId="3D9860F7" w14:textId="77777777" w:rsidR="00776A5D" w:rsidRPr="00B9099F" w:rsidRDefault="00776A5D" w:rsidP="006A233D">
            <w:pPr>
              <w:jc w:val="center"/>
              <w:rPr>
                <w:sz w:val="22"/>
              </w:rPr>
            </w:pPr>
          </w:p>
          <w:p w14:paraId="19CCC0F2" w14:textId="77777777" w:rsidR="00776A5D" w:rsidRPr="00B9099F" w:rsidRDefault="00776A5D" w:rsidP="006A233D">
            <w:pPr>
              <w:jc w:val="center"/>
              <w:rPr>
                <w:sz w:val="22"/>
              </w:rPr>
            </w:pPr>
          </w:p>
          <w:p w14:paraId="5F12B5E4" w14:textId="77777777" w:rsidR="00776A5D" w:rsidRPr="00B9099F" w:rsidRDefault="00776A5D" w:rsidP="006A233D">
            <w:pPr>
              <w:jc w:val="center"/>
              <w:rPr>
                <w:sz w:val="22"/>
              </w:rPr>
            </w:pPr>
            <w:r w:rsidRPr="00B9099F">
              <w:rPr>
                <w:sz w:val="22"/>
              </w:rPr>
              <w:t>1 (3%)</w:t>
            </w:r>
          </w:p>
          <w:p w14:paraId="6BD8CB96" w14:textId="77777777" w:rsidR="00776A5D" w:rsidRPr="00B9099F" w:rsidRDefault="00776A5D" w:rsidP="006A233D">
            <w:pPr>
              <w:jc w:val="center"/>
              <w:rPr>
                <w:sz w:val="22"/>
              </w:rPr>
            </w:pPr>
          </w:p>
          <w:p w14:paraId="77071893" w14:textId="77777777" w:rsidR="00776A5D" w:rsidRPr="00B9099F" w:rsidRDefault="00776A5D" w:rsidP="006A233D">
            <w:pPr>
              <w:jc w:val="center"/>
              <w:rPr>
                <w:sz w:val="22"/>
              </w:rPr>
            </w:pPr>
            <w:r w:rsidRPr="00B9099F">
              <w:rPr>
                <w:sz w:val="22"/>
              </w:rPr>
              <w:t>18 (49%)</w:t>
            </w:r>
          </w:p>
        </w:tc>
      </w:tr>
    </w:tbl>
    <w:p w14:paraId="2974DD93" w14:textId="3FC5C326" w:rsidR="00F85BF8" w:rsidRPr="00F85BF8" w:rsidRDefault="00F85BF8" w:rsidP="00776A5D">
      <w:pPr>
        <w:rPr>
          <w:sz w:val="18"/>
          <w:szCs w:val="18"/>
        </w:rPr>
      </w:pPr>
      <w:r w:rsidRPr="00E764DC">
        <w:rPr>
          <w:sz w:val="18"/>
          <w:szCs w:val="18"/>
          <w:vertAlign w:val="superscript"/>
        </w:rPr>
        <w:t>1</w:t>
      </w:r>
      <w:r w:rsidRPr="00E764DC">
        <w:rPr>
          <w:sz w:val="18"/>
          <w:szCs w:val="18"/>
        </w:rPr>
        <w:t>CS3</w:t>
      </w:r>
      <w:r w:rsidRPr="001F224E">
        <w:rPr>
          <w:sz w:val="18"/>
          <w:szCs w:val="18"/>
        </w:rPr>
        <w:t>B was stopped following positive statistical analysis on the primary endpoint at interim analysis (statistically significantly greater percentage of patients achieved the definition of a motor mil</w:t>
      </w:r>
      <w:r>
        <w:rPr>
          <w:sz w:val="18"/>
          <w:szCs w:val="18"/>
        </w:rPr>
        <w:t>estone responder in the SPINRAZA</w:t>
      </w:r>
      <w:r w:rsidRPr="001F224E">
        <w:rPr>
          <w:sz w:val="18"/>
          <w:szCs w:val="18"/>
        </w:rPr>
        <w:t xml:space="preserve"> group (41%) compared to the </w:t>
      </w:r>
      <w:r w:rsidRPr="001F224E">
        <w:rPr>
          <w:rFonts w:cs="Calibri"/>
          <w:sz w:val="18"/>
          <w:szCs w:val="18"/>
        </w:rPr>
        <w:t>sham</w:t>
      </w:r>
      <w:r w:rsidRPr="001F224E">
        <w:rPr>
          <w:rFonts w:cs="Calibri"/>
          <w:sz w:val="18"/>
          <w:szCs w:val="18"/>
        </w:rPr>
        <w:noBreakHyphen/>
        <w:t>control group</w:t>
      </w:r>
      <w:r>
        <w:rPr>
          <w:sz w:val="18"/>
          <w:szCs w:val="18"/>
        </w:rPr>
        <w:t> (0%), p&lt;0.0001).</w:t>
      </w:r>
    </w:p>
    <w:p w14:paraId="40574FE8" w14:textId="03610414" w:rsidR="00776A5D" w:rsidRPr="00B9099F" w:rsidRDefault="00F85BF8" w:rsidP="00776A5D">
      <w:pPr>
        <w:rPr>
          <w:sz w:val="20"/>
          <w:szCs w:val="22"/>
        </w:rPr>
      </w:pPr>
      <w:r>
        <w:rPr>
          <w:sz w:val="20"/>
          <w:szCs w:val="22"/>
          <w:vertAlign w:val="superscript"/>
        </w:rPr>
        <w:t>2</w:t>
      </w:r>
      <w:r w:rsidR="00776A5D" w:rsidRPr="00B9099F">
        <w:rPr>
          <w:sz w:val="20"/>
          <w:szCs w:val="22"/>
        </w:rPr>
        <w:t xml:space="preserve">At the final analysis, event-free survival and overall survival were assessed using the Intent to Treat population (ITT </w:t>
      </w:r>
      <w:r w:rsidR="002C4C67" w:rsidRPr="00B9099F">
        <w:rPr>
          <w:sz w:val="20"/>
          <w:szCs w:val="22"/>
        </w:rPr>
        <w:t>SPINRAZA</w:t>
      </w:r>
      <w:r w:rsidR="00776A5D" w:rsidRPr="00B9099F">
        <w:rPr>
          <w:sz w:val="20"/>
          <w:szCs w:val="22"/>
        </w:rPr>
        <w:t xml:space="preserve"> n=80; Sham</w:t>
      </w:r>
      <w:r w:rsidR="00776A5D" w:rsidRPr="00B9099F">
        <w:rPr>
          <w:sz w:val="20"/>
          <w:szCs w:val="22"/>
        </w:rPr>
        <w:noBreakHyphen/>
        <w:t>control n=41).</w:t>
      </w:r>
    </w:p>
    <w:p w14:paraId="05336408" w14:textId="3BE61F2D" w:rsidR="00AA1DF3" w:rsidRPr="00AA1DF3" w:rsidRDefault="00F85BF8" w:rsidP="00776A5D">
      <w:pPr>
        <w:rPr>
          <w:sz w:val="20"/>
          <w:szCs w:val="22"/>
        </w:rPr>
      </w:pPr>
      <w:r>
        <w:rPr>
          <w:sz w:val="20"/>
          <w:szCs w:val="22"/>
          <w:vertAlign w:val="superscript"/>
        </w:rPr>
        <w:t>3</w:t>
      </w:r>
      <w:r w:rsidR="00AA1DF3" w:rsidRPr="00AA1DF3">
        <w:rPr>
          <w:sz w:val="20"/>
          <w:szCs w:val="22"/>
        </w:rPr>
        <w:t>Median time to death or permanent ventilation was not reached in SPINRAZA group, and was 22.6 weeks in the sham-control group</w:t>
      </w:r>
    </w:p>
    <w:p w14:paraId="70A13C36" w14:textId="0646C5C3" w:rsidR="00776A5D" w:rsidRPr="00B9099F" w:rsidRDefault="00F85BF8" w:rsidP="00776A5D">
      <w:pPr>
        <w:rPr>
          <w:sz w:val="20"/>
          <w:szCs w:val="22"/>
        </w:rPr>
      </w:pPr>
      <w:r>
        <w:rPr>
          <w:sz w:val="20"/>
          <w:szCs w:val="22"/>
          <w:vertAlign w:val="superscript"/>
        </w:rPr>
        <w:t>4</w:t>
      </w:r>
      <w:r w:rsidR="00776A5D" w:rsidRPr="00B9099F">
        <w:rPr>
          <w:sz w:val="20"/>
          <w:szCs w:val="22"/>
        </w:rPr>
        <w:t>Based on log-rank test stratified by disease duration</w:t>
      </w:r>
    </w:p>
    <w:p w14:paraId="748FE803" w14:textId="641D7718" w:rsidR="00776A5D" w:rsidRPr="00B9099F" w:rsidRDefault="00F85BF8" w:rsidP="00776A5D">
      <w:pPr>
        <w:rPr>
          <w:sz w:val="20"/>
          <w:szCs w:val="22"/>
        </w:rPr>
      </w:pPr>
      <w:r>
        <w:rPr>
          <w:sz w:val="20"/>
          <w:szCs w:val="22"/>
          <w:vertAlign w:val="superscript"/>
        </w:rPr>
        <w:t>5</w:t>
      </w:r>
      <w:r w:rsidR="00776A5D" w:rsidRPr="00B9099F">
        <w:rPr>
          <w:sz w:val="20"/>
          <w:szCs w:val="22"/>
        </w:rPr>
        <w:t>At the final analysis, CHOP-INTEND and motor milestone analyses were conducted using the Efficacy Set (</w:t>
      </w:r>
      <w:r w:rsidR="002C4C67" w:rsidRPr="00B9099F">
        <w:rPr>
          <w:sz w:val="20"/>
          <w:szCs w:val="22"/>
        </w:rPr>
        <w:t>SPINRAZA</w:t>
      </w:r>
      <w:r w:rsidR="00776A5D" w:rsidRPr="00B9099F">
        <w:rPr>
          <w:sz w:val="20"/>
          <w:szCs w:val="22"/>
        </w:rPr>
        <w:t xml:space="preserve"> n=73; Sham</w:t>
      </w:r>
      <w:r w:rsidR="00776A5D" w:rsidRPr="00B9099F">
        <w:rPr>
          <w:sz w:val="20"/>
          <w:szCs w:val="22"/>
        </w:rPr>
        <w:noBreakHyphen/>
        <w:t>control n=37).</w:t>
      </w:r>
    </w:p>
    <w:p w14:paraId="4FC4B9CB" w14:textId="596EC8D5" w:rsidR="00776A5D" w:rsidRPr="00B9099F" w:rsidRDefault="00F85BF8" w:rsidP="00776A5D">
      <w:pPr>
        <w:rPr>
          <w:sz w:val="20"/>
          <w:szCs w:val="22"/>
        </w:rPr>
      </w:pPr>
      <w:r>
        <w:rPr>
          <w:sz w:val="20"/>
          <w:szCs w:val="22"/>
          <w:vertAlign w:val="superscript"/>
        </w:rPr>
        <w:lastRenderedPageBreak/>
        <w:t>6</w:t>
      </w:r>
      <w:r w:rsidR="00776A5D" w:rsidRPr="00B9099F">
        <w:rPr>
          <w:sz w:val="20"/>
          <w:szCs w:val="22"/>
        </w:rPr>
        <w:t>Assessed at the later of Day 183, Day 302, and Day 394 Study Visit</w:t>
      </w:r>
    </w:p>
    <w:p w14:paraId="49188094" w14:textId="0A1B698D" w:rsidR="00776A5D" w:rsidRPr="00B9099F" w:rsidRDefault="00F85BF8" w:rsidP="00776A5D">
      <w:pPr>
        <w:rPr>
          <w:rFonts w:cs="Calibri"/>
          <w:sz w:val="20"/>
          <w:szCs w:val="22"/>
        </w:rPr>
      </w:pPr>
      <w:r>
        <w:rPr>
          <w:sz w:val="20"/>
          <w:szCs w:val="22"/>
          <w:vertAlign w:val="superscript"/>
        </w:rPr>
        <w:t>7</w:t>
      </w:r>
      <w:r w:rsidR="00776A5D" w:rsidRPr="00B9099F">
        <w:rPr>
          <w:rFonts w:cs="Calibri"/>
          <w:sz w:val="20"/>
          <w:szCs w:val="22"/>
        </w:rPr>
        <w:t xml:space="preserve">According to HINE section 2: </w:t>
      </w:r>
      <w:r w:rsidR="00776A5D" w:rsidRPr="00B9099F">
        <w:rPr>
          <w:sz w:val="20"/>
          <w:szCs w:val="22"/>
        </w:rPr>
        <w:t>≥</w:t>
      </w:r>
      <w:r w:rsidR="00776A5D" w:rsidRPr="00B9099F">
        <w:rPr>
          <w:rFonts w:cs="Calibri"/>
          <w:sz w:val="20"/>
          <w:szCs w:val="22"/>
        </w:rPr>
        <w:t>2</w:t>
      </w:r>
      <w:r w:rsidR="00CA250F">
        <w:rPr>
          <w:rFonts w:cs="Calibri"/>
          <w:sz w:val="20"/>
          <w:szCs w:val="22"/>
        </w:rPr>
        <w:t>-</w:t>
      </w:r>
      <w:r w:rsidR="00776A5D" w:rsidRPr="00B9099F">
        <w:rPr>
          <w:rFonts w:cs="Calibri"/>
          <w:sz w:val="20"/>
          <w:szCs w:val="22"/>
        </w:rPr>
        <w:t xml:space="preserve">point increase [or maximal score] in ability to kick, OR </w:t>
      </w:r>
      <w:r w:rsidR="00776A5D" w:rsidRPr="00B9099F">
        <w:rPr>
          <w:sz w:val="20"/>
          <w:szCs w:val="22"/>
        </w:rPr>
        <w:t>≥</w:t>
      </w:r>
      <w:r w:rsidR="00776A5D" w:rsidRPr="00B9099F">
        <w:rPr>
          <w:rFonts w:cs="Calibri"/>
          <w:sz w:val="20"/>
          <w:szCs w:val="22"/>
        </w:rPr>
        <w:t>1 point increase in the motor milestones of head control, rolling, sitting, crawling, standing or walking, AND improvement in more categories of motor milestones than worsening), defined as a responder for this primary analysis.</w:t>
      </w:r>
    </w:p>
    <w:p w14:paraId="63D2D29C" w14:textId="58ACF55A" w:rsidR="00EE7DFE" w:rsidRPr="00F85BF8" w:rsidRDefault="00F85BF8" w:rsidP="00776A5D">
      <w:pPr>
        <w:rPr>
          <w:sz w:val="20"/>
          <w:szCs w:val="20"/>
        </w:rPr>
      </w:pPr>
      <w:r>
        <w:rPr>
          <w:sz w:val="20"/>
          <w:szCs w:val="20"/>
          <w:vertAlign w:val="superscript"/>
        </w:rPr>
        <w:t>8</w:t>
      </w:r>
      <w:r w:rsidR="00776A5D" w:rsidRPr="00B9099F">
        <w:rPr>
          <w:sz w:val="20"/>
          <w:szCs w:val="20"/>
        </w:rPr>
        <w:t>The proportion of motor milestones responders at Day 183, Day 302, and Day 394 are based on evaluable sets at those visits</w:t>
      </w:r>
    </w:p>
    <w:p w14:paraId="2678A1E7" w14:textId="77777777" w:rsidR="00776A5D" w:rsidRPr="00B9099F" w:rsidRDefault="00776A5D" w:rsidP="00776A5D">
      <w:pPr>
        <w:rPr>
          <w:b/>
        </w:rPr>
      </w:pPr>
    </w:p>
    <w:p w14:paraId="66A60AAD" w14:textId="7E4D6132" w:rsidR="00776A5D" w:rsidRPr="00B9099F" w:rsidRDefault="00776A5D" w:rsidP="00776A5D">
      <w:r w:rsidRPr="00CB1E7C">
        <w:rPr>
          <w:rStyle w:val="Heading3Char"/>
        </w:rPr>
        <w:t xml:space="preserve">Figure </w:t>
      </w:r>
      <w:r w:rsidR="007E4509" w:rsidRPr="00CB1E7C">
        <w:rPr>
          <w:rStyle w:val="Heading3Char"/>
        </w:rPr>
        <w:t>1</w:t>
      </w:r>
      <w:r w:rsidRPr="00CB1E7C">
        <w:rPr>
          <w:rStyle w:val="Heading3Char"/>
        </w:rPr>
        <w:t xml:space="preserve">: </w:t>
      </w:r>
      <w:r w:rsidR="0008031F" w:rsidRPr="00CB1E7C">
        <w:rPr>
          <w:rStyle w:val="Heading3Char"/>
        </w:rPr>
        <w:t>Overall Survival (ITT) – Study CS3B</w:t>
      </w:r>
    </w:p>
    <w:p w14:paraId="613DCD1F" w14:textId="7996C3C1" w:rsidR="008877DB" w:rsidRPr="00AF2347" w:rsidRDefault="001F1CF1" w:rsidP="00D301CF">
      <w:pPr>
        <w:jc w:val="left"/>
        <w:rPr>
          <w:sz w:val="18"/>
          <w:szCs w:val="20"/>
        </w:rPr>
      </w:pPr>
      <w:r w:rsidRPr="00B9099F">
        <w:rPr>
          <w:noProof/>
          <w:color w:val="0033CC"/>
          <w:lang w:eastAsia="en-AU"/>
        </w:rPr>
        <w:drawing>
          <wp:inline distT="0" distB="0" distL="0" distR="0" wp14:anchorId="2D4FECCC" wp14:editId="04FB9D9A">
            <wp:extent cx="5543925" cy="303257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563147" cy="3043088"/>
                    </a:xfrm>
                    <a:prstGeom prst="rect">
                      <a:avLst/>
                    </a:prstGeom>
                  </pic:spPr>
                </pic:pic>
              </a:graphicData>
            </a:graphic>
          </wp:inline>
        </w:drawing>
      </w:r>
      <w:r w:rsidR="00850296">
        <w:rPr>
          <w:sz w:val="18"/>
          <w:szCs w:val="20"/>
        </w:rPr>
        <w:t>ISIS 396443 = nusinersen</w:t>
      </w:r>
    </w:p>
    <w:p w14:paraId="1AF2F974" w14:textId="77777777" w:rsidR="008877DB" w:rsidRPr="00B9099F" w:rsidRDefault="008877DB" w:rsidP="00AE2317"/>
    <w:p w14:paraId="1F8C07D6" w14:textId="75754360" w:rsidR="00AE2317" w:rsidRPr="00B9099F" w:rsidRDefault="00AE2317" w:rsidP="00D301CF">
      <w:pPr>
        <w:pStyle w:val="Heading3"/>
      </w:pPr>
      <w:r w:rsidRPr="00B9099F">
        <w:t>Figure </w:t>
      </w:r>
      <w:r w:rsidR="00C53888" w:rsidRPr="00B9099F">
        <w:t>2</w:t>
      </w:r>
      <w:r w:rsidRPr="00B9099F">
        <w:t xml:space="preserve">: Change in </w:t>
      </w:r>
      <w:r w:rsidR="00776A5D" w:rsidRPr="00B9099F">
        <w:t>Total Motor Milestone Score</w:t>
      </w:r>
      <w:r w:rsidRPr="00B9099F">
        <w:t xml:space="preserve"> from Baseline to Later of Day 183, Day 302, and Day 394 Study Visit </w:t>
      </w:r>
      <w:r w:rsidR="00776A5D" w:rsidRPr="00B9099F">
        <w:t>(Efficacy Set)</w:t>
      </w:r>
      <w:r w:rsidR="00740EF9" w:rsidRPr="00B9099F">
        <w:t xml:space="preserve"> </w:t>
      </w:r>
      <w:r w:rsidRPr="00B9099F">
        <w:t xml:space="preserve">– Study </w:t>
      </w:r>
      <w:r w:rsidR="003318B0" w:rsidRPr="00B9099F">
        <w:t>CS3B</w:t>
      </w:r>
      <w:bookmarkStart w:id="19" w:name="IDX"/>
      <w:bookmarkEnd w:id="19"/>
    </w:p>
    <w:p w14:paraId="24FB80E5" w14:textId="2CF382F6" w:rsidR="00850296" w:rsidRPr="00D301CF" w:rsidRDefault="001F1CF1" w:rsidP="00D301CF">
      <w:pPr>
        <w:jc w:val="left"/>
      </w:pPr>
      <w:r w:rsidRPr="00B9099F">
        <w:rPr>
          <w:noProof/>
          <w:sz w:val="20"/>
          <w:szCs w:val="20"/>
          <w:lang w:eastAsia="en-AU"/>
        </w:rPr>
        <w:drawing>
          <wp:inline distT="0" distB="0" distL="0" distR="0" wp14:anchorId="157C1F74" wp14:editId="46BC8741">
            <wp:extent cx="5625197" cy="336176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t="12238" b="6250"/>
                    <a:stretch>
                      <a:fillRect/>
                    </a:stretch>
                  </pic:blipFill>
                  <pic:spPr bwMode="auto">
                    <a:xfrm>
                      <a:off x="0" y="0"/>
                      <a:ext cx="5648051" cy="3375422"/>
                    </a:xfrm>
                    <a:prstGeom prst="rect">
                      <a:avLst/>
                    </a:prstGeom>
                    <a:noFill/>
                    <a:ln>
                      <a:noFill/>
                    </a:ln>
                  </pic:spPr>
                </pic:pic>
              </a:graphicData>
            </a:graphic>
          </wp:inline>
        </w:drawing>
      </w:r>
      <w:r w:rsidR="00850296">
        <w:rPr>
          <w:sz w:val="18"/>
          <w:szCs w:val="20"/>
        </w:rPr>
        <w:t>ISIS 396443 = nusinersen</w:t>
      </w:r>
    </w:p>
    <w:p w14:paraId="7F6635C4" w14:textId="77777777" w:rsidR="001F1CF1" w:rsidRPr="00B9099F" w:rsidRDefault="001F1CF1" w:rsidP="00487F87"/>
    <w:p w14:paraId="0F298D87" w14:textId="77777777" w:rsidR="00487F87" w:rsidRPr="00B9099F" w:rsidRDefault="00487F87" w:rsidP="00AE2317"/>
    <w:p w14:paraId="4827281E" w14:textId="77777777" w:rsidR="00487F87" w:rsidRPr="00B9099F" w:rsidRDefault="00487F87" w:rsidP="0077745D">
      <w:pPr>
        <w:pStyle w:val="Heading4"/>
      </w:pPr>
      <w:r w:rsidRPr="00B9099F">
        <w:t xml:space="preserve">Study </w:t>
      </w:r>
      <w:r w:rsidR="00325EA0" w:rsidRPr="00B9099F">
        <w:t>CS3A</w:t>
      </w:r>
    </w:p>
    <w:p w14:paraId="213AE9F5" w14:textId="77777777" w:rsidR="00950134" w:rsidRPr="00B9099F" w:rsidRDefault="00950134" w:rsidP="00950134"/>
    <w:p w14:paraId="6C2E146C" w14:textId="68C13FB0" w:rsidR="00487F87" w:rsidRPr="00B9099F" w:rsidRDefault="00487F87" w:rsidP="00487F87">
      <w:r w:rsidRPr="00B9099F">
        <w:t xml:space="preserve">Study </w:t>
      </w:r>
      <w:r w:rsidR="003318B0" w:rsidRPr="00B9099F">
        <w:t>CS3A</w:t>
      </w:r>
      <w:r w:rsidRPr="00B9099F">
        <w:t xml:space="preserve"> is an open</w:t>
      </w:r>
      <w:r w:rsidRPr="00B9099F">
        <w:noBreakHyphen/>
        <w:t xml:space="preserve">label phase 2 study in symptomatic patients diagnosed with SMA. Median age of onset of clinical signs and symptoms was 56 days (range 21 to 154 days) and patients had either 2 SMN2 gene copies (n=17) or 3 SMN2 gene copies (n=2) (SMN2 gene copy number unknown for 1 patient). Patients in this study were deemed most likely to develop </w:t>
      </w:r>
      <w:r w:rsidR="00A756C8" w:rsidRPr="00B9099F">
        <w:t>T</w:t>
      </w:r>
      <w:r w:rsidRPr="00B9099F">
        <w:t xml:space="preserve">ype I SMA. </w:t>
      </w:r>
      <w:r w:rsidR="00BE2B02">
        <w:t>Patients</w:t>
      </w:r>
      <w:r w:rsidR="00B367EA" w:rsidRPr="00B9099F">
        <w:t xml:space="preserve"> were randomised to receive either a 6</w:t>
      </w:r>
      <w:r w:rsidR="00022767">
        <w:t xml:space="preserve"> </w:t>
      </w:r>
      <w:r w:rsidR="00B367EA" w:rsidRPr="00B9099F">
        <w:t>mg or 12</w:t>
      </w:r>
      <w:r w:rsidR="00022767">
        <w:t xml:space="preserve"> </w:t>
      </w:r>
      <w:r w:rsidR="00B367EA" w:rsidRPr="00B9099F">
        <w:t>mg scaled equivalent dose</w:t>
      </w:r>
      <w:r w:rsidR="00BE2B02">
        <w:t xml:space="preserve"> of SPINRAZA</w:t>
      </w:r>
      <w:r w:rsidR="00B367EA" w:rsidRPr="00B9099F">
        <w:t xml:space="preserve"> based on CSF volume during the loading dose phase on days 1, 15 and 85. During the maintenance phase all patients received a 12</w:t>
      </w:r>
      <w:r w:rsidR="00022767">
        <w:t xml:space="preserve"> </w:t>
      </w:r>
      <w:r w:rsidR="00B367EA" w:rsidRPr="00B9099F">
        <w:t xml:space="preserve">mg scaled dose on days 253, 379, 505, 631, 757, 883, 1009, 1135 and 1261. </w:t>
      </w:r>
      <w:r w:rsidRPr="00B9099F">
        <w:t xml:space="preserve">Median age </w:t>
      </w:r>
      <w:r w:rsidR="001F1CF1" w:rsidRPr="00B9099F">
        <w:t>at first dose</w:t>
      </w:r>
      <w:r w:rsidR="009B24F8" w:rsidRPr="00B9099F">
        <w:t xml:space="preserve"> </w:t>
      </w:r>
      <w:r w:rsidRPr="00B9099F">
        <w:t xml:space="preserve">was </w:t>
      </w:r>
      <w:r w:rsidR="001F1CF1" w:rsidRPr="00B9099F">
        <w:t>162 days (range 37-223)</w:t>
      </w:r>
      <w:r w:rsidRPr="00B9099F">
        <w:t>. At screening, the median number of motor milestones (HINE section 2) achieved was 2 (range 1</w:t>
      </w:r>
      <w:r w:rsidR="00D825FD" w:rsidRPr="00B9099F">
        <w:t xml:space="preserve"> </w:t>
      </w:r>
      <w:r w:rsidRPr="00B9099F">
        <w:t xml:space="preserve">to 12), median CHOP-INTEND total score was </w:t>
      </w:r>
      <w:r w:rsidR="004638D1" w:rsidRPr="00B9099F">
        <w:t>27</w:t>
      </w:r>
      <w:r w:rsidRPr="00B9099F">
        <w:t xml:space="preserve"> (range 17 to 64), median baseline ulnar CMAP amplitude was 0.235 mV (range 0.00 to 3.20 mV) and baseline peroneal CMAP amplitude was 0.345 mV (range 0.00 to 2.70 mV).</w:t>
      </w:r>
      <w:r w:rsidR="001F1CF1" w:rsidRPr="00B9099F">
        <w:t xml:space="preserve"> </w:t>
      </w:r>
      <w:r w:rsidR="001F1CF1" w:rsidRPr="00B9099F">
        <w:rPr>
          <w:color w:val="000000"/>
          <w:lang w:val="en-GB"/>
        </w:rPr>
        <w:t>At the time of the planned interim analysis patients in the study had a median time on study of 670 days (range 62 – 988 days). </w:t>
      </w:r>
    </w:p>
    <w:p w14:paraId="3ED26AD2" w14:textId="77777777" w:rsidR="00487F87" w:rsidRPr="00B9099F" w:rsidRDefault="00487F87" w:rsidP="00487F87"/>
    <w:p w14:paraId="2958D03C" w14:textId="2A7FB90F" w:rsidR="00487F87" w:rsidRPr="00B9099F" w:rsidRDefault="00487F87" w:rsidP="00487F87">
      <w:r w:rsidRPr="00B9099F">
        <w:t xml:space="preserve">At the time of the interim analysis 15 of 20 patients (75%) were alive and remained in the study (1 patient [aged </w:t>
      </w:r>
      <w:r w:rsidR="00CB1E7C">
        <w:t>62</w:t>
      </w:r>
      <w:r w:rsidR="00CB1E7C" w:rsidRPr="00B9099F">
        <w:t xml:space="preserve"> </w:t>
      </w:r>
      <w:r w:rsidRPr="00B9099F">
        <w:t>weeks] withdrew from the study and 4 patients had died [aged 5.13 to 12.62 months]). 13 (65%) were alive and free of permanent ventilation (3 patients were on permanent ventilation aged 6.28 to 17.42 months) (See Figure </w:t>
      </w:r>
      <w:r w:rsidR="00827597" w:rsidRPr="00B9099F">
        <w:t>4</w:t>
      </w:r>
      <w:r w:rsidRPr="00B9099F">
        <w:t>). Of the 15 patients alive all were more than 2 years of age (median 29.6 months, range 24.6 to 39.2 months), with 7 at &gt;</w:t>
      </w:r>
      <w:r w:rsidR="00632B31" w:rsidRPr="00B9099F">
        <w:t> </w:t>
      </w:r>
      <w:r w:rsidRPr="00B9099F">
        <w:t>30 months and 2 at &gt;</w:t>
      </w:r>
      <w:r w:rsidR="00632B31" w:rsidRPr="00B9099F">
        <w:t> </w:t>
      </w:r>
      <w:r w:rsidRPr="00B9099F">
        <w:t>36 months of age.</w:t>
      </w:r>
    </w:p>
    <w:p w14:paraId="4F394E62" w14:textId="77777777" w:rsidR="00487F87" w:rsidRPr="00B9099F" w:rsidRDefault="00487F87" w:rsidP="00487F87"/>
    <w:p w14:paraId="6480F578" w14:textId="6C757837" w:rsidR="00487F87" w:rsidRPr="00B9099F" w:rsidRDefault="00487F87" w:rsidP="00487F87">
      <w:r w:rsidRPr="00B9099F">
        <w:t>The primary endpoint was the proportion of patients who improved in one or more categories in motor milestones</w:t>
      </w:r>
      <w:r w:rsidR="007379B5">
        <w:t xml:space="preserve"> (HINE Section 2).</w:t>
      </w:r>
      <w:r w:rsidRPr="00B9099F">
        <w:t xml:space="preserve"> (according to HINE section 2: ≥</w:t>
      </w:r>
      <w:r w:rsidR="00632B31" w:rsidRPr="00B9099F">
        <w:t xml:space="preserve"> </w:t>
      </w:r>
      <w:r w:rsidRPr="00B9099F">
        <w:t>2 point increase [or maximal score] in ability to kick or voluntary grasp OR ≥</w:t>
      </w:r>
      <w:r w:rsidR="00632B31" w:rsidRPr="00B9099F">
        <w:t xml:space="preserve"> </w:t>
      </w:r>
      <w:r w:rsidRPr="00B9099F">
        <w:t>1 point increase in the motor milestones of head control, rolling, sitting, crawling, standing or walking). At</w:t>
      </w:r>
      <w:r w:rsidR="00870C34" w:rsidRPr="00B9099F">
        <w:t xml:space="preserve"> the interim analysis</w:t>
      </w:r>
      <w:r w:rsidRPr="00B9099F">
        <w:t>, 13 out of 20 patients (65%) had met the primary endpoint</w:t>
      </w:r>
      <w:r w:rsidR="00595511" w:rsidRPr="00B9099F">
        <w:t>,</w:t>
      </w:r>
      <w:r w:rsidRPr="00B9099F">
        <w:t xml:space="preserve"> with a sustained improvement in mean motor milestone achievement over time (See Figure </w:t>
      </w:r>
      <w:r w:rsidR="00C77A8A" w:rsidRPr="00B9099F">
        <w:t>6</w:t>
      </w:r>
      <w:r w:rsidRPr="00B9099F">
        <w:t>). In contrast to the natural history of SMA where there is a failure to achieve motor milestones after symptom onset, 8 of 20 patients (40%) developed the ability to sit independently, 5 of 20 patients (25%) gained the abili</w:t>
      </w:r>
      <w:r w:rsidRPr="002963C4">
        <w:t>ty to stand with support or independently, 2 of 20 patients (10%) gained the ability to walk with support or independently.</w:t>
      </w:r>
      <w:r w:rsidRPr="00B9099F">
        <w:t xml:space="preserve"> </w:t>
      </w:r>
    </w:p>
    <w:p w14:paraId="4255DDB3" w14:textId="77777777" w:rsidR="00487F87" w:rsidRPr="00B9099F" w:rsidRDefault="00487F87" w:rsidP="00487F87"/>
    <w:p w14:paraId="3B08FC6C" w14:textId="2EA6B4E9" w:rsidR="001F1CF1" w:rsidRPr="00B9099F" w:rsidRDefault="00487F87" w:rsidP="00487F87">
      <w:r w:rsidRPr="00B9099F">
        <w:t>A sustained improvement in mean CHOP</w:t>
      </w:r>
      <w:r w:rsidRPr="00B9099F">
        <w:noBreakHyphen/>
        <w:t>INTEND score was observed from baseline to day 694 (mean change 16.90). Overall, 11 out of 20 patients (55%) met the endpoint of an increase in total CHOP INTEND score of ≥</w:t>
      </w:r>
      <w:r w:rsidR="00632B31" w:rsidRPr="00B9099F">
        <w:t xml:space="preserve"> </w:t>
      </w:r>
      <w:r w:rsidRPr="00B9099F">
        <w:t>4 points as of their last study visit prior to data cut</w:t>
      </w:r>
      <w:r w:rsidRPr="00B9099F">
        <w:noBreakHyphen/>
        <w:t>off.</w:t>
      </w:r>
    </w:p>
    <w:p w14:paraId="7AD5C321" w14:textId="2891A174" w:rsidR="00E33C38" w:rsidRDefault="00E33C38">
      <w:pPr>
        <w:jc w:val="left"/>
        <w:rPr>
          <w:rFonts w:eastAsiaTheme="majorEastAsia" w:cstheme="majorBidi"/>
          <w:b/>
          <w:i/>
          <w:iCs/>
          <w:lang w:val="en-US"/>
        </w:rPr>
      </w:pPr>
    </w:p>
    <w:p w14:paraId="62C88796" w14:textId="53FBB82F" w:rsidR="001F1CF1" w:rsidRPr="00B9099F" w:rsidRDefault="001F1CF1" w:rsidP="001F1CF1">
      <w:pPr>
        <w:pStyle w:val="Heading6"/>
        <w:rPr>
          <w:b/>
        </w:rPr>
      </w:pPr>
      <w:r w:rsidRPr="00B9099F">
        <w:rPr>
          <w:b/>
        </w:rPr>
        <w:t>Patients with later-onset SMA</w:t>
      </w:r>
    </w:p>
    <w:p w14:paraId="420662DA" w14:textId="77777777" w:rsidR="001F1CF1" w:rsidRPr="00B9099F" w:rsidRDefault="001F1CF1" w:rsidP="00487F87"/>
    <w:p w14:paraId="0A0B2B7A" w14:textId="77777777" w:rsidR="001F1CF1" w:rsidRPr="00B9099F" w:rsidRDefault="001F1CF1" w:rsidP="001F1CF1">
      <w:pPr>
        <w:pStyle w:val="Heading6"/>
      </w:pPr>
      <w:r w:rsidRPr="00B9099F">
        <w:t>Stu</w:t>
      </w:r>
      <w:r w:rsidR="001F6575" w:rsidRPr="00B9099F">
        <w:t>dy CS4 (CHERISH)</w:t>
      </w:r>
    </w:p>
    <w:p w14:paraId="698F9879" w14:textId="77777777" w:rsidR="00950134" w:rsidRPr="00B9099F" w:rsidRDefault="00950134" w:rsidP="00950134">
      <w:pPr>
        <w:rPr>
          <w:lang w:val="en-US"/>
        </w:rPr>
      </w:pPr>
    </w:p>
    <w:p w14:paraId="44D939CA" w14:textId="4C770C03" w:rsidR="001F1CF1" w:rsidRPr="00B9099F" w:rsidRDefault="009B24F8" w:rsidP="001F1CF1">
      <w:pPr>
        <w:rPr>
          <w:rFonts w:cs="Calibri"/>
          <w:color w:val="000000"/>
        </w:rPr>
      </w:pPr>
      <w:r w:rsidRPr="00B9099F">
        <w:t>Study CS4</w:t>
      </w:r>
      <w:r w:rsidR="001F1CF1" w:rsidRPr="00B9099F">
        <w:t xml:space="preserve"> </w:t>
      </w:r>
      <w:r w:rsidR="00DD4B68">
        <w:t>was</w:t>
      </w:r>
      <w:r w:rsidR="00DD4B68" w:rsidRPr="00B9099F">
        <w:t xml:space="preserve"> </w:t>
      </w:r>
      <w:r w:rsidR="001F1CF1" w:rsidRPr="00B9099F">
        <w:t>a phase 3, randomized, double</w:t>
      </w:r>
      <w:r w:rsidR="001F1CF1" w:rsidRPr="00B9099F">
        <w:noBreakHyphen/>
        <w:t>blind, sham</w:t>
      </w:r>
      <w:r w:rsidR="001F1CF1" w:rsidRPr="00B9099F">
        <w:noBreakHyphen/>
        <w:t xml:space="preserve">procedure controlled study in 126 symptomatic children with later-onset SMA (symptom onset after </w:t>
      </w:r>
      <w:r w:rsidR="001F1CF1" w:rsidRPr="00B9099F">
        <w:lastRenderedPageBreak/>
        <w:t xml:space="preserve">6 months of age). Patients were randomized 2:1 to either </w:t>
      </w:r>
      <w:r w:rsidR="002C4C67" w:rsidRPr="00B9099F">
        <w:t>SPINRAZA</w:t>
      </w:r>
      <w:r w:rsidR="001F1CF1" w:rsidRPr="00B9099F">
        <w:t xml:space="preserve"> or sham</w:t>
      </w:r>
      <w:r w:rsidR="001F1CF1" w:rsidRPr="00B9099F">
        <w:noBreakHyphen/>
        <w:t xml:space="preserve">control, with a length of treatment ranging from </w:t>
      </w:r>
      <w:r w:rsidR="004638D1" w:rsidRPr="00B9099F">
        <w:t>324</w:t>
      </w:r>
      <w:r w:rsidR="001F1CF1" w:rsidRPr="00B9099F">
        <w:t xml:space="preserve"> to </w:t>
      </w:r>
      <w:r w:rsidR="004638D1" w:rsidRPr="00B9099F">
        <w:t>482</w:t>
      </w:r>
      <w:r w:rsidR="001F1CF1" w:rsidRPr="00B9099F">
        <w:t xml:space="preserve"> days (median </w:t>
      </w:r>
      <w:r w:rsidR="004638D1" w:rsidRPr="00B9099F">
        <w:t>450</w:t>
      </w:r>
      <w:r w:rsidR="001F1CF1" w:rsidRPr="00B9099F">
        <w:t>).</w:t>
      </w:r>
      <w:r w:rsidR="001F1CF1" w:rsidRPr="00B9099F">
        <w:rPr>
          <w:rFonts w:cs="Calibri"/>
          <w:color w:val="000000"/>
        </w:rPr>
        <w:t xml:space="preserve"> </w:t>
      </w:r>
      <w:r w:rsidR="00B367EA" w:rsidRPr="00B9099F">
        <w:t>SPINRAZA-treated patient</w:t>
      </w:r>
      <w:r w:rsidR="00CB1E7C">
        <w:t>s</w:t>
      </w:r>
      <w:r w:rsidR="00B367EA" w:rsidRPr="00B9099F">
        <w:t xml:space="preserve"> received a 12</w:t>
      </w:r>
      <w:r w:rsidR="00022767">
        <w:t xml:space="preserve"> </w:t>
      </w:r>
      <w:r w:rsidR="00B367EA" w:rsidRPr="00B9099F">
        <w:t>mg (5</w:t>
      </w:r>
      <w:r w:rsidR="00022767">
        <w:t xml:space="preserve"> </w:t>
      </w:r>
      <w:r w:rsidR="00B367EA" w:rsidRPr="00B9099F">
        <w:t xml:space="preserve">mL) dose on study days 1, 29, 85 and 274. </w:t>
      </w:r>
    </w:p>
    <w:p w14:paraId="5C8AE06F" w14:textId="77777777" w:rsidR="001F1CF1" w:rsidRPr="00B9099F" w:rsidRDefault="001F1CF1" w:rsidP="001F1CF1">
      <w:pPr>
        <w:rPr>
          <w:rFonts w:cs="Calibri"/>
          <w:color w:val="000000"/>
        </w:rPr>
      </w:pPr>
    </w:p>
    <w:p w14:paraId="00FC714C" w14:textId="15A68FB7" w:rsidR="001C70B9" w:rsidRDefault="001F1CF1" w:rsidP="006520E0">
      <w:pPr>
        <w:rPr>
          <w:rFonts w:cs="Calibri"/>
          <w:color w:val="000000"/>
        </w:rPr>
      </w:pPr>
      <w:r w:rsidRPr="00B9099F">
        <w:rPr>
          <w:rFonts w:cs="Calibri"/>
          <w:color w:val="000000"/>
        </w:rPr>
        <w:t>The median age at screening was 3 years (range 2-9), and the median age of onset of clinical signs and symptoms of SMA was 11 months (range 6</w:t>
      </w:r>
      <w:r w:rsidRPr="00B9099F">
        <w:rPr>
          <w:rFonts w:cs="Calibri"/>
          <w:color w:val="000000"/>
        </w:rPr>
        <w:noBreakHyphen/>
        <w:t xml:space="preserve">20). The majority of </w:t>
      </w:r>
      <w:r w:rsidRPr="00B9099F">
        <w:t xml:space="preserve">patients </w:t>
      </w:r>
      <w:r w:rsidRPr="00B9099F">
        <w:rPr>
          <w:rFonts w:cs="Calibri"/>
          <w:color w:val="000000"/>
        </w:rPr>
        <w:t xml:space="preserve">(88%) have 3 copies of the SMN2 gene (8% have </w:t>
      </w:r>
      <w:r w:rsidRPr="00B9099F">
        <w:t>2 copies, 2% have 4 copies, and 2% have an unknown copy number).</w:t>
      </w:r>
      <w:r w:rsidR="004638D1" w:rsidRPr="00B9099F">
        <w:t xml:space="preserve"> At baseline, patients had a mean HFMSE score of 21.</w:t>
      </w:r>
      <w:r w:rsidR="00E52C97" w:rsidRPr="00B9099F">
        <w:t>6</w:t>
      </w:r>
      <w:r w:rsidR="004638D1" w:rsidRPr="00B9099F">
        <w:t>, a mean RULM of 19.1, all had achieved independent sitting, and no patients had achieved independent walking.</w:t>
      </w:r>
      <w:r w:rsidRPr="00B9099F">
        <w:t xml:space="preserve"> Patients in this study were deemed most likely to develop </w:t>
      </w:r>
      <w:r w:rsidR="00A756C8" w:rsidRPr="00B9099F">
        <w:t>T</w:t>
      </w:r>
      <w:r w:rsidRPr="00B9099F">
        <w:t>ype II or III SMA</w:t>
      </w:r>
      <w:r w:rsidRPr="00B9099F">
        <w:rPr>
          <w:rFonts w:cs="Calibri"/>
          <w:color w:val="000000"/>
        </w:rPr>
        <w:t xml:space="preserve">. Baseline disease characteristics were generally similar with the exception of an imbalance in the proportion of </w:t>
      </w:r>
      <w:r w:rsidRPr="00B9099F">
        <w:t xml:space="preserve">patients </w:t>
      </w:r>
      <w:r w:rsidRPr="00B9099F">
        <w:rPr>
          <w:rFonts w:cs="Calibri"/>
          <w:color w:val="000000"/>
        </w:rPr>
        <w:t>who had ever achieved the ability to stand without support (</w:t>
      </w:r>
      <w:r w:rsidRPr="00B9099F">
        <w:t xml:space="preserve">13% of patients </w:t>
      </w:r>
      <w:r w:rsidR="00B11BF7" w:rsidRPr="00B9099F">
        <w:t>in the SPINRAZA</w:t>
      </w:r>
      <w:r w:rsidRPr="00B9099F">
        <w:t xml:space="preserve"> group and 29% in sham-control) or walk with support (24% of patients </w:t>
      </w:r>
      <w:r w:rsidR="00B11BF7" w:rsidRPr="00B9099F">
        <w:t>in the SPINRAZA</w:t>
      </w:r>
      <w:r w:rsidRPr="00B9099F">
        <w:t xml:space="preserve"> group and 33% in sham-control).</w:t>
      </w:r>
      <w:r w:rsidR="00E33C38">
        <w:rPr>
          <w:rFonts w:cs="Calibri"/>
          <w:color w:val="000000"/>
        </w:rPr>
        <w:t xml:space="preserve"> </w:t>
      </w:r>
    </w:p>
    <w:p w14:paraId="0DA36AFE" w14:textId="77777777" w:rsidR="00950134" w:rsidRPr="00B9099F" w:rsidRDefault="00950134" w:rsidP="001F1CF1"/>
    <w:p w14:paraId="63F7CA62" w14:textId="271FB9F8" w:rsidR="001F1CF1" w:rsidRPr="00B9099F" w:rsidRDefault="005D1C23" w:rsidP="003E7D1C">
      <w:r>
        <w:t xml:space="preserve">At the final analysis, </w:t>
      </w:r>
      <w:r w:rsidR="003D4916" w:rsidRPr="00B9099F">
        <w:t>a statistically significant improvement in HFMSE score from baseline to Month 15</w:t>
      </w:r>
      <w:r>
        <w:t xml:space="preserve"> was seen</w:t>
      </w:r>
      <w:r w:rsidR="003D4916" w:rsidRPr="00B9099F">
        <w:t xml:space="preserve"> in the SPINRAZA group compared to the sham-control group (</w:t>
      </w:r>
      <w:r w:rsidR="00740EF9" w:rsidRPr="00B9099F">
        <w:t>Table 2</w:t>
      </w:r>
      <w:r w:rsidR="003D4916" w:rsidRPr="00B9099F">
        <w:t>, Figure 3).</w:t>
      </w:r>
      <w:r w:rsidR="00DD4B68">
        <w:t xml:space="preserve"> </w:t>
      </w:r>
      <w:r w:rsidRPr="001F224E">
        <w:rPr>
          <w:rFonts w:cs="Calibri"/>
          <w:color w:val="000000"/>
          <w:szCs w:val="22"/>
        </w:rPr>
        <w:t>The analysis was conducted in the ITT population</w:t>
      </w:r>
      <w:r>
        <w:rPr>
          <w:rFonts w:cs="Calibri"/>
          <w:color w:val="000000"/>
          <w:szCs w:val="22"/>
        </w:rPr>
        <w:t xml:space="preserve"> (SPINRAZA</w:t>
      </w:r>
      <w:r w:rsidRPr="00470693">
        <w:rPr>
          <w:rFonts w:cs="Calibri"/>
          <w:color w:val="000000"/>
          <w:szCs w:val="22"/>
        </w:rPr>
        <w:t>:</w:t>
      </w:r>
      <w:r>
        <w:rPr>
          <w:rFonts w:cs="Calibri"/>
          <w:color w:val="000000"/>
          <w:szCs w:val="22"/>
        </w:rPr>
        <w:t> </w:t>
      </w:r>
      <w:r w:rsidRPr="00470693">
        <w:rPr>
          <w:rFonts w:cs="Calibri"/>
          <w:color w:val="000000"/>
          <w:szCs w:val="22"/>
        </w:rPr>
        <w:t xml:space="preserve">n=84; </w:t>
      </w:r>
      <w:r w:rsidRPr="002F1ABC">
        <w:rPr>
          <w:rFonts w:cs="Calibri"/>
          <w:color w:val="000000"/>
          <w:szCs w:val="22"/>
        </w:rPr>
        <w:t>sham</w:t>
      </w:r>
      <w:r>
        <w:rPr>
          <w:rFonts w:cs="Calibri"/>
          <w:color w:val="000000"/>
          <w:szCs w:val="22"/>
        </w:rPr>
        <w:noBreakHyphen/>
      </w:r>
      <w:r w:rsidRPr="002F1ABC">
        <w:rPr>
          <w:rFonts w:cs="Calibri"/>
          <w:color w:val="000000"/>
          <w:szCs w:val="22"/>
        </w:rPr>
        <w:t>control:</w:t>
      </w:r>
      <w:r>
        <w:rPr>
          <w:rFonts w:cs="Calibri"/>
          <w:color w:val="000000"/>
          <w:szCs w:val="22"/>
        </w:rPr>
        <w:t> </w:t>
      </w:r>
      <w:r w:rsidRPr="002F1ABC">
        <w:rPr>
          <w:rFonts w:cs="Calibri"/>
          <w:color w:val="000000"/>
          <w:szCs w:val="22"/>
        </w:rPr>
        <w:t xml:space="preserve">n=42), and </w:t>
      </w:r>
      <w:r w:rsidRPr="002F1ABC">
        <w:rPr>
          <w:szCs w:val="22"/>
        </w:rPr>
        <w:t>post</w:t>
      </w:r>
      <w:r>
        <w:rPr>
          <w:szCs w:val="22"/>
        </w:rPr>
        <w:noBreakHyphen/>
      </w:r>
      <w:r w:rsidRPr="002F1ABC">
        <w:rPr>
          <w:szCs w:val="22"/>
        </w:rPr>
        <w:t xml:space="preserve">baseline HFMSE data </w:t>
      </w:r>
      <w:r w:rsidRPr="001F224E">
        <w:rPr>
          <w:szCs w:val="22"/>
        </w:rPr>
        <w:t xml:space="preserve">for </w:t>
      </w:r>
      <w:r w:rsidRPr="00E64FBC">
        <w:rPr>
          <w:szCs w:val="22"/>
        </w:rPr>
        <w:t xml:space="preserve">patients </w:t>
      </w:r>
      <w:r w:rsidRPr="00E4792A">
        <w:rPr>
          <w:szCs w:val="22"/>
        </w:rPr>
        <w:t>without a Month 15 visit were imputed using the multiple imputation metho</w:t>
      </w:r>
      <w:r w:rsidRPr="00FD6E29">
        <w:rPr>
          <w:szCs w:val="22"/>
        </w:rPr>
        <w:t>d.</w:t>
      </w:r>
      <w:r>
        <w:rPr>
          <w:szCs w:val="22"/>
        </w:rPr>
        <w:t xml:space="preserve"> </w:t>
      </w:r>
      <w:r w:rsidR="00897AFA" w:rsidRPr="00B9099F">
        <w:t>An analysis of the subset of patients in the ITT population who had observed values at Month 15 demonstrated consistent, statistically significant results. Of those with observed values at Month 15, a higher proportion of SPINRAZA treated subjects had improvement (73% vs 41%, respectively) and a lower proportion had worsening (23% vs 44%, respectively) in total HFMSE score compared to sham-control (Figure 4).</w:t>
      </w:r>
      <w:r>
        <w:t xml:space="preserve"> </w:t>
      </w:r>
      <w:r w:rsidR="00897AFA" w:rsidRPr="00B9099F">
        <w:t>All secondary endpoints including functional measures and WHO motor milestone achievement were formally statistically tested and are described in Table 2</w:t>
      </w:r>
      <w:r w:rsidR="00CA250F">
        <w:t xml:space="preserve"> and illustrated in Figure 5</w:t>
      </w:r>
      <w:r w:rsidR="00897AFA" w:rsidRPr="00B9099F">
        <w:t>.</w:t>
      </w:r>
      <w:r w:rsidR="00B002C1">
        <w:t xml:space="preserve"> </w:t>
      </w:r>
      <w:r w:rsidR="00F54BAD">
        <w:t>I</w:t>
      </w:r>
      <w:r w:rsidR="001F1CF1" w:rsidRPr="00B9099F">
        <w:t>nitiation of treatment sooner after symptom onset resulted in earlier and greater improvement in motor function than those with delayed treatment initiation</w:t>
      </w:r>
      <w:r w:rsidR="00F54BAD">
        <w:t>; however,</w:t>
      </w:r>
      <w:r w:rsidR="001F1CF1" w:rsidRPr="00B9099F">
        <w:t xml:space="preserve"> both groups experienced benefit compared to sham-control. </w:t>
      </w:r>
    </w:p>
    <w:p w14:paraId="341BED17" w14:textId="77777777" w:rsidR="001F1CF1" w:rsidRPr="00B9099F" w:rsidRDefault="001F1CF1" w:rsidP="001F1CF1"/>
    <w:p w14:paraId="2E635CE1" w14:textId="77777777" w:rsidR="001F1CF1" w:rsidRPr="00B9099F" w:rsidRDefault="001F1CF1" w:rsidP="001F1CF1"/>
    <w:p w14:paraId="6F4A7595" w14:textId="77777777" w:rsidR="00C5469D" w:rsidRDefault="00C5469D">
      <w:pPr>
        <w:jc w:val="left"/>
        <w:rPr>
          <w:b/>
          <w:bCs/>
          <w:szCs w:val="26"/>
        </w:rPr>
      </w:pPr>
      <w:r>
        <w:br w:type="page"/>
      </w:r>
    </w:p>
    <w:p w14:paraId="34EEEF31" w14:textId="7E326B47" w:rsidR="001F1CF1" w:rsidRPr="00B9099F" w:rsidRDefault="00C53888" w:rsidP="00CB1E7C">
      <w:pPr>
        <w:pStyle w:val="Heading3"/>
        <w:rPr>
          <w:vertAlign w:val="superscript"/>
        </w:rPr>
      </w:pPr>
      <w:r w:rsidRPr="00B9099F">
        <w:lastRenderedPageBreak/>
        <w:t>Figure 3</w:t>
      </w:r>
      <w:r w:rsidR="001F1CF1" w:rsidRPr="00B9099F">
        <w:t>: Mean change from baseline in HFMSE score over time</w:t>
      </w:r>
      <w:r w:rsidR="005C6277" w:rsidRPr="00B9099F">
        <w:t xml:space="preserve"> at final analysis</w:t>
      </w:r>
      <w:r w:rsidR="001F1CF1" w:rsidRPr="00B9099F">
        <w:t xml:space="preserve"> (ITT) – Study </w:t>
      </w:r>
      <w:r w:rsidR="001F6575" w:rsidRPr="00B9099F">
        <w:t>CS4</w:t>
      </w:r>
      <w:r w:rsidR="001F1CF1" w:rsidRPr="00B9099F">
        <w:rPr>
          <w:vertAlign w:val="superscript"/>
        </w:rPr>
        <w:t>1</w:t>
      </w:r>
      <w:proofErr w:type="gramStart"/>
      <w:r w:rsidR="001F1CF1" w:rsidRPr="00B9099F">
        <w:rPr>
          <w:vertAlign w:val="superscript"/>
        </w:rPr>
        <w:t>,2</w:t>
      </w:r>
      <w:r w:rsidR="00E33C38">
        <w:rPr>
          <w:vertAlign w:val="superscript"/>
        </w:rPr>
        <w:t>,3</w:t>
      </w:r>
      <w:proofErr w:type="gramEnd"/>
    </w:p>
    <w:p w14:paraId="4D5B0144" w14:textId="77777777" w:rsidR="00A44C38" w:rsidRPr="00B9099F" w:rsidRDefault="00A44C38" w:rsidP="001F1CF1">
      <w:pPr>
        <w:rPr>
          <w:b/>
          <w:vertAlign w:val="superscript"/>
        </w:rPr>
      </w:pPr>
    </w:p>
    <w:p w14:paraId="374C7F12" w14:textId="77777777" w:rsidR="005C6277" w:rsidRPr="00B9099F" w:rsidRDefault="00A44C38" w:rsidP="001F1CF1">
      <w:pPr>
        <w:rPr>
          <w:b/>
        </w:rPr>
      </w:pPr>
      <w:r w:rsidRPr="00B9099F">
        <w:rPr>
          <w:noProof/>
          <w:lang w:eastAsia="en-AU"/>
        </w:rPr>
        <w:drawing>
          <wp:inline distT="0" distB="0" distL="0" distR="0" wp14:anchorId="0D23071C" wp14:editId="13D47C7D">
            <wp:extent cx="4878190" cy="3657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878190" cy="3657600"/>
                    </a:xfrm>
                    <a:prstGeom prst="rect">
                      <a:avLst/>
                    </a:prstGeom>
                  </pic:spPr>
                </pic:pic>
              </a:graphicData>
            </a:graphic>
          </wp:inline>
        </w:drawing>
      </w:r>
    </w:p>
    <w:p w14:paraId="0CB3A890" w14:textId="77777777" w:rsidR="00803F7C" w:rsidRPr="00B9099F" w:rsidRDefault="00803F7C" w:rsidP="001F1CF1"/>
    <w:p w14:paraId="635659AD" w14:textId="77777777" w:rsidR="001F1CF1" w:rsidRPr="00B9099F" w:rsidRDefault="001F1CF1" w:rsidP="001F1CF1">
      <w:pPr>
        <w:autoSpaceDE w:val="0"/>
        <w:autoSpaceDN w:val="0"/>
        <w:adjustRightInd w:val="0"/>
        <w:rPr>
          <w:sz w:val="20"/>
          <w:szCs w:val="20"/>
        </w:rPr>
      </w:pPr>
      <w:r w:rsidRPr="00B9099F">
        <w:rPr>
          <w:sz w:val="20"/>
          <w:szCs w:val="20"/>
          <w:vertAlign w:val="superscript"/>
        </w:rPr>
        <w:t>1</w:t>
      </w:r>
      <w:r w:rsidRPr="00B9099F">
        <w:rPr>
          <w:color w:val="000000"/>
          <w:sz w:val="20"/>
          <w:szCs w:val="20"/>
          <w:lang w:eastAsia="en-GB"/>
        </w:rPr>
        <w:t>D</w:t>
      </w:r>
      <w:r w:rsidRPr="00B9099F">
        <w:rPr>
          <w:sz w:val="20"/>
          <w:szCs w:val="20"/>
        </w:rPr>
        <w:t xml:space="preserve">ata for </w:t>
      </w:r>
      <w:r w:rsidRPr="00B9099F">
        <w:rPr>
          <w:sz w:val="20"/>
        </w:rPr>
        <w:t xml:space="preserve">patients </w:t>
      </w:r>
      <w:r w:rsidRPr="00B9099F">
        <w:rPr>
          <w:sz w:val="20"/>
          <w:szCs w:val="20"/>
        </w:rPr>
        <w:t>without a Month 15 visit were imputed using the multiple imputation method</w:t>
      </w:r>
    </w:p>
    <w:p w14:paraId="02BB38FD" w14:textId="49E67BA2" w:rsidR="001F1CF1" w:rsidRDefault="001F1CF1" w:rsidP="001F1CF1">
      <w:pPr>
        <w:pStyle w:val="CommentText"/>
      </w:pPr>
      <w:r w:rsidRPr="00B9099F">
        <w:rPr>
          <w:vertAlign w:val="superscript"/>
        </w:rPr>
        <w:t>2</w:t>
      </w:r>
      <w:r w:rsidRPr="00B9099F">
        <w:t>Error bars denote +/- standard error</w:t>
      </w:r>
    </w:p>
    <w:p w14:paraId="1E9D1F45" w14:textId="2BBF2369" w:rsidR="00993CF0" w:rsidRDefault="00E33C38" w:rsidP="00993CF0">
      <w:pPr>
        <w:pStyle w:val="CommentText"/>
      </w:pPr>
      <w:r w:rsidRPr="00D470FA">
        <w:rPr>
          <w:vertAlign w:val="superscript"/>
        </w:rPr>
        <w:t>3</w:t>
      </w:r>
      <w:r w:rsidR="00993CF0">
        <w:t>This graph was a pre-specified exploratory analysis of HFSME scores over time</w:t>
      </w:r>
    </w:p>
    <w:p w14:paraId="0CC55051" w14:textId="77777777" w:rsidR="00993CF0" w:rsidRPr="00B9099F" w:rsidRDefault="00993CF0" w:rsidP="00993CF0">
      <w:pPr>
        <w:autoSpaceDE w:val="0"/>
        <w:autoSpaceDN w:val="0"/>
        <w:adjustRightInd w:val="0"/>
        <w:rPr>
          <w:sz w:val="18"/>
          <w:szCs w:val="20"/>
        </w:rPr>
      </w:pPr>
      <w:r>
        <w:rPr>
          <w:sz w:val="18"/>
          <w:szCs w:val="20"/>
        </w:rPr>
        <w:t>ISIS 396443 = nusinersen</w:t>
      </w:r>
    </w:p>
    <w:p w14:paraId="5FB621AB" w14:textId="15EC73DF" w:rsidR="00850296" w:rsidRPr="00B9099F" w:rsidRDefault="00850296" w:rsidP="00BE6281">
      <w:pPr>
        <w:pStyle w:val="CommentText"/>
        <w:rPr>
          <w:sz w:val="18"/>
        </w:rPr>
      </w:pPr>
    </w:p>
    <w:p w14:paraId="2409F551" w14:textId="16DC95D9" w:rsidR="001F1CF1" w:rsidRPr="00B9099F" w:rsidRDefault="009970CE" w:rsidP="00602461">
      <w:pPr>
        <w:pStyle w:val="Heading3"/>
      </w:pPr>
      <w:r w:rsidRPr="00B9099F">
        <w:br w:type="page"/>
      </w:r>
      <w:r w:rsidR="00D65835" w:rsidRPr="00B9099F">
        <w:lastRenderedPageBreak/>
        <w:t>Table 2</w:t>
      </w:r>
      <w:r w:rsidR="001F1CF1" w:rsidRPr="00B9099F">
        <w:t xml:space="preserve">: Primary and secondary endpoints at </w:t>
      </w:r>
      <w:r w:rsidR="00A44C38" w:rsidRPr="00B9099F">
        <w:t>final</w:t>
      </w:r>
      <w:r w:rsidR="001F1CF1" w:rsidRPr="00B9099F">
        <w:t xml:space="preserve"> analysis – Study </w:t>
      </w:r>
      <w:r w:rsidR="001F6575" w:rsidRPr="00B9099F">
        <w:t>CS4</w:t>
      </w:r>
    </w:p>
    <w:tbl>
      <w:tblPr>
        <w:tblStyle w:val="TableGrid"/>
        <w:tblW w:w="0" w:type="auto"/>
        <w:tblLook w:val="04A0" w:firstRow="1" w:lastRow="0" w:firstColumn="1" w:lastColumn="0" w:noHBand="0" w:noVBand="1"/>
      </w:tblPr>
      <w:tblGrid>
        <w:gridCol w:w="3685"/>
        <w:gridCol w:w="2634"/>
        <w:gridCol w:w="2698"/>
      </w:tblGrid>
      <w:tr w:rsidR="001F1CF1" w:rsidRPr="00B9099F" w14:paraId="70A8260E" w14:textId="77777777" w:rsidTr="00D301CF">
        <w:trPr>
          <w:cantSplit/>
        </w:trPr>
        <w:tc>
          <w:tcPr>
            <w:tcW w:w="3685" w:type="dxa"/>
          </w:tcPr>
          <w:p w14:paraId="2D14DC53" w14:textId="77777777" w:rsidR="001F1CF1" w:rsidRPr="00B9099F" w:rsidRDefault="001F1CF1" w:rsidP="006A233D">
            <w:pPr>
              <w:rPr>
                <w:rFonts w:cs="Calibri"/>
                <w:b/>
                <w:color w:val="000000"/>
              </w:rPr>
            </w:pPr>
          </w:p>
        </w:tc>
        <w:tc>
          <w:tcPr>
            <w:tcW w:w="2634" w:type="dxa"/>
          </w:tcPr>
          <w:p w14:paraId="145522F6" w14:textId="77777777" w:rsidR="001F1CF1" w:rsidRPr="00B9099F" w:rsidRDefault="006A233D" w:rsidP="006A233D">
            <w:pPr>
              <w:jc w:val="center"/>
              <w:rPr>
                <w:b/>
                <w:sz w:val="22"/>
                <w:szCs w:val="22"/>
              </w:rPr>
            </w:pPr>
            <w:r w:rsidRPr="00B9099F">
              <w:rPr>
                <w:b/>
                <w:sz w:val="22"/>
                <w:szCs w:val="22"/>
              </w:rPr>
              <w:t>SPINRAZA</w:t>
            </w:r>
            <w:r w:rsidR="001F1CF1" w:rsidRPr="00B9099F">
              <w:rPr>
                <w:b/>
                <w:sz w:val="22"/>
                <w:szCs w:val="22"/>
              </w:rPr>
              <w:t xml:space="preserve">-treated Patients </w:t>
            </w:r>
          </w:p>
        </w:tc>
        <w:tc>
          <w:tcPr>
            <w:tcW w:w="2698" w:type="dxa"/>
          </w:tcPr>
          <w:p w14:paraId="212B03CC" w14:textId="77777777" w:rsidR="001F1CF1" w:rsidRPr="00B9099F" w:rsidRDefault="001F1CF1" w:rsidP="006A233D">
            <w:pPr>
              <w:jc w:val="center"/>
              <w:rPr>
                <w:b/>
                <w:sz w:val="22"/>
                <w:szCs w:val="22"/>
              </w:rPr>
            </w:pPr>
            <w:r w:rsidRPr="00B9099F">
              <w:rPr>
                <w:b/>
                <w:color w:val="000000"/>
                <w:sz w:val="22"/>
                <w:szCs w:val="22"/>
              </w:rPr>
              <w:t>Sham</w:t>
            </w:r>
            <w:r w:rsidRPr="00B9099F">
              <w:rPr>
                <w:b/>
                <w:color w:val="000000"/>
                <w:sz w:val="22"/>
                <w:szCs w:val="22"/>
              </w:rPr>
              <w:noBreakHyphen/>
              <w:t xml:space="preserve">control </w:t>
            </w:r>
            <w:r w:rsidRPr="00B9099F">
              <w:rPr>
                <w:b/>
                <w:sz w:val="22"/>
                <w:szCs w:val="22"/>
              </w:rPr>
              <w:t>Patients</w:t>
            </w:r>
          </w:p>
          <w:p w14:paraId="0A3D6714" w14:textId="77777777" w:rsidR="001F1CF1" w:rsidRPr="00B9099F" w:rsidRDefault="001F1CF1" w:rsidP="006A233D">
            <w:pPr>
              <w:jc w:val="center"/>
              <w:rPr>
                <w:rFonts w:cs="Calibri"/>
                <w:b/>
                <w:color w:val="000000"/>
              </w:rPr>
            </w:pPr>
          </w:p>
        </w:tc>
      </w:tr>
      <w:tr w:rsidR="001F1CF1" w:rsidRPr="00B9099F" w14:paraId="777126EA" w14:textId="77777777" w:rsidTr="00D301CF">
        <w:trPr>
          <w:cantSplit/>
        </w:trPr>
        <w:tc>
          <w:tcPr>
            <w:tcW w:w="3685" w:type="dxa"/>
          </w:tcPr>
          <w:p w14:paraId="7DC8E556" w14:textId="77777777" w:rsidR="001F1CF1" w:rsidRPr="00B9099F" w:rsidRDefault="001F1CF1" w:rsidP="006A233D">
            <w:pPr>
              <w:rPr>
                <w:rFonts w:cs="Calibri"/>
                <w:b/>
                <w:color w:val="000000"/>
              </w:rPr>
            </w:pPr>
            <w:r w:rsidRPr="00B9099F">
              <w:rPr>
                <w:rFonts w:cs="Calibri"/>
                <w:b/>
                <w:color w:val="000000"/>
              </w:rPr>
              <w:t>HFMSE score</w:t>
            </w:r>
          </w:p>
          <w:p w14:paraId="1F1316FF" w14:textId="77777777" w:rsidR="001F1CF1" w:rsidRPr="00B9099F" w:rsidRDefault="001F1CF1" w:rsidP="006A233D">
            <w:pPr>
              <w:rPr>
                <w:rFonts w:cs="Calibri"/>
                <w:b/>
                <w:color w:val="000000"/>
              </w:rPr>
            </w:pPr>
          </w:p>
          <w:p w14:paraId="3A65E6C4" w14:textId="1A33F328" w:rsidR="001F1CF1" w:rsidRPr="00B9099F" w:rsidRDefault="001F1CF1" w:rsidP="006A233D">
            <w:pPr>
              <w:rPr>
                <w:rFonts w:cs="Calibri"/>
                <w:color w:val="000000"/>
              </w:rPr>
            </w:pPr>
            <w:r w:rsidRPr="00B9099F">
              <w:rPr>
                <w:rFonts w:cs="Calibri"/>
                <w:color w:val="000000"/>
              </w:rPr>
              <w:t>Change from baseline in total HFMSE score at 15 months</w:t>
            </w:r>
            <w:r w:rsidRPr="00B9099F">
              <w:rPr>
                <w:rFonts w:cs="Calibri"/>
                <w:color w:val="000000"/>
                <w:vertAlign w:val="superscript"/>
              </w:rPr>
              <w:t>1,2</w:t>
            </w:r>
            <w:r w:rsidR="00A44C38" w:rsidRPr="00B9099F">
              <w:rPr>
                <w:rFonts w:cs="Calibri"/>
                <w:color w:val="000000"/>
                <w:vertAlign w:val="superscript"/>
              </w:rPr>
              <w:t>,</w:t>
            </w:r>
            <w:r w:rsidR="00A9357C" w:rsidRPr="00B9099F">
              <w:rPr>
                <w:rFonts w:cs="Calibri"/>
                <w:color w:val="000000"/>
                <w:vertAlign w:val="superscript"/>
              </w:rPr>
              <w:t>3</w:t>
            </w:r>
            <w:r w:rsidR="00E33C38">
              <w:rPr>
                <w:rFonts w:cs="Calibri"/>
                <w:color w:val="000000"/>
                <w:vertAlign w:val="superscript"/>
              </w:rPr>
              <w:t>,</w:t>
            </w:r>
            <w:r w:rsidR="001A6293">
              <w:rPr>
                <w:rFonts w:cs="Calibri"/>
                <w:color w:val="000000"/>
                <w:vertAlign w:val="superscript"/>
              </w:rPr>
              <w:t>4</w:t>
            </w:r>
          </w:p>
          <w:p w14:paraId="7252B488" w14:textId="77777777" w:rsidR="001F1CF1" w:rsidRPr="00B9099F" w:rsidRDefault="001F1CF1" w:rsidP="006A233D">
            <w:pPr>
              <w:rPr>
                <w:rFonts w:cs="Calibri"/>
                <w:color w:val="000000"/>
              </w:rPr>
            </w:pPr>
          </w:p>
          <w:p w14:paraId="69E4C29C" w14:textId="072E254E" w:rsidR="001F1CF1" w:rsidRPr="00B9099F" w:rsidRDefault="001F1CF1" w:rsidP="00A9357C">
            <w:pPr>
              <w:rPr>
                <w:rFonts w:cs="Calibri"/>
                <w:color w:val="000000"/>
                <w:vertAlign w:val="superscript"/>
              </w:rPr>
            </w:pPr>
            <w:r w:rsidRPr="00B9099F">
              <w:rPr>
                <w:rFonts w:cs="Calibri"/>
                <w:color w:val="000000"/>
              </w:rPr>
              <w:t xml:space="preserve">Proportion of </w:t>
            </w:r>
            <w:r w:rsidRPr="00B9099F">
              <w:t xml:space="preserve">patients </w:t>
            </w:r>
            <w:r w:rsidRPr="00B9099F">
              <w:rPr>
                <w:rFonts w:cs="Calibri"/>
                <w:color w:val="000000"/>
              </w:rPr>
              <w:t>who achieved at least a 3</w:t>
            </w:r>
            <w:r w:rsidR="00CB1E7C">
              <w:rPr>
                <w:rFonts w:cs="Calibri"/>
                <w:color w:val="000000"/>
              </w:rPr>
              <w:t>-</w:t>
            </w:r>
            <w:r w:rsidRPr="00B9099F">
              <w:rPr>
                <w:rFonts w:cs="Calibri"/>
                <w:color w:val="000000"/>
              </w:rPr>
              <w:t>point improvement from baseline</w:t>
            </w:r>
            <w:r w:rsidR="00CB1E7C">
              <w:rPr>
                <w:rFonts w:cs="Calibri"/>
                <w:color w:val="000000"/>
              </w:rPr>
              <w:t xml:space="preserve"> to month 15</w:t>
            </w:r>
            <w:r w:rsidR="001A6293">
              <w:rPr>
                <w:rFonts w:cs="Calibri"/>
                <w:color w:val="000000"/>
                <w:vertAlign w:val="superscript"/>
              </w:rPr>
              <w:t>2</w:t>
            </w:r>
          </w:p>
        </w:tc>
        <w:tc>
          <w:tcPr>
            <w:tcW w:w="2634" w:type="dxa"/>
          </w:tcPr>
          <w:p w14:paraId="080AC898" w14:textId="77777777" w:rsidR="001F1CF1" w:rsidRPr="00B9099F" w:rsidRDefault="001F1CF1" w:rsidP="006A233D">
            <w:pPr>
              <w:jc w:val="center"/>
              <w:rPr>
                <w:rFonts w:cs="Calibri"/>
                <w:color w:val="000000"/>
              </w:rPr>
            </w:pPr>
          </w:p>
          <w:p w14:paraId="20BE349B" w14:textId="77777777" w:rsidR="001F1CF1" w:rsidRPr="00B9099F" w:rsidRDefault="001F1CF1" w:rsidP="006A233D">
            <w:pPr>
              <w:jc w:val="center"/>
              <w:rPr>
                <w:rFonts w:cs="Calibri"/>
                <w:color w:val="000000"/>
              </w:rPr>
            </w:pPr>
          </w:p>
          <w:p w14:paraId="3BF4D96D" w14:textId="77777777" w:rsidR="001F1CF1" w:rsidRPr="00381933" w:rsidRDefault="00A44C38" w:rsidP="006A233D">
            <w:pPr>
              <w:jc w:val="center"/>
              <w:rPr>
                <w:rFonts w:cs="Calibri"/>
                <w:color w:val="000000"/>
              </w:rPr>
            </w:pPr>
            <w:r w:rsidRPr="002963C4">
              <w:rPr>
                <w:rFonts w:cs="Calibri"/>
                <w:color w:val="000000"/>
              </w:rPr>
              <w:t>3.9</w:t>
            </w:r>
            <w:r w:rsidR="001F1CF1" w:rsidRPr="00381933">
              <w:rPr>
                <w:rFonts w:cs="Calibri"/>
                <w:color w:val="000000"/>
              </w:rPr>
              <w:t xml:space="preserve"> (95% CI: </w:t>
            </w:r>
            <w:r w:rsidRPr="00381933">
              <w:rPr>
                <w:rFonts w:cs="Calibri"/>
                <w:color w:val="000000"/>
              </w:rPr>
              <w:t>3.0</w:t>
            </w:r>
            <w:r w:rsidR="001F1CF1" w:rsidRPr="00381933">
              <w:rPr>
                <w:rFonts w:cs="Calibri"/>
                <w:color w:val="000000"/>
              </w:rPr>
              <w:t xml:space="preserve">, </w:t>
            </w:r>
            <w:r w:rsidRPr="00381933">
              <w:rPr>
                <w:rFonts w:cs="Calibri"/>
                <w:color w:val="000000"/>
              </w:rPr>
              <w:t>4.9</w:t>
            </w:r>
            <w:r w:rsidR="001F1CF1" w:rsidRPr="00381933">
              <w:rPr>
                <w:rFonts w:cs="Calibri"/>
                <w:color w:val="000000"/>
              </w:rPr>
              <w:t>)</w:t>
            </w:r>
          </w:p>
          <w:p w14:paraId="3B461080" w14:textId="77777777" w:rsidR="001F1CF1" w:rsidRPr="00381933" w:rsidRDefault="001F1CF1" w:rsidP="006A233D">
            <w:pPr>
              <w:jc w:val="center"/>
              <w:rPr>
                <w:rFonts w:cs="Calibri"/>
                <w:color w:val="000000"/>
              </w:rPr>
            </w:pPr>
            <w:r w:rsidRPr="00381933">
              <w:rPr>
                <w:rFonts w:cs="Calibri"/>
                <w:color w:val="000000"/>
              </w:rPr>
              <w:t>p=</w:t>
            </w:r>
            <w:r w:rsidR="00A44C38" w:rsidRPr="00381933">
              <w:rPr>
                <w:rFonts w:cs="Calibri"/>
                <w:color w:val="000000"/>
              </w:rPr>
              <w:t>0.0000001</w:t>
            </w:r>
          </w:p>
          <w:p w14:paraId="09F3D98B" w14:textId="77777777" w:rsidR="001F1CF1" w:rsidRPr="008908E5" w:rsidRDefault="001F1CF1" w:rsidP="006A233D">
            <w:pPr>
              <w:jc w:val="center"/>
              <w:rPr>
                <w:rFonts w:cs="Calibri"/>
                <w:color w:val="000000"/>
              </w:rPr>
            </w:pPr>
          </w:p>
          <w:p w14:paraId="6AED5135" w14:textId="156A3A47" w:rsidR="00A44C38" w:rsidRPr="00D857DD" w:rsidRDefault="00A44C38" w:rsidP="00A44C38">
            <w:pPr>
              <w:jc w:val="center"/>
              <w:rPr>
                <w:rFonts w:cs="Calibri"/>
                <w:color w:val="000000"/>
              </w:rPr>
            </w:pPr>
            <w:r w:rsidRPr="00D857DD">
              <w:rPr>
                <w:rFonts w:cs="Calibri"/>
                <w:color w:val="000000"/>
              </w:rPr>
              <w:t>56.8% (95% CI: 45.6, 68</w:t>
            </w:r>
            <w:r w:rsidR="00CB1E7C">
              <w:rPr>
                <w:rFonts w:cs="Calibri"/>
                <w:color w:val="000000"/>
              </w:rPr>
              <w:t>.1</w:t>
            </w:r>
            <w:r w:rsidRPr="00D857DD">
              <w:rPr>
                <w:rFonts w:cs="Calibri"/>
                <w:color w:val="000000"/>
              </w:rPr>
              <w:t>)</w:t>
            </w:r>
          </w:p>
          <w:p w14:paraId="2D51426F" w14:textId="77777777" w:rsidR="001F1CF1" w:rsidRPr="00AA1DF3" w:rsidRDefault="00A9357C" w:rsidP="00A44C38">
            <w:pPr>
              <w:jc w:val="center"/>
              <w:rPr>
                <w:rFonts w:cs="Calibri"/>
                <w:color w:val="000000"/>
              </w:rPr>
            </w:pPr>
            <w:r w:rsidRPr="00D857DD">
              <w:rPr>
                <w:rFonts w:cs="Calibri"/>
                <w:color w:val="000000"/>
              </w:rPr>
              <w:t>p=0.0006</w:t>
            </w:r>
            <w:r w:rsidRPr="00D857DD">
              <w:rPr>
                <w:rFonts w:cs="Calibri"/>
                <w:color w:val="000000"/>
                <w:vertAlign w:val="superscript"/>
              </w:rPr>
              <w:t>5</w:t>
            </w:r>
          </w:p>
        </w:tc>
        <w:tc>
          <w:tcPr>
            <w:tcW w:w="2698" w:type="dxa"/>
          </w:tcPr>
          <w:p w14:paraId="216E709F" w14:textId="77777777" w:rsidR="001F1CF1" w:rsidRPr="00AA1DF3" w:rsidRDefault="001F1CF1" w:rsidP="006A233D">
            <w:pPr>
              <w:jc w:val="center"/>
              <w:rPr>
                <w:rFonts w:cs="Calibri"/>
                <w:color w:val="000000"/>
              </w:rPr>
            </w:pPr>
          </w:p>
          <w:p w14:paraId="24E34480" w14:textId="77777777" w:rsidR="001F1CF1" w:rsidRPr="00AA1DF3" w:rsidRDefault="001F1CF1" w:rsidP="006A233D">
            <w:pPr>
              <w:jc w:val="center"/>
              <w:rPr>
                <w:rFonts w:cs="Calibri"/>
                <w:color w:val="000000"/>
              </w:rPr>
            </w:pPr>
          </w:p>
          <w:p w14:paraId="3DC7B9F1" w14:textId="77777777" w:rsidR="001F1CF1" w:rsidRPr="00AA1DF3" w:rsidRDefault="000300C5" w:rsidP="006A233D">
            <w:pPr>
              <w:jc w:val="center"/>
              <w:rPr>
                <w:rFonts w:cs="Calibri"/>
                <w:color w:val="000000"/>
              </w:rPr>
            </w:pPr>
            <w:r w:rsidRPr="00AA1DF3">
              <w:rPr>
                <w:rFonts w:cs="Calibri"/>
                <w:color w:val="000000"/>
                <w:lang w:val="en-US"/>
              </w:rPr>
              <w:t>-1.0 (95% CI: -2.5, 0.5)</w:t>
            </w:r>
          </w:p>
          <w:p w14:paraId="32352B6B" w14:textId="77777777" w:rsidR="001F1CF1" w:rsidRPr="00AA1DF3" w:rsidRDefault="001F1CF1" w:rsidP="006A233D">
            <w:pPr>
              <w:jc w:val="center"/>
              <w:rPr>
                <w:rFonts w:cs="Calibri"/>
                <w:color w:val="000000"/>
              </w:rPr>
            </w:pPr>
          </w:p>
          <w:p w14:paraId="3CCF6BAF" w14:textId="77777777" w:rsidR="001F1CF1" w:rsidRPr="00AA1DF3" w:rsidRDefault="001F1CF1" w:rsidP="006A233D">
            <w:pPr>
              <w:jc w:val="center"/>
              <w:rPr>
                <w:rFonts w:cs="Calibri"/>
                <w:color w:val="000000"/>
              </w:rPr>
            </w:pPr>
          </w:p>
          <w:p w14:paraId="7C62DACF" w14:textId="77777777" w:rsidR="001F1CF1" w:rsidRPr="00CB1E7C" w:rsidRDefault="000300C5" w:rsidP="006A233D">
            <w:pPr>
              <w:jc w:val="center"/>
              <w:rPr>
                <w:rFonts w:cs="Calibri"/>
                <w:color w:val="000000"/>
              </w:rPr>
            </w:pPr>
            <w:r w:rsidRPr="00AA1DF3">
              <w:rPr>
                <w:rFonts w:cs="Calibri"/>
                <w:color w:val="000000"/>
              </w:rPr>
              <w:t xml:space="preserve">26.3% (95% CI: </w:t>
            </w:r>
            <w:r w:rsidRPr="00AA1DF3">
              <w:t>1</w:t>
            </w:r>
            <w:r w:rsidRPr="00CB1E7C">
              <w:t>2.4, 40.2)</w:t>
            </w:r>
          </w:p>
        </w:tc>
      </w:tr>
      <w:tr w:rsidR="001F1CF1" w:rsidRPr="00B9099F" w14:paraId="22C24DEC" w14:textId="77777777" w:rsidTr="00D301CF">
        <w:trPr>
          <w:cantSplit/>
        </w:trPr>
        <w:tc>
          <w:tcPr>
            <w:tcW w:w="3685" w:type="dxa"/>
          </w:tcPr>
          <w:p w14:paraId="4AEED89E" w14:textId="77777777" w:rsidR="001F1CF1" w:rsidRPr="00B9099F" w:rsidRDefault="001F1CF1" w:rsidP="006A233D">
            <w:pPr>
              <w:rPr>
                <w:rFonts w:cs="Calibri"/>
                <w:b/>
                <w:color w:val="000000"/>
              </w:rPr>
            </w:pPr>
            <w:r w:rsidRPr="00B9099F">
              <w:rPr>
                <w:rFonts w:cs="Calibri"/>
                <w:b/>
                <w:color w:val="000000"/>
              </w:rPr>
              <w:t>RULM</w:t>
            </w:r>
          </w:p>
          <w:p w14:paraId="47F8F7BF" w14:textId="77777777" w:rsidR="001F1CF1" w:rsidRPr="00B9099F" w:rsidRDefault="001F1CF1" w:rsidP="006A233D">
            <w:pPr>
              <w:rPr>
                <w:rFonts w:cs="Calibri"/>
                <w:b/>
                <w:color w:val="000000"/>
              </w:rPr>
            </w:pPr>
          </w:p>
          <w:p w14:paraId="354525C4" w14:textId="1059DC62" w:rsidR="001F1CF1" w:rsidRPr="00B9099F" w:rsidRDefault="001F1CF1" w:rsidP="006A233D">
            <w:pPr>
              <w:rPr>
                <w:rFonts w:cs="Calibri"/>
                <w:color w:val="000000"/>
              </w:rPr>
            </w:pPr>
            <w:r w:rsidRPr="00B9099F">
              <w:rPr>
                <w:rFonts w:cs="Calibri"/>
                <w:color w:val="000000"/>
              </w:rPr>
              <w:t>Mean change from baseline to month 15 in total RULM score</w:t>
            </w:r>
            <w:r w:rsidRPr="00B9099F">
              <w:rPr>
                <w:rFonts w:cs="Calibri"/>
                <w:color w:val="000000"/>
                <w:vertAlign w:val="superscript"/>
              </w:rPr>
              <w:t>2</w:t>
            </w:r>
            <w:r w:rsidR="00A9357C" w:rsidRPr="00B9099F">
              <w:rPr>
                <w:rFonts w:cs="Calibri"/>
                <w:color w:val="000000"/>
                <w:vertAlign w:val="superscript"/>
              </w:rPr>
              <w:t>,3</w:t>
            </w:r>
            <w:r w:rsidR="001A6293">
              <w:rPr>
                <w:rFonts w:cs="Calibri"/>
                <w:color w:val="000000"/>
                <w:vertAlign w:val="superscript"/>
              </w:rPr>
              <w:t>,4</w:t>
            </w:r>
          </w:p>
        </w:tc>
        <w:tc>
          <w:tcPr>
            <w:tcW w:w="2634" w:type="dxa"/>
          </w:tcPr>
          <w:p w14:paraId="38C69FB4" w14:textId="77777777" w:rsidR="001F1CF1" w:rsidRPr="00B9099F" w:rsidRDefault="001F1CF1" w:rsidP="006A233D">
            <w:pPr>
              <w:jc w:val="center"/>
              <w:rPr>
                <w:rFonts w:cs="Calibri"/>
                <w:color w:val="000000"/>
              </w:rPr>
            </w:pPr>
          </w:p>
          <w:p w14:paraId="36E98B84" w14:textId="77777777" w:rsidR="001F1CF1" w:rsidRPr="00B9099F" w:rsidRDefault="001F1CF1" w:rsidP="006A233D">
            <w:pPr>
              <w:jc w:val="center"/>
              <w:rPr>
                <w:rFonts w:cs="Calibri"/>
                <w:color w:val="000000"/>
              </w:rPr>
            </w:pPr>
          </w:p>
          <w:p w14:paraId="389A199A" w14:textId="21552AD4" w:rsidR="000300C5" w:rsidRPr="00381933" w:rsidRDefault="000300C5" w:rsidP="000300C5">
            <w:pPr>
              <w:jc w:val="center"/>
            </w:pPr>
            <w:r w:rsidRPr="002963C4">
              <w:rPr>
                <w:rFonts w:cs="Calibri"/>
                <w:color w:val="000000"/>
              </w:rPr>
              <w:t>4.2</w:t>
            </w:r>
            <w:r w:rsidR="00DA1AF0">
              <w:rPr>
                <w:rFonts w:cs="Calibri"/>
                <w:color w:val="000000"/>
              </w:rPr>
              <w:t xml:space="preserve"> </w:t>
            </w:r>
            <w:r w:rsidRPr="002963C4">
              <w:rPr>
                <w:rFonts w:cs="Calibri"/>
                <w:color w:val="000000"/>
              </w:rPr>
              <w:t xml:space="preserve">(95% CI: </w:t>
            </w:r>
            <w:r w:rsidRPr="00381933">
              <w:t>3.4, 5.0)</w:t>
            </w:r>
          </w:p>
          <w:p w14:paraId="0AD4E9D6" w14:textId="42AB2F7C" w:rsidR="001F1CF1" w:rsidRPr="00381933" w:rsidRDefault="001F1CF1" w:rsidP="000300C5">
            <w:pPr>
              <w:jc w:val="center"/>
              <w:rPr>
                <w:rFonts w:cs="Calibri"/>
                <w:color w:val="000000"/>
              </w:rPr>
            </w:pPr>
          </w:p>
        </w:tc>
        <w:tc>
          <w:tcPr>
            <w:tcW w:w="2698" w:type="dxa"/>
          </w:tcPr>
          <w:p w14:paraId="251B75C2" w14:textId="77777777" w:rsidR="001F1CF1" w:rsidRPr="00381933" w:rsidRDefault="001F1CF1" w:rsidP="006A233D">
            <w:pPr>
              <w:jc w:val="center"/>
              <w:rPr>
                <w:rFonts w:cs="Calibri"/>
                <w:color w:val="000000"/>
              </w:rPr>
            </w:pPr>
          </w:p>
          <w:p w14:paraId="2981641A" w14:textId="77777777" w:rsidR="001F1CF1" w:rsidRPr="00381933" w:rsidRDefault="001F1CF1" w:rsidP="006A233D">
            <w:pPr>
              <w:jc w:val="center"/>
              <w:rPr>
                <w:rFonts w:cs="Calibri"/>
                <w:color w:val="000000"/>
              </w:rPr>
            </w:pPr>
          </w:p>
          <w:p w14:paraId="63E9FE01" w14:textId="77777777" w:rsidR="001F1CF1" w:rsidRPr="008908E5" w:rsidRDefault="000300C5" w:rsidP="006A233D">
            <w:pPr>
              <w:jc w:val="center"/>
              <w:rPr>
                <w:rFonts w:cs="Calibri"/>
                <w:color w:val="000000"/>
              </w:rPr>
            </w:pPr>
            <w:r w:rsidRPr="008908E5">
              <w:rPr>
                <w:rFonts w:cs="Calibri"/>
                <w:color w:val="000000"/>
              </w:rPr>
              <w:t>0.5 (95% CI: -0.6, 1.6)</w:t>
            </w:r>
          </w:p>
        </w:tc>
      </w:tr>
      <w:tr w:rsidR="001F1CF1" w:rsidRPr="00B9099F" w14:paraId="52ED3096" w14:textId="77777777" w:rsidTr="00D301CF">
        <w:trPr>
          <w:cantSplit/>
          <w:trHeight w:val="170"/>
        </w:trPr>
        <w:tc>
          <w:tcPr>
            <w:tcW w:w="3685" w:type="dxa"/>
          </w:tcPr>
          <w:p w14:paraId="13341D3F" w14:textId="77777777" w:rsidR="001F1CF1" w:rsidRPr="00B9099F" w:rsidRDefault="001F1CF1" w:rsidP="006A233D">
            <w:pPr>
              <w:rPr>
                <w:rFonts w:cs="Calibri"/>
                <w:b/>
                <w:color w:val="000000"/>
              </w:rPr>
            </w:pPr>
            <w:r w:rsidRPr="00B9099F">
              <w:rPr>
                <w:rFonts w:cs="Calibri"/>
                <w:b/>
                <w:color w:val="000000"/>
              </w:rPr>
              <w:t>WHO motor milestones</w:t>
            </w:r>
          </w:p>
          <w:p w14:paraId="5152AA71" w14:textId="77777777" w:rsidR="001F1CF1" w:rsidRPr="00B9099F" w:rsidRDefault="001F1CF1" w:rsidP="006A233D">
            <w:pPr>
              <w:rPr>
                <w:rFonts w:cs="Calibri"/>
                <w:b/>
                <w:color w:val="000000"/>
              </w:rPr>
            </w:pPr>
          </w:p>
          <w:p w14:paraId="6B617F80" w14:textId="6268542C" w:rsidR="001F1CF1" w:rsidRPr="00B9099F" w:rsidRDefault="001F1CF1" w:rsidP="006A233D">
            <w:pPr>
              <w:rPr>
                <w:rFonts w:cs="Calibri"/>
                <w:color w:val="000000"/>
                <w:vertAlign w:val="superscript"/>
              </w:rPr>
            </w:pPr>
            <w:r w:rsidRPr="00B9099F">
              <w:rPr>
                <w:rFonts w:cs="Calibri"/>
                <w:color w:val="000000"/>
              </w:rPr>
              <w:t xml:space="preserve">Proportion of </w:t>
            </w:r>
            <w:r w:rsidRPr="00B9099F">
              <w:t xml:space="preserve">patients </w:t>
            </w:r>
            <w:r w:rsidRPr="00B9099F">
              <w:rPr>
                <w:rFonts w:cs="Calibri"/>
                <w:color w:val="000000"/>
              </w:rPr>
              <w:t>who achieved new motor milestone</w:t>
            </w:r>
            <w:r w:rsidR="000300C5" w:rsidRPr="00B9099F">
              <w:rPr>
                <w:rFonts w:cs="Calibri"/>
                <w:color w:val="000000"/>
              </w:rPr>
              <w:t>s</w:t>
            </w:r>
            <w:r w:rsidRPr="00B9099F">
              <w:rPr>
                <w:rFonts w:cs="Calibri"/>
                <w:color w:val="000000"/>
              </w:rPr>
              <w:t xml:space="preserve"> at 15 months</w:t>
            </w:r>
            <w:r w:rsidR="001A6293">
              <w:rPr>
                <w:rFonts w:cs="Calibri"/>
                <w:color w:val="000000"/>
                <w:vertAlign w:val="superscript"/>
              </w:rPr>
              <w:t>5</w:t>
            </w:r>
          </w:p>
          <w:p w14:paraId="16653229" w14:textId="77777777" w:rsidR="001F1CF1" w:rsidRPr="00B9099F" w:rsidRDefault="001F1CF1" w:rsidP="006A233D">
            <w:pPr>
              <w:rPr>
                <w:rFonts w:cs="Calibri"/>
                <w:color w:val="000000"/>
                <w:vertAlign w:val="superscript"/>
              </w:rPr>
            </w:pPr>
          </w:p>
          <w:p w14:paraId="43420EA9" w14:textId="77777777" w:rsidR="00A9357C" w:rsidRPr="00B9099F" w:rsidRDefault="00A9357C" w:rsidP="006A233D">
            <w:pPr>
              <w:rPr>
                <w:rFonts w:cs="Calibri"/>
                <w:color w:val="000000"/>
              </w:rPr>
            </w:pPr>
          </w:p>
          <w:p w14:paraId="583932F9" w14:textId="5771FB24" w:rsidR="001F1CF1" w:rsidRPr="00B9099F" w:rsidRDefault="001F1CF1" w:rsidP="006A233D">
            <w:pPr>
              <w:rPr>
                <w:rFonts w:cs="Calibri"/>
                <w:color w:val="000000"/>
                <w:vertAlign w:val="superscript"/>
              </w:rPr>
            </w:pPr>
            <w:r w:rsidRPr="00B9099F">
              <w:rPr>
                <w:rFonts w:cs="Calibri"/>
                <w:color w:val="000000"/>
              </w:rPr>
              <w:t>Mean number of new motor milestones attained</w:t>
            </w:r>
            <w:r w:rsidR="00CD30C8" w:rsidRPr="00B9099F">
              <w:rPr>
                <w:rFonts w:cs="Calibri"/>
                <w:color w:val="000000"/>
                <w:vertAlign w:val="superscript"/>
              </w:rPr>
              <w:t>3,</w:t>
            </w:r>
            <w:r w:rsidR="00A44C38" w:rsidRPr="00B9099F">
              <w:rPr>
                <w:rFonts w:cs="Calibri"/>
                <w:color w:val="000000"/>
                <w:vertAlign w:val="superscript"/>
              </w:rPr>
              <w:t>4</w:t>
            </w:r>
            <w:r w:rsidR="001A6293">
              <w:rPr>
                <w:rFonts w:cs="Calibri"/>
                <w:color w:val="000000"/>
                <w:vertAlign w:val="superscript"/>
              </w:rPr>
              <w:t>,5</w:t>
            </w:r>
          </w:p>
          <w:p w14:paraId="25656289" w14:textId="77777777" w:rsidR="00A44C38" w:rsidRPr="00B9099F" w:rsidRDefault="00A44C38" w:rsidP="006A233D">
            <w:pPr>
              <w:rPr>
                <w:rFonts w:cs="Calibri"/>
                <w:color w:val="000000"/>
                <w:vertAlign w:val="superscript"/>
              </w:rPr>
            </w:pPr>
          </w:p>
          <w:p w14:paraId="3D81E0B6" w14:textId="77777777" w:rsidR="00A44C38" w:rsidRPr="00B9099F" w:rsidRDefault="00A44C38" w:rsidP="006A233D">
            <w:pPr>
              <w:rPr>
                <w:rFonts w:cs="Calibri"/>
                <w:color w:val="000000"/>
              </w:rPr>
            </w:pPr>
          </w:p>
        </w:tc>
        <w:tc>
          <w:tcPr>
            <w:tcW w:w="2634" w:type="dxa"/>
          </w:tcPr>
          <w:p w14:paraId="3A966FC6" w14:textId="77777777" w:rsidR="001F1CF1" w:rsidRPr="00B9099F" w:rsidRDefault="001F1CF1" w:rsidP="006A233D">
            <w:pPr>
              <w:jc w:val="center"/>
              <w:rPr>
                <w:rFonts w:eastAsiaTheme="minorHAnsi"/>
                <w:color w:val="000000"/>
                <w:lang w:val="en-GB" w:eastAsia="en-GB"/>
              </w:rPr>
            </w:pPr>
          </w:p>
          <w:p w14:paraId="384AC79C" w14:textId="77777777" w:rsidR="001F1CF1" w:rsidRPr="00B9099F" w:rsidRDefault="001F1CF1" w:rsidP="006A233D">
            <w:pPr>
              <w:jc w:val="center"/>
              <w:rPr>
                <w:color w:val="000000"/>
                <w:lang w:val="en-GB" w:eastAsia="en-GB"/>
              </w:rPr>
            </w:pPr>
          </w:p>
          <w:p w14:paraId="27D88CDB" w14:textId="3C49705A" w:rsidR="001F1CF1" w:rsidRPr="00381933" w:rsidRDefault="000300C5" w:rsidP="006A233D">
            <w:pPr>
              <w:jc w:val="center"/>
              <w:rPr>
                <w:color w:val="000000"/>
                <w:lang w:val="en-GB" w:eastAsia="en-GB"/>
              </w:rPr>
            </w:pPr>
            <w:r w:rsidRPr="002963C4">
              <w:rPr>
                <w:color w:val="000000"/>
                <w:lang w:val="en-GB" w:eastAsia="en-GB"/>
              </w:rPr>
              <w:t>19.7</w:t>
            </w:r>
            <w:r w:rsidR="00CB1E7C">
              <w:rPr>
                <w:color w:val="000000"/>
                <w:lang w:val="en-GB" w:eastAsia="en-GB"/>
              </w:rPr>
              <w:t xml:space="preserve">% </w:t>
            </w:r>
            <w:r w:rsidRPr="002963C4">
              <w:rPr>
                <w:color w:val="000000"/>
                <w:lang w:val="en-GB" w:eastAsia="en-GB"/>
              </w:rPr>
              <w:t xml:space="preserve">(95% CI: </w:t>
            </w:r>
            <w:r w:rsidRPr="00381933">
              <w:t>10.9, 31.3)</w:t>
            </w:r>
          </w:p>
          <w:p w14:paraId="39A07797" w14:textId="77777777" w:rsidR="000300C5" w:rsidRPr="00381933" w:rsidRDefault="000300C5" w:rsidP="000300C5">
            <w:pPr>
              <w:jc w:val="center"/>
              <w:rPr>
                <w:color w:val="000000"/>
                <w:lang w:val="en-GB" w:eastAsia="en-GB"/>
              </w:rPr>
            </w:pPr>
            <w:r w:rsidRPr="00381933">
              <w:t>p=0.0811</w:t>
            </w:r>
          </w:p>
          <w:p w14:paraId="5C18A103" w14:textId="77777777" w:rsidR="000300C5" w:rsidRPr="00381933" w:rsidRDefault="000300C5" w:rsidP="006A233D">
            <w:pPr>
              <w:jc w:val="center"/>
              <w:rPr>
                <w:color w:val="000000"/>
                <w:lang w:val="en-GB" w:eastAsia="en-GB"/>
              </w:rPr>
            </w:pPr>
          </w:p>
          <w:p w14:paraId="37E5E308" w14:textId="77777777" w:rsidR="001F1CF1" w:rsidRPr="008908E5" w:rsidRDefault="001F1CF1" w:rsidP="006A233D">
            <w:pPr>
              <w:jc w:val="center"/>
              <w:rPr>
                <w:color w:val="000000"/>
                <w:lang w:val="en-GB" w:eastAsia="en-GB"/>
              </w:rPr>
            </w:pPr>
          </w:p>
          <w:p w14:paraId="094375D0" w14:textId="77777777" w:rsidR="00A9357C" w:rsidRPr="00D857DD" w:rsidRDefault="00A9357C" w:rsidP="00A9357C">
            <w:pPr>
              <w:jc w:val="center"/>
              <w:rPr>
                <w:color w:val="000000"/>
                <w:lang w:val="en-GB" w:eastAsia="en-GB"/>
              </w:rPr>
            </w:pPr>
            <w:r w:rsidRPr="00D857DD">
              <w:rPr>
                <w:color w:val="000000"/>
                <w:lang w:val="en-GB" w:eastAsia="en-GB"/>
              </w:rPr>
              <w:t xml:space="preserve">0.2 (range -1 to 2, 95% CI: </w:t>
            </w:r>
            <w:r w:rsidRPr="00D857DD">
              <w:t>0.1, 0.3</w:t>
            </w:r>
            <w:r w:rsidRPr="00D857DD">
              <w:rPr>
                <w:color w:val="000000"/>
                <w:lang w:val="en-GB" w:eastAsia="en-GB"/>
              </w:rPr>
              <w:t>)</w:t>
            </w:r>
          </w:p>
          <w:p w14:paraId="5B73112D" w14:textId="77777777" w:rsidR="001F1CF1" w:rsidRPr="00AA1DF3" w:rsidRDefault="001F1CF1">
            <w:pPr>
              <w:jc w:val="center"/>
              <w:rPr>
                <w:rFonts w:eastAsiaTheme="minorHAnsi"/>
                <w:color w:val="000000"/>
                <w:lang w:val="en-GB" w:eastAsia="en-GB"/>
              </w:rPr>
            </w:pPr>
          </w:p>
        </w:tc>
        <w:tc>
          <w:tcPr>
            <w:tcW w:w="2698" w:type="dxa"/>
          </w:tcPr>
          <w:p w14:paraId="6866C0B0" w14:textId="77777777" w:rsidR="001F1CF1" w:rsidRPr="00AA1DF3" w:rsidRDefault="001F1CF1" w:rsidP="006A233D">
            <w:pPr>
              <w:jc w:val="center"/>
              <w:rPr>
                <w:rFonts w:eastAsiaTheme="minorHAnsi"/>
                <w:color w:val="000000"/>
                <w:lang w:val="en-GB" w:eastAsia="en-GB"/>
              </w:rPr>
            </w:pPr>
          </w:p>
          <w:p w14:paraId="48FB1BDE" w14:textId="77777777" w:rsidR="001F1CF1" w:rsidRPr="00AA1DF3" w:rsidRDefault="001F1CF1" w:rsidP="006A233D">
            <w:pPr>
              <w:jc w:val="center"/>
              <w:rPr>
                <w:color w:val="000000"/>
                <w:lang w:val="en-GB" w:eastAsia="en-GB"/>
              </w:rPr>
            </w:pPr>
          </w:p>
          <w:p w14:paraId="6468FE1F" w14:textId="4F664234" w:rsidR="001F1CF1" w:rsidRPr="00AA1DF3" w:rsidRDefault="000300C5" w:rsidP="006A233D">
            <w:pPr>
              <w:jc w:val="center"/>
              <w:rPr>
                <w:color w:val="000000"/>
                <w:lang w:val="en-GB" w:eastAsia="en-GB"/>
              </w:rPr>
            </w:pPr>
            <w:r w:rsidRPr="00AA1DF3">
              <w:rPr>
                <w:color w:val="000000"/>
                <w:lang w:val="en-GB" w:eastAsia="en-GB"/>
              </w:rPr>
              <w:t>5.9</w:t>
            </w:r>
            <w:r w:rsidR="00CB1E7C">
              <w:rPr>
                <w:color w:val="000000"/>
                <w:lang w:val="en-GB" w:eastAsia="en-GB"/>
              </w:rPr>
              <w:t>%</w:t>
            </w:r>
            <w:r w:rsidRPr="00AA1DF3">
              <w:rPr>
                <w:color w:val="000000"/>
                <w:lang w:val="en-GB" w:eastAsia="en-GB"/>
              </w:rPr>
              <w:t xml:space="preserve"> (95% CI: </w:t>
            </w:r>
            <w:r w:rsidRPr="00AA1DF3">
              <w:t>0.7, 19.7)</w:t>
            </w:r>
          </w:p>
          <w:p w14:paraId="2AE9C960" w14:textId="77777777" w:rsidR="001F1CF1" w:rsidRPr="00AA1DF3" w:rsidRDefault="001F1CF1" w:rsidP="006A233D">
            <w:pPr>
              <w:jc w:val="center"/>
              <w:rPr>
                <w:color w:val="000000"/>
                <w:lang w:val="en-GB" w:eastAsia="en-GB"/>
              </w:rPr>
            </w:pPr>
          </w:p>
          <w:p w14:paraId="65DF20BE" w14:textId="77777777" w:rsidR="001F1CF1" w:rsidRPr="00CB1E7C" w:rsidRDefault="001F1CF1" w:rsidP="006A233D">
            <w:pPr>
              <w:jc w:val="center"/>
              <w:rPr>
                <w:color w:val="000000"/>
                <w:lang w:val="en-GB" w:eastAsia="en-GB"/>
              </w:rPr>
            </w:pPr>
          </w:p>
          <w:p w14:paraId="3BF8140E" w14:textId="77777777" w:rsidR="00A9357C" w:rsidRPr="00CB1E7C" w:rsidRDefault="00A9357C" w:rsidP="006A233D">
            <w:pPr>
              <w:jc w:val="center"/>
              <w:rPr>
                <w:color w:val="000000"/>
                <w:lang w:val="en-GB" w:eastAsia="en-GB"/>
              </w:rPr>
            </w:pPr>
          </w:p>
          <w:p w14:paraId="518BA2F5" w14:textId="77777777" w:rsidR="001F1CF1" w:rsidRPr="00CB1E7C" w:rsidRDefault="000300C5" w:rsidP="006A233D">
            <w:pPr>
              <w:jc w:val="center"/>
              <w:rPr>
                <w:color w:val="000000"/>
                <w:vertAlign w:val="superscript"/>
                <w:lang w:val="en-GB" w:eastAsia="en-GB"/>
              </w:rPr>
            </w:pPr>
            <w:r w:rsidRPr="00CB1E7C">
              <w:rPr>
                <w:color w:val="000000"/>
                <w:lang w:val="en-GB" w:eastAsia="en-GB"/>
              </w:rPr>
              <w:t xml:space="preserve">-0.2 (range -1 to 1, 95% CI: </w:t>
            </w:r>
            <w:r w:rsidRPr="00CB1E7C">
              <w:t>-0.4, 0.0</w:t>
            </w:r>
            <w:r w:rsidRPr="00CB1E7C">
              <w:rPr>
                <w:color w:val="000000"/>
                <w:lang w:val="en-GB" w:eastAsia="en-GB"/>
              </w:rPr>
              <w:t>)</w:t>
            </w:r>
            <w:r w:rsidRPr="00CB1E7C">
              <w:rPr>
                <w:color w:val="000000"/>
                <w:vertAlign w:val="superscript"/>
                <w:lang w:val="en-GB" w:eastAsia="en-GB"/>
              </w:rPr>
              <w:t>3</w:t>
            </w:r>
          </w:p>
          <w:p w14:paraId="74F76BBD" w14:textId="77777777" w:rsidR="00A9357C" w:rsidRPr="00CB1E7C" w:rsidRDefault="00A9357C" w:rsidP="00CD30C8">
            <w:pPr>
              <w:jc w:val="center"/>
              <w:rPr>
                <w:rFonts w:eastAsiaTheme="minorHAnsi"/>
                <w:color w:val="000000"/>
                <w:lang w:val="en-GB" w:eastAsia="en-GB"/>
              </w:rPr>
            </w:pPr>
          </w:p>
        </w:tc>
      </w:tr>
    </w:tbl>
    <w:p w14:paraId="17BAA8EF" w14:textId="25800FFB" w:rsidR="001A6293" w:rsidRPr="00BE6281" w:rsidRDefault="001A6293" w:rsidP="00BE6281">
      <w:pPr>
        <w:autoSpaceDE w:val="0"/>
        <w:autoSpaceDN w:val="0"/>
        <w:adjustRightInd w:val="0"/>
        <w:rPr>
          <w:sz w:val="20"/>
          <w:szCs w:val="22"/>
        </w:rPr>
      </w:pPr>
      <w:r w:rsidRPr="00BE6281">
        <w:rPr>
          <w:sz w:val="20"/>
          <w:szCs w:val="22"/>
          <w:vertAlign w:val="superscript"/>
        </w:rPr>
        <w:t>1</w:t>
      </w:r>
      <w:r w:rsidR="005D1C23" w:rsidRPr="00BE6281">
        <w:rPr>
          <w:sz w:val="20"/>
          <w:szCs w:val="22"/>
        </w:rPr>
        <w:t>CS4 was stopped following positive statistical analysis on the primary endpoint at interim analysis (statistically significant improvement from baseline HFMSE score was observed in S</w:t>
      </w:r>
      <w:r w:rsidR="005D1C23">
        <w:rPr>
          <w:sz w:val="20"/>
          <w:szCs w:val="22"/>
        </w:rPr>
        <w:t>PINRAZA</w:t>
      </w:r>
      <w:r w:rsidR="005D1C23" w:rsidRPr="00BE6281">
        <w:rPr>
          <w:sz w:val="20"/>
          <w:szCs w:val="22"/>
        </w:rPr>
        <w:t xml:space="preserve"> treated patients compared to the sham</w:t>
      </w:r>
      <w:r w:rsidR="005D1C23" w:rsidRPr="00BE6281">
        <w:rPr>
          <w:sz w:val="20"/>
          <w:szCs w:val="22"/>
        </w:rPr>
        <w:noBreakHyphen/>
        <w:t>control patients (S</w:t>
      </w:r>
      <w:r w:rsidR="005D1C23">
        <w:rPr>
          <w:sz w:val="20"/>
          <w:szCs w:val="22"/>
        </w:rPr>
        <w:t>PINRAZA</w:t>
      </w:r>
      <w:r w:rsidR="005D1C23" w:rsidRPr="00BE6281">
        <w:rPr>
          <w:sz w:val="20"/>
          <w:szCs w:val="22"/>
        </w:rPr>
        <w:t xml:space="preserve"> vs. sham-control: 4.0 vs. -1.9;</w:t>
      </w:r>
      <w:r w:rsidR="005D1C23">
        <w:rPr>
          <w:sz w:val="20"/>
          <w:szCs w:val="22"/>
        </w:rPr>
        <w:t xml:space="preserve"> </w:t>
      </w:r>
      <w:r w:rsidR="005D1C23" w:rsidRPr="00BE6281">
        <w:rPr>
          <w:sz w:val="20"/>
          <w:szCs w:val="22"/>
        </w:rPr>
        <w:t>p=0.0000002))</w:t>
      </w:r>
      <w:r w:rsidR="005D1C23">
        <w:rPr>
          <w:sz w:val="20"/>
          <w:szCs w:val="22"/>
        </w:rPr>
        <w:t>.</w:t>
      </w:r>
    </w:p>
    <w:p w14:paraId="706DDF4E" w14:textId="4ABC8824" w:rsidR="001F1CF1" w:rsidRPr="00B9099F" w:rsidRDefault="001A6293" w:rsidP="001F1CF1">
      <w:pPr>
        <w:rPr>
          <w:sz w:val="20"/>
          <w:szCs w:val="22"/>
        </w:rPr>
      </w:pPr>
      <w:r>
        <w:rPr>
          <w:sz w:val="20"/>
          <w:szCs w:val="22"/>
          <w:vertAlign w:val="superscript"/>
        </w:rPr>
        <w:t>2</w:t>
      </w:r>
      <w:r w:rsidR="00A44C38" w:rsidRPr="00B9099F">
        <w:rPr>
          <w:sz w:val="20"/>
          <w:szCs w:val="22"/>
        </w:rPr>
        <w:t>A</w:t>
      </w:r>
      <w:r w:rsidR="001F1CF1" w:rsidRPr="00B9099F">
        <w:rPr>
          <w:sz w:val="20"/>
          <w:szCs w:val="22"/>
        </w:rPr>
        <w:t>ssessed using the Intent to Treat population (</w:t>
      </w:r>
      <w:r w:rsidR="002C4C67" w:rsidRPr="00B9099F">
        <w:rPr>
          <w:sz w:val="20"/>
          <w:szCs w:val="22"/>
        </w:rPr>
        <w:t>SPINRAZA</w:t>
      </w:r>
      <w:r w:rsidR="001F1CF1" w:rsidRPr="00B9099F">
        <w:rPr>
          <w:sz w:val="20"/>
          <w:szCs w:val="22"/>
        </w:rPr>
        <w:t xml:space="preserve"> n=84; Sham</w:t>
      </w:r>
      <w:r w:rsidR="001F1CF1" w:rsidRPr="00B9099F">
        <w:rPr>
          <w:sz w:val="20"/>
          <w:szCs w:val="22"/>
        </w:rPr>
        <w:noBreakHyphen/>
      </w:r>
      <w:r w:rsidR="001F1CF1" w:rsidRPr="00B9099F">
        <w:rPr>
          <w:sz w:val="20"/>
          <w:szCs w:val="20"/>
        </w:rPr>
        <w:t xml:space="preserve">control n=42); data for </w:t>
      </w:r>
      <w:r w:rsidR="001F1CF1" w:rsidRPr="00B9099F">
        <w:rPr>
          <w:sz w:val="20"/>
        </w:rPr>
        <w:t xml:space="preserve">patients </w:t>
      </w:r>
      <w:r w:rsidR="001F1CF1" w:rsidRPr="00B9099F">
        <w:rPr>
          <w:sz w:val="20"/>
          <w:szCs w:val="20"/>
        </w:rPr>
        <w:t xml:space="preserve">without a Month 15 visit were imputed using the multiple imputation </w:t>
      </w:r>
      <w:r w:rsidR="001F1CF1" w:rsidRPr="00B9099F">
        <w:rPr>
          <w:sz w:val="20"/>
          <w:szCs w:val="22"/>
        </w:rPr>
        <w:t>method</w:t>
      </w:r>
      <w:r w:rsidR="005D1C23">
        <w:rPr>
          <w:sz w:val="20"/>
          <w:szCs w:val="22"/>
        </w:rPr>
        <w:t>.</w:t>
      </w:r>
    </w:p>
    <w:p w14:paraId="421C93FE" w14:textId="3DBFB4C8" w:rsidR="001F1CF1" w:rsidRPr="00B9099F" w:rsidRDefault="001A6293" w:rsidP="001F1CF1">
      <w:pPr>
        <w:rPr>
          <w:sz w:val="20"/>
          <w:szCs w:val="22"/>
        </w:rPr>
      </w:pPr>
      <w:r>
        <w:rPr>
          <w:sz w:val="20"/>
          <w:szCs w:val="22"/>
          <w:vertAlign w:val="superscript"/>
        </w:rPr>
        <w:t>3</w:t>
      </w:r>
      <w:r w:rsidR="001F1CF1" w:rsidRPr="00B9099F">
        <w:rPr>
          <w:sz w:val="20"/>
          <w:szCs w:val="22"/>
        </w:rPr>
        <w:t>Least squares mean</w:t>
      </w:r>
      <w:r w:rsidR="005D1C23">
        <w:rPr>
          <w:sz w:val="20"/>
          <w:szCs w:val="22"/>
        </w:rPr>
        <w:t>.</w:t>
      </w:r>
    </w:p>
    <w:p w14:paraId="5D665D66" w14:textId="7E871F1D" w:rsidR="001F1CF1" w:rsidRPr="00B9099F" w:rsidRDefault="001A6293" w:rsidP="001F1CF1">
      <w:pPr>
        <w:rPr>
          <w:sz w:val="20"/>
          <w:szCs w:val="22"/>
        </w:rPr>
      </w:pPr>
      <w:r>
        <w:rPr>
          <w:sz w:val="20"/>
          <w:szCs w:val="22"/>
          <w:vertAlign w:val="superscript"/>
        </w:rPr>
        <w:t>4</w:t>
      </w:r>
      <w:r w:rsidR="001F1CF1" w:rsidRPr="00B9099F">
        <w:rPr>
          <w:sz w:val="20"/>
          <w:szCs w:val="22"/>
        </w:rPr>
        <w:t>Negative value indicates worsening, positive value indicates improvement.</w:t>
      </w:r>
    </w:p>
    <w:p w14:paraId="3B1A0200" w14:textId="20C1A029" w:rsidR="000300C5" w:rsidRPr="00B9099F" w:rsidRDefault="001A6293" w:rsidP="000300C5">
      <w:pPr>
        <w:jc w:val="left"/>
        <w:rPr>
          <w:rFonts w:cs="Arial"/>
          <w:sz w:val="20"/>
          <w:szCs w:val="22"/>
          <w:lang w:val="en-US"/>
        </w:rPr>
      </w:pPr>
      <w:r>
        <w:rPr>
          <w:rFonts w:cs="Arial"/>
          <w:sz w:val="20"/>
          <w:szCs w:val="22"/>
          <w:vertAlign w:val="superscript"/>
          <w:lang w:val="en-US"/>
        </w:rPr>
        <w:t>5</w:t>
      </w:r>
      <w:r w:rsidR="000300C5" w:rsidRPr="00B9099F">
        <w:rPr>
          <w:rFonts w:cs="Arial"/>
          <w:sz w:val="20"/>
          <w:szCs w:val="22"/>
          <w:lang w:val="en-US"/>
        </w:rPr>
        <w:t>Assessed using the Month 15 Efficacy Set (</w:t>
      </w:r>
      <w:r w:rsidR="00CD30C8" w:rsidRPr="00B9099F">
        <w:rPr>
          <w:sz w:val="20"/>
          <w:szCs w:val="22"/>
        </w:rPr>
        <w:t xml:space="preserve">SPINRAZA </w:t>
      </w:r>
      <w:r w:rsidR="000300C5" w:rsidRPr="00B9099F">
        <w:rPr>
          <w:rFonts w:cs="Arial"/>
          <w:sz w:val="20"/>
          <w:szCs w:val="22"/>
          <w:lang w:val="en-US"/>
        </w:rPr>
        <w:t>n=66; Sham control n=34</w:t>
      </w:r>
      <w:r>
        <w:rPr>
          <w:rFonts w:cs="Arial"/>
          <w:sz w:val="20"/>
          <w:szCs w:val="22"/>
          <w:lang w:val="en-US"/>
        </w:rPr>
        <w:t>)</w:t>
      </w:r>
      <w:r w:rsidR="000300C5" w:rsidRPr="00B9099F">
        <w:rPr>
          <w:rFonts w:cs="Arial"/>
          <w:sz w:val="20"/>
          <w:szCs w:val="22"/>
          <w:lang w:val="en-US"/>
        </w:rPr>
        <w:t>; analyses are based on imputed data when there are missing data.</w:t>
      </w:r>
    </w:p>
    <w:p w14:paraId="6FCB7BB6" w14:textId="3F2A0BDA" w:rsidR="000300C5" w:rsidRDefault="001A6293" w:rsidP="00CD30C8">
      <w:pPr>
        <w:jc w:val="left"/>
        <w:rPr>
          <w:rFonts w:cs="Arial"/>
          <w:sz w:val="20"/>
          <w:szCs w:val="22"/>
          <w:lang w:val="en-US"/>
        </w:rPr>
      </w:pPr>
      <w:proofErr w:type="gramStart"/>
      <w:r>
        <w:rPr>
          <w:rFonts w:cs="Arial"/>
          <w:sz w:val="20"/>
          <w:szCs w:val="22"/>
          <w:vertAlign w:val="superscript"/>
          <w:lang w:val="en-US"/>
        </w:rPr>
        <w:t>6</w:t>
      </w:r>
      <w:r w:rsidR="00CD30C8" w:rsidRPr="00B9099F">
        <w:rPr>
          <w:rFonts w:cs="Arial"/>
          <w:sz w:val="20"/>
          <w:szCs w:val="22"/>
          <w:lang w:val="en-US"/>
        </w:rPr>
        <w:t>Based on logistic regression with treatment effect and adjustment for each subject's age at screening and HFMSE score at baseline</w:t>
      </w:r>
      <w:r>
        <w:rPr>
          <w:rFonts w:cs="Arial"/>
          <w:sz w:val="20"/>
          <w:szCs w:val="22"/>
          <w:lang w:val="en-US"/>
        </w:rPr>
        <w:t>.</w:t>
      </w:r>
      <w:proofErr w:type="gramEnd"/>
    </w:p>
    <w:p w14:paraId="6C55DA6B" w14:textId="77777777" w:rsidR="001420B7" w:rsidRPr="00B9099F" w:rsidRDefault="001420B7" w:rsidP="00993CF0">
      <w:pPr>
        <w:jc w:val="left"/>
        <w:rPr>
          <w:sz w:val="20"/>
          <w:szCs w:val="22"/>
        </w:rPr>
      </w:pPr>
    </w:p>
    <w:p w14:paraId="34A92AE4" w14:textId="790DC676" w:rsidR="001420B7" w:rsidRPr="00B9099F" w:rsidRDefault="001420B7" w:rsidP="001420B7">
      <w:pPr>
        <w:rPr>
          <w:b/>
        </w:rPr>
      </w:pPr>
      <w:r w:rsidRPr="00B9099F">
        <w:br w:type="page"/>
      </w:r>
      <w:r w:rsidRPr="00B9099F">
        <w:rPr>
          <w:b/>
        </w:rPr>
        <w:lastRenderedPageBreak/>
        <w:t xml:space="preserve">Figure 4: Waterfall plot for change from baseline to Month 15 on HFMSE at final analysis </w:t>
      </w:r>
      <w:proofErr w:type="gramStart"/>
      <w:r w:rsidRPr="00B9099F">
        <w:rPr>
          <w:b/>
        </w:rPr>
        <w:t>( ITT</w:t>
      </w:r>
      <w:proofErr w:type="gramEnd"/>
      <w:r w:rsidRPr="00B9099F">
        <w:rPr>
          <w:b/>
        </w:rPr>
        <w:t xml:space="preserve"> Set)</w:t>
      </w:r>
      <w:r w:rsidR="00947B5A" w:rsidRPr="00B9099F">
        <w:rPr>
          <w:b/>
        </w:rPr>
        <w:t>*</w:t>
      </w:r>
    </w:p>
    <w:p w14:paraId="58DF3595" w14:textId="77777777" w:rsidR="001420B7" w:rsidRPr="00B9099F" w:rsidRDefault="001420B7" w:rsidP="009428D5">
      <w:r w:rsidRPr="00B9099F">
        <w:rPr>
          <w:noProof/>
          <w:lang w:eastAsia="en-AU"/>
        </w:rPr>
        <w:drawing>
          <wp:inline distT="0" distB="0" distL="0" distR="0" wp14:anchorId="59B88D8B" wp14:editId="181AE7F0">
            <wp:extent cx="5276850" cy="3514986"/>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88666" cy="3522857"/>
                    </a:xfrm>
                    <a:prstGeom prst="rect">
                      <a:avLst/>
                    </a:prstGeom>
                    <a:noFill/>
                    <a:ln>
                      <a:noFill/>
                    </a:ln>
                  </pic:spPr>
                </pic:pic>
              </a:graphicData>
            </a:graphic>
          </wp:inline>
        </w:drawing>
      </w:r>
    </w:p>
    <w:p w14:paraId="06177D48" w14:textId="24E41586" w:rsidR="001420B7" w:rsidRPr="00B9099F" w:rsidRDefault="001420B7" w:rsidP="001420B7">
      <w:pPr>
        <w:autoSpaceDE w:val="0"/>
        <w:autoSpaceDN w:val="0"/>
        <w:adjustRightInd w:val="0"/>
        <w:rPr>
          <w:sz w:val="18"/>
          <w:szCs w:val="20"/>
        </w:rPr>
      </w:pPr>
      <w:r w:rsidRPr="00B9099F">
        <w:rPr>
          <w:sz w:val="18"/>
          <w:szCs w:val="20"/>
        </w:rPr>
        <w:t xml:space="preserve">This figure is based upon subjects with an observed value. Shortest bars at 0 </w:t>
      </w:r>
      <w:proofErr w:type="gramStart"/>
      <w:r w:rsidRPr="00B9099F">
        <w:rPr>
          <w:sz w:val="18"/>
          <w:szCs w:val="20"/>
        </w:rPr>
        <w:t>line</w:t>
      </w:r>
      <w:proofErr w:type="gramEnd"/>
      <w:r w:rsidRPr="00B9099F">
        <w:rPr>
          <w:sz w:val="18"/>
          <w:szCs w:val="20"/>
        </w:rPr>
        <w:t xml:space="preserve"> indicate 0 value.</w:t>
      </w:r>
    </w:p>
    <w:p w14:paraId="5D1A72AC" w14:textId="70E9AE0E" w:rsidR="00870C34" w:rsidRDefault="00947B5A" w:rsidP="001420B7">
      <w:pPr>
        <w:autoSpaceDE w:val="0"/>
        <w:autoSpaceDN w:val="0"/>
        <w:adjustRightInd w:val="0"/>
        <w:rPr>
          <w:sz w:val="18"/>
          <w:szCs w:val="20"/>
        </w:rPr>
      </w:pPr>
      <w:r w:rsidRPr="00B9099F">
        <w:rPr>
          <w:sz w:val="18"/>
          <w:szCs w:val="20"/>
        </w:rPr>
        <w:t>*</w:t>
      </w:r>
      <w:r w:rsidR="00870C34" w:rsidRPr="00B9099F">
        <w:rPr>
          <w:sz w:val="18"/>
          <w:szCs w:val="20"/>
        </w:rPr>
        <w:t>26 subjects are not included in this presentation as they did not attend Month 15. This was because the study was stopped by the sponsor to allow them the opportunity to rollover into the open label extension study.</w:t>
      </w:r>
    </w:p>
    <w:p w14:paraId="4E2DF910" w14:textId="4B15848F" w:rsidR="008877DB" w:rsidRPr="00B9099F" w:rsidRDefault="00850296" w:rsidP="001420B7">
      <w:pPr>
        <w:autoSpaceDE w:val="0"/>
        <w:autoSpaceDN w:val="0"/>
        <w:adjustRightInd w:val="0"/>
        <w:rPr>
          <w:b/>
        </w:rPr>
      </w:pPr>
      <w:r>
        <w:rPr>
          <w:sz w:val="18"/>
          <w:szCs w:val="20"/>
        </w:rPr>
        <w:t>ISIS 396443 = nusinersen</w:t>
      </w:r>
    </w:p>
    <w:p w14:paraId="44D6D8FE" w14:textId="77777777" w:rsidR="00CC3CE5" w:rsidRDefault="00CC3CE5" w:rsidP="001420B7">
      <w:pPr>
        <w:autoSpaceDE w:val="0"/>
        <w:autoSpaceDN w:val="0"/>
        <w:adjustRightInd w:val="0"/>
        <w:rPr>
          <w:b/>
        </w:rPr>
      </w:pPr>
    </w:p>
    <w:p w14:paraId="54B8C6B5" w14:textId="1A6236A3" w:rsidR="001420B7" w:rsidRPr="00B9099F" w:rsidRDefault="001420B7" w:rsidP="001420B7">
      <w:pPr>
        <w:autoSpaceDE w:val="0"/>
        <w:autoSpaceDN w:val="0"/>
        <w:adjustRightInd w:val="0"/>
        <w:rPr>
          <w:b/>
        </w:rPr>
      </w:pPr>
      <w:r w:rsidRPr="00B9099F">
        <w:rPr>
          <w:b/>
        </w:rPr>
        <w:t>Figure 5: Waterfall plot for change from baseline to Month 15 on RULM at final analysis (ITT Set)</w:t>
      </w:r>
    </w:p>
    <w:p w14:paraId="4FABFD2C" w14:textId="0C0D236B" w:rsidR="00770732" w:rsidRPr="00B9099F" w:rsidRDefault="001420B7" w:rsidP="001420B7">
      <w:pPr>
        <w:rPr>
          <w:rFonts w:ascii="TimesNewRomanPSMT" w:hAnsi="TimesNewRomanPSMT" w:cs="TimesNewRomanPSMT"/>
          <w:color w:val="C95100"/>
          <w:sz w:val="13"/>
          <w:szCs w:val="13"/>
        </w:rPr>
      </w:pPr>
      <w:r w:rsidRPr="00B9099F">
        <w:rPr>
          <w:noProof/>
          <w:lang w:eastAsia="en-AU"/>
        </w:rPr>
        <w:drawing>
          <wp:inline distT="0" distB="0" distL="0" distR="0" wp14:anchorId="5B409EE1" wp14:editId="591BFC85">
            <wp:extent cx="5346065" cy="3562350"/>
            <wp:effectExtent l="0" t="0" r="698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46065" cy="3562350"/>
                    </a:xfrm>
                    <a:prstGeom prst="rect">
                      <a:avLst/>
                    </a:prstGeom>
                    <a:noFill/>
                    <a:ln>
                      <a:noFill/>
                    </a:ln>
                  </pic:spPr>
                </pic:pic>
              </a:graphicData>
            </a:graphic>
          </wp:inline>
        </w:drawing>
      </w:r>
    </w:p>
    <w:p w14:paraId="141C5EA6" w14:textId="76E7C9B9" w:rsidR="001420B7" w:rsidRDefault="001420B7" w:rsidP="001420B7">
      <w:pPr>
        <w:rPr>
          <w:sz w:val="18"/>
          <w:szCs w:val="20"/>
        </w:rPr>
      </w:pPr>
      <w:r w:rsidRPr="006E3341">
        <w:rPr>
          <w:sz w:val="18"/>
          <w:szCs w:val="20"/>
        </w:rPr>
        <w:t xml:space="preserve">This figure is based upon subjects with an observed value. Shortest bars at 0 </w:t>
      </w:r>
      <w:proofErr w:type="gramStart"/>
      <w:r w:rsidRPr="006E3341">
        <w:rPr>
          <w:sz w:val="18"/>
          <w:szCs w:val="20"/>
        </w:rPr>
        <w:t>line</w:t>
      </w:r>
      <w:proofErr w:type="gramEnd"/>
      <w:r w:rsidRPr="006E3341">
        <w:rPr>
          <w:sz w:val="18"/>
          <w:szCs w:val="20"/>
        </w:rPr>
        <w:t xml:space="preserve"> indicate 0 value.</w:t>
      </w:r>
    </w:p>
    <w:p w14:paraId="6BD60132" w14:textId="685CAB9B" w:rsidR="00D470FA" w:rsidRDefault="00850296" w:rsidP="00D301CF">
      <w:pPr>
        <w:autoSpaceDE w:val="0"/>
        <w:autoSpaceDN w:val="0"/>
        <w:adjustRightInd w:val="0"/>
        <w:rPr>
          <w:sz w:val="18"/>
          <w:szCs w:val="20"/>
        </w:rPr>
      </w:pPr>
      <w:r>
        <w:rPr>
          <w:sz w:val="18"/>
          <w:szCs w:val="20"/>
        </w:rPr>
        <w:t>ISIS 396443 = nusinersen</w:t>
      </w:r>
      <w:r w:rsidR="00D470FA">
        <w:rPr>
          <w:sz w:val="18"/>
          <w:szCs w:val="20"/>
        </w:rPr>
        <w:br w:type="page"/>
      </w:r>
    </w:p>
    <w:p w14:paraId="6999BBF7" w14:textId="77777777" w:rsidR="009428D5" w:rsidRPr="00B9099F" w:rsidRDefault="009428D5" w:rsidP="0077745D">
      <w:pPr>
        <w:pStyle w:val="Heading4"/>
      </w:pPr>
      <w:r w:rsidRPr="00B9099F">
        <w:lastRenderedPageBreak/>
        <w:t xml:space="preserve">Study </w:t>
      </w:r>
      <w:r w:rsidR="00325EA0" w:rsidRPr="00B9099F">
        <w:t>CS2</w:t>
      </w:r>
      <w:r w:rsidRPr="00B9099F">
        <w:t xml:space="preserve"> and Study </w:t>
      </w:r>
      <w:r w:rsidR="00325EA0" w:rsidRPr="00B9099F">
        <w:t>CS12</w:t>
      </w:r>
    </w:p>
    <w:p w14:paraId="65645B6B" w14:textId="77777777" w:rsidR="00D470FA" w:rsidRDefault="00D470FA" w:rsidP="00B002C1"/>
    <w:p w14:paraId="7B5EB2CF" w14:textId="7CA456B2" w:rsidR="009428D5" w:rsidRPr="00B9099F" w:rsidRDefault="009428D5" w:rsidP="00B002C1">
      <w:pPr>
        <w:rPr>
          <w:rFonts w:cs="Arial"/>
        </w:rPr>
      </w:pPr>
      <w:r w:rsidRPr="00B9099F">
        <w:t xml:space="preserve">The efficacy of </w:t>
      </w:r>
      <w:r w:rsidR="00E13651" w:rsidRPr="00B9099F">
        <w:t>SPINRAZA</w:t>
      </w:r>
      <w:r w:rsidRPr="00B9099F">
        <w:t xml:space="preserve"> in </w:t>
      </w:r>
      <w:r w:rsidR="00A756C8" w:rsidRPr="00B9099F">
        <w:t>T</w:t>
      </w:r>
      <w:r w:rsidRPr="00B9099F">
        <w:t xml:space="preserve">ype II and </w:t>
      </w:r>
      <w:r w:rsidR="00A756C8" w:rsidRPr="00B9099F">
        <w:t>T</w:t>
      </w:r>
      <w:r w:rsidRPr="00B9099F">
        <w:t xml:space="preserve">ype III SMA </w:t>
      </w:r>
      <w:proofErr w:type="gramStart"/>
      <w:r w:rsidRPr="00B9099F">
        <w:t>patients</w:t>
      </w:r>
      <w:proofErr w:type="gramEnd"/>
      <w:r w:rsidRPr="00B9099F">
        <w:t xml:space="preserve"> has </w:t>
      </w:r>
      <w:r w:rsidR="006A233D" w:rsidRPr="00B9099F">
        <w:t xml:space="preserve">also </w:t>
      </w:r>
      <w:r w:rsidRPr="00B9099F">
        <w:t>been demonstrated in a longitudinal analysis across 2 open</w:t>
      </w:r>
      <w:r w:rsidRPr="00B9099F">
        <w:noBreakHyphen/>
        <w:t>label studies (Study </w:t>
      </w:r>
      <w:r w:rsidR="00AD3125" w:rsidRPr="00B9099F">
        <w:t>CS2</w:t>
      </w:r>
      <w:r w:rsidRPr="00B9099F">
        <w:t xml:space="preserve"> and Study </w:t>
      </w:r>
      <w:r w:rsidR="00AD3125" w:rsidRPr="00B9099F">
        <w:t>CS12</w:t>
      </w:r>
      <w:r w:rsidRPr="00B9099F">
        <w:t>). The analysis included 28 patients who received their first dose in Study </w:t>
      </w:r>
      <w:r w:rsidR="00AD3125" w:rsidRPr="00B9099F">
        <w:t>CS2</w:t>
      </w:r>
      <w:r w:rsidRPr="00B9099F">
        <w:t xml:space="preserve">, and then transferred to the extension phase, Study </w:t>
      </w:r>
      <w:r w:rsidR="00AD3125" w:rsidRPr="00B9099F">
        <w:t>CS12</w:t>
      </w:r>
      <w:r w:rsidRPr="00B9099F">
        <w:t xml:space="preserve">. </w:t>
      </w:r>
      <w:r w:rsidR="009F45C6">
        <w:t>In Study CS2, patients received 9 mg doses of SPINRAZA on days 1 and 85, or 3, 6, or 12 mg doses on days 1, 29, and 85.</w:t>
      </w:r>
      <w:r w:rsidR="00CA250F">
        <w:t xml:space="preserve"> In Study CS12, patients received 12 mg doses of SPINRAZA on Days 1, 169, 351, and 533.</w:t>
      </w:r>
      <w:r w:rsidR="009F45C6">
        <w:t xml:space="preserve"> </w:t>
      </w:r>
      <w:r w:rsidRPr="00B9099F">
        <w:t>The studies enrolled patients who were between 2 to 15 years of age at first dose. Of the 28 patients, 3 were at least 18 years of age at their last study visit. 1 out of 28 patients had 2 SMN2 gene copies, 21 had 3 copies, and 6 had 4 copies.</w:t>
      </w:r>
      <w:r w:rsidR="00B002C1">
        <w:t xml:space="preserve"> </w:t>
      </w:r>
      <w:r w:rsidRPr="00B9099F">
        <w:t xml:space="preserve">Outcome measures included HFMSE in all patients, and either the </w:t>
      </w:r>
      <w:r w:rsidR="00957679">
        <w:t>ULM</w:t>
      </w:r>
      <w:r w:rsidRPr="00B9099F">
        <w:t xml:space="preserve"> test in non-ambulatory </w:t>
      </w:r>
      <w:proofErr w:type="gramStart"/>
      <w:r w:rsidRPr="00B9099F">
        <w:t>patients,</w:t>
      </w:r>
      <w:proofErr w:type="gramEnd"/>
      <w:r w:rsidRPr="00B9099F">
        <w:t xml:space="preserve"> or the 6</w:t>
      </w:r>
      <w:r w:rsidR="006C4879" w:rsidRPr="00B9099F">
        <w:t xml:space="preserve"> </w:t>
      </w:r>
      <w:r w:rsidRPr="00B9099F">
        <w:t>MWT performed in ambulatory patients</w:t>
      </w:r>
      <w:r w:rsidR="00C20C1D" w:rsidRPr="00B9099F">
        <w:t>.</w:t>
      </w:r>
      <w:r w:rsidR="00B002C1">
        <w:t xml:space="preserve"> </w:t>
      </w:r>
    </w:p>
    <w:p w14:paraId="68073233" w14:textId="2824FA48" w:rsidR="009428D5" w:rsidRPr="00B9099F" w:rsidRDefault="009428D5" w:rsidP="002A1F22"/>
    <w:p w14:paraId="771DC7FC" w14:textId="7B4B02D8" w:rsidR="002A1F22" w:rsidRPr="00B9099F" w:rsidRDefault="009B036C" w:rsidP="00CD0D42">
      <w:r>
        <w:t>Patients were assessed over a 3-</w:t>
      </w:r>
      <w:r w:rsidR="00B002C1">
        <w:t xml:space="preserve">year treatment period. </w:t>
      </w:r>
      <w:r w:rsidR="002A1F22" w:rsidRPr="00B9099F">
        <w:t xml:space="preserve">A sustained improvement was seen in </w:t>
      </w:r>
      <w:r w:rsidR="00005C92" w:rsidRPr="00B9099F">
        <w:t xml:space="preserve">patients with </w:t>
      </w:r>
      <w:r w:rsidR="00A756C8" w:rsidRPr="00B9099F">
        <w:t>T</w:t>
      </w:r>
      <w:r w:rsidR="002A1F22" w:rsidRPr="00B9099F">
        <w:t>ype II</w:t>
      </w:r>
      <w:r w:rsidR="00CD0D42" w:rsidRPr="00B9099F">
        <w:t xml:space="preserve"> SMA who experienced </w:t>
      </w:r>
      <w:r w:rsidR="002A1F22" w:rsidRPr="00B9099F">
        <w:t xml:space="preserve">a mean improvement from baseline </w:t>
      </w:r>
      <w:r w:rsidR="00C954DD" w:rsidRPr="00B9099F">
        <w:t xml:space="preserve">HFMSE </w:t>
      </w:r>
      <w:r w:rsidR="002A1F22" w:rsidRPr="00B9099F">
        <w:t xml:space="preserve">score of </w:t>
      </w:r>
      <w:r w:rsidR="00CD0D42" w:rsidRPr="00B9099F">
        <w:t>5.1 (SD 4.05, n=11) at Day 253, and 9.1</w:t>
      </w:r>
      <w:r w:rsidR="002A1F22" w:rsidRPr="00B9099F">
        <w:t>(SD </w:t>
      </w:r>
      <w:r w:rsidR="00CD0D42" w:rsidRPr="00B9099F">
        <w:t>6.61</w:t>
      </w:r>
      <w:r w:rsidR="002A1F22" w:rsidRPr="00B9099F">
        <w:t xml:space="preserve">, </w:t>
      </w:r>
      <w:r w:rsidR="002A1F22" w:rsidRPr="0063576F">
        <w:rPr>
          <w:i/>
        </w:rPr>
        <w:t>n</w:t>
      </w:r>
      <w:r w:rsidR="002A1F22" w:rsidRPr="002963C4">
        <w:t>=</w:t>
      </w:r>
      <w:r w:rsidR="00CD0D42" w:rsidRPr="002963C4">
        <w:t>9</w:t>
      </w:r>
      <w:r w:rsidR="002A1F22" w:rsidRPr="00381933">
        <w:t>)</w:t>
      </w:r>
      <w:r w:rsidR="00CD0D42" w:rsidRPr="00B9099F">
        <w:t xml:space="preserve"> at Day 1050.</w:t>
      </w:r>
      <w:r w:rsidR="002A1F22" w:rsidRPr="00B9099F">
        <w:t xml:space="preserve"> </w:t>
      </w:r>
      <w:r w:rsidR="00CD0D42" w:rsidRPr="00B9099F">
        <w:t>The</w:t>
      </w:r>
      <w:r w:rsidR="002A1F22" w:rsidRPr="00B9099F">
        <w:t xml:space="preserve"> mean total score </w:t>
      </w:r>
      <w:r w:rsidR="00CD0D42" w:rsidRPr="00B9099F">
        <w:t>was 26.4 (SD 11.91) at Day 253 and 31.3</w:t>
      </w:r>
      <w:r w:rsidR="002A1F22" w:rsidRPr="00B9099F">
        <w:t xml:space="preserve"> (SD </w:t>
      </w:r>
      <w:r w:rsidR="00CD0D42" w:rsidRPr="00B9099F">
        <w:t>13.02</w:t>
      </w:r>
      <w:r w:rsidR="002A1F22" w:rsidRPr="00B9099F">
        <w:t xml:space="preserve">) </w:t>
      </w:r>
      <w:r w:rsidR="00CD0D42" w:rsidRPr="00B9099F">
        <w:t>at Day</w:t>
      </w:r>
      <w:r w:rsidR="002A1F22" w:rsidRPr="00B9099F">
        <w:t xml:space="preserve"> 1050, no plateau was observed. This is in comparison to the decline typically observed in patients with later</w:t>
      </w:r>
      <w:r w:rsidR="002A1F22" w:rsidRPr="00B9099F">
        <w:noBreakHyphen/>
        <w:t xml:space="preserve">onset SMA over time. </w:t>
      </w:r>
    </w:p>
    <w:p w14:paraId="4C8DF93F" w14:textId="77777777" w:rsidR="002A1F22" w:rsidRPr="00B9099F" w:rsidRDefault="002A1F22" w:rsidP="002A1F22"/>
    <w:p w14:paraId="72912B00" w14:textId="48F7F2F4" w:rsidR="002A1F22" w:rsidRPr="00B9099F" w:rsidRDefault="005002AC" w:rsidP="002A1F22">
      <w:r w:rsidRPr="00B9099F">
        <w:t xml:space="preserve">Patients with </w:t>
      </w:r>
      <w:r w:rsidR="00A756C8" w:rsidRPr="00B9099F">
        <w:t>T</w:t>
      </w:r>
      <w:r w:rsidR="00CD0D42" w:rsidRPr="00B9099F">
        <w:t xml:space="preserve">ype III SMA demonstrated a mean improvement from baseline HFSME score of 1.3 (SD 1.87, n=16) at Day 253 and 1.2 (SD 4.64, n=11) at Day 1050. The mean total score was 49.8 (SD 12.46) at Day 253 and 52.6 (SD 12.78) </w:t>
      </w:r>
      <w:r w:rsidR="00CB1E7C">
        <w:t>at</w:t>
      </w:r>
      <w:r w:rsidR="00CB1E7C" w:rsidRPr="00B9099F">
        <w:t xml:space="preserve"> </w:t>
      </w:r>
      <w:r w:rsidR="00CD0D42" w:rsidRPr="00B9099F">
        <w:t>1050 days.</w:t>
      </w:r>
    </w:p>
    <w:p w14:paraId="17DBC862" w14:textId="2E0EAB7E" w:rsidR="002A1F22" w:rsidRPr="00B9099F" w:rsidRDefault="00A756C8" w:rsidP="002A1F22">
      <w:r w:rsidRPr="00B9099F">
        <w:t>In patients with T</w:t>
      </w:r>
      <w:r w:rsidR="00CD0D42" w:rsidRPr="00B9099F">
        <w:t xml:space="preserve">ype II SMA the </w:t>
      </w:r>
      <w:r w:rsidR="003D46F9">
        <w:t>ULM</w:t>
      </w:r>
      <w:r w:rsidR="00B002C1">
        <w:t xml:space="preserve"> </w:t>
      </w:r>
      <w:r w:rsidR="00CD0D42" w:rsidRPr="00B9099F">
        <w:t>test was conducted, with mean</w:t>
      </w:r>
      <w:r w:rsidR="003D46F9">
        <w:t xml:space="preserve"> </w:t>
      </w:r>
      <w:r w:rsidR="00CD0D42" w:rsidRPr="00B9099F">
        <w:t xml:space="preserve">improvement of 1.9 (SD 2.68, n=11) at Day 253 and 3.5 (SD 3.32, n=9) at Day 1050. </w:t>
      </w:r>
      <w:proofErr w:type="gramStart"/>
      <w:r w:rsidR="00CD0D42" w:rsidRPr="00B9099F">
        <w:t>The mean total score was13.8 (SD 3.09) at Day 253</w:t>
      </w:r>
      <w:r w:rsidR="00F867E5" w:rsidRPr="00B9099F">
        <w:t xml:space="preserve"> </w:t>
      </w:r>
      <w:r w:rsidR="00CD0D42" w:rsidRPr="00B9099F">
        <w:t>and 15.7 (SD 1.92) at Day 1050.</w:t>
      </w:r>
      <w:proofErr w:type="gramEnd"/>
      <w:r w:rsidR="002A1F22" w:rsidRPr="00B9099F">
        <w:t xml:space="preserve"> </w:t>
      </w:r>
      <w:r w:rsidR="00CD0D42" w:rsidRPr="00B9099F">
        <w:t>The 6 MWT was conducted for ambulatory patients only. In these patients, a mean improvement</w:t>
      </w:r>
      <w:r w:rsidR="00E824E3" w:rsidRPr="00B9099F">
        <w:t xml:space="preserve"> </w:t>
      </w:r>
      <w:r w:rsidR="00CD0D42" w:rsidRPr="00B9099F">
        <w:t xml:space="preserve">of </w:t>
      </w:r>
      <w:r w:rsidR="004702CF" w:rsidRPr="00B9099F">
        <w:t>28.6</w:t>
      </w:r>
      <w:r w:rsidR="00CD0D42" w:rsidRPr="00B9099F">
        <w:t xml:space="preserve"> meters (SD </w:t>
      </w:r>
      <w:r w:rsidR="004702CF" w:rsidRPr="0063576F">
        <w:t>47.22</w:t>
      </w:r>
      <w:r w:rsidR="00CD0D42" w:rsidRPr="00B9099F">
        <w:t>, n=12) at Day 253 and 86.5 meters (SD 40.58, n=8) at Day 1050. The</w:t>
      </w:r>
      <w:r w:rsidR="00E824E3" w:rsidRPr="00B9099F">
        <w:t xml:space="preserve"> </w:t>
      </w:r>
      <w:r w:rsidR="00CD0D42" w:rsidRPr="00B9099F">
        <w:t>mean 6 MWT distance was 278.5 meters (SD 206.46) at Day 253 and</w:t>
      </w:r>
      <w:r w:rsidR="00F30FE8" w:rsidRPr="00B9099F">
        <w:t xml:space="preserve"> </w:t>
      </w:r>
      <w:r w:rsidR="00CD0D42" w:rsidRPr="00B9099F">
        <w:t>333.6 meters (SD 176.47)</w:t>
      </w:r>
      <w:r w:rsidR="00E824E3" w:rsidRPr="00B9099F">
        <w:t xml:space="preserve"> </w:t>
      </w:r>
      <w:r w:rsidR="00CD0D42" w:rsidRPr="00B9099F">
        <w:t>at Day 1050</w:t>
      </w:r>
      <w:r w:rsidR="00E824E3" w:rsidRPr="00B9099F">
        <w:t xml:space="preserve">. </w:t>
      </w:r>
      <w:r w:rsidR="002A1F22" w:rsidRPr="00B9099F">
        <w:t>Two previously non</w:t>
      </w:r>
      <w:r w:rsidR="002A1F22" w:rsidRPr="00B9099F">
        <w:noBreakHyphen/>
        <w:t>independent ambulatory patients (Type III) achieved independent walking, and one non</w:t>
      </w:r>
      <w:r w:rsidR="002A1F22" w:rsidRPr="00B9099F">
        <w:noBreakHyphen/>
        <w:t>ambulatory patient (Type II) achieved independent walking.</w:t>
      </w:r>
    </w:p>
    <w:p w14:paraId="65A30F33" w14:textId="77777777" w:rsidR="009428D5" w:rsidRPr="00B9099F" w:rsidRDefault="009428D5" w:rsidP="002A1F22"/>
    <w:p w14:paraId="3B8AFFD4" w14:textId="03D5C5A3" w:rsidR="00C20C1D" w:rsidRPr="00B9099F" w:rsidRDefault="00C20C1D" w:rsidP="00CB1E7C">
      <w:pPr>
        <w:pStyle w:val="Heading3"/>
      </w:pPr>
      <w:r w:rsidRPr="00B9099F">
        <w:t>Table </w:t>
      </w:r>
      <w:r w:rsidR="00B002C1">
        <w:t>3</w:t>
      </w:r>
      <w:r w:rsidRPr="00B9099F">
        <w:t>: Percentages of Patients who achieved Clinically Meaningful Changes in HFMSE, ULM and 6 MWT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835"/>
        <w:gridCol w:w="3402"/>
      </w:tblGrid>
      <w:tr w:rsidR="00C20C1D" w:rsidRPr="00B9099F" w14:paraId="4DE28CA8" w14:textId="77777777" w:rsidTr="00C954DD">
        <w:trPr>
          <w:trHeight w:val="263"/>
        </w:trPr>
        <w:tc>
          <w:tcPr>
            <w:tcW w:w="2835" w:type="dxa"/>
            <w:shd w:val="clear" w:color="auto" w:fill="auto"/>
          </w:tcPr>
          <w:p w14:paraId="5E853BDC" w14:textId="77777777" w:rsidR="00C20C1D" w:rsidRPr="00B9099F" w:rsidRDefault="00C20C1D" w:rsidP="00C954DD">
            <w:pPr>
              <w:spacing w:before="20" w:after="20"/>
              <w:jc w:val="left"/>
              <w:rPr>
                <w:rFonts w:cs="Arial"/>
                <w:b/>
                <w:sz w:val="20"/>
              </w:rPr>
            </w:pPr>
            <w:r w:rsidRPr="00B9099F">
              <w:rPr>
                <w:rFonts w:cs="Arial"/>
                <w:b/>
                <w:sz w:val="20"/>
              </w:rPr>
              <w:t>Efficacy Measure</w:t>
            </w:r>
          </w:p>
        </w:tc>
        <w:tc>
          <w:tcPr>
            <w:tcW w:w="2835" w:type="dxa"/>
            <w:shd w:val="clear" w:color="auto" w:fill="auto"/>
          </w:tcPr>
          <w:p w14:paraId="38564A94" w14:textId="77777777" w:rsidR="00C20C1D" w:rsidRPr="00B9099F" w:rsidRDefault="00C20C1D" w:rsidP="00C954DD">
            <w:pPr>
              <w:spacing w:before="20" w:after="20"/>
              <w:jc w:val="center"/>
              <w:rPr>
                <w:rFonts w:cs="Arial"/>
                <w:b/>
                <w:sz w:val="20"/>
              </w:rPr>
            </w:pPr>
            <w:r w:rsidRPr="00B9099F">
              <w:rPr>
                <w:rFonts w:cs="Arial"/>
                <w:b/>
                <w:sz w:val="20"/>
              </w:rPr>
              <w:t>Day 253</w:t>
            </w:r>
          </w:p>
        </w:tc>
        <w:tc>
          <w:tcPr>
            <w:tcW w:w="3402" w:type="dxa"/>
            <w:shd w:val="clear" w:color="auto" w:fill="auto"/>
          </w:tcPr>
          <w:p w14:paraId="6177D991" w14:textId="77777777" w:rsidR="00C20C1D" w:rsidRPr="00B9099F" w:rsidRDefault="00C20C1D" w:rsidP="00C954DD">
            <w:pPr>
              <w:spacing w:before="20" w:after="20"/>
              <w:jc w:val="center"/>
              <w:rPr>
                <w:rFonts w:cs="Arial"/>
                <w:b/>
                <w:sz w:val="20"/>
              </w:rPr>
            </w:pPr>
            <w:r w:rsidRPr="00B9099F">
              <w:rPr>
                <w:rFonts w:cs="Arial"/>
                <w:b/>
                <w:sz w:val="20"/>
              </w:rPr>
              <w:t>Day 1050</w:t>
            </w:r>
          </w:p>
        </w:tc>
      </w:tr>
      <w:tr w:rsidR="00C20C1D" w:rsidRPr="00B9099F" w14:paraId="4F9BB0A9" w14:textId="77777777" w:rsidTr="00C954DD">
        <w:trPr>
          <w:trHeight w:val="263"/>
        </w:trPr>
        <w:tc>
          <w:tcPr>
            <w:tcW w:w="2835" w:type="dxa"/>
            <w:shd w:val="clear" w:color="auto" w:fill="auto"/>
          </w:tcPr>
          <w:p w14:paraId="073AE1FA" w14:textId="77777777" w:rsidR="00C20C1D" w:rsidRPr="00B9099F" w:rsidRDefault="00C20C1D" w:rsidP="00C954DD">
            <w:pPr>
              <w:pStyle w:val="C-BodyText"/>
              <w:spacing w:before="20" w:after="20" w:line="240" w:lineRule="auto"/>
              <w:rPr>
                <w:rFonts w:ascii="Arial" w:eastAsiaTheme="minorHAnsi" w:hAnsi="Arial" w:cs="Arial"/>
                <w:sz w:val="20"/>
              </w:rPr>
            </w:pPr>
            <w:r w:rsidRPr="00B9099F">
              <w:rPr>
                <w:rFonts w:ascii="Arial" w:hAnsi="Arial" w:cs="Arial"/>
                <w:sz w:val="20"/>
              </w:rPr>
              <w:t>HFMSE, ≥ 3 points</w:t>
            </w:r>
          </w:p>
          <w:p w14:paraId="78FBD83B" w14:textId="77777777" w:rsidR="00C20C1D" w:rsidRPr="00B9099F" w:rsidRDefault="00C20C1D" w:rsidP="00C954DD">
            <w:pPr>
              <w:pStyle w:val="C-BodyText"/>
              <w:spacing w:before="20" w:after="20" w:line="240" w:lineRule="auto"/>
              <w:rPr>
                <w:rFonts w:ascii="Arial" w:hAnsi="Arial" w:cs="Arial"/>
                <w:sz w:val="20"/>
              </w:rPr>
            </w:pPr>
            <w:r w:rsidRPr="00B9099F">
              <w:rPr>
                <w:rFonts w:ascii="Arial" w:hAnsi="Arial" w:cs="Arial"/>
                <w:sz w:val="20"/>
              </w:rPr>
              <w:t>Type II, n (%)</w:t>
            </w:r>
          </w:p>
          <w:p w14:paraId="70A35A46" w14:textId="77777777" w:rsidR="00C20C1D" w:rsidRPr="00B9099F" w:rsidRDefault="00C20C1D" w:rsidP="00C954DD">
            <w:pPr>
              <w:spacing w:before="20" w:after="20"/>
              <w:jc w:val="left"/>
              <w:rPr>
                <w:rFonts w:cs="Arial"/>
                <w:sz w:val="20"/>
              </w:rPr>
            </w:pPr>
            <w:r w:rsidRPr="00B9099F">
              <w:rPr>
                <w:rFonts w:cs="Arial"/>
                <w:sz w:val="20"/>
              </w:rPr>
              <w:t>Type III, n (%)</w:t>
            </w:r>
          </w:p>
        </w:tc>
        <w:tc>
          <w:tcPr>
            <w:tcW w:w="2835" w:type="dxa"/>
            <w:shd w:val="clear" w:color="auto" w:fill="auto"/>
          </w:tcPr>
          <w:p w14:paraId="45CB1F99" w14:textId="77777777" w:rsidR="00C20C1D" w:rsidRPr="00B9099F" w:rsidRDefault="00C20C1D" w:rsidP="00C954DD">
            <w:pPr>
              <w:spacing w:before="20" w:after="20"/>
              <w:jc w:val="center"/>
              <w:rPr>
                <w:rFonts w:cs="Arial"/>
                <w:sz w:val="20"/>
              </w:rPr>
            </w:pPr>
          </w:p>
          <w:p w14:paraId="1C880747" w14:textId="77777777" w:rsidR="00C20C1D" w:rsidRPr="00B9099F" w:rsidRDefault="00C20C1D" w:rsidP="00C954DD">
            <w:pPr>
              <w:spacing w:before="20" w:after="20"/>
              <w:jc w:val="center"/>
              <w:rPr>
                <w:rFonts w:cs="Arial"/>
                <w:sz w:val="20"/>
              </w:rPr>
            </w:pPr>
            <w:r w:rsidRPr="00B9099F">
              <w:rPr>
                <w:rFonts w:cs="Arial"/>
                <w:sz w:val="20"/>
              </w:rPr>
              <w:t>9/11 (82%)</w:t>
            </w:r>
          </w:p>
          <w:p w14:paraId="298BE857" w14:textId="77777777" w:rsidR="00C20C1D" w:rsidRPr="00B9099F" w:rsidRDefault="00C20C1D" w:rsidP="00C954DD">
            <w:pPr>
              <w:spacing w:before="20" w:after="20"/>
              <w:jc w:val="center"/>
              <w:rPr>
                <w:rFonts w:cs="Arial"/>
                <w:sz w:val="20"/>
              </w:rPr>
            </w:pPr>
            <w:r w:rsidRPr="00B9099F">
              <w:rPr>
                <w:rFonts w:cs="Arial"/>
                <w:sz w:val="20"/>
              </w:rPr>
              <w:t>3/16 (19%)</w:t>
            </w:r>
          </w:p>
        </w:tc>
        <w:tc>
          <w:tcPr>
            <w:tcW w:w="3402" w:type="dxa"/>
            <w:shd w:val="clear" w:color="auto" w:fill="auto"/>
          </w:tcPr>
          <w:p w14:paraId="775D1843" w14:textId="77777777" w:rsidR="00C20C1D" w:rsidRPr="00B9099F" w:rsidRDefault="00C20C1D" w:rsidP="00C954DD">
            <w:pPr>
              <w:spacing w:before="20" w:after="20"/>
              <w:jc w:val="center"/>
              <w:rPr>
                <w:rFonts w:cs="Arial"/>
                <w:sz w:val="20"/>
              </w:rPr>
            </w:pPr>
          </w:p>
          <w:p w14:paraId="4978A731" w14:textId="77777777" w:rsidR="00C20C1D" w:rsidRPr="00B9099F" w:rsidRDefault="00E824E3" w:rsidP="00C954DD">
            <w:pPr>
              <w:spacing w:before="20" w:after="20"/>
              <w:jc w:val="center"/>
              <w:rPr>
                <w:rFonts w:cs="Arial"/>
                <w:sz w:val="20"/>
              </w:rPr>
            </w:pPr>
            <w:r w:rsidRPr="00B9099F">
              <w:rPr>
                <w:rFonts w:cs="Arial"/>
                <w:sz w:val="20"/>
              </w:rPr>
              <w:t>7/9 (78%)</w:t>
            </w:r>
          </w:p>
          <w:p w14:paraId="34B2EF86" w14:textId="77777777" w:rsidR="00C20C1D" w:rsidRPr="00CB1E7C" w:rsidRDefault="00E824E3" w:rsidP="00C954DD">
            <w:pPr>
              <w:spacing w:before="20" w:after="20"/>
              <w:jc w:val="center"/>
              <w:rPr>
                <w:rFonts w:cs="Arial"/>
                <w:sz w:val="20"/>
              </w:rPr>
            </w:pPr>
            <w:r w:rsidRPr="002963C4">
              <w:rPr>
                <w:rFonts w:cs="Arial"/>
                <w:sz w:val="20"/>
              </w:rPr>
              <w:t>4/11 (36%)</w:t>
            </w:r>
          </w:p>
        </w:tc>
      </w:tr>
      <w:tr w:rsidR="00C20C1D" w:rsidRPr="00B9099F" w14:paraId="09281C9F" w14:textId="77777777" w:rsidTr="00C954DD">
        <w:trPr>
          <w:trHeight w:val="263"/>
        </w:trPr>
        <w:tc>
          <w:tcPr>
            <w:tcW w:w="2835" w:type="dxa"/>
            <w:shd w:val="clear" w:color="auto" w:fill="auto"/>
          </w:tcPr>
          <w:p w14:paraId="22D51A17" w14:textId="77777777" w:rsidR="00C20C1D" w:rsidRPr="00B9099F" w:rsidRDefault="00C20C1D" w:rsidP="00C954DD">
            <w:pPr>
              <w:pStyle w:val="C-BodyText"/>
              <w:spacing w:before="20" w:after="20" w:line="240" w:lineRule="auto"/>
              <w:rPr>
                <w:rFonts w:ascii="Arial" w:eastAsiaTheme="minorHAnsi" w:hAnsi="Arial" w:cs="Arial"/>
                <w:sz w:val="20"/>
              </w:rPr>
            </w:pPr>
            <w:r w:rsidRPr="00B9099F">
              <w:rPr>
                <w:rFonts w:ascii="Arial" w:hAnsi="Arial" w:cs="Arial"/>
                <w:sz w:val="20"/>
              </w:rPr>
              <w:t>ULM, ≥ 2 points*</w:t>
            </w:r>
          </w:p>
          <w:p w14:paraId="64569DE6" w14:textId="77777777" w:rsidR="00C20C1D" w:rsidRPr="00B9099F" w:rsidRDefault="00C20C1D" w:rsidP="00C954DD">
            <w:pPr>
              <w:pStyle w:val="C-BodyText"/>
              <w:spacing w:before="20" w:after="20" w:line="240" w:lineRule="auto"/>
              <w:rPr>
                <w:rFonts w:ascii="Arial" w:hAnsi="Arial" w:cs="Arial"/>
                <w:sz w:val="20"/>
              </w:rPr>
            </w:pPr>
            <w:r w:rsidRPr="00B9099F">
              <w:rPr>
                <w:rFonts w:ascii="Arial" w:hAnsi="Arial" w:cs="Arial"/>
                <w:sz w:val="20"/>
              </w:rPr>
              <w:t>Type II, n (%)</w:t>
            </w:r>
          </w:p>
        </w:tc>
        <w:tc>
          <w:tcPr>
            <w:tcW w:w="2835" w:type="dxa"/>
            <w:shd w:val="clear" w:color="auto" w:fill="auto"/>
          </w:tcPr>
          <w:p w14:paraId="69F46D93" w14:textId="77777777" w:rsidR="00C20C1D" w:rsidRPr="00B9099F" w:rsidRDefault="00C20C1D" w:rsidP="00C954DD">
            <w:pPr>
              <w:spacing w:before="20" w:after="20"/>
              <w:jc w:val="center"/>
              <w:rPr>
                <w:rFonts w:cs="Arial"/>
                <w:sz w:val="20"/>
              </w:rPr>
            </w:pPr>
          </w:p>
          <w:p w14:paraId="611C8541" w14:textId="77777777" w:rsidR="00C20C1D" w:rsidRPr="00B9099F" w:rsidRDefault="00C20C1D" w:rsidP="00C954DD">
            <w:pPr>
              <w:spacing w:before="20" w:after="20"/>
              <w:jc w:val="center"/>
              <w:rPr>
                <w:rFonts w:cs="Arial"/>
                <w:sz w:val="20"/>
              </w:rPr>
            </w:pPr>
            <w:r w:rsidRPr="00B9099F">
              <w:rPr>
                <w:rFonts w:cs="Arial"/>
                <w:sz w:val="20"/>
              </w:rPr>
              <w:t>5/11 (45%)</w:t>
            </w:r>
          </w:p>
        </w:tc>
        <w:tc>
          <w:tcPr>
            <w:tcW w:w="3402" w:type="dxa"/>
            <w:shd w:val="clear" w:color="auto" w:fill="auto"/>
          </w:tcPr>
          <w:p w14:paraId="1E30FB30" w14:textId="77777777" w:rsidR="00C20C1D" w:rsidRPr="002963C4" w:rsidRDefault="00C20C1D" w:rsidP="00C954DD">
            <w:pPr>
              <w:spacing w:before="20" w:after="20"/>
              <w:jc w:val="center"/>
              <w:rPr>
                <w:rFonts w:cs="Arial"/>
                <w:sz w:val="20"/>
              </w:rPr>
            </w:pPr>
          </w:p>
          <w:p w14:paraId="58211B7B" w14:textId="77777777" w:rsidR="00C20C1D" w:rsidRPr="00381933" w:rsidRDefault="00E824E3" w:rsidP="00C954DD">
            <w:pPr>
              <w:spacing w:before="20" w:after="20"/>
              <w:jc w:val="center"/>
              <w:rPr>
                <w:rFonts w:cs="Arial"/>
                <w:sz w:val="20"/>
              </w:rPr>
            </w:pPr>
            <w:r w:rsidRPr="00381933">
              <w:rPr>
                <w:rFonts w:cs="Arial"/>
                <w:sz w:val="20"/>
              </w:rPr>
              <w:t>5/9 (56%)</w:t>
            </w:r>
          </w:p>
        </w:tc>
      </w:tr>
      <w:tr w:rsidR="00C20C1D" w:rsidRPr="00B9099F" w14:paraId="22A6642C" w14:textId="77777777" w:rsidTr="00C954DD">
        <w:trPr>
          <w:trHeight w:val="263"/>
        </w:trPr>
        <w:tc>
          <w:tcPr>
            <w:tcW w:w="2835" w:type="dxa"/>
            <w:shd w:val="clear" w:color="auto" w:fill="auto"/>
          </w:tcPr>
          <w:p w14:paraId="62DEB88E" w14:textId="77777777" w:rsidR="00C20C1D" w:rsidRPr="00B9099F" w:rsidRDefault="00C20C1D" w:rsidP="00C954DD">
            <w:pPr>
              <w:pStyle w:val="C-BodyText"/>
              <w:spacing w:before="20" w:after="20" w:line="240" w:lineRule="auto"/>
              <w:rPr>
                <w:rFonts w:ascii="Arial" w:eastAsiaTheme="minorHAnsi" w:hAnsi="Arial" w:cs="Arial"/>
                <w:sz w:val="20"/>
              </w:rPr>
            </w:pPr>
            <w:r w:rsidRPr="00B9099F">
              <w:rPr>
                <w:rFonts w:ascii="Arial" w:hAnsi="Arial" w:cs="Arial"/>
                <w:sz w:val="20"/>
              </w:rPr>
              <w:t>6 MWT, ≥ 30 meters</w:t>
            </w:r>
            <w:r w:rsidRPr="00B9099F">
              <w:rPr>
                <w:rFonts w:ascii="Arial" w:hAnsi="Arial" w:cs="Arial"/>
                <w:sz w:val="20"/>
                <w:vertAlign w:val="superscript"/>
              </w:rPr>
              <w:t>#</w:t>
            </w:r>
          </w:p>
          <w:p w14:paraId="155B13A7" w14:textId="77777777" w:rsidR="00C20C1D" w:rsidRPr="00B9099F" w:rsidRDefault="00C20C1D" w:rsidP="00C954DD">
            <w:pPr>
              <w:spacing w:before="20" w:after="20"/>
              <w:jc w:val="left"/>
              <w:rPr>
                <w:rFonts w:cs="Arial"/>
                <w:sz w:val="20"/>
              </w:rPr>
            </w:pPr>
            <w:r w:rsidRPr="00B9099F">
              <w:rPr>
                <w:rFonts w:cs="Arial"/>
                <w:sz w:val="20"/>
              </w:rPr>
              <w:t>Type III, n (%)</w:t>
            </w:r>
          </w:p>
        </w:tc>
        <w:tc>
          <w:tcPr>
            <w:tcW w:w="2835" w:type="dxa"/>
            <w:shd w:val="clear" w:color="auto" w:fill="auto"/>
          </w:tcPr>
          <w:p w14:paraId="620DAF01" w14:textId="77777777" w:rsidR="00C20C1D" w:rsidRPr="00B9099F" w:rsidRDefault="00C20C1D" w:rsidP="00C954DD">
            <w:pPr>
              <w:pStyle w:val="C-BodyText"/>
              <w:spacing w:before="20" w:after="20" w:line="240" w:lineRule="auto"/>
              <w:jc w:val="center"/>
              <w:rPr>
                <w:rFonts w:ascii="Arial" w:eastAsiaTheme="minorHAnsi" w:hAnsi="Arial" w:cs="Arial"/>
                <w:sz w:val="20"/>
              </w:rPr>
            </w:pPr>
          </w:p>
          <w:p w14:paraId="41FFA230" w14:textId="77777777" w:rsidR="00C20C1D" w:rsidRPr="00B9099F" w:rsidRDefault="00C20C1D" w:rsidP="00C954DD">
            <w:pPr>
              <w:spacing w:before="20" w:after="20"/>
              <w:jc w:val="center"/>
              <w:rPr>
                <w:rFonts w:cs="Arial"/>
                <w:sz w:val="20"/>
              </w:rPr>
            </w:pPr>
            <w:r w:rsidRPr="00B9099F">
              <w:rPr>
                <w:rFonts w:cs="Arial"/>
                <w:sz w:val="20"/>
              </w:rPr>
              <w:t>6/12 (50%)</w:t>
            </w:r>
          </w:p>
        </w:tc>
        <w:tc>
          <w:tcPr>
            <w:tcW w:w="3402" w:type="dxa"/>
            <w:shd w:val="clear" w:color="auto" w:fill="auto"/>
          </w:tcPr>
          <w:p w14:paraId="06FDE9B3" w14:textId="77777777" w:rsidR="00C20C1D" w:rsidRPr="002963C4" w:rsidRDefault="00C20C1D" w:rsidP="00C954DD">
            <w:pPr>
              <w:pStyle w:val="C-BodyText"/>
              <w:spacing w:before="20" w:after="20" w:line="240" w:lineRule="auto"/>
              <w:jc w:val="center"/>
              <w:rPr>
                <w:rFonts w:ascii="Arial" w:eastAsiaTheme="minorHAnsi" w:hAnsi="Arial" w:cs="Arial"/>
                <w:sz w:val="20"/>
              </w:rPr>
            </w:pPr>
          </w:p>
          <w:p w14:paraId="55FB3ED5" w14:textId="77777777" w:rsidR="00C20C1D" w:rsidRPr="00381933" w:rsidRDefault="00E824E3" w:rsidP="00C954DD">
            <w:pPr>
              <w:spacing w:before="20" w:after="20"/>
              <w:jc w:val="center"/>
              <w:rPr>
                <w:rFonts w:cs="Arial"/>
                <w:sz w:val="20"/>
              </w:rPr>
            </w:pPr>
            <w:r w:rsidRPr="00381933">
              <w:rPr>
                <w:rFonts w:cs="Arial"/>
                <w:sz w:val="20"/>
              </w:rPr>
              <w:t>8/8 (100%)</w:t>
            </w:r>
          </w:p>
        </w:tc>
      </w:tr>
    </w:tbl>
    <w:p w14:paraId="645DA9F3" w14:textId="77777777" w:rsidR="00C20C1D" w:rsidRPr="00B9099F" w:rsidRDefault="00C20C1D" w:rsidP="00C20C1D">
      <w:pPr>
        <w:rPr>
          <w:sz w:val="20"/>
          <w:szCs w:val="20"/>
        </w:rPr>
      </w:pPr>
      <w:r w:rsidRPr="00B9099F">
        <w:rPr>
          <w:sz w:val="20"/>
          <w:szCs w:val="20"/>
        </w:rPr>
        <w:t>*6 Type III patients performed the ULM at Day 253 or Day 1050 but are not included in the table because the majority had the maximum score of 18 points at baseline and no patient declined over time</w:t>
      </w:r>
    </w:p>
    <w:p w14:paraId="784DB16E" w14:textId="77777777" w:rsidR="00C20C1D" w:rsidRPr="00B9099F" w:rsidRDefault="00C20C1D" w:rsidP="00C20C1D">
      <w:pPr>
        <w:rPr>
          <w:sz w:val="20"/>
          <w:szCs w:val="20"/>
        </w:rPr>
      </w:pPr>
      <w:r w:rsidRPr="00B9099F">
        <w:rPr>
          <w:sz w:val="20"/>
          <w:szCs w:val="20"/>
          <w:vertAlign w:val="superscript"/>
        </w:rPr>
        <w:t>#</w:t>
      </w:r>
      <w:r w:rsidRPr="00B9099F">
        <w:rPr>
          <w:sz w:val="20"/>
          <w:szCs w:val="20"/>
        </w:rPr>
        <w:t>1 Type II patients developed the ability to walk independently; otherwise, no Type II patients were assessed by the 6 MWT</w:t>
      </w:r>
    </w:p>
    <w:p w14:paraId="579CC737" w14:textId="77777777" w:rsidR="009428D5" w:rsidRPr="00B9099F" w:rsidRDefault="009428D5" w:rsidP="009428D5">
      <w:pPr>
        <w:rPr>
          <w:rFonts w:cs="Arial"/>
        </w:rPr>
      </w:pPr>
    </w:p>
    <w:p w14:paraId="58B408E1" w14:textId="77777777" w:rsidR="00B002C1" w:rsidRDefault="00B002C1">
      <w:pPr>
        <w:jc w:val="left"/>
        <w:rPr>
          <w:rStyle w:val="Heading4Char"/>
          <w:rFonts w:eastAsia="Calibri" w:cs="Times New Roman"/>
          <w:b/>
          <w:i w:val="0"/>
          <w:iCs w:val="0"/>
          <w:szCs w:val="26"/>
        </w:rPr>
      </w:pPr>
      <w:r>
        <w:rPr>
          <w:rStyle w:val="Heading4Char"/>
          <w:rFonts w:eastAsia="Calibri" w:cs="Times New Roman"/>
          <w:bCs w:val="0"/>
          <w:i w:val="0"/>
          <w:iCs w:val="0"/>
          <w:szCs w:val="26"/>
        </w:rPr>
        <w:br w:type="page"/>
      </w:r>
    </w:p>
    <w:p w14:paraId="15A49F91" w14:textId="15B19529" w:rsidR="00B3137B" w:rsidRPr="00B9099F" w:rsidRDefault="00B3137B" w:rsidP="00B3137B">
      <w:pPr>
        <w:pStyle w:val="Heading3"/>
        <w:rPr>
          <w:rStyle w:val="Heading4Char"/>
          <w:rFonts w:eastAsia="Calibri" w:cs="Times New Roman"/>
          <w:bCs/>
          <w:i w:val="0"/>
          <w:iCs w:val="0"/>
          <w:szCs w:val="26"/>
        </w:rPr>
      </w:pPr>
      <w:r w:rsidRPr="00B9099F">
        <w:rPr>
          <w:rStyle w:val="Heading4Char"/>
          <w:rFonts w:eastAsia="Calibri" w:cs="Times New Roman"/>
          <w:bCs/>
          <w:i w:val="0"/>
          <w:iCs w:val="0"/>
          <w:szCs w:val="26"/>
        </w:rPr>
        <w:lastRenderedPageBreak/>
        <w:t>Pre</w:t>
      </w:r>
      <w:r w:rsidRPr="00B9099F">
        <w:rPr>
          <w:rStyle w:val="Heading4Char"/>
          <w:rFonts w:eastAsia="Calibri" w:cs="Times New Roman"/>
          <w:bCs/>
          <w:i w:val="0"/>
          <w:iCs w:val="0"/>
          <w:szCs w:val="26"/>
        </w:rPr>
        <w:noBreakHyphen/>
        <w:t>symptomatic infants</w:t>
      </w:r>
    </w:p>
    <w:p w14:paraId="678A3E09" w14:textId="77777777" w:rsidR="00950134" w:rsidRPr="00B9099F" w:rsidRDefault="00950134" w:rsidP="00950134"/>
    <w:p w14:paraId="3D7AE099" w14:textId="77777777" w:rsidR="00B3137B" w:rsidRPr="00B9099F" w:rsidRDefault="00B3137B" w:rsidP="00B3137B">
      <w:pPr>
        <w:pStyle w:val="Heading4"/>
      </w:pPr>
      <w:r w:rsidRPr="00B9099F">
        <w:t xml:space="preserve">Study </w:t>
      </w:r>
      <w:r w:rsidR="00AD3125" w:rsidRPr="00B9099F">
        <w:t>CS5</w:t>
      </w:r>
      <w:r w:rsidR="00325EA0" w:rsidRPr="00B9099F">
        <w:t xml:space="preserve"> </w:t>
      </w:r>
      <w:r w:rsidR="00AD3125" w:rsidRPr="00B9099F">
        <w:t>(</w:t>
      </w:r>
      <w:r w:rsidR="00325EA0" w:rsidRPr="00B9099F">
        <w:t>NURTURE)</w:t>
      </w:r>
    </w:p>
    <w:p w14:paraId="2E0714B1" w14:textId="77777777" w:rsidR="00950134" w:rsidRPr="00B9099F" w:rsidRDefault="00950134" w:rsidP="00950134"/>
    <w:p w14:paraId="60B18C3C" w14:textId="51DB1064" w:rsidR="00B3137B" w:rsidRPr="00B9099F" w:rsidRDefault="00B3137B" w:rsidP="00B3137B">
      <w:pPr>
        <w:rPr>
          <w:i/>
        </w:rPr>
      </w:pPr>
      <w:r w:rsidRPr="00B9099F">
        <w:t xml:space="preserve">Study </w:t>
      </w:r>
      <w:r w:rsidR="00AD3125" w:rsidRPr="00B9099F">
        <w:t>CS5</w:t>
      </w:r>
      <w:r w:rsidRPr="00B9099F">
        <w:t xml:space="preserve">, </w:t>
      </w:r>
      <w:r w:rsidR="006A233D" w:rsidRPr="00B9099F">
        <w:t>is</w:t>
      </w:r>
      <w:r w:rsidRPr="00B9099F">
        <w:t xml:space="preserve"> an open</w:t>
      </w:r>
      <w:r w:rsidRPr="00B9099F">
        <w:noBreakHyphen/>
        <w:t>label study in pre</w:t>
      </w:r>
      <w:r w:rsidRPr="00B9099F">
        <w:noBreakHyphen/>
        <w:t xml:space="preserve">symptomatic infants genetically diagnosed with SMA who were enrolled at 6 weeks of age or younger. Patients in this study were deemed most likely to develop </w:t>
      </w:r>
      <w:r w:rsidR="00A756C8" w:rsidRPr="00B9099F">
        <w:t>T</w:t>
      </w:r>
      <w:r w:rsidRPr="00B9099F">
        <w:t xml:space="preserve">ype I or II SMA. </w:t>
      </w:r>
      <w:r w:rsidR="00BE2B02">
        <w:t>P</w:t>
      </w:r>
      <w:r w:rsidR="00F2032B" w:rsidRPr="00B9099F">
        <w:t>atient</w:t>
      </w:r>
      <w:r w:rsidR="00BE2B02">
        <w:t>s</w:t>
      </w:r>
      <w:r w:rsidR="00F2032B" w:rsidRPr="00B9099F">
        <w:t xml:space="preserve"> received a 12</w:t>
      </w:r>
      <w:r w:rsidR="00022767">
        <w:t xml:space="preserve"> </w:t>
      </w:r>
      <w:r w:rsidR="00F2032B" w:rsidRPr="00B9099F">
        <w:t xml:space="preserve">mg scaled equivalent dose of SPINRAZA based on CSF volume scaling on study days 1, 15, 29, 64, 183, 302, 421, 540, 659 and 778. </w:t>
      </w:r>
      <w:r w:rsidRPr="00B9099F">
        <w:t xml:space="preserve">Median age at first dose was 19 days (range </w:t>
      </w:r>
      <w:r w:rsidR="006A233D" w:rsidRPr="00B9099F">
        <w:t>3</w:t>
      </w:r>
      <w:r w:rsidRPr="00B9099F">
        <w:noBreakHyphen/>
        <w:t xml:space="preserve">42 days). At </w:t>
      </w:r>
      <w:r w:rsidR="006A233D" w:rsidRPr="00B9099F">
        <w:t>baseline</w:t>
      </w:r>
      <w:r w:rsidRPr="00B9099F">
        <w:t xml:space="preserve"> the median number of motor milestones achieved was </w:t>
      </w:r>
      <w:r w:rsidR="006A233D" w:rsidRPr="00B9099F">
        <w:t>3</w:t>
      </w:r>
      <w:r w:rsidRPr="00B9099F">
        <w:t xml:space="preserve"> (range 0</w:t>
      </w:r>
      <w:r w:rsidRPr="00B9099F">
        <w:noBreakHyphen/>
      </w:r>
      <w:r w:rsidR="006A233D" w:rsidRPr="00B9099F">
        <w:t>7</w:t>
      </w:r>
      <w:r w:rsidRPr="00B9099F">
        <w:t xml:space="preserve">), the </w:t>
      </w:r>
      <w:r w:rsidR="006A233D" w:rsidRPr="00B9099F">
        <w:t>median</w:t>
      </w:r>
      <w:r w:rsidRPr="00B9099F">
        <w:t xml:space="preserve"> CHOP</w:t>
      </w:r>
      <w:r w:rsidRPr="00B9099F">
        <w:noBreakHyphen/>
        <w:t xml:space="preserve">INTEND total score was </w:t>
      </w:r>
      <w:r w:rsidR="006A233D" w:rsidRPr="00B9099F">
        <w:t>54</w:t>
      </w:r>
      <w:r w:rsidRPr="00B9099F">
        <w:t xml:space="preserve"> (range </w:t>
      </w:r>
      <w:r w:rsidR="006A233D" w:rsidRPr="00B9099F">
        <w:t>25</w:t>
      </w:r>
      <w:r w:rsidRPr="00B9099F">
        <w:t>-60),</w:t>
      </w:r>
      <w:r w:rsidR="006A233D" w:rsidRPr="00B9099F">
        <w:t xml:space="preserve"> and the</w:t>
      </w:r>
      <w:r w:rsidRPr="00B9099F">
        <w:t xml:space="preserve"> median </w:t>
      </w:r>
      <w:r w:rsidR="006A233D" w:rsidRPr="00B9099F">
        <w:t xml:space="preserve">ulnar </w:t>
      </w:r>
      <w:r w:rsidRPr="00B9099F">
        <w:t xml:space="preserve">CMAP amplitude was </w:t>
      </w:r>
      <w:r w:rsidR="006A233D" w:rsidRPr="00B9099F">
        <w:t>2.5</w:t>
      </w:r>
      <w:r w:rsidRPr="00B9099F">
        <w:t> mV (1.0</w:t>
      </w:r>
      <w:r w:rsidRPr="00B9099F">
        <w:noBreakHyphen/>
        <w:t>6.7)</w:t>
      </w:r>
      <w:r w:rsidR="006A233D" w:rsidRPr="00B9099F">
        <w:t>.</w:t>
      </w:r>
      <w:r w:rsidRPr="00B9099F">
        <w:t xml:space="preserve"> </w:t>
      </w:r>
      <w:r w:rsidR="00BC4418" w:rsidRPr="00B9099F">
        <w:t xml:space="preserve">The median time on study was 317.5 days (range 2 to 524). </w:t>
      </w:r>
      <w:r w:rsidR="00BC4418" w:rsidRPr="00B9099F" w:rsidDel="00BC4418">
        <w:t xml:space="preserve"> </w:t>
      </w:r>
    </w:p>
    <w:p w14:paraId="165DD402" w14:textId="77777777" w:rsidR="00B3137B" w:rsidRPr="00B9099F" w:rsidRDefault="00B3137B" w:rsidP="00B3137B">
      <w:pPr>
        <w:rPr>
          <w:rFonts w:cs="Calibri"/>
          <w:color w:val="000000"/>
        </w:rPr>
      </w:pPr>
    </w:p>
    <w:p w14:paraId="289B0E05" w14:textId="77777777" w:rsidR="00B3137B" w:rsidRPr="00B9099F" w:rsidRDefault="00BC4418" w:rsidP="00B3137B">
      <w:r w:rsidRPr="00B9099F">
        <w:rPr>
          <w:rFonts w:cs="Calibri"/>
          <w:color w:val="000000"/>
        </w:rPr>
        <w:t xml:space="preserve">At the interim analysis, 18 of the 20 patients completed the Day 64 visit, thereby composing the Efficacy Set (2 SMN2 gene copies, n=13; 3 SMN2 gene copies, n=5). </w:t>
      </w:r>
      <w:r w:rsidR="00B3137B" w:rsidRPr="00B9099F">
        <w:rPr>
          <w:rFonts w:cs="Calibri"/>
          <w:color w:val="000000"/>
        </w:rPr>
        <w:t>The primary endpoint assessed at the time of the interim analysis was time to death or respiratory intervention (defined as invasive or non-invasive ventilation for ≥</w:t>
      </w:r>
      <w:r w:rsidR="00632B31" w:rsidRPr="00B9099F">
        <w:t> </w:t>
      </w:r>
      <w:r w:rsidR="00B3137B" w:rsidRPr="00B9099F">
        <w:rPr>
          <w:rFonts w:cs="Calibri"/>
          <w:color w:val="000000"/>
        </w:rPr>
        <w:t>6 hours/day continuously for ≥</w:t>
      </w:r>
      <w:r w:rsidR="00632B31" w:rsidRPr="00B9099F">
        <w:t> </w:t>
      </w:r>
      <w:r w:rsidR="00B3137B" w:rsidRPr="00B9099F">
        <w:rPr>
          <w:rFonts w:cs="Calibri"/>
          <w:color w:val="000000"/>
        </w:rPr>
        <w:t xml:space="preserve">7 consecutive days or tracheostomy). </w:t>
      </w:r>
      <w:r w:rsidR="00B3137B" w:rsidRPr="00B9099F">
        <w:t xml:space="preserve">At the planned interim analysis, </w:t>
      </w:r>
      <w:r w:rsidR="001F6575" w:rsidRPr="00B9099F">
        <w:t>no</w:t>
      </w:r>
      <w:r w:rsidR="00B3137B" w:rsidRPr="00B9099F">
        <w:t xml:space="preserve"> patients had met the primary endpoint of death or respiratory intervention (see </w:t>
      </w:r>
      <w:r w:rsidR="00B3137B" w:rsidRPr="00B9099F">
        <w:rPr>
          <w:rFonts w:cs="Calibri"/>
          <w:color w:val="000000"/>
        </w:rPr>
        <w:t>Figure </w:t>
      </w:r>
      <w:r w:rsidR="00E824E3" w:rsidRPr="00B9099F">
        <w:rPr>
          <w:rFonts w:cs="Calibri"/>
          <w:color w:val="000000"/>
        </w:rPr>
        <w:t>5</w:t>
      </w:r>
      <w:r w:rsidR="00B3137B" w:rsidRPr="00B9099F">
        <w:rPr>
          <w:rFonts w:cs="Calibri"/>
          <w:color w:val="000000"/>
        </w:rPr>
        <w:t>).</w:t>
      </w:r>
    </w:p>
    <w:p w14:paraId="5F759F9F" w14:textId="77777777" w:rsidR="00B3137B" w:rsidRPr="00B9099F" w:rsidRDefault="00B3137B" w:rsidP="00B3137B"/>
    <w:p w14:paraId="3E796D61" w14:textId="77777777" w:rsidR="00BC4418" w:rsidRPr="00B9099F" w:rsidRDefault="00BC4418" w:rsidP="00BC4418">
      <w:r w:rsidRPr="00B9099F">
        <w:t>Patients achieved milestones un</w:t>
      </w:r>
      <w:r w:rsidR="00BC67FE" w:rsidRPr="00B9099F">
        <w:t>expected in Type I or II</w:t>
      </w:r>
      <w:r w:rsidRPr="00B9099F">
        <w:t xml:space="preserve"> SMA and more consistent with normal development.  Compared to baseline, improvements in HINE motor milestones were achieved in 16 (89%) of patients in the efficacy set at the interim analysis. Twelve patients were sitting independently, 9 were standing with or without support, and 6 were walking with or without support. Sixteen patients (89%) demonstrated a ≥ 4 point improvement in CHOP INTEND total score, 7 of which achieved the maximum total CHOP INTEND score of 64. One patient (6%) experienced a ≥ 4 point decrease in CHOP INTEND total score.</w:t>
      </w:r>
    </w:p>
    <w:p w14:paraId="5365FB2D" w14:textId="77777777" w:rsidR="00BC4418" w:rsidRPr="00B9099F" w:rsidRDefault="00BC4418" w:rsidP="00BC4418">
      <w:r w:rsidRPr="00B9099F">
        <w:tab/>
      </w:r>
    </w:p>
    <w:p w14:paraId="0A61DE7E" w14:textId="31D1726D" w:rsidR="00BC4418" w:rsidRDefault="00BC4418" w:rsidP="00BC4418">
      <w:r w:rsidRPr="00B9099F">
        <w:t>The proportion of patients developing clinically manifested SMA was assessed amongst patients who reached the Day 365 visit at the interim analysis (n=9). The protocol-defined criteria for clinically manifested SMA included age-adjusted weight below the fifth WHO percentile, a decrease of 2 or more major weight growth curve percentiles, the placement of a percutaneous gastric tube, and/or the inability to achieve expected age-appropriate WHO milestones (independent sitting, standing with assistance, and hands-and-knees crawling). Five (56%) patients were gaining weight and achieving WHO milestones consistent with normal development. Although 4 (44%) patients (each with 2 SMN2 gene copies) met the protocol-defined criteria for clinically manifested SMA, these patients were gaining weight, and achieving WHO milestones, including independent s</w:t>
      </w:r>
      <w:r w:rsidR="00BC67FE" w:rsidRPr="00B9099F">
        <w:t>itting, inconsistent with Type I</w:t>
      </w:r>
      <w:r w:rsidRPr="00B9099F">
        <w:t xml:space="preserve"> SMA.  </w:t>
      </w:r>
    </w:p>
    <w:p w14:paraId="47149DC4" w14:textId="6DE03C3F" w:rsidR="00381933" w:rsidRDefault="00381933" w:rsidP="00BC4418"/>
    <w:p w14:paraId="4E74293C" w14:textId="4B1F9E3C" w:rsidR="00381933" w:rsidRPr="00B9099F" w:rsidRDefault="006E12DB" w:rsidP="00BC4418">
      <w:r>
        <w:t xml:space="preserve">As illustrated in Figures 6 and 7, </w:t>
      </w:r>
      <w:r w:rsidR="00F8432C">
        <w:t xml:space="preserve">the greatest benefit in overall survival and motor </w:t>
      </w:r>
      <w:r w:rsidR="00F35E85">
        <w:t>milestones</w:t>
      </w:r>
      <w:r w:rsidR="00F8432C">
        <w:t xml:space="preserve"> occurred w</w:t>
      </w:r>
      <w:r w:rsidR="00D17B5A">
        <w:t>hen</w:t>
      </w:r>
      <w:r w:rsidR="00F8432C">
        <w:t xml:space="preserve"> </w:t>
      </w:r>
      <w:r>
        <w:t>SPINRAZA</w:t>
      </w:r>
      <w:r w:rsidR="00F8432C">
        <w:t xml:space="preserve"> treatment was initiated</w:t>
      </w:r>
      <w:r w:rsidR="0047685B">
        <w:t xml:space="preserve"> prior to symptom </w:t>
      </w:r>
      <w:r w:rsidR="00AC6B5B">
        <w:t>onset</w:t>
      </w:r>
      <w:r w:rsidR="00D52D7C">
        <w:t xml:space="preserve">. </w:t>
      </w:r>
    </w:p>
    <w:p w14:paraId="67A145E3" w14:textId="77777777" w:rsidR="00BC4418" w:rsidRPr="00B9099F" w:rsidRDefault="00BC4418" w:rsidP="00B3137B"/>
    <w:p w14:paraId="0202AE01" w14:textId="77777777" w:rsidR="00B002C1" w:rsidRDefault="00B002C1">
      <w:pPr>
        <w:jc w:val="left"/>
        <w:rPr>
          <w:b/>
          <w:sz w:val="22"/>
        </w:rPr>
      </w:pPr>
      <w:r>
        <w:rPr>
          <w:b/>
          <w:sz w:val="22"/>
        </w:rPr>
        <w:br w:type="page"/>
      </w:r>
    </w:p>
    <w:p w14:paraId="0D12A994" w14:textId="6C146FE4" w:rsidR="00D869AB" w:rsidRPr="00B9099F" w:rsidRDefault="00B3137B" w:rsidP="00B3137B">
      <w:pPr>
        <w:keepNext/>
        <w:widowControl w:val="0"/>
        <w:rPr>
          <w:b/>
          <w:sz w:val="22"/>
        </w:rPr>
      </w:pPr>
      <w:r w:rsidRPr="00B9099F">
        <w:rPr>
          <w:b/>
          <w:sz w:val="22"/>
        </w:rPr>
        <w:lastRenderedPageBreak/>
        <w:t>Figure </w:t>
      </w:r>
      <w:r w:rsidR="00C77A8A" w:rsidRPr="00B9099F">
        <w:rPr>
          <w:b/>
          <w:sz w:val="22"/>
        </w:rPr>
        <w:t>6</w:t>
      </w:r>
      <w:r w:rsidRPr="00B9099F">
        <w:rPr>
          <w:b/>
          <w:sz w:val="22"/>
        </w:rPr>
        <w:t>: Probability of Survival Versus Study Days in Study </w:t>
      </w:r>
      <w:r w:rsidR="00AD3125" w:rsidRPr="00B9099F">
        <w:rPr>
          <w:b/>
          <w:sz w:val="22"/>
        </w:rPr>
        <w:t>CS3B</w:t>
      </w:r>
      <w:r w:rsidRPr="00B9099F">
        <w:rPr>
          <w:b/>
          <w:sz w:val="22"/>
        </w:rPr>
        <w:t xml:space="preserve"> (treated and sham</w:t>
      </w:r>
      <w:r w:rsidR="0029669F" w:rsidRPr="00B9099F">
        <w:rPr>
          <w:b/>
          <w:sz w:val="22"/>
        </w:rPr>
        <w:t>-control</w:t>
      </w:r>
      <w:r w:rsidRPr="00B9099F">
        <w:rPr>
          <w:b/>
          <w:sz w:val="22"/>
        </w:rPr>
        <w:t xml:space="preserve">), </w:t>
      </w:r>
      <w:r w:rsidR="00AD3125" w:rsidRPr="00B9099F">
        <w:rPr>
          <w:b/>
          <w:sz w:val="22"/>
        </w:rPr>
        <w:t>CS3A</w:t>
      </w:r>
      <w:r w:rsidRPr="00B9099F">
        <w:rPr>
          <w:b/>
          <w:sz w:val="22"/>
        </w:rPr>
        <w:t xml:space="preserve"> and </w:t>
      </w:r>
      <w:r w:rsidR="00AD3125" w:rsidRPr="00B9099F">
        <w:rPr>
          <w:b/>
          <w:sz w:val="22"/>
        </w:rPr>
        <w:t>CS</w:t>
      </w:r>
      <w:r w:rsidRPr="00B9099F">
        <w:rPr>
          <w:b/>
          <w:sz w:val="22"/>
        </w:rPr>
        <w:t>5</w:t>
      </w:r>
      <w:r w:rsidR="0093434B">
        <w:rPr>
          <w:b/>
          <w:sz w:val="22"/>
        </w:rPr>
        <w:t xml:space="preserve"> </w:t>
      </w:r>
      <w:r w:rsidR="00D869AB">
        <w:rPr>
          <w:b/>
          <w:sz w:val="22"/>
        </w:rPr>
        <w:t>–</w:t>
      </w:r>
      <w:r w:rsidRPr="00B9099F">
        <w:rPr>
          <w:b/>
          <w:sz w:val="22"/>
        </w:rPr>
        <w:t xml:space="preserve"> ITT</w:t>
      </w:r>
    </w:p>
    <w:p w14:paraId="5BF90E99" w14:textId="3BC91321" w:rsidR="00BC4418" w:rsidRPr="00B9099F" w:rsidRDefault="00D869AB" w:rsidP="00BE6281">
      <w:pPr>
        <w:keepNext/>
        <w:widowControl w:val="0"/>
        <w:jc w:val="center"/>
        <w:rPr>
          <w:b/>
          <w:sz w:val="22"/>
        </w:rPr>
      </w:pPr>
      <w:r>
        <w:rPr>
          <w:noProof/>
          <w:lang w:eastAsia="en-AU"/>
        </w:rPr>
        <w:drawing>
          <wp:inline distT="0" distB="0" distL="0" distR="0" wp14:anchorId="737C164E" wp14:editId="0EA28435">
            <wp:extent cx="5016499" cy="3762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20002" cy="3765003"/>
                    </a:xfrm>
                    <a:prstGeom prst="rect">
                      <a:avLst/>
                    </a:prstGeom>
                    <a:noFill/>
                    <a:ln>
                      <a:noFill/>
                    </a:ln>
                  </pic:spPr>
                </pic:pic>
              </a:graphicData>
            </a:graphic>
          </wp:inline>
        </w:drawing>
      </w:r>
    </w:p>
    <w:p w14:paraId="635BEC0B" w14:textId="491E7A3E" w:rsidR="00B3137B" w:rsidRPr="00B9099F" w:rsidRDefault="00B3137B" w:rsidP="00BE6281">
      <w:pPr>
        <w:keepNext/>
        <w:widowControl w:val="0"/>
      </w:pPr>
    </w:p>
    <w:p w14:paraId="6CBD356D" w14:textId="488E7BCB" w:rsidR="00D869AB" w:rsidRPr="00B9099F" w:rsidRDefault="00B3137B" w:rsidP="00B3137B">
      <w:pPr>
        <w:keepNext/>
        <w:widowControl w:val="0"/>
        <w:rPr>
          <w:b/>
          <w:sz w:val="22"/>
        </w:rPr>
      </w:pPr>
      <w:r w:rsidRPr="00B9099F">
        <w:rPr>
          <w:b/>
          <w:sz w:val="22"/>
        </w:rPr>
        <w:t>Figure </w:t>
      </w:r>
      <w:r w:rsidR="00C77A8A" w:rsidRPr="00B9099F">
        <w:rPr>
          <w:b/>
          <w:sz w:val="22"/>
        </w:rPr>
        <w:t>7</w:t>
      </w:r>
      <w:r w:rsidRPr="00B9099F">
        <w:rPr>
          <w:b/>
          <w:sz w:val="22"/>
        </w:rPr>
        <w:t>: Change in Motor Milestones Versus Study Days for Study </w:t>
      </w:r>
      <w:r w:rsidR="00AD3125" w:rsidRPr="00B9099F">
        <w:rPr>
          <w:b/>
          <w:sz w:val="22"/>
        </w:rPr>
        <w:t>CS3B</w:t>
      </w:r>
      <w:r w:rsidRPr="00B9099F">
        <w:rPr>
          <w:b/>
          <w:sz w:val="22"/>
        </w:rPr>
        <w:t xml:space="preserve"> (treated and sham</w:t>
      </w:r>
      <w:r w:rsidR="00C954DD" w:rsidRPr="00B9099F">
        <w:rPr>
          <w:b/>
          <w:sz w:val="22"/>
        </w:rPr>
        <w:t>-control</w:t>
      </w:r>
      <w:r w:rsidRPr="00B9099F">
        <w:rPr>
          <w:b/>
          <w:sz w:val="22"/>
        </w:rPr>
        <w:t xml:space="preserve">, IES), </w:t>
      </w:r>
      <w:r w:rsidR="00AD3125" w:rsidRPr="00B9099F">
        <w:rPr>
          <w:b/>
          <w:sz w:val="22"/>
        </w:rPr>
        <w:t>CS3A</w:t>
      </w:r>
      <w:r w:rsidRPr="00B9099F">
        <w:rPr>
          <w:b/>
          <w:sz w:val="22"/>
        </w:rPr>
        <w:t xml:space="preserve"> (IES) and </w:t>
      </w:r>
      <w:proofErr w:type="gramStart"/>
      <w:r w:rsidR="00AD3125" w:rsidRPr="00B9099F">
        <w:rPr>
          <w:b/>
          <w:sz w:val="22"/>
        </w:rPr>
        <w:t>CS</w:t>
      </w:r>
      <w:r w:rsidRPr="00B9099F">
        <w:rPr>
          <w:b/>
          <w:sz w:val="22"/>
        </w:rPr>
        <w:t>5</w:t>
      </w:r>
      <w:r w:rsidR="0093434B">
        <w:rPr>
          <w:b/>
          <w:sz w:val="22"/>
        </w:rPr>
        <w:t xml:space="preserve"> </w:t>
      </w:r>
      <w:r w:rsidRPr="00B9099F">
        <w:rPr>
          <w:b/>
          <w:sz w:val="22"/>
        </w:rPr>
        <w:t xml:space="preserve"> (</w:t>
      </w:r>
      <w:proofErr w:type="gramEnd"/>
      <w:r w:rsidRPr="00B9099F">
        <w:rPr>
          <w:b/>
          <w:sz w:val="22"/>
        </w:rPr>
        <w:t>ITT)</w:t>
      </w:r>
    </w:p>
    <w:p w14:paraId="0C6B1EA1" w14:textId="6EAD4C9B" w:rsidR="00BC4418" w:rsidRPr="00B9099F" w:rsidRDefault="00432878" w:rsidP="00BE6281">
      <w:pPr>
        <w:keepNext/>
        <w:widowControl w:val="0"/>
        <w:jc w:val="center"/>
        <w:rPr>
          <w:b/>
          <w:sz w:val="22"/>
        </w:rPr>
      </w:pPr>
      <w:r>
        <w:rPr>
          <w:noProof/>
          <w:lang w:eastAsia="en-AU"/>
        </w:rPr>
        <w:drawing>
          <wp:inline distT="0" distB="0" distL="0" distR="0" wp14:anchorId="052FA298" wp14:editId="2201D178">
            <wp:extent cx="5181600" cy="3886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182645" cy="3886984"/>
                    </a:xfrm>
                    <a:prstGeom prst="rect">
                      <a:avLst/>
                    </a:prstGeom>
                    <a:noFill/>
                    <a:ln>
                      <a:noFill/>
                    </a:ln>
                  </pic:spPr>
                </pic:pic>
              </a:graphicData>
            </a:graphic>
          </wp:inline>
        </w:drawing>
      </w:r>
    </w:p>
    <w:p w14:paraId="295285CE" w14:textId="22D160AF" w:rsidR="00E57837" w:rsidRPr="00B9099F" w:rsidRDefault="00E57837" w:rsidP="00B3137B">
      <w:pPr>
        <w:keepNext/>
        <w:widowControl w:val="0"/>
        <w:rPr>
          <w:b/>
        </w:rPr>
      </w:pPr>
    </w:p>
    <w:p w14:paraId="5DE3F9DD" w14:textId="77777777" w:rsidR="00B3137B" w:rsidRPr="00B9099F" w:rsidRDefault="00B3137B" w:rsidP="00770732"/>
    <w:p w14:paraId="0DF57ED0" w14:textId="77777777" w:rsidR="00D945DF" w:rsidRPr="00B9099F" w:rsidRDefault="00D945DF" w:rsidP="00B3137B"/>
    <w:p w14:paraId="1E0E97C7" w14:textId="77777777" w:rsidR="00E33E7B" w:rsidRPr="00B9099F" w:rsidRDefault="000A0F9E" w:rsidP="00327F0A">
      <w:pPr>
        <w:pStyle w:val="Heading2"/>
        <w:rPr>
          <w:lang w:val="en-US"/>
        </w:rPr>
      </w:pPr>
      <w:r w:rsidRPr="00B9099F">
        <w:rPr>
          <w:lang w:val="en-US"/>
        </w:rPr>
        <w:t>INDICATIONS</w:t>
      </w:r>
    </w:p>
    <w:p w14:paraId="30E17932" w14:textId="5D73A04D" w:rsidR="00972933" w:rsidRPr="00B9099F" w:rsidRDefault="0021286E" w:rsidP="0021286E">
      <w:r w:rsidRPr="00B9099F">
        <w:t xml:space="preserve">SPINRAZA is indicated for the treatment of </w:t>
      </w:r>
      <w:r w:rsidR="00947B5A" w:rsidRPr="00B9099F">
        <w:t xml:space="preserve">5q </w:t>
      </w:r>
      <w:r w:rsidRPr="00B9099F">
        <w:t>Spinal Muscular Atrophy (SMA).</w:t>
      </w:r>
    </w:p>
    <w:p w14:paraId="54F34D14" w14:textId="77777777" w:rsidR="00AB22B8" w:rsidRPr="00B9099F" w:rsidRDefault="00AB22B8" w:rsidP="0077745D"/>
    <w:p w14:paraId="14E0D0E9" w14:textId="77777777" w:rsidR="00D23745" w:rsidRPr="00B9099F" w:rsidRDefault="00D23745" w:rsidP="0077745D"/>
    <w:p w14:paraId="0FBB298E" w14:textId="77777777" w:rsidR="00E33E7B" w:rsidRPr="00B9099F" w:rsidRDefault="000A0F9E" w:rsidP="00327F0A">
      <w:pPr>
        <w:pStyle w:val="Heading2"/>
      </w:pPr>
      <w:r w:rsidRPr="00B9099F">
        <w:t>CONTRAINDICATIONS</w:t>
      </w:r>
    </w:p>
    <w:p w14:paraId="1A35D4D3" w14:textId="77777777" w:rsidR="00EA260F" w:rsidRPr="00B9099F" w:rsidRDefault="0021286E" w:rsidP="00D945DF">
      <w:pPr>
        <w:autoSpaceDE w:val="0"/>
        <w:autoSpaceDN w:val="0"/>
        <w:adjustRightInd w:val="0"/>
        <w:rPr>
          <w:rFonts w:cs="Arial"/>
          <w:sz w:val="22"/>
          <w:szCs w:val="22"/>
        </w:rPr>
      </w:pPr>
      <w:r w:rsidRPr="00B9099F">
        <w:rPr>
          <w:rFonts w:cs="Arial"/>
        </w:rPr>
        <w:t>SPINRAZA</w:t>
      </w:r>
      <w:r w:rsidR="00621A9E" w:rsidRPr="00B9099F">
        <w:rPr>
          <w:rFonts w:cs="Arial"/>
        </w:rPr>
        <w:t xml:space="preserve"> is contraindicated in patients who have </w:t>
      </w:r>
      <w:r w:rsidR="006C4879" w:rsidRPr="00B9099F">
        <w:rPr>
          <w:rFonts w:cs="Arial"/>
        </w:rPr>
        <w:t xml:space="preserve">a history of </w:t>
      </w:r>
      <w:r w:rsidR="00621A9E" w:rsidRPr="00B9099F">
        <w:rPr>
          <w:rFonts w:cs="Arial"/>
        </w:rPr>
        <w:t>hypersensitivity reactions, to</w:t>
      </w:r>
      <w:r w:rsidRPr="00B9099F">
        <w:rPr>
          <w:rFonts w:cs="Arial"/>
        </w:rPr>
        <w:t xml:space="preserve"> the active ingredient or its excipients.</w:t>
      </w:r>
    </w:p>
    <w:p w14:paraId="1E326AE3" w14:textId="77777777" w:rsidR="00D945DF" w:rsidRPr="00B9099F" w:rsidRDefault="00D945DF" w:rsidP="0077745D"/>
    <w:p w14:paraId="0F3B3DD7" w14:textId="77777777" w:rsidR="00D23745" w:rsidRPr="00B9099F" w:rsidRDefault="00D23745" w:rsidP="0077745D"/>
    <w:p w14:paraId="6EC01D7F" w14:textId="77777777" w:rsidR="00F0604E" w:rsidRPr="00B9099F" w:rsidRDefault="000A0F9E" w:rsidP="00327F0A">
      <w:pPr>
        <w:pStyle w:val="Heading2"/>
      </w:pPr>
      <w:r w:rsidRPr="00B9099F">
        <w:t>PRECAUTIONS</w:t>
      </w:r>
      <w:bookmarkStart w:id="20" w:name="g44d15ea4-eaed-44a5-9ec7-731431ab0307"/>
      <w:bookmarkEnd w:id="20"/>
    </w:p>
    <w:p w14:paraId="5B387A69" w14:textId="77777777" w:rsidR="002306CC" w:rsidRPr="00B9099F" w:rsidRDefault="002306CC" w:rsidP="002306CC">
      <w:pPr>
        <w:pStyle w:val="Heading5"/>
      </w:pPr>
      <w:r w:rsidRPr="00B9099F">
        <w:t>Thrombocytopenia and coagulation abnormalities</w:t>
      </w:r>
    </w:p>
    <w:p w14:paraId="20BCEFEE" w14:textId="2E96A900" w:rsidR="002306CC" w:rsidRPr="00B9099F" w:rsidRDefault="002306CC" w:rsidP="002306CC">
      <w:r w:rsidRPr="00B9099F">
        <w:t>Thrombocytopenia and coagulation abnormalities, including acute severe thrombocytopenia, have been observed after administration of other subcutaneously or intravenously administered antisense oligonucleotides. If clinically indicated, platelet and coagulation laboratory testing is recommended prior to administration of S</w:t>
      </w:r>
      <w:r w:rsidR="00B94292" w:rsidRPr="00B9099F">
        <w:t>PINRAZA</w:t>
      </w:r>
      <w:r w:rsidRPr="00B9099F">
        <w:t>.</w:t>
      </w:r>
    </w:p>
    <w:p w14:paraId="0B4D3284" w14:textId="77777777" w:rsidR="009C1C87" w:rsidRPr="00B9099F" w:rsidRDefault="009C1C87" w:rsidP="002306CC"/>
    <w:p w14:paraId="2B979625" w14:textId="77777777" w:rsidR="009C1C87" w:rsidRPr="00B9099F" w:rsidRDefault="009C1C87" w:rsidP="009C1C87">
      <w:pPr>
        <w:pStyle w:val="Heading5"/>
      </w:pPr>
      <w:r w:rsidRPr="00B9099F">
        <w:t>Renal toxicity</w:t>
      </w:r>
    </w:p>
    <w:p w14:paraId="0CE92FD9" w14:textId="77777777" w:rsidR="00951448" w:rsidRDefault="009C1C87" w:rsidP="009C1C87">
      <w:r w:rsidRPr="00B9099F">
        <w:t xml:space="preserve">Renal toxicity has been observed after administration of other subcutaneously and intravenously administered antisense oligonucleotides. </w:t>
      </w:r>
    </w:p>
    <w:p w14:paraId="37C55BD3" w14:textId="77777777" w:rsidR="00951448" w:rsidRDefault="00951448" w:rsidP="009C1C87"/>
    <w:p w14:paraId="02337998" w14:textId="1F7C27FE" w:rsidR="00951448" w:rsidRDefault="00E40E19" w:rsidP="009C1C87">
      <w:pPr>
        <w:rPr>
          <w:lang w:val="en-CA"/>
        </w:rPr>
      </w:pPr>
      <w:bookmarkStart w:id="21" w:name="_Hlk496177307"/>
      <w:r>
        <w:rPr>
          <w:bCs/>
        </w:rPr>
        <w:t>In a combined analysis of the sham-controlled studies for patients with infantile-onset and later-onset SMA, 71 of 123 (58%) of SPINRAZA-treated patients had elevated urine protein, compared to 22 of 65 (34%) sham-controlled patients.</w:t>
      </w:r>
    </w:p>
    <w:bookmarkEnd w:id="21"/>
    <w:p w14:paraId="07F94BEE" w14:textId="77777777" w:rsidR="00E40E19" w:rsidRDefault="00E40E19" w:rsidP="009C1C87"/>
    <w:p w14:paraId="7167D903" w14:textId="07CDEE16" w:rsidR="009C1C87" w:rsidRPr="00B9099F" w:rsidRDefault="009C1C87" w:rsidP="009C1C87">
      <w:r w:rsidRPr="00B9099F">
        <w:t>If clinically indicated, urine protein testing (preferably using a first morning urine specimen) is recommended. For persistent elevated urinary protein, further evaluation should be considered.</w:t>
      </w:r>
    </w:p>
    <w:p w14:paraId="0A3B7D76" w14:textId="77777777" w:rsidR="002306CC" w:rsidRPr="00B9099F" w:rsidRDefault="002306CC" w:rsidP="0077745D">
      <w:pPr>
        <w:pStyle w:val="Heading5"/>
      </w:pPr>
    </w:p>
    <w:p w14:paraId="2748E01A" w14:textId="77777777" w:rsidR="00E33E7B" w:rsidRPr="00B9099F" w:rsidRDefault="000A0F9E" w:rsidP="0077745D">
      <w:pPr>
        <w:pStyle w:val="Heading5"/>
      </w:pPr>
      <w:r w:rsidRPr="00B9099F">
        <w:t>Effects on fertility</w:t>
      </w:r>
    </w:p>
    <w:p w14:paraId="31C9FCD2" w14:textId="77777777" w:rsidR="00200E44" w:rsidRPr="00B9099F" w:rsidRDefault="00200E44" w:rsidP="00200E44">
      <w:r w:rsidRPr="00B9099F">
        <w:t xml:space="preserve">Data from nonclinical studies do not suggest that nusinersen would be associated with effects on male or female fertility. Administration of nusinersen via subcutaneous injection to male and female mice at doses of up to 25 mg/kg (87.5 mg/kg/week) had no effects on fertility. </w:t>
      </w:r>
    </w:p>
    <w:p w14:paraId="2CF4C0AF" w14:textId="77777777" w:rsidR="00200E44" w:rsidRPr="00B9099F" w:rsidRDefault="00200E44" w:rsidP="00200E44"/>
    <w:p w14:paraId="4490BC7C" w14:textId="77777777" w:rsidR="005F14F7" w:rsidRPr="00B9099F" w:rsidRDefault="00200E44" w:rsidP="00200E44">
      <w:r w:rsidRPr="00B9099F">
        <w:t>There are no data on the effects of nusinersen on human fertility.</w:t>
      </w:r>
    </w:p>
    <w:p w14:paraId="7F9BC2C0" w14:textId="77777777" w:rsidR="00B749E8" w:rsidRPr="00B9099F" w:rsidRDefault="00B749E8">
      <w:pPr>
        <w:autoSpaceDE w:val="0"/>
        <w:autoSpaceDN w:val="0"/>
        <w:adjustRightInd w:val="0"/>
        <w:rPr>
          <w:rFonts w:cs="Arial"/>
        </w:rPr>
      </w:pPr>
    </w:p>
    <w:p w14:paraId="158B3A8F" w14:textId="77777777" w:rsidR="00E33E7B" w:rsidRPr="00B9099F" w:rsidRDefault="000A0F9E" w:rsidP="0077745D">
      <w:pPr>
        <w:pStyle w:val="Heading5"/>
      </w:pPr>
      <w:r w:rsidRPr="00B9099F">
        <w:t xml:space="preserve">Use in </w:t>
      </w:r>
      <w:r w:rsidR="0084702B" w:rsidRPr="00B9099F">
        <w:t>P</w:t>
      </w:r>
      <w:r w:rsidRPr="00B9099F">
        <w:t>regnancy</w:t>
      </w:r>
      <w:r w:rsidR="0084702B" w:rsidRPr="00B9099F">
        <w:t xml:space="preserve"> (Category </w:t>
      </w:r>
      <w:r w:rsidR="00200E44" w:rsidRPr="00B9099F">
        <w:t>B1</w:t>
      </w:r>
      <w:r w:rsidR="000C6B28" w:rsidRPr="00B9099F">
        <w:t>)</w:t>
      </w:r>
    </w:p>
    <w:p w14:paraId="19524EB4" w14:textId="77777777" w:rsidR="00200E44" w:rsidRPr="00B9099F" w:rsidRDefault="00200E44" w:rsidP="00200E44">
      <w:pPr>
        <w:autoSpaceDE w:val="0"/>
        <w:autoSpaceDN w:val="0"/>
        <w:adjustRightInd w:val="0"/>
        <w:rPr>
          <w:rFonts w:cs="Arial"/>
          <w:lang w:val="en-US"/>
        </w:rPr>
      </w:pPr>
      <w:r w:rsidRPr="00B9099F">
        <w:rPr>
          <w:rFonts w:cs="Arial"/>
          <w:lang w:val="en-US"/>
        </w:rPr>
        <w:t xml:space="preserve">Data from nonclinical studies do not suggest that nusinersen would be associated with effects on embryo-fetal development. Administration of nusinersen via subcutaneous injection to mice and rabbits at doses up to 25 mg/kg (87.5 mg/kg/week) did not produce any adverse effects on embryo-fetal development. Using liver concentration as a measure of systemic exposure, the estimated nusinersen concentration in the liver at 25 mg/kg (87.5 mg/kg/week) provides an approximately ≥8.4-fold margin over the liver nusinersen concentration in humans at the maximum recommended clinical dose of 12 mg. </w:t>
      </w:r>
    </w:p>
    <w:p w14:paraId="05A1FF33" w14:textId="77777777" w:rsidR="00200E44" w:rsidRPr="00B9099F" w:rsidRDefault="00200E44" w:rsidP="00200E44">
      <w:pPr>
        <w:autoSpaceDE w:val="0"/>
        <w:autoSpaceDN w:val="0"/>
        <w:adjustRightInd w:val="0"/>
        <w:rPr>
          <w:rFonts w:cs="Arial"/>
          <w:lang w:val="en-US"/>
        </w:rPr>
      </w:pPr>
    </w:p>
    <w:p w14:paraId="32C7F6A9" w14:textId="77777777" w:rsidR="00200E44" w:rsidRPr="00B9099F" w:rsidRDefault="00200E44" w:rsidP="00200E44">
      <w:pPr>
        <w:autoSpaceDE w:val="0"/>
        <w:autoSpaceDN w:val="0"/>
        <w:adjustRightInd w:val="0"/>
        <w:rPr>
          <w:rFonts w:cs="Arial"/>
          <w:lang w:val="en-US"/>
        </w:rPr>
      </w:pPr>
      <w:r w:rsidRPr="00B9099F">
        <w:rPr>
          <w:rFonts w:cs="Arial"/>
          <w:lang w:val="en-US"/>
        </w:rPr>
        <w:t xml:space="preserve">The effects of </w:t>
      </w:r>
      <w:proofErr w:type="spellStart"/>
      <w:r w:rsidRPr="00B9099F">
        <w:rPr>
          <w:rFonts w:cs="Arial"/>
          <w:lang w:val="en-US"/>
        </w:rPr>
        <w:t>nusinersen</w:t>
      </w:r>
      <w:proofErr w:type="spellEnd"/>
      <w:r w:rsidRPr="00B9099F">
        <w:rPr>
          <w:rFonts w:cs="Arial"/>
          <w:lang w:val="en-US"/>
        </w:rPr>
        <w:t xml:space="preserve"> on </w:t>
      </w:r>
      <w:proofErr w:type="spellStart"/>
      <w:r w:rsidRPr="00B9099F">
        <w:rPr>
          <w:rFonts w:cs="Arial"/>
          <w:lang w:val="en-US"/>
        </w:rPr>
        <w:t>labour</w:t>
      </w:r>
      <w:proofErr w:type="spellEnd"/>
      <w:r w:rsidRPr="00B9099F">
        <w:rPr>
          <w:rFonts w:cs="Arial"/>
          <w:lang w:val="en-US"/>
        </w:rPr>
        <w:t xml:space="preserve"> and delivery in humans are unknown.</w:t>
      </w:r>
    </w:p>
    <w:p w14:paraId="3C4E6E89" w14:textId="77777777" w:rsidR="00366146" w:rsidRPr="00B9099F" w:rsidRDefault="00366146" w:rsidP="0060012B">
      <w:pPr>
        <w:autoSpaceDE w:val="0"/>
        <w:autoSpaceDN w:val="0"/>
        <w:adjustRightInd w:val="0"/>
        <w:rPr>
          <w:rFonts w:cs="Arial"/>
          <w:lang w:val="en-US"/>
        </w:rPr>
      </w:pPr>
    </w:p>
    <w:p w14:paraId="27F36001" w14:textId="77777777" w:rsidR="00E33E7B" w:rsidRPr="00B9099F" w:rsidRDefault="000A0F9E" w:rsidP="0077745D">
      <w:pPr>
        <w:pStyle w:val="Heading5"/>
      </w:pPr>
      <w:r w:rsidRPr="00B9099F">
        <w:lastRenderedPageBreak/>
        <w:t>Use in lactation</w:t>
      </w:r>
    </w:p>
    <w:p w14:paraId="3EB6BEDC" w14:textId="77777777" w:rsidR="003B17B9" w:rsidRPr="00B9099F" w:rsidRDefault="00200E44" w:rsidP="005F14F7">
      <w:pPr>
        <w:autoSpaceDE w:val="0"/>
        <w:autoSpaceDN w:val="0"/>
        <w:adjustRightInd w:val="0"/>
        <w:rPr>
          <w:rFonts w:cs="Arial"/>
        </w:rPr>
      </w:pPr>
      <w:r w:rsidRPr="00B9099F">
        <w:rPr>
          <w:rFonts w:cs="Arial"/>
        </w:rPr>
        <w:t>There are no data on the presence of nusinersen in human milk, the effects on the breastfed infant or the effects of the drug on milk production.</w:t>
      </w:r>
    </w:p>
    <w:p w14:paraId="03C4D61E" w14:textId="77777777" w:rsidR="00366146" w:rsidRPr="00B9099F" w:rsidRDefault="00366146" w:rsidP="0060012B">
      <w:pPr>
        <w:autoSpaceDE w:val="0"/>
        <w:autoSpaceDN w:val="0"/>
        <w:adjustRightInd w:val="0"/>
        <w:rPr>
          <w:rFonts w:cs="Arial"/>
        </w:rPr>
      </w:pPr>
    </w:p>
    <w:p w14:paraId="3156E85C" w14:textId="77777777" w:rsidR="00A37AEE" w:rsidRPr="00B9099F" w:rsidRDefault="000A0F9E" w:rsidP="0077745D">
      <w:pPr>
        <w:pStyle w:val="Heading5"/>
      </w:pPr>
      <w:proofErr w:type="spellStart"/>
      <w:r w:rsidRPr="00B9099F">
        <w:t>Paediatric</w:t>
      </w:r>
      <w:proofErr w:type="spellEnd"/>
      <w:r w:rsidRPr="00B9099F">
        <w:t xml:space="preserve"> use</w:t>
      </w:r>
    </w:p>
    <w:p w14:paraId="6E1CD262" w14:textId="77777777" w:rsidR="00F0604E" w:rsidRPr="00B9099F" w:rsidRDefault="00366146">
      <w:pPr>
        <w:autoSpaceDE w:val="0"/>
        <w:autoSpaceDN w:val="0"/>
        <w:adjustRightInd w:val="0"/>
      </w:pPr>
      <w:r w:rsidRPr="00B9099F">
        <w:t xml:space="preserve">SPINRAZA has been studied in patients ranging from newborn to 17 years (see </w:t>
      </w:r>
      <w:r w:rsidRPr="00B9099F">
        <w:rPr>
          <w:i/>
        </w:rPr>
        <w:t>Clinical Trials</w:t>
      </w:r>
      <w:r w:rsidRPr="00B9099F">
        <w:t>).</w:t>
      </w:r>
    </w:p>
    <w:p w14:paraId="62BFE5F2" w14:textId="77777777" w:rsidR="0077745D" w:rsidRPr="00B9099F" w:rsidRDefault="0077745D" w:rsidP="0077745D">
      <w:pPr>
        <w:autoSpaceDE w:val="0"/>
        <w:autoSpaceDN w:val="0"/>
        <w:adjustRightInd w:val="0"/>
        <w:rPr>
          <w:rFonts w:cs="Arial"/>
          <w:b/>
          <w:i/>
        </w:rPr>
      </w:pPr>
    </w:p>
    <w:p w14:paraId="76E567ED" w14:textId="77777777" w:rsidR="0077745D" w:rsidRPr="00B9099F" w:rsidRDefault="0077745D" w:rsidP="0077745D">
      <w:pPr>
        <w:pStyle w:val="Heading5"/>
      </w:pPr>
      <w:r w:rsidRPr="00B9099F">
        <w:t>Use in adults</w:t>
      </w:r>
    </w:p>
    <w:p w14:paraId="59D0E855" w14:textId="77777777" w:rsidR="0077745D" w:rsidRPr="00B9099F" w:rsidRDefault="0077745D" w:rsidP="0077745D">
      <w:r w:rsidRPr="00B9099F">
        <w:t>There are limited data in patients over the age of 18 years.</w:t>
      </w:r>
    </w:p>
    <w:p w14:paraId="3E6DDAD2" w14:textId="77777777" w:rsidR="00366146" w:rsidRPr="00B9099F" w:rsidRDefault="00366146">
      <w:pPr>
        <w:autoSpaceDE w:val="0"/>
        <w:autoSpaceDN w:val="0"/>
        <w:adjustRightInd w:val="0"/>
        <w:rPr>
          <w:rFonts w:cs="Arial"/>
        </w:rPr>
      </w:pPr>
    </w:p>
    <w:p w14:paraId="1770913E" w14:textId="77777777" w:rsidR="00E33E7B" w:rsidRPr="00B9099F" w:rsidRDefault="000A0F9E" w:rsidP="0077745D">
      <w:pPr>
        <w:pStyle w:val="Heading5"/>
      </w:pPr>
      <w:r w:rsidRPr="00B9099F">
        <w:t>Use in the elderly</w:t>
      </w:r>
    </w:p>
    <w:p w14:paraId="5480C107" w14:textId="77777777" w:rsidR="00366146" w:rsidRPr="00B9099F" w:rsidRDefault="00366146" w:rsidP="00366146">
      <w:r w:rsidRPr="00B9099F">
        <w:t>There are no data in patients over the age of 65.</w:t>
      </w:r>
    </w:p>
    <w:p w14:paraId="6A7A0AA6" w14:textId="77777777" w:rsidR="006F475F" w:rsidRPr="00B9099F" w:rsidRDefault="006F475F" w:rsidP="0060012B">
      <w:pPr>
        <w:autoSpaceDE w:val="0"/>
        <w:autoSpaceDN w:val="0"/>
        <w:adjustRightInd w:val="0"/>
        <w:rPr>
          <w:rFonts w:cs="Arial"/>
          <w:b/>
          <w:i/>
        </w:rPr>
      </w:pPr>
    </w:p>
    <w:p w14:paraId="66F76BBA" w14:textId="77777777" w:rsidR="006F475F" w:rsidRPr="00B9099F" w:rsidRDefault="006F475F" w:rsidP="0077745D">
      <w:pPr>
        <w:pStyle w:val="Heading5"/>
      </w:pPr>
      <w:r w:rsidRPr="00B9099F">
        <w:t>Genotoxicity</w:t>
      </w:r>
    </w:p>
    <w:p w14:paraId="3CECAE37" w14:textId="3C8DF741" w:rsidR="006F475F" w:rsidRPr="00B9099F" w:rsidRDefault="00200E44">
      <w:pPr>
        <w:autoSpaceDE w:val="0"/>
        <w:autoSpaceDN w:val="0"/>
        <w:adjustRightInd w:val="0"/>
        <w:rPr>
          <w:rFonts w:cs="Arial"/>
          <w:b/>
          <w:i/>
          <w:lang w:val="en-US"/>
        </w:rPr>
      </w:pPr>
      <w:r w:rsidRPr="00B9099F">
        <w:rPr>
          <w:rFonts w:cs="Arial"/>
        </w:rPr>
        <w:t xml:space="preserve">Nusinersen demonstrated no evidence of genotoxicity in </w:t>
      </w:r>
      <w:r w:rsidRPr="00B9099F">
        <w:rPr>
          <w:rFonts w:cs="Arial"/>
          <w:i/>
        </w:rPr>
        <w:t>in vitro</w:t>
      </w:r>
      <w:r w:rsidRPr="00B9099F">
        <w:rPr>
          <w:rFonts w:cs="Arial"/>
        </w:rPr>
        <w:t xml:space="preserve"> (Ames and chromosomal aberrations in CHO cells) and </w:t>
      </w:r>
      <w:r w:rsidRPr="00B9099F">
        <w:rPr>
          <w:rFonts w:cs="Arial"/>
          <w:i/>
        </w:rPr>
        <w:t>in vivo</w:t>
      </w:r>
      <w:r w:rsidRPr="00B9099F">
        <w:rPr>
          <w:rFonts w:cs="Arial"/>
        </w:rPr>
        <w:t xml:space="preserve"> (mouse micronucleus) assays.</w:t>
      </w:r>
      <w:r w:rsidR="00947B5A" w:rsidRPr="00B9099F">
        <w:rPr>
          <w:rFonts w:cs="Arial"/>
        </w:rPr>
        <w:t xml:space="preserve"> However, no assays were performed to demonstrate nusinersen uptake into bacterial and mammalian cells.</w:t>
      </w:r>
      <w:r w:rsidR="005B2ABE" w:rsidRPr="00B9099F">
        <w:rPr>
          <w:rFonts w:cs="Arial"/>
        </w:rPr>
        <w:t xml:space="preserve"> </w:t>
      </w:r>
    </w:p>
    <w:p w14:paraId="5EE4402E" w14:textId="77777777" w:rsidR="006F475F" w:rsidRPr="00B9099F" w:rsidRDefault="006F475F" w:rsidP="0060012B">
      <w:pPr>
        <w:autoSpaceDE w:val="0"/>
        <w:autoSpaceDN w:val="0"/>
        <w:adjustRightInd w:val="0"/>
        <w:rPr>
          <w:rFonts w:cs="Arial"/>
          <w:b/>
          <w:i/>
          <w:lang w:val="en-US"/>
        </w:rPr>
      </w:pPr>
    </w:p>
    <w:p w14:paraId="757F1A7F" w14:textId="77777777" w:rsidR="006F475F" w:rsidRPr="00B9099F" w:rsidRDefault="006F475F" w:rsidP="0077745D">
      <w:pPr>
        <w:pStyle w:val="Heading5"/>
      </w:pPr>
      <w:r w:rsidRPr="00B9099F">
        <w:t>Carcinogenicity</w:t>
      </w:r>
    </w:p>
    <w:p w14:paraId="282868A8" w14:textId="77777777" w:rsidR="00AA457A" w:rsidRPr="00B9099F" w:rsidRDefault="006C4879" w:rsidP="00D945DF">
      <w:pPr>
        <w:rPr>
          <w:rFonts w:cs="Arial"/>
        </w:rPr>
      </w:pPr>
      <w:r w:rsidRPr="00B9099F">
        <w:rPr>
          <w:rFonts w:cs="Arial"/>
        </w:rPr>
        <w:t xml:space="preserve">Long-term studies in animals to evaluate the carcinogenic potential of </w:t>
      </w:r>
      <w:r w:rsidR="00200E44" w:rsidRPr="00B9099F">
        <w:rPr>
          <w:rFonts w:cs="Arial"/>
        </w:rPr>
        <w:t xml:space="preserve">nusinersen </w:t>
      </w:r>
      <w:r w:rsidRPr="00B9099F">
        <w:rPr>
          <w:rFonts w:cs="Arial"/>
        </w:rPr>
        <w:t xml:space="preserve">have not been performed. </w:t>
      </w:r>
      <w:bookmarkStart w:id="22" w:name="Xpress_Internal_Empty313"/>
      <w:bookmarkStart w:id="23" w:name="Xpress_Internal_314"/>
      <w:bookmarkStart w:id="24" w:name="Xpress_Internal_Empty331"/>
      <w:bookmarkStart w:id="25" w:name="Xpress_Internal_332"/>
      <w:bookmarkStart w:id="26" w:name="Xpress_Internal_Empty332"/>
      <w:bookmarkStart w:id="27" w:name="Xpress_Internal_333"/>
      <w:bookmarkStart w:id="28" w:name="Xpress_Internal_Empty333"/>
      <w:bookmarkStart w:id="29" w:name="Xpress_Internal_334"/>
      <w:bookmarkStart w:id="30" w:name="Xpress_Internal_Empty334"/>
      <w:bookmarkStart w:id="31" w:name="Xpress_Internal_335"/>
      <w:bookmarkStart w:id="32" w:name="Xpress_Internal_Empty339"/>
      <w:bookmarkStart w:id="33" w:name="Xpress_Internal_340"/>
      <w:bookmarkStart w:id="34" w:name="Xpress_Internal_Empty340"/>
      <w:bookmarkStart w:id="35" w:name="Xpress_Internal_341"/>
      <w:bookmarkStart w:id="36" w:name="S7.3"/>
      <w:bookmarkStart w:id="37" w:name="section-8.3"/>
      <w:bookmarkStart w:id="38" w:name="S7.4"/>
      <w:bookmarkStart w:id="39" w:name="section-8.4"/>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3143CBE0" w14:textId="77777777" w:rsidR="00E57837" w:rsidRPr="00B9099F" w:rsidRDefault="00E57837" w:rsidP="0077745D">
      <w:pPr>
        <w:pStyle w:val="Heading5"/>
      </w:pPr>
    </w:p>
    <w:p w14:paraId="10F117DC" w14:textId="77777777" w:rsidR="00366146" w:rsidRPr="00B9099F" w:rsidRDefault="00366146" w:rsidP="0077745D">
      <w:pPr>
        <w:pStyle w:val="Heading5"/>
      </w:pPr>
      <w:r w:rsidRPr="00B9099F">
        <w:t>Toxicology</w:t>
      </w:r>
    </w:p>
    <w:p w14:paraId="0C2D1157" w14:textId="77777777" w:rsidR="00366146" w:rsidRPr="00B9099F" w:rsidRDefault="00366146" w:rsidP="00366146">
      <w:r w:rsidRPr="00B9099F">
        <w:t>In repeat</w:t>
      </w:r>
      <w:r w:rsidRPr="00B9099F">
        <w:noBreakHyphen/>
        <w:t>dose toxicity studies (14</w:t>
      </w:r>
      <w:r w:rsidRPr="00B9099F">
        <w:noBreakHyphen/>
        <w:t>weeks and 53</w:t>
      </w:r>
      <w:r w:rsidRPr="00B9099F">
        <w:noBreakHyphen/>
        <w:t xml:space="preserve">weeks) of IT administration to juvenile cynomolgus monkeys, </w:t>
      </w:r>
      <w:r w:rsidR="003C55BC" w:rsidRPr="00B9099F">
        <w:t>nusinersen</w:t>
      </w:r>
      <w:r w:rsidRPr="00B9099F">
        <w:t xml:space="preserve"> was well tolerated. The exception was an acute, transient deficit in lower spinal reflexes which occurred at the highest dose levels in each study (3 or 4 mg per dose). These effects were observed within several hours post</w:t>
      </w:r>
      <w:r w:rsidRPr="00B9099F">
        <w:noBreakHyphen/>
        <w:t>dose and generally resolved within 48 hours.</w:t>
      </w:r>
    </w:p>
    <w:p w14:paraId="37FEF5D9" w14:textId="77777777" w:rsidR="00366146" w:rsidRPr="00B9099F" w:rsidRDefault="00366146" w:rsidP="00366146"/>
    <w:p w14:paraId="4B2A44FF" w14:textId="77777777" w:rsidR="0077745D" w:rsidRPr="00B9099F" w:rsidRDefault="0077745D" w:rsidP="0077745D">
      <w:pPr>
        <w:pStyle w:val="Heading5"/>
      </w:pPr>
      <w:r w:rsidRPr="00B9099F">
        <w:t xml:space="preserve">Effect on Laboratory Tests </w:t>
      </w:r>
    </w:p>
    <w:p w14:paraId="2FA5C933" w14:textId="77777777" w:rsidR="0077745D" w:rsidRPr="00B9099F" w:rsidRDefault="0077745D" w:rsidP="00D945DF">
      <w:pPr>
        <w:rPr>
          <w:rFonts w:cs="Arial"/>
        </w:rPr>
      </w:pPr>
      <w:r w:rsidRPr="00B9099F">
        <w:rPr>
          <w:rFonts w:cs="Arial"/>
        </w:rPr>
        <w:t xml:space="preserve">There are no data available on whether </w:t>
      </w:r>
      <w:r w:rsidR="00B12C7B" w:rsidRPr="00B9099F">
        <w:rPr>
          <w:rFonts w:cs="Arial"/>
        </w:rPr>
        <w:t>SPINRAZA</w:t>
      </w:r>
      <w:r w:rsidRPr="00B9099F">
        <w:rPr>
          <w:rFonts w:cs="Arial"/>
        </w:rPr>
        <w:t xml:space="preserve"> interferes with laboratory tests.</w:t>
      </w:r>
    </w:p>
    <w:p w14:paraId="062465D9" w14:textId="77777777" w:rsidR="0077745D" w:rsidRPr="00B9099F" w:rsidRDefault="0077745D" w:rsidP="00D945DF">
      <w:pPr>
        <w:rPr>
          <w:rFonts w:cs="Arial"/>
        </w:rPr>
      </w:pPr>
    </w:p>
    <w:p w14:paraId="3D63F1C6" w14:textId="77777777" w:rsidR="001672B4" w:rsidRPr="00B9099F" w:rsidRDefault="001672B4" w:rsidP="0077745D">
      <w:pPr>
        <w:pStyle w:val="Heading5"/>
      </w:pPr>
      <w:r w:rsidRPr="00B9099F">
        <w:t>Effects on Ability to Drive and Use Machines</w:t>
      </w:r>
    </w:p>
    <w:p w14:paraId="3E3F1EC2" w14:textId="77777777" w:rsidR="001672B4" w:rsidRPr="00B9099F" w:rsidRDefault="001672B4" w:rsidP="001672B4">
      <w:pPr>
        <w:autoSpaceDE w:val="0"/>
        <w:autoSpaceDN w:val="0"/>
        <w:adjustRightInd w:val="0"/>
        <w:rPr>
          <w:rFonts w:cs="Arial"/>
        </w:rPr>
      </w:pPr>
      <w:r w:rsidRPr="00B9099F">
        <w:rPr>
          <w:rFonts w:cs="Arial"/>
        </w:rPr>
        <w:t>No studies on the effects on the ability to drive or use machines during treatment with SPINRAZA have been performed.</w:t>
      </w:r>
    </w:p>
    <w:p w14:paraId="168BCC8D" w14:textId="3789BCB6" w:rsidR="00D945DF" w:rsidRDefault="00D945DF">
      <w:pPr>
        <w:rPr>
          <w:rFonts w:cs="Arial"/>
        </w:rPr>
      </w:pPr>
    </w:p>
    <w:p w14:paraId="3A19594D" w14:textId="0CEBB7AA" w:rsidR="00D14D3A" w:rsidRPr="003E7D1C" w:rsidRDefault="00DD7147">
      <w:pPr>
        <w:rPr>
          <w:rFonts w:cs="Arial"/>
          <w:b/>
          <w:i/>
        </w:rPr>
      </w:pPr>
      <w:r>
        <w:rPr>
          <w:rFonts w:cs="Arial"/>
          <w:b/>
          <w:i/>
        </w:rPr>
        <w:t>Type 0 or IV SMA</w:t>
      </w:r>
    </w:p>
    <w:p w14:paraId="26869967" w14:textId="1AA8490F" w:rsidR="007126C6" w:rsidRPr="0047685B" w:rsidRDefault="007126C6" w:rsidP="007126C6">
      <w:pPr>
        <w:rPr>
          <w:rFonts w:cs="Arial"/>
        </w:rPr>
      </w:pPr>
      <w:r w:rsidRPr="0047685B">
        <w:rPr>
          <w:rFonts w:cs="Arial"/>
        </w:rPr>
        <w:t>Patients most likely to develop type 0 or IV SMA have not been included in the clinical development program for SPINRAZA.  The decision to treat should be based on individualized expert evaluation of the expected benefits of treatment for that individual, balanced against the potential risk of treatment with nusinersen.</w:t>
      </w:r>
      <w:r w:rsidR="00951448">
        <w:rPr>
          <w:rFonts w:cs="Arial"/>
        </w:rPr>
        <w:t xml:space="preserve"> The </w:t>
      </w:r>
      <w:r w:rsidR="00FC4C93">
        <w:rPr>
          <w:rFonts w:cs="Arial"/>
        </w:rPr>
        <w:t xml:space="preserve">full </w:t>
      </w:r>
      <w:r w:rsidR="00951448">
        <w:t xml:space="preserve">benefits and risks are unknown </w:t>
      </w:r>
      <w:r w:rsidR="00FC4C93">
        <w:t>among patients diagnosed with type 0 or IV</w:t>
      </w:r>
      <w:r w:rsidR="00951448">
        <w:t xml:space="preserve"> SMA</w:t>
      </w:r>
      <w:r w:rsidR="002106CF">
        <w:t>.</w:t>
      </w:r>
    </w:p>
    <w:p w14:paraId="1823A1E5" w14:textId="77777777" w:rsidR="001672B4" w:rsidRPr="00B9099F" w:rsidRDefault="001672B4">
      <w:pPr>
        <w:rPr>
          <w:rFonts w:cs="Arial"/>
        </w:rPr>
      </w:pPr>
    </w:p>
    <w:p w14:paraId="2A067F92" w14:textId="77777777" w:rsidR="00D23745" w:rsidRPr="00B9099F" w:rsidRDefault="00D23745">
      <w:pPr>
        <w:rPr>
          <w:rFonts w:cs="Arial"/>
        </w:rPr>
      </w:pPr>
    </w:p>
    <w:p w14:paraId="288D0633" w14:textId="45077B12" w:rsidR="00950134" w:rsidRPr="00B9099F" w:rsidRDefault="00D50071" w:rsidP="0060012B">
      <w:pPr>
        <w:autoSpaceDE w:val="0"/>
        <w:autoSpaceDN w:val="0"/>
        <w:adjustRightInd w:val="0"/>
        <w:rPr>
          <w:rStyle w:val="Heading1Char"/>
          <w:sz w:val="24"/>
          <w:szCs w:val="24"/>
        </w:rPr>
      </w:pPr>
      <w:r w:rsidRPr="00B9099F">
        <w:rPr>
          <w:rStyle w:val="Heading1Char"/>
          <w:sz w:val="24"/>
          <w:szCs w:val="24"/>
        </w:rPr>
        <w:t>INTERACTIONS WITH OTHER MEDICINES</w:t>
      </w:r>
    </w:p>
    <w:p w14:paraId="45339643" w14:textId="77777777" w:rsidR="004C4CFE" w:rsidRPr="00B9099F" w:rsidRDefault="004C4CFE" w:rsidP="004C4CFE">
      <w:pPr>
        <w:rPr>
          <w:b/>
        </w:rPr>
      </w:pPr>
      <w:bookmarkStart w:id="40" w:name="cd24e897-2cb1-4f62-82b4-1a2e18dfc412"/>
      <w:bookmarkStart w:id="41" w:name="gaa5c3e43-aedc-4ca8-b4c1-cec9040661fa"/>
      <w:bookmarkStart w:id="42" w:name="33ed1392-b3d7-48f7-9473-fc5c3139c13c"/>
      <w:bookmarkEnd w:id="40"/>
      <w:bookmarkEnd w:id="41"/>
      <w:bookmarkEnd w:id="42"/>
      <w:r w:rsidRPr="00B9099F">
        <w:t xml:space="preserve">No clinical studies of interactions with other medicines have been performed. </w:t>
      </w:r>
    </w:p>
    <w:p w14:paraId="671869F8" w14:textId="77777777" w:rsidR="004C4CFE" w:rsidRPr="00B9099F" w:rsidRDefault="004C4CFE" w:rsidP="004C4CFE"/>
    <w:p w14:paraId="2EA642EF" w14:textId="77777777" w:rsidR="004C4CFE" w:rsidRPr="00B9099F" w:rsidRDefault="004C4CFE" w:rsidP="004C4CFE">
      <w:pPr>
        <w:rPr>
          <w:b/>
        </w:rPr>
      </w:pPr>
      <w:r w:rsidRPr="00B9099F">
        <w:lastRenderedPageBreak/>
        <w:t xml:space="preserve">Nusinersen is metabolized via nucleases and not by the cytochrome P450 (CYP450) system. </w:t>
      </w:r>
    </w:p>
    <w:p w14:paraId="3B629D9F" w14:textId="77777777" w:rsidR="004C4CFE" w:rsidRPr="00B9099F" w:rsidRDefault="004C4CFE" w:rsidP="004C4CFE"/>
    <w:p w14:paraId="5145AB96" w14:textId="77777777" w:rsidR="004C4CFE" w:rsidRPr="00B9099F" w:rsidRDefault="004C4CFE" w:rsidP="004C4CFE">
      <w:r w:rsidRPr="00B9099F">
        <w:rPr>
          <w:i/>
        </w:rPr>
        <w:t>In vitro</w:t>
      </w:r>
      <w:r w:rsidRPr="00B9099F">
        <w:t xml:space="preserve"> studies indicated that nusinersen is not an inducer or inhibitor of CYP450 mediated metabolism.</w:t>
      </w:r>
    </w:p>
    <w:p w14:paraId="78D476A0" w14:textId="77777777" w:rsidR="004C4CFE" w:rsidRPr="00B9099F" w:rsidRDefault="004C4CFE" w:rsidP="004C4CFE">
      <w:pPr>
        <w:rPr>
          <w:b/>
        </w:rPr>
      </w:pPr>
    </w:p>
    <w:p w14:paraId="09D7CFDD" w14:textId="77777777" w:rsidR="004C4CFE" w:rsidRPr="00B9099F" w:rsidRDefault="004C4CFE" w:rsidP="004C4CFE">
      <w:pPr>
        <w:rPr>
          <w:b/>
        </w:rPr>
      </w:pPr>
      <w:r w:rsidRPr="00B9099F">
        <w:rPr>
          <w:i/>
        </w:rPr>
        <w:t>In vitro</w:t>
      </w:r>
      <w:r w:rsidRPr="00B9099F">
        <w:t xml:space="preserve"> studies indicate that the likelihood for interactions with nusinersen due to competition for plasma protein binding, or competition with or inhibition of transporters is low.</w:t>
      </w:r>
    </w:p>
    <w:p w14:paraId="374E0EF4" w14:textId="77777777" w:rsidR="00F6720E" w:rsidRPr="00B9099F" w:rsidRDefault="00F6720E" w:rsidP="0060012B">
      <w:pPr>
        <w:autoSpaceDE w:val="0"/>
        <w:autoSpaceDN w:val="0"/>
        <w:adjustRightInd w:val="0"/>
        <w:rPr>
          <w:rStyle w:val="Heading1Char"/>
          <w:sz w:val="24"/>
          <w:szCs w:val="24"/>
        </w:rPr>
      </w:pPr>
    </w:p>
    <w:p w14:paraId="48A06CEC" w14:textId="77777777" w:rsidR="00D945DF" w:rsidRPr="00B9099F" w:rsidRDefault="00D945DF" w:rsidP="0060012B">
      <w:pPr>
        <w:autoSpaceDE w:val="0"/>
        <w:autoSpaceDN w:val="0"/>
        <w:adjustRightInd w:val="0"/>
        <w:rPr>
          <w:rStyle w:val="Heading1Char"/>
          <w:sz w:val="24"/>
          <w:szCs w:val="24"/>
        </w:rPr>
      </w:pPr>
    </w:p>
    <w:p w14:paraId="2FAF46FC" w14:textId="4B094B56" w:rsidR="00950134" w:rsidRPr="00B9099F" w:rsidRDefault="000A0F9E" w:rsidP="00D301CF">
      <w:pPr>
        <w:pStyle w:val="Heading2"/>
      </w:pPr>
      <w:r w:rsidRPr="00B9099F">
        <w:rPr>
          <w:rStyle w:val="Heading1Char"/>
          <w:b/>
          <w:bCs/>
          <w:caps/>
          <w:kern w:val="0"/>
          <w:sz w:val="24"/>
          <w:szCs w:val="28"/>
        </w:rPr>
        <w:t>ADVERSE EFFECTS</w:t>
      </w:r>
    </w:p>
    <w:p w14:paraId="72431114" w14:textId="77777777" w:rsidR="004C4CFE" w:rsidRPr="00B9099F" w:rsidRDefault="004C4CFE" w:rsidP="004C4CFE">
      <w:bookmarkStart w:id="43" w:name="Xpress_Internal_Empty218"/>
      <w:bookmarkStart w:id="44" w:name="Xpress_Internal_219"/>
      <w:bookmarkStart w:id="45" w:name="Xpress_Internal_Empty223"/>
      <w:bookmarkStart w:id="46" w:name="Xpress_Internal_224"/>
      <w:bookmarkEnd w:id="43"/>
      <w:bookmarkEnd w:id="44"/>
      <w:bookmarkEnd w:id="45"/>
      <w:bookmarkEnd w:id="46"/>
      <w:r w:rsidRPr="00B9099F">
        <w:t>The safety of SPINRAZA in infants</w:t>
      </w:r>
      <w:r w:rsidR="00E5784C" w:rsidRPr="00B9099F">
        <w:t xml:space="preserve"> and children</w:t>
      </w:r>
      <w:r w:rsidRPr="00B9099F">
        <w:t xml:space="preserve"> with SMA was assessed in </w:t>
      </w:r>
      <w:r w:rsidR="00E5784C" w:rsidRPr="00B9099F">
        <w:t>two</w:t>
      </w:r>
      <w:r w:rsidRPr="00B9099F">
        <w:t xml:space="preserve"> phase 3 randomi</w:t>
      </w:r>
      <w:r w:rsidR="00ED73BB" w:rsidRPr="00B9099F">
        <w:t>s</w:t>
      </w:r>
      <w:r w:rsidRPr="00B9099F">
        <w:t xml:space="preserve">ed, </w:t>
      </w:r>
      <w:r w:rsidR="006D684D" w:rsidRPr="00B9099F">
        <w:t xml:space="preserve">double-blind, </w:t>
      </w:r>
      <w:r w:rsidRPr="00B9099F">
        <w:t>sham</w:t>
      </w:r>
      <w:r w:rsidRPr="00B9099F">
        <w:noBreakHyphen/>
        <w:t xml:space="preserve">controlled </w:t>
      </w:r>
      <w:r w:rsidR="00E5784C" w:rsidRPr="00B9099F">
        <w:t>studies</w:t>
      </w:r>
      <w:r w:rsidRPr="00B9099F">
        <w:t xml:space="preserve"> (Study </w:t>
      </w:r>
      <w:r w:rsidR="00AD3125" w:rsidRPr="00B9099F">
        <w:t>CS3B</w:t>
      </w:r>
      <w:r w:rsidR="00AA2B3D" w:rsidRPr="00B9099F">
        <w:t xml:space="preserve"> and Study CS4</w:t>
      </w:r>
      <w:r w:rsidRPr="00B9099F">
        <w:t>), in an open-label phase 2 study in symptomatic infants (Study </w:t>
      </w:r>
      <w:r w:rsidR="00AD3125" w:rsidRPr="00B9099F">
        <w:t>CS3A</w:t>
      </w:r>
      <w:r w:rsidRPr="00B9099F">
        <w:t>), an open</w:t>
      </w:r>
      <w:r w:rsidRPr="00B9099F">
        <w:noBreakHyphen/>
        <w:t>label study in pre</w:t>
      </w:r>
      <w:r w:rsidRPr="00B9099F">
        <w:noBreakHyphen/>
        <w:t>symptomatic infants genetically diagnosed with SMA (Study </w:t>
      </w:r>
      <w:r w:rsidR="00AD3125" w:rsidRPr="00B9099F">
        <w:t>CS</w:t>
      </w:r>
      <w:r w:rsidRPr="00B9099F">
        <w:t>5) and in patients aged 2</w:t>
      </w:r>
      <w:r w:rsidR="00951BDB" w:rsidRPr="00B9099F">
        <w:t xml:space="preserve"> to </w:t>
      </w:r>
      <w:r w:rsidRPr="00B9099F">
        <w:t>15 years (at first dose) in an integrated analysis of 4 open</w:t>
      </w:r>
      <w:r w:rsidRPr="00B9099F">
        <w:noBreakHyphen/>
        <w:t xml:space="preserve">label studies (Studies </w:t>
      </w:r>
      <w:r w:rsidR="00AD3125" w:rsidRPr="00B9099F">
        <w:t>CS2</w:t>
      </w:r>
      <w:r w:rsidRPr="00B9099F">
        <w:t xml:space="preserve">, </w:t>
      </w:r>
      <w:r w:rsidR="00AD3125" w:rsidRPr="00B9099F">
        <w:t>CS12</w:t>
      </w:r>
      <w:r w:rsidRPr="00B9099F">
        <w:t xml:space="preserve">, </w:t>
      </w:r>
      <w:r w:rsidR="00AD3125" w:rsidRPr="00B9099F">
        <w:t>CS1</w:t>
      </w:r>
      <w:r w:rsidRPr="00B9099F">
        <w:t xml:space="preserve"> and </w:t>
      </w:r>
      <w:r w:rsidR="00AD3125" w:rsidRPr="00B9099F">
        <w:t>CS10</w:t>
      </w:r>
      <w:r w:rsidRPr="00B9099F">
        <w:t xml:space="preserve">), with a total of </w:t>
      </w:r>
      <w:r w:rsidR="00E5784C" w:rsidRPr="00B9099F">
        <w:t>260</w:t>
      </w:r>
      <w:r w:rsidRPr="00B9099F">
        <w:t xml:space="preserve"> SMA patients assessed and total time on study from 6 to 153</w:t>
      </w:r>
      <w:r w:rsidR="00FB6927" w:rsidRPr="00B9099F">
        <w:t>8</w:t>
      </w:r>
      <w:r w:rsidRPr="00B9099F">
        <w:t xml:space="preserve"> days (median </w:t>
      </w:r>
      <w:r w:rsidR="00FB6927" w:rsidRPr="00B9099F">
        <w:t>449</w:t>
      </w:r>
      <w:r w:rsidRPr="00B9099F">
        <w:t> days).</w:t>
      </w:r>
    </w:p>
    <w:p w14:paraId="11F31CD0" w14:textId="77777777" w:rsidR="004C4CFE" w:rsidRPr="00B9099F" w:rsidRDefault="004C4CFE" w:rsidP="004C4CFE"/>
    <w:p w14:paraId="36A50472" w14:textId="77777777" w:rsidR="004C4CFE" w:rsidRPr="00B9099F" w:rsidRDefault="004C4CFE" w:rsidP="004C4CFE">
      <w:r w:rsidRPr="00B9099F">
        <w:t>In Study </w:t>
      </w:r>
      <w:r w:rsidR="00C537E9" w:rsidRPr="00B9099F">
        <w:t>CS3B</w:t>
      </w:r>
      <w:r w:rsidRPr="00B9099F">
        <w:t xml:space="preserve">, 121 patients were dosed, of whom 80 patients received SPINRAZA (median exposure </w:t>
      </w:r>
      <w:r w:rsidR="00AC1B4B" w:rsidRPr="00B9099F">
        <w:t xml:space="preserve">280 </w:t>
      </w:r>
      <w:r w:rsidRPr="00B9099F">
        <w:t>days) and 41 patients received sham</w:t>
      </w:r>
      <w:r w:rsidR="0029669F" w:rsidRPr="00B9099F">
        <w:t>-control</w:t>
      </w:r>
      <w:r w:rsidRPr="00B9099F">
        <w:t xml:space="preserve"> (median exposure </w:t>
      </w:r>
      <w:r w:rsidR="00AC1B4B" w:rsidRPr="00B9099F">
        <w:t>187</w:t>
      </w:r>
      <w:r w:rsidRPr="00B9099F">
        <w:t xml:space="preserve"> days). </w:t>
      </w:r>
    </w:p>
    <w:p w14:paraId="73A85BAF" w14:textId="77777777" w:rsidR="00AC1B4B" w:rsidRPr="00B9099F" w:rsidRDefault="00AC1B4B" w:rsidP="004C4CFE"/>
    <w:p w14:paraId="1CD23359" w14:textId="77777777" w:rsidR="00AC1B4B" w:rsidRPr="00B9099F" w:rsidRDefault="00AA2B3D" w:rsidP="004C4CFE">
      <w:r w:rsidRPr="00B9099F">
        <w:t>In Study CS4</w:t>
      </w:r>
      <w:r w:rsidR="00AC1B4B" w:rsidRPr="00B9099F">
        <w:t xml:space="preserve">, 126 patients were dosed, of whom 84 patients received SPINRAZA (median exposure </w:t>
      </w:r>
      <w:r w:rsidR="00FB6927" w:rsidRPr="00B9099F">
        <w:t>451</w:t>
      </w:r>
      <w:r w:rsidR="00AC1B4B" w:rsidRPr="00B9099F">
        <w:t xml:space="preserve"> days) and 42 patients received </w:t>
      </w:r>
      <w:r w:rsidR="00F32462" w:rsidRPr="00B9099F">
        <w:t>sham-</w:t>
      </w:r>
      <w:r w:rsidR="00AC1B4B" w:rsidRPr="00B9099F">
        <w:t xml:space="preserve">control (median exposure </w:t>
      </w:r>
      <w:r w:rsidR="00FB6927" w:rsidRPr="00B9099F">
        <w:t>450</w:t>
      </w:r>
      <w:r w:rsidR="00AC1B4B" w:rsidRPr="00B9099F">
        <w:t xml:space="preserve"> days).</w:t>
      </w:r>
    </w:p>
    <w:p w14:paraId="4708B107" w14:textId="77777777" w:rsidR="00DE1264" w:rsidRPr="00B9099F" w:rsidRDefault="00DE1264" w:rsidP="004C4CFE"/>
    <w:p w14:paraId="337C2F43" w14:textId="77777777" w:rsidR="00AC1B4B" w:rsidRPr="00B9099F" w:rsidRDefault="00AC1B4B" w:rsidP="00AC1B4B">
      <w:r w:rsidRPr="00B9099F">
        <w:t xml:space="preserve">Adverse events reported at an incidence at least 5% higher in patients treated with SPINRAZA compared to sham-control </w:t>
      </w:r>
      <w:r w:rsidR="009B24F8" w:rsidRPr="00B9099F">
        <w:t>in Studies CS3B and CS4</w:t>
      </w:r>
      <w:r w:rsidR="00D65835" w:rsidRPr="00B9099F">
        <w:t xml:space="preserve"> are summarized in Tables 5 and 6</w:t>
      </w:r>
      <w:r w:rsidRPr="00B9099F">
        <w:t xml:space="preserve">, respectively. Events reported across open-label studies </w:t>
      </w:r>
      <w:r w:rsidR="009B24F8" w:rsidRPr="00B9099F">
        <w:t>CS3A, CS2, CS12, CS5, CS1 and CS10</w:t>
      </w:r>
      <w:r w:rsidRPr="00B9099F">
        <w:t xml:space="preserve"> were consistent </w:t>
      </w:r>
      <w:r w:rsidR="009B24F8" w:rsidRPr="00B9099F">
        <w:t>with those observed in Studies CS3B and CS4</w:t>
      </w:r>
      <w:r w:rsidRPr="00B9099F">
        <w:t xml:space="preserve">. No adverse events were considered related to study drug. The majority of adverse events reported in clinical trials were considered related to SMA disease or related to intrathecal administration procedure. </w:t>
      </w:r>
    </w:p>
    <w:p w14:paraId="3E2DEF63" w14:textId="77777777" w:rsidR="004C4CFE" w:rsidRPr="00B9099F" w:rsidRDefault="004C4CFE" w:rsidP="004C4CFE"/>
    <w:p w14:paraId="02186A6B" w14:textId="5686D4E0" w:rsidR="004C4CFE" w:rsidRPr="00B9099F" w:rsidRDefault="004C4CFE" w:rsidP="004C4CFE">
      <w:r w:rsidRPr="00B9099F">
        <w:t xml:space="preserve">The adverse events are presented as </w:t>
      </w:r>
      <w:proofErr w:type="spellStart"/>
      <w:r w:rsidRPr="00B9099F">
        <w:t>MedDRA</w:t>
      </w:r>
      <w:proofErr w:type="spellEnd"/>
      <w:r w:rsidRPr="00B9099F">
        <w:t xml:space="preserve"> preferred terms</w:t>
      </w:r>
      <w:r w:rsidR="00E3495B">
        <w:t xml:space="preserve"> and </w:t>
      </w:r>
      <w:r w:rsidRPr="00B9099F">
        <w:t>are listed by system organ class and frequency using the following convention: Very Common (≥1/10); Common (≥1/100 - &lt;1/10); Uncommon (≥1/1,000 - &lt;1/100); Rare (≥1/10,000 - &lt;1/1,000); Very Rare (&lt;1/10,000).</w:t>
      </w:r>
    </w:p>
    <w:p w14:paraId="5B7FFA6D" w14:textId="77777777" w:rsidR="00E3495B" w:rsidRDefault="00E3495B" w:rsidP="004C4CFE">
      <w:pPr>
        <w:keepNext/>
        <w:widowControl w:val="0"/>
      </w:pPr>
    </w:p>
    <w:p w14:paraId="7DB735E0" w14:textId="056DAC84" w:rsidR="004C4CFE" w:rsidRPr="00B9099F" w:rsidRDefault="004C4CFE" w:rsidP="004C4CFE">
      <w:pPr>
        <w:keepNext/>
        <w:widowControl w:val="0"/>
      </w:pPr>
      <w:r w:rsidRPr="00B9099F">
        <w:t>Within each frequency grouping, adverse events are presented in order of decreasing seriousness.</w:t>
      </w:r>
    </w:p>
    <w:p w14:paraId="789ADC9E" w14:textId="77777777" w:rsidR="00AC1B4B" w:rsidRPr="00B9099F" w:rsidRDefault="00AC1B4B" w:rsidP="004C4CFE">
      <w:pPr>
        <w:keepNext/>
        <w:widowControl w:val="0"/>
      </w:pPr>
    </w:p>
    <w:p w14:paraId="1AE41C45" w14:textId="77777777" w:rsidR="006E5F9F" w:rsidRDefault="006E5F9F">
      <w:pPr>
        <w:jc w:val="left"/>
        <w:rPr>
          <w:b/>
        </w:rPr>
      </w:pPr>
      <w:r>
        <w:rPr>
          <w:b/>
        </w:rPr>
        <w:br w:type="page"/>
      </w:r>
    </w:p>
    <w:p w14:paraId="11950CCD" w14:textId="5F4F3DED" w:rsidR="00AC1B4B" w:rsidRPr="00B9099F" w:rsidRDefault="00D65835" w:rsidP="00A85C02">
      <w:pPr>
        <w:keepNext/>
        <w:widowControl w:val="0"/>
      </w:pPr>
      <w:r w:rsidRPr="00A85C02">
        <w:rPr>
          <w:b/>
        </w:rPr>
        <w:lastRenderedPageBreak/>
        <w:t xml:space="preserve">Table </w:t>
      </w:r>
      <w:r w:rsidR="00B002C1">
        <w:rPr>
          <w:b/>
        </w:rPr>
        <w:t>4</w:t>
      </w:r>
      <w:r w:rsidR="00AC1B4B" w:rsidRPr="00A85C02">
        <w:rPr>
          <w:b/>
        </w:rPr>
        <w:t>: Ad</w:t>
      </w:r>
      <w:r w:rsidR="009B24F8" w:rsidRPr="00A85C02">
        <w:rPr>
          <w:b/>
        </w:rPr>
        <w:t xml:space="preserve">verse </w:t>
      </w:r>
      <w:r w:rsidR="00D94EB0">
        <w:rPr>
          <w:b/>
        </w:rPr>
        <w:t>e</w:t>
      </w:r>
      <w:r w:rsidR="009B24F8" w:rsidRPr="00A85C02">
        <w:rPr>
          <w:b/>
        </w:rPr>
        <w:t xml:space="preserve">vents </w:t>
      </w:r>
      <w:r w:rsidR="00D94EB0">
        <w:rPr>
          <w:b/>
        </w:rPr>
        <w:t>r</w:t>
      </w:r>
      <w:r w:rsidR="009B24F8" w:rsidRPr="00A85C02">
        <w:rPr>
          <w:b/>
        </w:rPr>
        <w:t>eported in Study CS3B</w:t>
      </w:r>
      <w:r w:rsidR="00AC1B4B" w:rsidRPr="00A85C02">
        <w:rPr>
          <w:b/>
        </w:rPr>
        <w:t xml:space="preserve"> with an </w:t>
      </w:r>
      <w:r w:rsidR="00D94EB0">
        <w:rPr>
          <w:b/>
        </w:rPr>
        <w:t>i</w:t>
      </w:r>
      <w:r w:rsidR="00AC1B4B" w:rsidRPr="00A85C02">
        <w:rPr>
          <w:b/>
        </w:rPr>
        <w:t xml:space="preserve">ncidence at least 5% </w:t>
      </w:r>
      <w:r w:rsidR="00D94EB0">
        <w:rPr>
          <w:b/>
        </w:rPr>
        <w:t>and is h</w:t>
      </w:r>
      <w:r w:rsidR="00AC1B4B" w:rsidRPr="00A85C02">
        <w:rPr>
          <w:b/>
        </w:rPr>
        <w:t xml:space="preserve">igher in </w:t>
      </w:r>
      <w:r w:rsidR="00D94EB0">
        <w:rPr>
          <w:b/>
        </w:rPr>
        <w:t>p</w:t>
      </w:r>
      <w:r w:rsidR="00AC1B4B" w:rsidRPr="00A85C02">
        <w:rPr>
          <w:b/>
        </w:rPr>
        <w:t xml:space="preserve">atients </w:t>
      </w:r>
      <w:r w:rsidR="00D94EB0">
        <w:rPr>
          <w:b/>
        </w:rPr>
        <w:t>t</w:t>
      </w:r>
      <w:r w:rsidR="00AC1B4B" w:rsidRPr="00A85C02">
        <w:rPr>
          <w:b/>
        </w:rPr>
        <w:t xml:space="preserve">reated with </w:t>
      </w:r>
      <w:r w:rsidR="00AC1B4B" w:rsidRPr="00A85C02">
        <w:rPr>
          <w:rFonts w:cs="Arial"/>
          <w:b/>
        </w:rPr>
        <w:t>SPINRAZA</w:t>
      </w:r>
      <w:r w:rsidR="00AC1B4B" w:rsidRPr="00A85C02">
        <w:rPr>
          <w:b/>
        </w:rPr>
        <w:t xml:space="preserve"> than Sham</w:t>
      </w:r>
      <w:r w:rsidR="00AC1B4B" w:rsidRPr="00A85C02">
        <w:rPr>
          <w:b/>
        </w:rPr>
        <w:noBreakHyphen/>
        <w:t>Control</w:t>
      </w:r>
    </w:p>
    <w:tbl>
      <w:tblPr>
        <w:tblW w:w="857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9"/>
        <w:gridCol w:w="1350"/>
        <w:gridCol w:w="1440"/>
        <w:gridCol w:w="1620"/>
        <w:gridCol w:w="1530"/>
      </w:tblGrid>
      <w:tr w:rsidR="00D470FA" w:rsidRPr="00B9099F" w14:paraId="0A572A2A" w14:textId="77777777" w:rsidTr="00D301CF">
        <w:tc>
          <w:tcPr>
            <w:tcW w:w="2639" w:type="dxa"/>
            <w:vMerge w:val="restart"/>
            <w:shd w:val="clear" w:color="auto" w:fill="auto"/>
          </w:tcPr>
          <w:p w14:paraId="38EF191D" w14:textId="77777777" w:rsidR="00D470FA" w:rsidRPr="00B9099F" w:rsidRDefault="00D470FA" w:rsidP="006A233D">
            <w:pPr>
              <w:pStyle w:val="GTCTitle"/>
              <w:keepNext/>
              <w:widowControl w:val="0"/>
              <w:spacing w:before="0" w:after="0"/>
              <w:jc w:val="left"/>
              <w:rPr>
                <w:b w:val="0"/>
                <w:sz w:val="20"/>
                <w:szCs w:val="20"/>
              </w:rPr>
            </w:pPr>
            <w:proofErr w:type="spellStart"/>
            <w:r w:rsidRPr="00B9099F">
              <w:rPr>
                <w:b w:val="0"/>
                <w:sz w:val="20"/>
                <w:szCs w:val="20"/>
              </w:rPr>
              <w:t>MedDRA</w:t>
            </w:r>
            <w:proofErr w:type="spellEnd"/>
            <w:r w:rsidRPr="00B9099F">
              <w:rPr>
                <w:b w:val="0"/>
                <w:sz w:val="20"/>
                <w:szCs w:val="20"/>
              </w:rPr>
              <w:t xml:space="preserve"> preferred term</w:t>
            </w:r>
          </w:p>
        </w:tc>
        <w:tc>
          <w:tcPr>
            <w:tcW w:w="1350" w:type="dxa"/>
            <w:vMerge w:val="restart"/>
            <w:shd w:val="clear" w:color="auto" w:fill="auto"/>
          </w:tcPr>
          <w:p w14:paraId="47A333F8" w14:textId="77777777" w:rsidR="00D470FA" w:rsidRPr="00B9099F" w:rsidRDefault="00D470FA" w:rsidP="00AC1B4B">
            <w:pPr>
              <w:pStyle w:val="GTCTitle"/>
              <w:keepNext/>
              <w:widowControl w:val="0"/>
              <w:spacing w:before="0" w:after="0"/>
              <w:jc w:val="center"/>
              <w:rPr>
                <w:b w:val="0"/>
                <w:sz w:val="20"/>
                <w:szCs w:val="20"/>
              </w:rPr>
            </w:pPr>
            <w:r w:rsidRPr="00B9099F">
              <w:rPr>
                <w:b w:val="0"/>
                <w:sz w:val="20"/>
                <w:szCs w:val="20"/>
              </w:rPr>
              <w:t>SPINRAZA</w:t>
            </w:r>
          </w:p>
          <w:p w14:paraId="5B0D810A" w14:textId="77777777" w:rsidR="00D470FA" w:rsidRPr="00B9099F" w:rsidRDefault="00D470FA" w:rsidP="006A233D">
            <w:pPr>
              <w:pStyle w:val="GTCTitle"/>
              <w:keepNext/>
              <w:widowControl w:val="0"/>
              <w:spacing w:before="0" w:after="0"/>
              <w:jc w:val="center"/>
              <w:rPr>
                <w:b w:val="0"/>
                <w:sz w:val="20"/>
                <w:szCs w:val="20"/>
              </w:rPr>
            </w:pPr>
            <w:r w:rsidRPr="00B9099F">
              <w:rPr>
                <w:b w:val="0"/>
                <w:sz w:val="20"/>
                <w:szCs w:val="20"/>
              </w:rPr>
              <w:t>n=80</w:t>
            </w:r>
          </w:p>
          <w:p w14:paraId="301C5592" w14:textId="77777777" w:rsidR="00D470FA" w:rsidRPr="00B9099F" w:rsidRDefault="00D470FA" w:rsidP="006A233D">
            <w:pPr>
              <w:pStyle w:val="GTCTitle"/>
              <w:keepNext/>
              <w:widowControl w:val="0"/>
              <w:spacing w:before="0" w:after="0"/>
              <w:jc w:val="center"/>
              <w:rPr>
                <w:b w:val="0"/>
                <w:sz w:val="20"/>
                <w:szCs w:val="20"/>
              </w:rPr>
            </w:pPr>
          </w:p>
        </w:tc>
        <w:tc>
          <w:tcPr>
            <w:tcW w:w="1440" w:type="dxa"/>
            <w:vMerge w:val="restart"/>
            <w:shd w:val="clear" w:color="auto" w:fill="auto"/>
          </w:tcPr>
          <w:p w14:paraId="4A0B7BF5" w14:textId="77777777" w:rsidR="00D470FA" w:rsidRPr="00B9099F" w:rsidRDefault="00D470FA" w:rsidP="006A233D">
            <w:pPr>
              <w:pStyle w:val="GTCTitle"/>
              <w:keepNext/>
              <w:widowControl w:val="0"/>
              <w:spacing w:before="0" w:after="0"/>
              <w:jc w:val="center"/>
              <w:rPr>
                <w:b w:val="0"/>
                <w:sz w:val="20"/>
                <w:szCs w:val="20"/>
              </w:rPr>
            </w:pPr>
            <w:r w:rsidRPr="00B9099F">
              <w:rPr>
                <w:b w:val="0"/>
                <w:sz w:val="20"/>
                <w:szCs w:val="20"/>
              </w:rPr>
              <w:t>Sham</w:t>
            </w:r>
            <w:r w:rsidRPr="00B9099F">
              <w:rPr>
                <w:b w:val="0"/>
                <w:sz w:val="20"/>
                <w:szCs w:val="20"/>
              </w:rPr>
              <w:noBreakHyphen/>
              <w:t>control</w:t>
            </w:r>
          </w:p>
          <w:p w14:paraId="359F4F81" w14:textId="77777777" w:rsidR="00D470FA" w:rsidRPr="00B9099F" w:rsidRDefault="00D470FA" w:rsidP="006A233D">
            <w:pPr>
              <w:pStyle w:val="GTCTitle"/>
              <w:keepNext/>
              <w:widowControl w:val="0"/>
              <w:spacing w:before="0" w:after="0"/>
              <w:jc w:val="center"/>
              <w:rPr>
                <w:b w:val="0"/>
                <w:sz w:val="20"/>
                <w:szCs w:val="20"/>
              </w:rPr>
            </w:pPr>
            <w:r w:rsidRPr="00B9099F">
              <w:rPr>
                <w:b w:val="0"/>
                <w:sz w:val="20"/>
                <w:szCs w:val="20"/>
              </w:rPr>
              <w:t>n=41</w:t>
            </w:r>
          </w:p>
          <w:p w14:paraId="3BB9D81D" w14:textId="77777777" w:rsidR="00D470FA" w:rsidRPr="00B9099F" w:rsidRDefault="00D470FA" w:rsidP="006A233D">
            <w:pPr>
              <w:pStyle w:val="GTCTitle"/>
              <w:keepNext/>
              <w:widowControl w:val="0"/>
              <w:spacing w:before="0" w:after="0"/>
              <w:jc w:val="center"/>
              <w:rPr>
                <w:b w:val="0"/>
                <w:sz w:val="20"/>
                <w:szCs w:val="20"/>
              </w:rPr>
            </w:pPr>
          </w:p>
        </w:tc>
        <w:tc>
          <w:tcPr>
            <w:tcW w:w="3150" w:type="dxa"/>
            <w:gridSpan w:val="2"/>
            <w:shd w:val="clear" w:color="auto" w:fill="auto"/>
          </w:tcPr>
          <w:p w14:paraId="63A4989D" w14:textId="77777777" w:rsidR="00D470FA" w:rsidRPr="00B9099F" w:rsidRDefault="00D470FA" w:rsidP="006A233D">
            <w:pPr>
              <w:pStyle w:val="GTCTitle"/>
              <w:keepNext/>
              <w:widowControl w:val="0"/>
              <w:spacing w:before="0" w:after="0"/>
              <w:jc w:val="center"/>
              <w:rPr>
                <w:b w:val="0"/>
                <w:sz w:val="20"/>
                <w:szCs w:val="20"/>
              </w:rPr>
            </w:pPr>
            <w:r w:rsidRPr="00B9099F">
              <w:rPr>
                <w:b w:val="0"/>
                <w:sz w:val="20"/>
                <w:szCs w:val="20"/>
              </w:rPr>
              <w:t>SPINRAZA Frequency Category</w:t>
            </w:r>
            <w:r w:rsidRPr="00B9099F">
              <w:rPr>
                <w:rFonts w:ascii="Times New Roman" w:hAnsi="Times New Roman" w:cs="Times New Roman"/>
                <w:b w:val="0"/>
                <w:sz w:val="20"/>
                <w:szCs w:val="20"/>
              </w:rPr>
              <w:t>^</w:t>
            </w:r>
          </w:p>
          <w:p w14:paraId="3C7FB533" w14:textId="77777777" w:rsidR="00D470FA" w:rsidRPr="00B9099F" w:rsidRDefault="00D470FA" w:rsidP="006A233D">
            <w:pPr>
              <w:pStyle w:val="GTCTitle"/>
              <w:keepNext/>
              <w:widowControl w:val="0"/>
              <w:spacing w:before="0" w:after="0"/>
              <w:jc w:val="center"/>
              <w:rPr>
                <w:b w:val="0"/>
                <w:sz w:val="20"/>
                <w:szCs w:val="20"/>
              </w:rPr>
            </w:pPr>
            <w:r w:rsidRPr="00B9099F">
              <w:rPr>
                <w:b w:val="0"/>
                <w:sz w:val="20"/>
                <w:szCs w:val="20"/>
              </w:rPr>
              <w:t xml:space="preserve"> </w:t>
            </w:r>
          </w:p>
        </w:tc>
      </w:tr>
      <w:tr w:rsidR="00D470FA" w:rsidRPr="00B9099F" w14:paraId="11E70B09" w14:textId="77777777" w:rsidTr="00D301CF">
        <w:tc>
          <w:tcPr>
            <w:tcW w:w="2639" w:type="dxa"/>
            <w:vMerge/>
            <w:shd w:val="clear" w:color="auto" w:fill="auto"/>
          </w:tcPr>
          <w:p w14:paraId="1368A4A0" w14:textId="77777777" w:rsidR="00D470FA" w:rsidRPr="00B9099F" w:rsidRDefault="00D470FA" w:rsidP="006A233D">
            <w:pPr>
              <w:pStyle w:val="GTCTitle"/>
              <w:spacing w:before="0" w:after="0"/>
              <w:jc w:val="left"/>
              <w:rPr>
                <w:b w:val="0"/>
                <w:sz w:val="20"/>
                <w:szCs w:val="20"/>
              </w:rPr>
            </w:pPr>
          </w:p>
        </w:tc>
        <w:tc>
          <w:tcPr>
            <w:tcW w:w="1350" w:type="dxa"/>
            <w:vMerge/>
            <w:shd w:val="clear" w:color="auto" w:fill="auto"/>
          </w:tcPr>
          <w:p w14:paraId="30803F0E" w14:textId="77777777" w:rsidR="00D470FA" w:rsidRPr="00B9099F" w:rsidRDefault="00D470FA" w:rsidP="006A233D">
            <w:pPr>
              <w:pStyle w:val="GTCTitle"/>
              <w:spacing w:before="0" w:after="0"/>
              <w:jc w:val="left"/>
              <w:rPr>
                <w:b w:val="0"/>
                <w:sz w:val="20"/>
                <w:szCs w:val="20"/>
              </w:rPr>
            </w:pPr>
          </w:p>
        </w:tc>
        <w:tc>
          <w:tcPr>
            <w:tcW w:w="1440" w:type="dxa"/>
            <w:vMerge/>
            <w:shd w:val="clear" w:color="auto" w:fill="auto"/>
          </w:tcPr>
          <w:p w14:paraId="42FFC704" w14:textId="77777777" w:rsidR="00D470FA" w:rsidRPr="00B9099F" w:rsidRDefault="00D470FA" w:rsidP="006A233D">
            <w:pPr>
              <w:pStyle w:val="GTCTitle"/>
              <w:spacing w:before="0" w:after="0"/>
              <w:jc w:val="left"/>
              <w:rPr>
                <w:b w:val="0"/>
                <w:sz w:val="20"/>
                <w:szCs w:val="20"/>
              </w:rPr>
            </w:pPr>
          </w:p>
        </w:tc>
        <w:tc>
          <w:tcPr>
            <w:tcW w:w="1620" w:type="dxa"/>
            <w:shd w:val="clear" w:color="auto" w:fill="auto"/>
          </w:tcPr>
          <w:p w14:paraId="6982B081" w14:textId="77777777" w:rsidR="00D470FA" w:rsidRPr="00B9099F" w:rsidRDefault="00D470FA" w:rsidP="006A233D">
            <w:pPr>
              <w:pStyle w:val="GTCTitle"/>
              <w:spacing w:before="0" w:after="0"/>
              <w:jc w:val="center"/>
              <w:rPr>
                <w:b w:val="0"/>
                <w:sz w:val="20"/>
                <w:szCs w:val="20"/>
              </w:rPr>
            </w:pPr>
            <w:r w:rsidRPr="00B9099F">
              <w:rPr>
                <w:b w:val="0"/>
                <w:sz w:val="20"/>
                <w:szCs w:val="20"/>
              </w:rPr>
              <w:t>Very Common</w:t>
            </w:r>
          </w:p>
          <w:p w14:paraId="55BA2CB7" w14:textId="77777777" w:rsidR="00D470FA" w:rsidRPr="00B9099F" w:rsidRDefault="00D470FA" w:rsidP="006A233D">
            <w:pPr>
              <w:pStyle w:val="GTCTitle"/>
              <w:spacing w:before="0" w:after="0"/>
              <w:jc w:val="center"/>
              <w:rPr>
                <w:b w:val="0"/>
                <w:sz w:val="20"/>
                <w:szCs w:val="20"/>
              </w:rPr>
            </w:pPr>
            <w:r w:rsidRPr="00B9099F">
              <w:rPr>
                <w:b w:val="0"/>
                <w:sz w:val="20"/>
                <w:szCs w:val="20"/>
              </w:rPr>
              <w:t>(≥1/10)</w:t>
            </w:r>
          </w:p>
        </w:tc>
        <w:tc>
          <w:tcPr>
            <w:tcW w:w="1530" w:type="dxa"/>
            <w:shd w:val="clear" w:color="auto" w:fill="auto"/>
          </w:tcPr>
          <w:p w14:paraId="625238E0" w14:textId="77777777" w:rsidR="00D470FA" w:rsidRPr="00B9099F" w:rsidRDefault="00D470FA" w:rsidP="006A233D">
            <w:pPr>
              <w:pStyle w:val="GTCTitle"/>
              <w:spacing w:before="0" w:after="0"/>
              <w:jc w:val="center"/>
              <w:rPr>
                <w:b w:val="0"/>
                <w:sz w:val="20"/>
                <w:szCs w:val="20"/>
              </w:rPr>
            </w:pPr>
            <w:r w:rsidRPr="00B9099F">
              <w:rPr>
                <w:b w:val="0"/>
                <w:sz w:val="20"/>
                <w:szCs w:val="20"/>
              </w:rPr>
              <w:t>Common</w:t>
            </w:r>
          </w:p>
          <w:p w14:paraId="075CE5C2" w14:textId="77777777" w:rsidR="00D470FA" w:rsidRPr="00B9099F" w:rsidRDefault="00D470FA" w:rsidP="006A233D">
            <w:pPr>
              <w:pStyle w:val="GTCTitle"/>
              <w:spacing w:before="0" w:after="0"/>
              <w:jc w:val="center"/>
              <w:rPr>
                <w:b w:val="0"/>
                <w:sz w:val="20"/>
                <w:szCs w:val="20"/>
              </w:rPr>
            </w:pPr>
            <w:r w:rsidRPr="00B9099F">
              <w:rPr>
                <w:b w:val="0"/>
                <w:sz w:val="20"/>
                <w:szCs w:val="20"/>
              </w:rPr>
              <w:t>(≥1/100 - &lt;1/10)</w:t>
            </w:r>
          </w:p>
        </w:tc>
      </w:tr>
      <w:tr w:rsidR="00D470FA" w:rsidRPr="00B9099F" w14:paraId="240870D0" w14:textId="77777777" w:rsidTr="00D301CF">
        <w:tc>
          <w:tcPr>
            <w:tcW w:w="2639" w:type="dxa"/>
            <w:shd w:val="clear" w:color="auto" w:fill="auto"/>
          </w:tcPr>
          <w:p w14:paraId="54218ECA" w14:textId="7E078390" w:rsidR="00D470FA" w:rsidRPr="00B9099F" w:rsidRDefault="00D470FA" w:rsidP="006A233D">
            <w:pPr>
              <w:pStyle w:val="GTCTitle"/>
              <w:spacing w:before="0" w:after="0"/>
              <w:jc w:val="left"/>
              <w:rPr>
                <w:b w:val="0"/>
                <w:sz w:val="20"/>
                <w:szCs w:val="20"/>
              </w:rPr>
            </w:pPr>
            <w:r w:rsidRPr="00B9099F">
              <w:rPr>
                <w:b w:val="0"/>
                <w:sz w:val="20"/>
                <w:szCs w:val="20"/>
              </w:rPr>
              <w:t>Upper respiratory tract infection</w:t>
            </w:r>
          </w:p>
          <w:p w14:paraId="266FCFD3" w14:textId="77777777" w:rsidR="00D470FA" w:rsidRPr="00B9099F" w:rsidRDefault="00D470FA" w:rsidP="006A233D">
            <w:pPr>
              <w:pStyle w:val="GTCTitle"/>
              <w:spacing w:before="0" w:after="0"/>
              <w:jc w:val="left"/>
              <w:rPr>
                <w:b w:val="0"/>
                <w:sz w:val="20"/>
                <w:szCs w:val="20"/>
              </w:rPr>
            </w:pPr>
            <w:r w:rsidRPr="00B9099F">
              <w:rPr>
                <w:b w:val="0"/>
                <w:sz w:val="20"/>
                <w:szCs w:val="20"/>
              </w:rPr>
              <w:t>Pneumonia</w:t>
            </w:r>
          </w:p>
          <w:p w14:paraId="46E819A1" w14:textId="1F3DE3A0" w:rsidR="00D470FA" w:rsidRPr="00B9099F" w:rsidRDefault="00D470FA" w:rsidP="006A233D">
            <w:pPr>
              <w:pStyle w:val="GTCTitle"/>
              <w:spacing w:before="0" w:after="0"/>
              <w:jc w:val="left"/>
              <w:rPr>
                <w:b w:val="0"/>
                <w:sz w:val="20"/>
                <w:szCs w:val="20"/>
              </w:rPr>
            </w:pPr>
            <w:r w:rsidRPr="00B9099F">
              <w:rPr>
                <w:b w:val="0"/>
                <w:sz w:val="20"/>
                <w:szCs w:val="20"/>
              </w:rPr>
              <w:t xml:space="preserve">Nasopharyngitis </w:t>
            </w:r>
          </w:p>
          <w:p w14:paraId="40CB2E0F" w14:textId="0B985E0F" w:rsidR="00D470FA" w:rsidRDefault="00D470FA" w:rsidP="006A233D">
            <w:pPr>
              <w:pStyle w:val="GTCTitle"/>
              <w:spacing w:before="0" w:after="0"/>
              <w:jc w:val="left"/>
              <w:rPr>
                <w:b w:val="0"/>
                <w:sz w:val="20"/>
                <w:szCs w:val="20"/>
              </w:rPr>
            </w:pPr>
            <w:r w:rsidRPr="00B9099F">
              <w:rPr>
                <w:b w:val="0"/>
                <w:sz w:val="20"/>
                <w:szCs w:val="20"/>
              </w:rPr>
              <w:t>Respiratory tract infection</w:t>
            </w:r>
          </w:p>
          <w:p w14:paraId="6F5D2762" w14:textId="0329CB8A" w:rsidR="00D470FA" w:rsidRDefault="00D470FA" w:rsidP="006A233D">
            <w:pPr>
              <w:pStyle w:val="GTCTitle"/>
              <w:spacing w:before="0" w:after="0"/>
              <w:jc w:val="left"/>
              <w:rPr>
                <w:b w:val="0"/>
                <w:sz w:val="20"/>
                <w:szCs w:val="20"/>
              </w:rPr>
            </w:pPr>
            <w:r>
              <w:rPr>
                <w:b w:val="0"/>
                <w:sz w:val="20"/>
                <w:szCs w:val="20"/>
              </w:rPr>
              <w:t>Bronchiolitis</w:t>
            </w:r>
          </w:p>
          <w:p w14:paraId="75722134" w14:textId="4D0CD229" w:rsidR="00D470FA" w:rsidRDefault="00D470FA" w:rsidP="006A233D">
            <w:pPr>
              <w:pStyle w:val="GTCTitle"/>
              <w:spacing w:before="0" w:after="0"/>
              <w:jc w:val="left"/>
              <w:rPr>
                <w:b w:val="0"/>
                <w:sz w:val="20"/>
                <w:szCs w:val="20"/>
              </w:rPr>
            </w:pPr>
            <w:r>
              <w:rPr>
                <w:b w:val="0"/>
                <w:sz w:val="20"/>
                <w:szCs w:val="20"/>
              </w:rPr>
              <w:t>Viral infection</w:t>
            </w:r>
          </w:p>
          <w:p w14:paraId="7FE75492" w14:textId="749730D8" w:rsidR="00D470FA" w:rsidRDefault="00D470FA" w:rsidP="006A233D">
            <w:pPr>
              <w:pStyle w:val="GTCTitle"/>
              <w:spacing w:before="0" w:after="0"/>
              <w:jc w:val="left"/>
              <w:rPr>
                <w:b w:val="0"/>
                <w:sz w:val="20"/>
                <w:szCs w:val="20"/>
              </w:rPr>
            </w:pPr>
            <w:r>
              <w:rPr>
                <w:b w:val="0"/>
                <w:sz w:val="20"/>
                <w:szCs w:val="20"/>
              </w:rPr>
              <w:t>Oral candidiasis</w:t>
            </w:r>
          </w:p>
          <w:p w14:paraId="6739B857" w14:textId="62FBB44A" w:rsidR="00D470FA" w:rsidRPr="00B9099F" w:rsidRDefault="00D470FA" w:rsidP="006A233D">
            <w:pPr>
              <w:pStyle w:val="GTCTitle"/>
              <w:spacing w:before="0" w:after="0"/>
              <w:jc w:val="left"/>
              <w:rPr>
                <w:b w:val="0"/>
                <w:sz w:val="20"/>
                <w:szCs w:val="20"/>
              </w:rPr>
            </w:pPr>
            <w:r>
              <w:rPr>
                <w:b w:val="0"/>
                <w:sz w:val="20"/>
                <w:szCs w:val="20"/>
              </w:rPr>
              <w:t>Pneumonia viral</w:t>
            </w:r>
          </w:p>
          <w:p w14:paraId="78BE85B1" w14:textId="77777777" w:rsidR="00D470FA" w:rsidRPr="00B9099F" w:rsidRDefault="00D470FA" w:rsidP="006A233D">
            <w:pPr>
              <w:pStyle w:val="GTCTitle"/>
              <w:spacing w:before="0" w:after="0"/>
              <w:jc w:val="left"/>
              <w:rPr>
                <w:b w:val="0"/>
                <w:sz w:val="20"/>
                <w:szCs w:val="20"/>
              </w:rPr>
            </w:pPr>
            <w:r w:rsidRPr="00B9099F">
              <w:rPr>
                <w:b w:val="0"/>
                <w:sz w:val="20"/>
                <w:szCs w:val="20"/>
              </w:rPr>
              <w:t>Urinary tract infection</w:t>
            </w:r>
          </w:p>
          <w:p w14:paraId="50047C3B" w14:textId="7201B342" w:rsidR="00D470FA" w:rsidRPr="00B9099F" w:rsidRDefault="00D470FA" w:rsidP="006A233D">
            <w:pPr>
              <w:pStyle w:val="GTCTitle"/>
              <w:spacing w:before="0" w:after="0"/>
              <w:jc w:val="left"/>
              <w:rPr>
                <w:b w:val="0"/>
                <w:sz w:val="20"/>
                <w:szCs w:val="20"/>
              </w:rPr>
            </w:pPr>
            <w:r w:rsidRPr="00B9099F">
              <w:rPr>
                <w:b w:val="0"/>
                <w:sz w:val="20"/>
                <w:szCs w:val="20"/>
              </w:rPr>
              <w:t>Bronchitis</w:t>
            </w:r>
          </w:p>
          <w:p w14:paraId="4E805294" w14:textId="1127250A" w:rsidR="00D470FA" w:rsidRDefault="00D470FA" w:rsidP="006A233D">
            <w:pPr>
              <w:pStyle w:val="GTCTitle"/>
              <w:spacing w:before="0" w:after="0"/>
              <w:jc w:val="left"/>
              <w:rPr>
                <w:b w:val="0"/>
                <w:sz w:val="20"/>
                <w:szCs w:val="20"/>
              </w:rPr>
            </w:pPr>
            <w:r w:rsidRPr="00B9099F">
              <w:rPr>
                <w:b w:val="0"/>
                <w:sz w:val="20"/>
                <w:szCs w:val="20"/>
              </w:rPr>
              <w:t>Bronchitis viral</w:t>
            </w:r>
          </w:p>
          <w:p w14:paraId="777BD37C" w14:textId="58670BBA" w:rsidR="00D470FA" w:rsidRPr="00B9099F" w:rsidRDefault="00D470FA" w:rsidP="006A233D">
            <w:pPr>
              <w:pStyle w:val="GTCTitle"/>
              <w:spacing w:before="0" w:after="0"/>
              <w:jc w:val="left"/>
              <w:rPr>
                <w:b w:val="0"/>
                <w:sz w:val="20"/>
                <w:szCs w:val="20"/>
              </w:rPr>
            </w:pPr>
            <w:r>
              <w:rPr>
                <w:b w:val="0"/>
                <w:sz w:val="20"/>
                <w:szCs w:val="20"/>
              </w:rPr>
              <w:t>Ear infection</w:t>
            </w:r>
          </w:p>
          <w:p w14:paraId="7287C4E2" w14:textId="25C4A263" w:rsidR="00D470FA" w:rsidRPr="00B9099F" w:rsidRDefault="00D470FA" w:rsidP="00B367EA">
            <w:pPr>
              <w:pStyle w:val="GTCTitle"/>
              <w:spacing w:before="0" w:after="0"/>
              <w:jc w:val="left"/>
              <w:rPr>
                <w:b w:val="0"/>
                <w:sz w:val="20"/>
                <w:szCs w:val="20"/>
              </w:rPr>
            </w:pPr>
            <w:r w:rsidRPr="00B9099F">
              <w:rPr>
                <w:b w:val="0"/>
                <w:sz w:val="20"/>
                <w:szCs w:val="20"/>
              </w:rPr>
              <w:t>Influenza</w:t>
            </w:r>
          </w:p>
        </w:tc>
        <w:tc>
          <w:tcPr>
            <w:tcW w:w="1350" w:type="dxa"/>
            <w:shd w:val="clear" w:color="auto" w:fill="auto"/>
          </w:tcPr>
          <w:p w14:paraId="67E166D6" w14:textId="03967AD2" w:rsidR="00D470FA" w:rsidRPr="00B9099F" w:rsidRDefault="00D470FA" w:rsidP="006A233D">
            <w:pPr>
              <w:pStyle w:val="GTCTitle"/>
              <w:spacing w:before="0" w:after="0"/>
              <w:jc w:val="left"/>
              <w:rPr>
                <w:b w:val="0"/>
                <w:sz w:val="20"/>
                <w:szCs w:val="20"/>
              </w:rPr>
            </w:pPr>
            <w:r w:rsidRPr="00B9099F">
              <w:rPr>
                <w:b w:val="0"/>
                <w:sz w:val="20"/>
                <w:szCs w:val="20"/>
              </w:rPr>
              <w:t>24 (30%)</w:t>
            </w:r>
          </w:p>
          <w:p w14:paraId="551803CE" w14:textId="77777777" w:rsidR="00D470FA" w:rsidRPr="00B9099F" w:rsidRDefault="00D470FA" w:rsidP="006A233D">
            <w:pPr>
              <w:pStyle w:val="GTCTitle"/>
              <w:spacing w:before="0" w:after="0"/>
              <w:jc w:val="left"/>
              <w:rPr>
                <w:b w:val="0"/>
                <w:sz w:val="20"/>
                <w:szCs w:val="20"/>
              </w:rPr>
            </w:pPr>
          </w:p>
          <w:p w14:paraId="1556DAFE" w14:textId="77777777" w:rsidR="00D470FA" w:rsidRPr="00B9099F" w:rsidRDefault="00D470FA" w:rsidP="006A233D">
            <w:pPr>
              <w:pStyle w:val="GTCTitle"/>
              <w:spacing w:before="0" w:after="0"/>
              <w:jc w:val="left"/>
              <w:rPr>
                <w:b w:val="0"/>
                <w:sz w:val="20"/>
                <w:szCs w:val="20"/>
              </w:rPr>
            </w:pPr>
            <w:r w:rsidRPr="00B9099F">
              <w:rPr>
                <w:b w:val="0"/>
                <w:sz w:val="20"/>
                <w:szCs w:val="20"/>
              </w:rPr>
              <w:t>23 (29%)</w:t>
            </w:r>
          </w:p>
          <w:p w14:paraId="6C9D9BEA" w14:textId="026FEE72" w:rsidR="00D470FA" w:rsidRPr="00B9099F" w:rsidRDefault="00D470FA" w:rsidP="006A233D">
            <w:pPr>
              <w:pStyle w:val="GTCTitle"/>
              <w:spacing w:before="0" w:after="0"/>
              <w:jc w:val="left"/>
              <w:rPr>
                <w:b w:val="0"/>
                <w:sz w:val="20"/>
                <w:szCs w:val="20"/>
              </w:rPr>
            </w:pPr>
            <w:r w:rsidRPr="00B9099F">
              <w:rPr>
                <w:b w:val="0"/>
                <w:sz w:val="20"/>
                <w:szCs w:val="20"/>
              </w:rPr>
              <w:t>15 (19%)</w:t>
            </w:r>
          </w:p>
          <w:p w14:paraId="7E95D0A5" w14:textId="3EF28F60" w:rsidR="00D470FA" w:rsidRDefault="00D470FA" w:rsidP="006A233D">
            <w:pPr>
              <w:pStyle w:val="GTCTitle"/>
              <w:spacing w:before="0" w:after="0"/>
              <w:jc w:val="left"/>
              <w:rPr>
                <w:b w:val="0"/>
                <w:sz w:val="20"/>
                <w:szCs w:val="20"/>
              </w:rPr>
            </w:pPr>
            <w:r w:rsidRPr="00B9099F">
              <w:rPr>
                <w:b w:val="0"/>
                <w:sz w:val="20"/>
                <w:szCs w:val="20"/>
              </w:rPr>
              <w:t>9 (11%)</w:t>
            </w:r>
          </w:p>
          <w:p w14:paraId="68C1BFFA" w14:textId="53CF7034" w:rsidR="00D470FA" w:rsidRDefault="00D470FA" w:rsidP="006A233D">
            <w:pPr>
              <w:pStyle w:val="GTCTitle"/>
              <w:spacing w:before="0" w:after="0"/>
              <w:jc w:val="left"/>
              <w:rPr>
                <w:b w:val="0"/>
                <w:sz w:val="20"/>
                <w:szCs w:val="20"/>
              </w:rPr>
            </w:pPr>
            <w:r>
              <w:rPr>
                <w:b w:val="0"/>
                <w:sz w:val="20"/>
                <w:szCs w:val="20"/>
              </w:rPr>
              <w:t>8 (10%)</w:t>
            </w:r>
          </w:p>
          <w:p w14:paraId="581064EA" w14:textId="251E5223" w:rsidR="00D470FA" w:rsidRDefault="00D470FA" w:rsidP="006A233D">
            <w:pPr>
              <w:pStyle w:val="GTCTitle"/>
              <w:spacing w:before="0" w:after="0"/>
              <w:jc w:val="left"/>
              <w:rPr>
                <w:b w:val="0"/>
                <w:sz w:val="20"/>
                <w:szCs w:val="20"/>
              </w:rPr>
            </w:pPr>
            <w:r>
              <w:rPr>
                <w:b w:val="0"/>
                <w:sz w:val="20"/>
                <w:szCs w:val="20"/>
              </w:rPr>
              <w:t>8 (10%)</w:t>
            </w:r>
          </w:p>
          <w:p w14:paraId="1741BD51" w14:textId="70324388" w:rsidR="00D470FA" w:rsidRDefault="00D470FA" w:rsidP="006A233D">
            <w:pPr>
              <w:pStyle w:val="GTCTitle"/>
              <w:spacing w:before="0" w:after="0"/>
              <w:jc w:val="left"/>
              <w:rPr>
                <w:b w:val="0"/>
                <w:sz w:val="20"/>
                <w:szCs w:val="20"/>
              </w:rPr>
            </w:pPr>
            <w:r>
              <w:rPr>
                <w:b w:val="0"/>
                <w:sz w:val="20"/>
                <w:szCs w:val="20"/>
              </w:rPr>
              <w:t>7 (9%)</w:t>
            </w:r>
          </w:p>
          <w:p w14:paraId="53559FBB" w14:textId="243B87C3" w:rsidR="00D470FA" w:rsidRPr="00B9099F" w:rsidRDefault="00D470FA" w:rsidP="006A233D">
            <w:pPr>
              <w:pStyle w:val="GTCTitle"/>
              <w:spacing w:before="0" w:after="0"/>
              <w:jc w:val="left"/>
              <w:rPr>
                <w:b w:val="0"/>
                <w:sz w:val="20"/>
                <w:szCs w:val="20"/>
              </w:rPr>
            </w:pPr>
            <w:r>
              <w:rPr>
                <w:b w:val="0"/>
                <w:sz w:val="20"/>
                <w:szCs w:val="20"/>
              </w:rPr>
              <w:t>7 (9%)</w:t>
            </w:r>
          </w:p>
          <w:p w14:paraId="66C17EA7" w14:textId="77777777" w:rsidR="00D470FA" w:rsidRPr="00B9099F" w:rsidRDefault="00D470FA" w:rsidP="006A233D">
            <w:pPr>
              <w:pStyle w:val="GTCTitle"/>
              <w:spacing w:before="0" w:after="0"/>
              <w:jc w:val="left"/>
              <w:rPr>
                <w:b w:val="0"/>
                <w:sz w:val="20"/>
                <w:szCs w:val="20"/>
              </w:rPr>
            </w:pPr>
            <w:r w:rsidRPr="00B9099F">
              <w:rPr>
                <w:b w:val="0"/>
                <w:sz w:val="20"/>
                <w:szCs w:val="20"/>
              </w:rPr>
              <w:t>7 (9%)</w:t>
            </w:r>
          </w:p>
          <w:p w14:paraId="35E498FD" w14:textId="62C47014" w:rsidR="00D470FA" w:rsidRPr="00B9099F" w:rsidRDefault="00D470FA" w:rsidP="006A233D">
            <w:pPr>
              <w:pStyle w:val="GTCTitle"/>
              <w:spacing w:before="0" w:after="0"/>
              <w:jc w:val="left"/>
              <w:rPr>
                <w:b w:val="0"/>
                <w:sz w:val="20"/>
                <w:szCs w:val="20"/>
              </w:rPr>
            </w:pPr>
            <w:r w:rsidRPr="00B9099F">
              <w:rPr>
                <w:b w:val="0"/>
                <w:sz w:val="20"/>
                <w:szCs w:val="20"/>
              </w:rPr>
              <w:t>6 (8%)</w:t>
            </w:r>
          </w:p>
          <w:p w14:paraId="3C750FC1" w14:textId="5EB4AC42" w:rsidR="00D470FA" w:rsidRDefault="00D470FA" w:rsidP="006A233D">
            <w:pPr>
              <w:pStyle w:val="GTCTitle"/>
              <w:spacing w:before="0" w:after="0"/>
              <w:jc w:val="left"/>
              <w:rPr>
                <w:b w:val="0"/>
                <w:sz w:val="20"/>
                <w:szCs w:val="20"/>
              </w:rPr>
            </w:pPr>
            <w:r w:rsidRPr="00B9099F">
              <w:rPr>
                <w:b w:val="0"/>
                <w:sz w:val="20"/>
                <w:szCs w:val="20"/>
              </w:rPr>
              <w:t>5 (6%)</w:t>
            </w:r>
          </w:p>
          <w:p w14:paraId="54413D90" w14:textId="46C79EAE" w:rsidR="00D470FA" w:rsidRPr="00B9099F" w:rsidRDefault="00D470FA" w:rsidP="006A233D">
            <w:pPr>
              <w:pStyle w:val="GTCTitle"/>
              <w:spacing w:before="0" w:after="0"/>
              <w:jc w:val="left"/>
              <w:rPr>
                <w:b w:val="0"/>
                <w:sz w:val="20"/>
                <w:szCs w:val="20"/>
              </w:rPr>
            </w:pPr>
            <w:r>
              <w:rPr>
                <w:b w:val="0"/>
                <w:sz w:val="20"/>
                <w:szCs w:val="20"/>
              </w:rPr>
              <w:t>5 (6%)</w:t>
            </w:r>
          </w:p>
          <w:p w14:paraId="1D612FB9" w14:textId="250C8B6E" w:rsidR="00D470FA" w:rsidRPr="00B9099F" w:rsidRDefault="00D470FA" w:rsidP="006A233D">
            <w:pPr>
              <w:pStyle w:val="GTCTitle"/>
              <w:spacing w:before="0" w:after="0"/>
              <w:jc w:val="left"/>
              <w:rPr>
                <w:b w:val="0"/>
                <w:sz w:val="20"/>
                <w:szCs w:val="20"/>
              </w:rPr>
            </w:pPr>
            <w:r w:rsidRPr="00B9099F">
              <w:rPr>
                <w:b w:val="0"/>
                <w:sz w:val="20"/>
                <w:szCs w:val="20"/>
              </w:rPr>
              <w:t>5 (6%)</w:t>
            </w:r>
          </w:p>
        </w:tc>
        <w:tc>
          <w:tcPr>
            <w:tcW w:w="1440" w:type="dxa"/>
            <w:shd w:val="clear" w:color="auto" w:fill="auto"/>
          </w:tcPr>
          <w:p w14:paraId="34709543" w14:textId="77777777" w:rsidR="00D470FA" w:rsidRPr="00B9099F" w:rsidRDefault="00D470FA" w:rsidP="006A233D">
            <w:pPr>
              <w:pStyle w:val="GTCTitle"/>
              <w:spacing w:before="0" w:after="0"/>
              <w:jc w:val="left"/>
              <w:rPr>
                <w:b w:val="0"/>
                <w:sz w:val="20"/>
                <w:szCs w:val="20"/>
              </w:rPr>
            </w:pPr>
            <w:r w:rsidRPr="00B9099F">
              <w:rPr>
                <w:b w:val="0"/>
                <w:sz w:val="20"/>
                <w:szCs w:val="20"/>
              </w:rPr>
              <w:t>9 (22%)</w:t>
            </w:r>
          </w:p>
          <w:p w14:paraId="5E1B0900" w14:textId="77777777" w:rsidR="00D470FA" w:rsidRPr="00B9099F" w:rsidRDefault="00D470FA" w:rsidP="006A233D">
            <w:pPr>
              <w:pStyle w:val="GTCTitle"/>
              <w:spacing w:before="0" w:after="0"/>
              <w:jc w:val="left"/>
              <w:rPr>
                <w:b w:val="0"/>
                <w:sz w:val="20"/>
                <w:szCs w:val="20"/>
              </w:rPr>
            </w:pPr>
          </w:p>
          <w:p w14:paraId="4E3520C9" w14:textId="77777777" w:rsidR="00D470FA" w:rsidRPr="00B9099F" w:rsidRDefault="00D470FA" w:rsidP="006A233D">
            <w:pPr>
              <w:pStyle w:val="GTCTitle"/>
              <w:spacing w:before="0" w:after="0"/>
              <w:jc w:val="left"/>
              <w:rPr>
                <w:b w:val="0"/>
                <w:sz w:val="20"/>
                <w:szCs w:val="20"/>
              </w:rPr>
            </w:pPr>
            <w:r w:rsidRPr="00B9099F">
              <w:rPr>
                <w:b w:val="0"/>
                <w:sz w:val="20"/>
                <w:szCs w:val="20"/>
              </w:rPr>
              <w:t>7 (17%)</w:t>
            </w:r>
          </w:p>
          <w:p w14:paraId="648BC12D" w14:textId="7F298C7A" w:rsidR="00D470FA" w:rsidRPr="00B9099F" w:rsidRDefault="00D470FA" w:rsidP="006A233D">
            <w:pPr>
              <w:pStyle w:val="GTCTitle"/>
              <w:spacing w:before="0" w:after="0"/>
              <w:jc w:val="left"/>
              <w:rPr>
                <w:b w:val="0"/>
                <w:sz w:val="20"/>
                <w:szCs w:val="20"/>
              </w:rPr>
            </w:pPr>
            <w:r w:rsidRPr="00B9099F">
              <w:rPr>
                <w:b w:val="0"/>
                <w:sz w:val="20"/>
                <w:szCs w:val="20"/>
              </w:rPr>
              <w:t>4 (10%)</w:t>
            </w:r>
          </w:p>
          <w:p w14:paraId="789BBAD4" w14:textId="6D4DBE78" w:rsidR="00D470FA" w:rsidRDefault="00D470FA" w:rsidP="006A233D">
            <w:pPr>
              <w:pStyle w:val="GTCTitle"/>
              <w:spacing w:before="0" w:after="0"/>
              <w:jc w:val="left"/>
              <w:rPr>
                <w:b w:val="0"/>
                <w:sz w:val="20"/>
                <w:szCs w:val="20"/>
              </w:rPr>
            </w:pPr>
            <w:r w:rsidRPr="00B9099F">
              <w:rPr>
                <w:b w:val="0"/>
                <w:sz w:val="20"/>
                <w:szCs w:val="20"/>
              </w:rPr>
              <w:t>2 (5%)</w:t>
            </w:r>
          </w:p>
          <w:p w14:paraId="3F4604C7" w14:textId="69F71F49" w:rsidR="00D470FA" w:rsidRDefault="00D470FA" w:rsidP="006A233D">
            <w:pPr>
              <w:pStyle w:val="GTCTitle"/>
              <w:spacing w:before="0" w:after="0"/>
              <w:jc w:val="left"/>
              <w:rPr>
                <w:b w:val="0"/>
                <w:sz w:val="20"/>
                <w:szCs w:val="20"/>
              </w:rPr>
            </w:pPr>
            <w:r>
              <w:rPr>
                <w:b w:val="0"/>
                <w:sz w:val="20"/>
                <w:szCs w:val="20"/>
              </w:rPr>
              <w:t>3 (7%)</w:t>
            </w:r>
          </w:p>
          <w:p w14:paraId="48782915" w14:textId="73842476" w:rsidR="00D470FA" w:rsidRDefault="00D470FA" w:rsidP="006A233D">
            <w:pPr>
              <w:pStyle w:val="GTCTitle"/>
              <w:spacing w:before="0" w:after="0"/>
              <w:jc w:val="left"/>
              <w:rPr>
                <w:b w:val="0"/>
                <w:sz w:val="20"/>
                <w:szCs w:val="20"/>
              </w:rPr>
            </w:pPr>
            <w:r>
              <w:rPr>
                <w:b w:val="0"/>
                <w:sz w:val="20"/>
                <w:szCs w:val="20"/>
              </w:rPr>
              <w:t>3 (7%)</w:t>
            </w:r>
          </w:p>
          <w:p w14:paraId="2F77BB6E" w14:textId="66DD9624" w:rsidR="00D470FA" w:rsidRDefault="00D470FA" w:rsidP="006A233D">
            <w:pPr>
              <w:pStyle w:val="GTCTitle"/>
              <w:spacing w:before="0" w:after="0"/>
              <w:jc w:val="left"/>
              <w:rPr>
                <w:b w:val="0"/>
                <w:sz w:val="20"/>
                <w:szCs w:val="20"/>
              </w:rPr>
            </w:pPr>
            <w:r>
              <w:rPr>
                <w:b w:val="0"/>
                <w:sz w:val="20"/>
                <w:szCs w:val="20"/>
              </w:rPr>
              <w:t>3 (7%)</w:t>
            </w:r>
          </w:p>
          <w:p w14:paraId="5DD5C9BA" w14:textId="6D79AF30" w:rsidR="00D470FA" w:rsidRPr="00B9099F" w:rsidRDefault="00D470FA" w:rsidP="006A233D">
            <w:pPr>
              <w:pStyle w:val="GTCTitle"/>
              <w:spacing w:before="0" w:after="0"/>
              <w:jc w:val="left"/>
              <w:rPr>
                <w:b w:val="0"/>
                <w:sz w:val="20"/>
                <w:szCs w:val="20"/>
              </w:rPr>
            </w:pPr>
            <w:r>
              <w:rPr>
                <w:b w:val="0"/>
                <w:sz w:val="20"/>
                <w:szCs w:val="20"/>
              </w:rPr>
              <w:t>2 (5%)</w:t>
            </w:r>
          </w:p>
          <w:p w14:paraId="73D0DCD1" w14:textId="77777777" w:rsidR="00D470FA" w:rsidRPr="00B9099F" w:rsidRDefault="00D470FA" w:rsidP="006A233D">
            <w:pPr>
              <w:pStyle w:val="GTCTitle"/>
              <w:spacing w:before="0" w:after="0"/>
              <w:jc w:val="left"/>
              <w:rPr>
                <w:b w:val="0"/>
                <w:sz w:val="20"/>
                <w:szCs w:val="20"/>
              </w:rPr>
            </w:pPr>
            <w:r w:rsidRPr="00B9099F">
              <w:rPr>
                <w:b w:val="0"/>
                <w:sz w:val="20"/>
                <w:szCs w:val="20"/>
              </w:rPr>
              <w:t>0 (0%)</w:t>
            </w:r>
          </w:p>
          <w:p w14:paraId="22E79E0C" w14:textId="71142F2D" w:rsidR="00D470FA" w:rsidRPr="00B9099F" w:rsidRDefault="00D470FA" w:rsidP="006A233D">
            <w:pPr>
              <w:pStyle w:val="GTCTitle"/>
              <w:spacing w:before="0" w:after="0"/>
              <w:jc w:val="left"/>
              <w:rPr>
                <w:b w:val="0"/>
                <w:sz w:val="20"/>
                <w:szCs w:val="20"/>
              </w:rPr>
            </w:pPr>
            <w:r w:rsidRPr="00B9099F">
              <w:rPr>
                <w:b w:val="0"/>
                <w:sz w:val="20"/>
                <w:szCs w:val="20"/>
              </w:rPr>
              <w:t>1 (2%)</w:t>
            </w:r>
          </w:p>
          <w:p w14:paraId="0F0A8F71" w14:textId="4AA11CAC" w:rsidR="00D470FA" w:rsidRDefault="00D470FA" w:rsidP="006A233D">
            <w:pPr>
              <w:pStyle w:val="GTCTitle"/>
              <w:spacing w:before="0" w:after="0"/>
              <w:jc w:val="left"/>
              <w:rPr>
                <w:b w:val="0"/>
                <w:sz w:val="20"/>
                <w:szCs w:val="20"/>
              </w:rPr>
            </w:pPr>
            <w:r w:rsidRPr="00B9099F">
              <w:rPr>
                <w:b w:val="0"/>
                <w:sz w:val="20"/>
                <w:szCs w:val="20"/>
              </w:rPr>
              <w:t>0 (0%)</w:t>
            </w:r>
          </w:p>
          <w:p w14:paraId="21D5DA69" w14:textId="133A90D3" w:rsidR="00D470FA" w:rsidRPr="00B9099F" w:rsidRDefault="00D470FA" w:rsidP="006A233D">
            <w:pPr>
              <w:pStyle w:val="GTCTitle"/>
              <w:spacing w:before="0" w:after="0"/>
              <w:jc w:val="left"/>
              <w:rPr>
                <w:b w:val="0"/>
                <w:sz w:val="20"/>
                <w:szCs w:val="20"/>
              </w:rPr>
            </w:pPr>
            <w:r>
              <w:rPr>
                <w:b w:val="0"/>
                <w:sz w:val="20"/>
                <w:szCs w:val="20"/>
              </w:rPr>
              <w:t>1 (2%)</w:t>
            </w:r>
          </w:p>
          <w:p w14:paraId="602DD004" w14:textId="55558CF5" w:rsidR="00D470FA" w:rsidRPr="00B9099F" w:rsidRDefault="00D470FA" w:rsidP="006A233D">
            <w:pPr>
              <w:pStyle w:val="GTCTitle"/>
              <w:spacing w:before="0" w:after="0"/>
              <w:jc w:val="left"/>
              <w:rPr>
                <w:b w:val="0"/>
                <w:sz w:val="20"/>
                <w:szCs w:val="20"/>
              </w:rPr>
            </w:pPr>
            <w:r w:rsidRPr="00B9099F">
              <w:rPr>
                <w:b w:val="0"/>
                <w:sz w:val="20"/>
                <w:szCs w:val="20"/>
              </w:rPr>
              <w:t>0 (0%)</w:t>
            </w:r>
          </w:p>
        </w:tc>
        <w:tc>
          <w:tcPr>
            <w:tcW w:w="1620" w:type="dxa"/>
            <w:shd w:val="clear" w:color="auto" w:fill="auto"/>
          </w:tcPr>
          <w:p w14:paraId="5892102E" w14:textId="77777777" w:rsidR="00D470FA" w:rsidRPr="00B9099F" w:rsidRDefault="00D470FA" w:rsidP="006A233D">
            <w:pPr>
              <w:pStyle w:val="GTCTitle"/>
              <w:spacing w:before="0" w:after="0"/>
              <w:jc w:val="center"/>
              <w:rPr>
                <w:b w:val="0"/>
                <w:sz w:val="20"/>
                <w:szCs w:val="20"/>
              </w:rPr>
            </w:pPr>
            <w:r w:rsidRPr="00B9099F">
              <w:rPr>
                <w:b w:val="0"/>
                <w:sz w:val="20"/>
                <w:szCs w:val="20"/>
              </w:rPr>
              <w:t>Very Common</w:t>
            </w:r>
          </w:p>
          <w:p w14:paraId="76838FAC" w14:textId="77777777" w:rsidR="00D470FA" w:rsidRPr="00B9099F" w:rsidRDefault="00D470FA" w:rsidP="006A233D">
            <w:pPr>
              <w:pStyle w:val="GTCTitle"/>
              <w:spacing w:before="0" w:after="0"/>
              <w:jc w:val="center"/>
              <w:rPr>
                <w:b w:val="0"/>
                <w:sz w:val="20"/>
                <w:szCs w:val="20"/>
              </w:rPr>
            </w:pPr>
          </w:p>
          <w:p w14:paraId="302BA6F5" w14:textId="77777777" w:rsidR="00D470FA" w:rsidRPr="00B9099F" w:rsidRDefault="00D470FA" w:rsidP="006A233D">
            <w:pPr>
              <w:pStyle w:val="GTCTitle"/>
              <w:spacing w:before="0" w:after="0"/>
              <w:jc w:val="center"/>
              <w:rPr>
                <w:b w:val="0"/>
                <w:sz w:val="20"/>
                <w:szCs w:val="20"/>
              </w:rPr>
            </w:pPr>
            <w:r w:rsidRPr="00B9099F">
              <w:rPr>
                <w:b w:val="0"/>
                <w:sz w:val="20"/>
                <w:szCs w:val="20"/>
              </w:rPr>
              <w:t>Very Common</w:t>
            </w:r>
          </w:p>
          <w:p w14:paraId="6BFDC7DA" w14:textId="31C2769F" w:rsidR="00D470FA" w:rsidRPr="00B9099F" w:rsidRDefault="00D470FA" w:rsidP="00151002">
            <w:pPr>
              <w:pStyle w:val="GTCTitle"/>
              <w:spacing w:before="0" w:after="0"/>
              <w:jc w:val="center"/>
              <w:rPr>
                <w:b w:val="0"/>
                <w:sz w:val="20"/>
                <w:szCs w:val="20"/>
              </w:rPr>
            </w:pPr>
            <w:r w:rsidRPr="00B9099F">
              <w:rPr>
                <w:b w:val="0"/>
                <w:sz w:val="20"/>
                <w:szCs w:val="20"/>
              </w:rPr>
              <w:t>Very Common</w:t>
            </w:r>
          </w:p>
          <w:p w14:paraId="27AAC81C" w14:textId="2E62D11A" w:rsidR="00D470FA" w:rsidRPr="00B9099F" w:rsidRDefault="00D470FA" w:rsidP="00D470FA">
            <w:pPr>
              <w:pStyle w:val="GTCTitle"/>
              <w:spacing w:before="0" w:after="0"/>
              <w:jc w:val="center"/>
              <w:rPr>
                <w:b w:val="0"/>
                <w:sz w:val="20"/>
                <w:szCs w:val="20"/>
              </w:rPr>
            </w:pPr>
            <w:r w:rsidRPr="00B9099F">
              <w:rPr>
                <w:b w:val="0"/>
                <w:sz w:val="20"/>
                <w:szCs w:val="20"/>
              </w:rPr>
              <w:t>Very Common</w:t>
            </w:r>
          </w:p>
          <w:p w14:paraId="1F11445D" w14:textId="77777777" w:rsidR="00D470FA" w:rsidRDefault="00D470FA" w:rsidP="00B30D32">
            <w:pPr>
              <w:pStyle w:val="GTCTitle"/>
              <w:spacing w:before="0" w:after="0"/>
              <w:jc w:val="center"/>
              <w:rPr>
                <w:b w:val="0"/>
                <w:sz w:val="20"/>
                <w:szCs w:val="20"/>
              </w:rPr>
            </w:pPr>
            <w:r>
              <w:rPr>
                <w:b w:val="0"/>
                <w:sz w:val="20"/>
                <w:szCs w:val="20"/>
              </w:rPr>
              <w:t>Very Common</w:t>
            </w:r>
          </w:p>
          <w:p w14:paraId="71E9733C" w14:textId="5B46D5B9" w:rsidR="00D470FA" w:rsidRPr="00B9099F" w:rsidRDefault="00D470FA" w:rsidP="00B30D32">
            <w:pPr>
              <w:pStyle w:val="GTCTitle"/>
              <w:spacing w:before="0" w:after="0"/>
              <w:jc w:val="center"/>
              <w:rPr>
                <w:b w:val="0"/>
                <w:sz w:val="20"/>
                <w:szCs w:val="20"/>
              </w:rPr>
            </w:pPr>
            <w:r>
              <w:rPr>
                <w:b w:val="0"/>
                <w:sz w:val="20"/>
                <w:szCs w:val="20"/>
              </w:rPr>
              <w:t>Very Common</w:t>
            </w:r>
          </w:p>
        </w:tc>
        <w:tc>
          <w:tcPr>
            <w:tcW w:w="1530" w:type="dxa"/>
            <w:shd w:val="clear" w:color="auto" w:fill="auto"/>
          </w:tcPr>
          <w:p w14:paraId="23F6B557" w14:textId="77777777" w:rsidR="00D470FA" w:rsidRPr="00B9099F" w:rsidRDefault="00D470FA" w:rsidP="006A233D">
            <w:pPr>
              <w:pStyle w:val="GTCTitle"/>
              <w:spacing w:before="0" w:after="0"/>
              <w:jc w:val="center"/>
              <w:rPr>
                <w:b w:val="0"/>
                <w:sz w:val="20"/>
                <w:szCs w:val="20"/>
              </w:rPr>
            </w:pPr>
          </w:p>
          <w:p w14:paraId="4A979DDA" w14:textId="77777777" w:rsidR="00D470FA" w:rsidRPr="00B9099F" w:rsidRDefault="00D470FA" w:rsidP="006A233D">
            <w:pPr>
              <w:pStyle w:val="GTCTitle"/>
              <w:spacing w:before="0" w:after="0"/>
              <w:jc w:val="center"/>
              <w:rPr>
                <w:b w:val="0"/>
                <w:sz w:val="20"/>
                <w:szCs w:val="20"/>
              </w:rPr>
            </w:pPr>
          </w:p>
          <w:p w14:paraId="358F8678" w14:textId="77777777" w:rsidR="00D470FA" w:rsidRPr="00B9099F" w:rsidRDefault="00D470FA" w:rsidP="006A233D">
            <w:pPr>
              <w:pStyle w:val="GTCTitle"/>
              <w:spacing w:before="0" w:after="0"/>
              <w:jc w:val="center"/>
              <w:rPr>
                <w:b w:val="0"/>
                <w:sz w:val="20"/>
                <w:szCs w:val="20"/>
              </w:rPr>
            </w:pPr>
          </w:p>
          <w:p w14:paraId="5E266E00" w14:textId="77777777" w:rsidR="00D470FA" w:rsidRPr="00B9099F" w:rsidRDefault="00D470FA" w:rsidP="006A233D">
            <w:pPr>
              <w:pStyle w:val="GTCTitle"/>
              <w:spacing w:before="0" w:after="0"/>
              <w:jc w:val="center"/>
              <w:rPr>
                <w:b w:val="0"/>
                <w:sz w:val="20"/>
                <w:szCs w:val="20"/>
              </w:rPr>
            </w:pPr>
          </w:p>
          <w:p w14:paraId="0356EFFD" w14:textId="77777777" w:rsidR="00D470FA" w:rsidRPr="00B9099F" w:rsidRDefault="00D470FA" w:rsidP="006A233D">
            <w:pPr>
              <w:pStyle w:val="GTCTitle"/>
              <w:spacing w:before="0" w:after="0"/>
              <w:jc w:val="center"/>
              <w:rPr>
                <w:b w:val="0"/>
                <w:sz w:val="20"/>
                <w:szCs w:val="20"/>
              </w:rPr>
            </w:pPr>
          </w:p>
          <w:p w14:paraId="2EA3BF7E" w14:textId="702CE1CC" w:rsidR="00D470FA" w:rsidRDefault="00D470FA" w:rsidP="006A233D">
            <w:pPr>
              <w:pStyle w:val="GTCTitle"/>
              <w:spacing w:before="0" w:after="0"/>
              <w:jc w:val="center"/>
              <w:rPr>
                <w:b w:val="0"/>
                <w:sz w:val="20"/>
                <w:szCs w:val="20"/>
              </w:rPr>
            </w:pPr>
          </w:p>
          <w:p w14:paraId="31FAAFCC" w14:textId="15DB4784" w:rsidR="00D470FA" w:rsidRDefault="00D470FA" w:rsidP="00D301CF">
            <w:pPr>
              <w:pStyle w:val="GTCTitle"/>
              <w:spacing w:before="0" w:after="0"/>
              <w:rPr>
                <w:b w:val="0"/>
                <w:sz w:val="20"/>
                <w:szCs w:val="20"/>
              </w:rPr>
            </w:pPr>
          </w:p>
          <w:p w14:paraId="3C064E9E" w14:textId="51A4C0E0" w:rsidR="00D470FA" w:rsidRDefault="00D470FA" w:rsidP="003E7D1C">
            <w:pPr>
              <w:pStyle w:val="GTCTitle"/>
              <w:spacing w:before="0" w:after="0"/>
              <w:jc w:val="center"/>
              <w:rPr>
                <w:b w:val="0"/>
                <w:sz w:val="20"/>
                <w:szCs w:val="20"/>
              </w:rPr>
            </w:pPr>
            <w:r>
              <w:rPr>
                <w:b w:val="0"/>
                <w:sz w:val="20"/>
                <w:szCs w:val="20"/>
              </w:rPr>
              <w:t>Common</w:t>
            </w:r>
          </w:p>
          <w:p w14:paraId="38882D3D" w14:textId="429C92A3" w:rsidR="00D470FA" w:rsidRPr="00B9099F" w:rsidRDefault="00D470FA" w:rsidP="003E7D1C">
            <w:pPr>
              <w:pStyle w:val="GTCTitle"/>
              <w:spacing w:before="0" w:after="0"/>
              <w:jc w:val="center"/>
              <w:rPr>
                <w:b w:val="0"/>
                <w:sz w:val="20"/>
                <w:szCs w:val="20"/>
              </w:rPr>
            </w:pPr>
            <w:r>
              <w:rPr>
                <w:b w:val="0"/>
                <w:sz w:val="20"/>
                <w:szCs w:val="20"/>
              </w:rPr>
              <w:t>Common</w:t>
            </w:r>
          </w:p>
          <w:p w14:paraId="1CD7EAC8" w14:textId="77777777" w:rsidR="00D470FA" w:rsidRPr="00B9099F" w:rsidRDefault="00D470FA" w:rsidP="006A233D">
            <w:pPr>
              <w:pStyle w:val="GTCTitle"/>
              <w:spacing w:before="0" w:after="0"/>
              <w:jc w:val="center"/>
              <w:rPr>
                <w:b w:val="0"/>
                <w:sz w:val="20"/>
                <w:szCs w:val="20"/>
              </w:rPr>
            </w:pPr>
            <w:r w:rsidRPr="00B9099F">
              <w:rPr>
                <w:b w:val="0"/>
                <w:sz w:val="20"/>
                <w:szCs w:val="20"/>
              </w:rPr>
              <w:t>Common</w:t>
            </w:r>
          </w:p>
          <w:p w14:paraId="63DC61E9" w14:textId="1F850408" w:rsidR="00D470FA" w:rsidRPr="00B9099F" w:rsidRDefault="00D470FA" w:rsidP="009A7D82">
            <w:pPr>
              <w:pStyle w:val="GTCTitle"/>
              <w:spacing w:before="0" w:after="0"/>
              <w:jc w:val="center"/>
              <w:rPr>
                <w:b w:val="0"/>
                <w:sz w:val="20"/>
                <w:szCs w:val="20"/>
              </w:rPr>
            </w:pPr>
            <w:r w:rsidRPr="00B9099F">
              <w:rPr>
                <w:b w:val="0"/>
                <w:sz w:val="20"/>
                <w:szCs w:val="20"/>
              </w:rPr>
              <w:t>Common</w:t>
            </w:r>
          </w:p>
          <w:p w14:paraId="76EE58CA" w14:textId="52DDEC61" w:rsidR="00D470FA" w:rsidRDefault="00D470FA" w:rsidP="006A233D">
            <w:pPr>
              <w:pStyle w:val="GTCTitle"/>
              <w:spacing w:before="0" w:after="0"/>
              <w:jc w:val="center"/>
              <w:rPr>
                <w:b w:val="0"/>
                <w:sz w:val="20"/>
                <w:szCs w:val="20"/>
              </w:rPr>
            </w:pPr>
            <w:r w:rsidRPr="00B9099F">
              <w:rPr>
                <w:b w:val="0"/>
                <w:sz w:val="20"/>
                <w:szCs w:val="20"/>
              </w:rPr>
              <w:t>Common</w:t>
            </w:r>
          </w:p>
          <w:p w14:paraId="26C21616" w14:textId="3D7447EB" w:rsidR="00D470FA" w:rsidRPr="00B9099F" w:rsidRDefault="00D470FA" w:rsidP="006A233D">
            <w:pPr>
              <w:pStyle w:val="GTCTitle"/>
              <w:spacing w:before="0" w:after="0"/>
              <w:jc w:val="center"/>
              <w:rPr>
                <w:b w:val="0"/>
                <w:sz w:val="20"/>
                <w:szCs w:val="20"/>
              </w:rPr>
            </w:pPr>
            <w:r>
              <w:rPr>
                <w:b w:val="0"/>
                <w:sz w:val="20"/>
                <w:szCs w:val="20"/>
              </w:rPr>
              <w:t>Common</w:t>
            </w:r>
          </w:p>
          <w:p w14:paraId="53B363CC" w14:textId="4CF861CD" w:rsidR="00D470FA" w:rsidRPr="00B9099F" w:rsidRDefault="00D470FA" w:rsidP="00D470FA">
            <w:pPr>
              <w:pStyle w:val="GTCTitle"/>
              <w:spacing w:before="0" w:after="0"/>
              <w:jc w:val="center"/>
              <w:rPr>
                <w:b w:val="0"/>
                <w:sz w:val="20"/>
                <w:szCs w:val="20"/>
              </w:rPr>
            </w:pPr>
            <w:r w:rsidRPr="00B9099F">
              <w:rPr>
                <w:b w:val="0"/>
                <w:sz w:val="20"/>
                <w:szCs w:val="20"/>
              </w:rPr>
              <w:t>Common</w:t>
            </w:r>
          </w:p>
        </w:tc>
      </w:tr>
      <w:tr w:rsidR="00D470FA" w:rsidRPr="00B9099F" w14:paraId="59B9BA45" w14:textId="77777777" w:rsidTr="00D301CF">
        <w:tc>
          <w:tcPr>
            <w:tcW w:w="2639" w:type="dxa"/>
            <w:shd w:val="clear" w:color="auto" w:fill="auto"/>
          </w:tcPr>
          <w:p w14:paraId="31355189" w14:textId="77777777" w:rsidR="00D470FA" w:rsidRDefault="00D470FA" w:rsidP="006A233D">
            <w:pPr>
              <w:pStyle w:val="GTCTitle"/>
              <w:spacing w:before="0" w:after="0"/>
              <w:jc w:val="left"/>
              <w:rPr>
                <w:b w:val="0"/>
                <w:sz w:val="20"/>
                <w:szCs w:val="20"/>
              </w:rPr>
            </w:pPr>
            <w:r>
              <w:rPr>
                <w:b w:val="0"/>
                <w:sz w:val="20"/>
                <w:szCs w:val="20"/>
              </w:rPr>
              <w:t>Hypoxia</w:t>
            </w:r>
          </w:p>
          <w:p w14:paraId="69DF2761" w14:textId="77777777" w:rsidR="00D470FA" w:rsidRDefault="00D470FA" w:rsidP="006A233D">
            <w:pPr>
              <w:pStyle w:val="GTCTitle"/>
              <w:spacing w:before="0" w:after="0"/>
              <w:jc w:val="left"/>
              <w:rPr>
                <w:b w:val="0"/>
                <w:sz w:val="20"/>
                <w:szCs w:val="20"/>
              </w:rPr>
            </w:pPr>
            <w:proofErr w:type="spellStart"/>
            <w:r>
              <w:rPr>
                <w:b w:val="0"/>
                <w:sz w:val="20"/>
                <w:szCs w:val="20"/>
              </w:rPr>
              <w:t>Rhinorrhoea</w:t>
            </w:r>
            <w:proofErr w:type="spellEnd"/>
          </w:p>
          <w:p w14:paraId="49C6543B" w14:textId="0A8395E2" w:rsidR="00D470FA" w:rsidRPr="00B9099F" w:rsidRDefault="00D470FA" w:rsidP="006A233D">
            <w:pPr>
              <w:pStyle w:val="GTCTitle"/>
              <w:spacing w:before="0" w:after="0"/>
              <w:jc w:val="left"/>
              <w:rPr>
                <w:b w:val="0"/>
                <w:sz w:val="20"/>
                <w:szCs w:val="20"/>
              </w:rPr>
            </w:pPr>
            <w:r>
              <w:rPr>
                <w:b w:val="0"/>
                <w:sz w:val="20"/>
                <w:szCs w:val="20"/>
              </w:rPr>
              <w:t>Upper respiratory tract congestion</w:t>
            </w:r>
          </w:p>
        </w:tc>
        <w:tc>
          <w:tcPr>
            <w:tcW w:w="1350" w:type="dxa"/>
            <w:shd w:val="clear" w:color="auto" w:fill="auto"/>
          </w:tcPr>
          <w:p w14:paraId="4A69C1FA" w14:textId="77777777" w:rsidR="00D470FA" w:rsidRDefault="00D470FA" w:rsidP="006A233D">
            <w:pPr>
              <w:pStyle w:val="GTCTitle"/>
              <w:spacing w:before="0" w:after="0"/>
              <w:jc w:val="left"/>
              <w:rPr>
                <w:b w:val="0"/>
                <w:sz w:val="20"/>
                <w:szCs w:val="20"/>
              </w:rPr>
            </w:pPr>
            <w:r>
              <w:rPr>
                <w:b w:val="0"/>
                <w:sz w:val="20"/>
                <w:szCs w:val="20"/>
              </w:rPr>
              <w:t>7 (9%)</w:t>
            </w:r>
          </w:p>
          <w:p w14:paraId="3BBDB949" w14:textId="77777777" w:rsidR="00D470FA" w:rsidRDefault="00D470FA" w:rsidP="006A233D">
            <w:pPr>
              <w:pStyle w:val="GTCTitle"/>
              <w:spacing w:before="0" w:after="0"/>
              <w:jc w:val="left"/>
              <w:rPr>
                <w:b w:val="0"/>
                <w:sz w:val="20"/>
                <w:szCs w:val="20"/>
              </w:rPr>
            </w:pPr>
            <w:r>
              <w:rPr>
                <w:b w:val="0"/>
                <w:sz w:val="20"/>
                <w:szCs w:val="20"/>
              </w:rPr>
              <w:t>6 (8%)</w:t>
            </w:r>
          </w:p>
          <w:p w14:paraId="589A3C77" w14:textId="08327C5C" w:rsidR="00D470FA" w:rsidRPr="00B9099F" w:rsidRDefault="00D470FA" w:rsidP="00AF2347">
            <w:pPr>
              <w:pStyle w:val="GTCTitle"/>
              <w:spacing w:before="0" w:after="0" w:line="360" w:lineRule="auto"/>
              <w:jc w:val="left"/>
              <w:rPr>
                <w:b w:val="0"/>
                <w:sz w:val="20"/>
                <w:szCs w:val="20"/>
              </w:rPr>
            </w:pPr>
            <w:r>
              <w:rPr>
                <w:b w:val="0"/>
                <w:sz w:val="20"/>
                <w:szCs w:val="20"/>
              </w:rPr>
              <w:t>6 (8%)</w:t>
            </w:r>
          </w:p>
        </w:tc>
        <w:tc>
          <w:tcPr>
            <w:tcW w:w="1440" w:type="dxa"/>
            <w:shd w:val="clear" w:color="auto" w:fill="auto"/>
          </w:tcPr>
          <w:p w14:paraId="0EB28DB8" w14:textId="77777777" w:rsidR="00D470FA" w:rsidRDefault="00D470FA" w:rsidP="006A233D">
            <w:pPr>
              <w:pStyle w:val="GTCTitle"/>
              <w:spacing w:before="0" w:after="0"/>
              <w:jc w:val="left"/>
              <w:rPr>
                <w:b w:val="0"/>
                <w:sz w:val="20"/>
                <w:szCs w:val="20"/>
              </w:rPr>
            </w:pPr>
            <w:r>
              <w:rPr>
                <w:b w:val="0"/>
                <w:sz w:val="20"/>
                <w:szCs w:val="20"/>
              </w:rPr>
              <w:t>2 (5%)</w:t>
            </w:r>
          </w:p>
          <w:p w14:paraId="2D1E2A7E" w14:textId="77777777" w:rsidR="00D470FA" w:rsidRDefault="00D470FA" w:rsidP="006A233D">
            <w:pPr>
              <w:pStyle w:val="GTCTitle"/>
              <w:spacing w:before="0" w:after="0"/>
              <w:jc w:val="left"/>
              <w:rPr>
                <w:b w:val="0"/>
                <w:sz w:val="20"/>
                <w:szCs w:val="20"/>
              </w:rPr>
            </w:pPr>
            <w:r>
              <w:rPr>
                <w:b w:val="0"/>
                <w:sz w:val="20"/>
                <w:szCs w:val="20"/>
              </w:rPr>
              <w:t>3 (7%)</w:t>
            </w:r>
          </w:p>
          <w:p w14:paraId="300E83B0" w14:textId="50D0CDE7" w:rsidR="00D470FA" w:rsidRPr="00B9099F" w:rsidRDefault="00D470FA" w:rsidP="006A233D">
            <w:pPr>
              <w:pStyle w:val="GTCTitle"/>
              <w:spacing w:before="0" w:after="0"/>
              <w:jc w:val="left"/>
              <w:rPr>
                <w:b w:val="0"/>
                <w:sz w:val="20"/>
                <w:szCs w:val="20"/>
              </w:rPr>
            </w:pPr>
            <w:r>
              <w:rPr>
                <w:b w:val="0"/>
                <w:sz w:val="20"/>
                <w:szCs w:val="20"/>
              </w:rPr>
              <w:t>1 (2%)</w:t>
            </w:r>
          </w:p>
        </w:tc>
        <w:tc>
          <w:tcPr>
            <w:tcW w:w="1620" w:type="dxa"/>
            <w:shd w:val="clear" w:color="auto" w:fill="auto"/>
          </w:tcPr>
          <w:p w14:paraId="37DEC457" w14:textId="77777777" w:rsidR="00D470FA" w:rsidRPr="00B9099F" w:rsidRDefault="00D470FA" w:rsidP="006A233D">
            <w:pPr>
              <w:pStyle w:val="GTCTitle"/>
              <w:spacing w:before="0" w:after="0"/>
              <w:jc w:val="center"/>
              <w:rPr>
                <w:b w:val="0"/>
                <w:sz w:val="20"/>
                <w:szCs w:val="20"/>
              </w:rPr>
            </w:pPr>
          </w:p>
        </w:tc>
        <w:tc>
          <w:tcPr>
            <w:tcW w:w="1530" w:type="dxa"/>
            <w:shd w:val="clear" w:color="auto" w:fill="auto"/>
          </w:tcPr>
          <w:p w14:paraId="1399B018" w14:textId="77777777" w:rsidR="00D470FA" w:rsidRDefault="00D470FA" w:rsidP="006A233D">
            <w:pPr>
              <w:pStyle w:val="GTCTitle"/>
              <w:spacing w:before="0" w:after="0"/>
              <w:jc w:val="center"/>
              <w:rPr>
                <w:b w:val="0"/>
                <w:sz w:val="20"/>
                <w:szCs w:val="20"/>
              </w:rPr>
            </w:pPr>
            <w:r>
              <w:rPr>
                <w:b w:val="0"/>
                <w:sz w:val="20"/>
                <w:szCs w:val="20"/>
              </w:rPr>
              <w:t>Common</w:t>
            </w:r>
          </w:p>
          <w:p w14:paraId="433EEA79" w14:textId="77777777" w:rsidR="00D470FA" w:rsidRDefault="00D470FA" w:rsidP="006A233D">
            <w:pPr>
              <w:pStyle w:val="GTCTitle"/>
              <w:spacing w:before="0" w:after="0"/>
              <w:jc w:val="center"/>
              <w:rPr>
                <w:b w:val="0"/>
                <w:sz w:val="20"/>
                <w:szCs w:val="20"/>
              </w:rPr>
            </w:pPr>
            <w:r>
              <w:rPr>
                <w:b w:val="0"/>
                <w:sz w:val="20"/>
                <w:szCs w:val="20"/>
              </w:rPr>
              <w:t>Common</w:t>
            </w:r>
          </w:p>
          <w:p w14:paraId="781F096E" w14:textId="7DC50C0A" w:rsidR="00D470FA" w:rsidRPr="00B9099F" w:rsidRDefault="00D470FA" w:rsidP="006A233D">
            <w:pPr>
              <w:pStyle w:val="GTCTitle"/>
              <w:spacing w:before="0" w:after="0"/>
              <w:jc w:val="center"/>
              <w:rPr>
                <w:b w:val="0"/>
                <w:sz w:val="20"/>
                <w:szCs w:val="20"/>
              </w:rPr>
            </w:pPr>
            <w:r>
              <w:rPr>
                <w:b w:val="0"/>
                <w:sz w:val="20"/>
                <w:szCs w:val="20"/>
              </w:rPr>
              <w:t>Common</w:t>
            </w:r>
          </w:p>
        </w:tc>
      </w:tr>
      <w:tr w:rsidR="00D470FA" w:rsidRPr="00B9099F" w14:paraId="71CBC1A1" w14:textId="77777777" w:rsidTr="00D301CF">
        <w:tc>
          <w:tcPr>
            <w:tcW w:w="2639" w:type="dxa"/>
            <w:shd w:val="clear" w:color="auto" w:fill="auto"/>
          </w:tcPr>
          <w:p w14:paraId="5C1C33AA" w14:textId="77777777" w:rsidR="00D470FA" w:rsidRDefault="00D470FA" w:rsidP="006A233D">
            <w:pPr>
              <w:pStyle w:val="GTCTitle"/>
              <w:spacing w:before="0" w:after="0"/>
              <w:jc w:val="left"/>
              <w:rPr>
                <w:b w:val="0"/>
                <w:sz w:val="20"/>
                <w:szCs w:val="20"/>
              </w:rPr>
            </w:pPr>
            <w:r w:rsidRPr="00B9099F">
              <w:rPr>
                <w:b w:val="0"/>
                <w:sz w:val="20"/>
                <w:szCs w:val="20"/>
              </w:rPr>
              <w:t>Constipation</w:t>
            </w:r>
          </w:p>
          <w:p w14:paraId="3BD1EA43" w14:textId="77777777" w:rsidR="00D470FA" w:rsidRDefault="00D470FA" w:rsidP="006A233D">
            <w:pPr>
              <w:pStyle w:val="GTCTitle"/>
              <w:spacing w:before="0" w:after="0"/>
              <w:jc w:val="left"/>
              <w:rPr>
                <w:b w:val="0"/>
                <w:sz w:val="20"/>
                <w:szCs w:val="20"/>
              </w:rPr>
            </w:pPr>
            <w:r>
              <w:rPr>
                <w:b w:val="0"/>
                <w:sz w:val="20"/>
                <w:szCs w:val="20"/>
              </w:rPr>
              <w:t>Teething</w:t>
            </w:r>
          </w:p>
          <w:p w14:paraId="11C68F48" w14:textId="6052E36F" w:rsidR="00D470FA" w:rsidRDefault="00D470FA" w:rsidP="006A233D">
            <w:pPr>
              <w:pStyle w:val="GTCTitle"/>
              <w:spacing w:before="0" w:after="0"/>
              <w:jc w:val="left"/>
              <w:rPr>
                <w:b w:val="0"/>
                <w:sz w:val="20"/>
                <w:szCs w:val="20"/>
              </w:rPr>
            </w:pPr>
            <w:r>
              <w:rPr>
                <w:b w:val="0"/>
                <w:sz w:val="20"/>
                <w:szCs w:val="20"/>
              </w:rPr>
              <w:t xml:space="preserve">Salivary </w:t>
            </w:r>
          </w:p>
          <w:p w14:paraId="14A72A71" w14:textId="496DBBB3" w:rsidR="00D470FA" w:rsidRPr="00B9099F" w:rsidRDefault="00D470FA" w:rsidP="006A233D">
            <w:pPr>
              <w:pStyle w:val="GTCTitle"/>
              <w:spacing w:before="0" w:after="0"/>
              <w:jc w:val="left"/>
              <w:rPr>
                <w:b w:val="0"/>
                <w:sz w:val="20"/>
                <w:szCs w:val="20"/>
              </w:rPr>
            </w:pPr>
            <w:r>
              <w:rPr>
                <w:b w:val="0"/>
                <w:sz w:val="20"/>
                <w:szCs w:val="20"/>
              </w:rPr>
              <w:t>hypersecretion</w:t>
            </w:r>
          </w:p>
        </w:tc>
        <w:tc>
          <w:tcPr>
            <w:tcW w:w="1350" w:type="dxa"/>
            <w:shd w:val="clear" w:color="auto" w:fill="auto"/>
          </w:tcPr>
          <w:p w14:paraId="22DB3D63" w14:textId="77777777" w:rsidR="00D470FA" w:rsidRDefault="00D470FA" w:rsidP="006A233D">
            <w:pPr>
              <w:pStyle w:val="GTCTitle"/>
              <w:spacing w:before="0" w:after="0"/>
              <w:jc w:val="left"/>
              <w:rPr>
                <w:b w:val="0"/>
                <w:sz w:val="20"/>
                <w:szCs w:val="20"/>
              </w:rPr>
            </w:pPr>
            <w:r w:rsidRPr="00B9099F">
              <w:rPr>
                <w:b w:val="0"/>
                <w:sz w:val="20"/>
                <w:szCs w:val="20"/>
              </w:rPr>
              <w:t>28 (35%)</w:t>
            </w:r>
          </w:p>
          <w:p w14:paraId="7636E9F4" w14:textId="77777777" w:rsidR="00D470FA" w:rsidRDefault="00D470FA" w:rsidP="006A233D">
            <w:pPr>
              <w:pStyle w:val="GTCTitle"/>
              <w:spacing w:before="0" w:after="0"/>
              <w:jc w:val="left"/>
              <w:rPr>
                <w:b w:val="0"/>
                <w:sz w:val="20"/>
                <w:szCs w:val="20"/>
              </w:rPr>
            </w:pPr>
            <w:r>
              <w:rPr>
                <w:b w:val="0"/>
                <w:sz w:val="20"/>
                <w:szCs w:val="20"/>
              </w:rPr>
              <w:t>14 (18%)</w:t>
            </w:r>
          </w:p>
          <w:p w14:paraId="1FD0BBB7" w14:textId="77777777" w:rsidR="00D470FA" w:rsidRDefault="00D470FA" w:rsidP="006A233D">
            <w:pPr>
              <w:pStyle w:val="GTCTitle"/>
              <w:spacing w:before="0" w:after="0"/>
              <w:jc w:val="left"/>
              <w:rPr>
                <w:b w:val="0"/>
                <w:sz w:val="20"/>
                <w:szCs w:val="20"/>
              </w:rPr>
            </w:pPr>
          </w:p>
          <w:p w14:paraId="6C13F801" w14:textId="412C50B3" w:rsidR="00D470FA" w:rsidRPr="00B9099F" w:rsidRDefault="00D470FA" w:rsidP="006A233D">
            <w:pPr>
              <w:pStyle w:val="GTCTitle"/>
              <w:spacing w:before="0" w:after="0"/>
              <w:jc w:val="left"/>
              <w:rPr>
                <w:b w:val="0"/>
                <w:sz w:val="20"/>
                <w:szCs w:val="20"/>
              </w:rPr>
            </w:pPr>
            <w:r>
              <w:rPr>
                <w:b w:val="0"/>
                <w:sz w:val="20"/>
                <w:szCs w:val="20"/>
              </w:rPr>
              <w:t>6 (8%)</w:t>
            </w:r>
          </w:p>
        </w:tc>
        <w:tc>
          <w:tcPr>
            <w:tcW w:w="1440" w:type="dxa"/>
            <w:shd w:val="clear" w:color="auto" w:fill="auto"/>
          </w:tcPr>
          <w:p w14:paraId="6332BCFD" w14:textId="77777777" w:rsidR="00D470FA" w:rsidRDefault="00D470FA" w:rsidP="006A233D">
            <w:pPr>
              <w:pStyle w:val="GTCTitle"/>
              <w:spacing w:before="0" w:after="0"/>
              <w:jc w:val="left"/>
              <w:rPr>
                <w:b w:val="0"/>
                <w:sz w:val="20"/>
                <w:szCs w:val="20"/>
              </w:rPr>
            </w:pPr>
            <w:r w:rsidRPr="00B9099F">
              <w:rPr>
                <w:b w:val="0"/>
                <w:sz w:val="20"/>
                <w:szCs w:val="20"/>
              </w:rPr>
              <w:t>9 (22%)</w:t>
            </w:r>
          </w:p>
          <w:p w14:paraId="391CDC75" w14:textId="77777777" w:rsidR="00D470FA" w:rsidRDefault="00D470FA" w:rsidP="006A233D">
            <w:pPr>
              <w:pStyle w:val="GTCTitle"/>
              <w:spacing w:before="0" w:after="0"/>
              <w:jc w:val="left"/>
              <w:rPr>
                <w:b w:val="0"/>
                <w:sz w:val="20"/>
                <w:szCs w:val="20"/>
              </w:rPr>
            </w:pPr>
            <w:r>
              <w:rPr>
                <w:b w:val="0"/>
                <w:sz w:val="20"/>
                <w:szCs w:val="20"/>
              </w:rPr>
              <w:t>3 (7%)</w:t>
            </w:r>
          </w:p>
          <w:p w14:paraId="57220004" w14:textId="77777777" w:rsidR="00D470FA" w:rsidRDefault="00D470FA" w:rsidP="006A233D">
            <w:pPr>
              <w:pStyle w:val="GTCTitle"/>
              <w:spacing w:before="0" w:after="0"/>
              <w:jc w:val="left"/>
              <w:rPr>
                <w:b w:val="0"/>
                <w:sz w:val="20"/>
                <w:szCs w:val="20"/>
              </w:rPr>
            </w:pPr>
          </w:p>
          <w:p w14:paraId="551E3F17" w14:textId="60FAE4E0" w:rsidR="00D470FA" w:rsidRPr="00B9099F" w:rsidRDefault="00D470FA" w:rsidP="006A233D">
            <w:pPr>
              <w:pStyle w:val="GTCTitle"/>
              <w:spacing w:before="0" w:after="0"/>
              <w:jc w:val="left"/>
              <w:rPr>
                <w:b w:val="0"/>
                <w:sz w:val="20"/>
                <w:szCs w:val="20"/>
              </w:rPr>
            </w:pPr>
            <w:r>
              <w:rPr>
                <w:b w:val="0"/>
                <w:sz w:val="20"/>
                <w:szCs w:val="20"/>
              </w:rPr>
              <w:t>2 (5%)</w:t>
            </w:r>
          </w:p>
        </w:tc>
        <w:tc>
          <w:tcPr>
            <w:tcW w:w="1620" w:type="dxa"/>
            <w:shd w:val="clear" w:color="auto" w:fill="auto"/>
          </w:tcPr>
          <w:p w14:paraId="2679E4D9" w14:textId="77777777" w:rsidR="00D470FA" w:rsidRDefault="00D470FA" w:rsidP="006A233D">
            <w:pPr>
              <w:pStyle w:val="GTCTitle"/>
              <w:spacing w:before="0" w:after="0"/>
              <w:jc w:val="center"/>
              <w:rPr>
                <w:b w:val="0"/>
                <w:sz w:val="20"/>
                <w:szCs w:val="20"/>
              </w:rPr>
            </w:pPr>
            <w:r w:rsidRPr="00B9099F">
              <w:rPr>
                <w:b w:val="0"/>
                <w:sz w:val="20"/>
                <w:szCs w:val="20"/>
              </w:rPr>
              <w:t>Very Common</w:t>
            </w:r>
          </w:p>
          <w:p w14:paraId="04673199" w14:textId="14BD4D05" w:rsidR="00D470FA" w:rsidRPr="00B9099F" w:rsidRDefault="00D470FA" w:rsidP="006A233D">
            <w:pPr>
              <w:pStyle w:val="GTCTitle"/>
              <w:spacing w:before="0" w:after="0"/>
              <w:jc w:val="center"/>
              <w:rPr>
                <w:b w:val="0"/>
                <w:sz w:val="20"/>
                <w:szCs w:val="20"/>
              </w:rPr>
            </w:pPr>
            <w:r>
              <w:rPr>
                <w:b w:val="0"/>
                <w:sz w:val="20"/>
                <w:szCs w:val="20"/>
              </w:rPr>
              <w:t>Very Common</w:t>
            </w:r>
          </w:p>
        </w:tc>
        <w:tc>
          <w:tcPr>
            <w:tcW w:w="1530" w:type="dxa"/>
            <w:shd w:val="clear" w:color="auto" w:fill="auto"/>
          </w:tcPr>
          <w:p w14:paraId="3A66092D" w14:textId="77777777" w:rsidR="00D470FA" w:rsidRDefault="00D470FA" w:rsidP="006A233D">
            <w:pPr>
              <w:pStyle w:val="GTCTitle"/>
              <w:spacing w:before="0" w:after="0"/>
              <w:jc w:val="center"/>
              <w:rPr>
                <w:b w:val="0"/>
                <w:sz w:val="20"/>
                <w:szCs w:val="20"/>
              </w:rPr>
            </w:pPr>
          </w:p>
          <w:p w14:paraId="6167B7C8" w14:textId="77777777" w:rsidR="00D470FA" w:rsidRDefault="00D470FA" w:rsidP="006A233D">
            <w:pPr>
              <w:pStyle w:val="GTCTitle"/>
              <w:spacing w:before="0" w:after="0"/>
              <w:jc w:val="center"/>
              <w:rPr>
                <w:b w:val="0"/>
                <w:sz w:val="20"/>
                <w:szCs w:val="20"/>
              </w:rPr>
            </w:pPr>
          </w:p>
          <w:p w14:paraId="07F6EB63" w14:textId="77777777" w:rsidR="00D470FA" w:rsidRDefault="00D470FA" w:rsidP="006A233D">
            <w:pPr>
              <w:pStyle w:val="GTCTitle"/>
              <w:spacing w:before="0" w:after="0"/>
              <w:jc w:val="center"/>
              <w:rPr>
                <w:b w:val="0"/>
                <w:sz w:val="20"/>
                <w:szCs w:val="20"/>
              </w:rPr>
            </w:pPr>
          </w:p>
          <w:p w14:paraId="05E65EB4" w14:textId="252E3E66" w:rsidR="00D470FA" w:rsidRPr="00B9099F" w:rsidRDefault="00D470FA" w:rsidP="006A233D">
            <w:pPr>
              <w:pStyle w:val="GTCTitle"/>
              <w:spacing w:before="0" w:after="0"/>
              <w:jc w:val="center"/>
              <w:rPr>
                <w:b w:val="0"/>
                <w:sz w:val="20"/>
                <w:szCs w:val="20"/>
              </w:rPr>
            </w:pPr>
            <w:r>
              <w:rPr>
                <w:b w:val="0"/>
                <w:sz w:val="20"/>
                <w:szCs w:val="20"/>
              </w:rPr>
              <w:t>Common</w:t>
            </w:r>
          </w:p>
        </w:tc>
      </w:tr>
      <w:tr w:rsidR="00D470FA" w:rsidRPr="00B9099F" w14:paraId="46DD3C8A" w14:textId="7A4BE436" w:rsidTr="00D301CF">
        <w:tc>
          <w:tcPr>
            <w:tcW w:w="2639" w:type="dxa"/>
            <w:shd w:val="clear" w:color="auto" w:fill="auto"/>
          </w:tcPr>
          <w:p w14:paraId="3FE9E054" w14:textId="6FCCC678" w:rsidR="00D470FA" w:rsidRPr="00B9099F" w:rsidRDefault="00D470FA" w:rsidP="006A233D">
            <w:pPr>
              <w:pStyle w:val="GTCTitle"/>
              <w:spacing w:before="0" w:after="0"/>
              <w:jc w:val="left"/>
              <w:rPr>
                <w:b w:val="0"/>
                <w:sz w:val="20"/>
                <w:szCs w:val="20"/>
              </w:rPr>
            </w:pPr>
            <w:r>
              <w:rPr>
                <w:b w:val="0"/>
                <w:sz w:val="20"/>
                <w:szCs w:val="20"/>
              </w:rPr>
              <w:t>Rash</w:t>
            </w:r>
          </w:p>
        </w:tc>
        <w:tc>
          <w:tcPr>
            <w:tcW w:w="1350" w:type="dxa"/>
            <w:shd w:val="clear" w:color="auto" w:fill="auto"/>
          </w:tcPr>
          <w:p w14:paraId="0A4FBB4E" w14:textId="1DE6D0FF" w:rsidR="00D470FA" w:rsidRPr="00B9099F" w:rsidRDefault="00D470FA" w:rsidP="006A233D">
            <w:pPr>
              <w:pStyle w:val="GTCTitle"/>
              <w:spacing w:before="0" w:after="0"/>
              <w:jc w:val="left"/>
              <w:rPr>
                <w:b w:val="0"/>
                <w:sz w:val="20"/>
                <w:szCs w:val="20"/>
              </w:rPr>
            </w:pPr>
            <w:r>
              <w:rPr>
                <w:b w:val="0"/>
                <w:sz w:val="20"/>
                <w:szCs w:val="20"/>
              </w:rPr>
              <w:t>9 (11%)</w:t>
            </w:r>
          </w:p>
        </w:tc>
        <w:tc>
          <w:tcPr>
            <w:tcW w:w="1440" w:type="dxa"/>
            <w:shd w:val="clear" w:color="auto" w:fill="auto"/>
          </w:tcPr>
          <w:p w14:paraId="2FD14913" w14:textId="3AEC9397" w:rsidR="00D470FA" w:rsidRPr="00B9099F" w:rsidRDefault="00D470FA" w:rsidP="006A233D">
            <w:pPr>
              <w:pStyle w:val="GTCTitle"/>
              <w:spacing w:before="0" w:after="0"/>
              <w:jc w:val="left"/>
              <w:rPr>
                <w:b w:val="0"/>
                <w:sz w:val="20"/>
                <w:szCs w:val="20"/>
              </w:rPr>
            </w:pPr>
            <w:r>
              <w:rPr>
                <w:b w:val="0"/>
                <w:sz w:val="20"/>
                <w:szCs w:val="20"/>
              </w:rPr>
              <w:t>4 (10%)</w:t>
            </w:r>
          </w:p>
        </w:tc>
        <w:tc>
          <w:tcPr>
            <w:tcW w:w="1620" w:type="dxa"/>
            <w:shd w:val="clear" w:color="auto" w:fill="auto"/>
          </w:tcPr>
          <w:p w14:paraId="44C05C66" w14:textId="20E6D03D" w:rsidR="00D470FA" w:rsidRPr="00B9099F" w:rsidRDefault="00D470FA" w:rsidP="00D470FA">
            <w:pPr>
              <w:pStyle w:val="GTCTitle"/>
              <w:spacing w:before="0" w:after="0"/>
              <w:jc w:val="center"/>
              <w:rPr>
                <w:b w:val="0"/>
                <w:sz w:val="20"/>
                <w:szCs w:val="20"/>
              </w:rPr>
            </w:pPr>
            <w:r w:rsidRPr="00B9099F">
              <w:rPr>
                <w:b w:val="0"/>
                <w:sz w:val="20"/>
                <w:szCs w:val="20"/>
              </w:rPr>
              <w:t>Very Common</w:t>
            </w:r>
          </w:p>
        </w:tc>
        <w:tc>
          <w:tcPr>
            <w:tcW w:w="1530" w:type="dxa"/>
            <w:shd w:val="clear" w:color="auto" w:fill="auto"/>
          </w:tcPr>
          <w:p w14:paraId="22A59F4E" w14:textId="4D52BDE5" w:rsidR="00D470FA" w:rsidRPr="00B9099F" w:rsidRDefault="00D470FA" w:rsidP="006A233D">
            <w:pPr>
              <w:pStyle w:val="GTCTitle"/>
              <w:spacing w:before="0" w:after="0"/>
              <w:jc w:val="center"/>
              <w:rPr>
                <w:b w:val="0"/>
                <w:sz w:val="20"/>
                <w:szCs w:val="20"/>
              </w:rPr>
            </w:pPr>
          </w:p>
        </w:tc>
      </w:tr>
      <w:tr w:rsidR="00D470FA" w:rsidRPr="00B9099F" w14:paraId="3CD5874E" w14:textId="77777777" w:rsidTr="00D301CF">
        <w:tc>
          <w:tcPr>
            <w:tcW w:w="2639" w:type="dxa"/>
            <w:tcBorders>
              <w:bottom w:val="single" w:sz="8" w:space="0" w:color="auto"/>
            </w:tcBorders>
            <w:shd w:val="clear" w:color="auto" w:fill="auto"/>
          </w:tcPr>
          <w:p w14:paraId="1874EAC1" w14:textId="5FD32BEF" w:rsidR="00D470FA" w:rsidRDefault="00D470FA" w:rsidP="006A233D">
            <w:pPr>
              <w:pStyle w:val="GTCTitle"/>
              <w:spacing w:before="0" w:after="0"/>
              <w:jc w:val="left"/>
              <w:rPr>
                <w:b w:val="0"/>
                <w:sz w:val="20"/>
                <w:szCs w:val="20"/>
              </w:rPr>
            </w:pPr>
            <w:r>
              <w:rPr>
                <w:b w:val="0"/>
                <w:sz w:val="20"/>
                <w:szCs w:val="20"/>
              </w:rPr>
              <w:t>Weight gain poor</w:t>
            </w:r>
          </w:p>
        </w:tc>
        <w:tc>
          <w:tcPr>
            <w:tcW w:w="1350" w:type="dxa"/>
            <w:tcBorders>
              <w:bottom w:val="single" w:sz="8" w:space="0" w:color="auto"/>
            </w:tcBorders>
            <w:shd w:val="clear" w:color="auto" w:fill="auto"/>
          </w:tcPr>
          <w:p w14:paraId="585EB7FE" w14:textId="1107F4DE" w:rsidR="00D470FA" w:rsidRDefault="00D470FA" w:rsidP="006A233D">
            <w:pPr>
              <w:pStyle w:val="GTCTitle"/>
              <w:spacing w:before="0" w:after="0"/>
              <w:jc w:val="left"/>
              <w:rPr>
                <w:b w:val="0"/>
                <w:sz w:val="20"/>
                <w:szCs w:val="20"/>
              </w:rPr>
            </w:pPr>
            <w:r>
              <w:rPr>
                <w:b w:val="0"/>
                <w:sz w:val="20"/>
                <w:szCs w:val="20"/>
              </w:rPr>
              <w:t>5 (6%)</w:t>
            </w:r>
          </w:p>
        </w:tc>
        <w:tc>
          <w:tcPr>
            <w:tcW w:w="1440" w:type="dxa"/>
            <w:tcBorders>
              <w:bottom w:val="single" w:sz="8" w:space="0" w:color="auto"/>
            </w:tcBorders>
            <w:shd w:val="clear" w:color="auto" w:fill="auto"/>
          </w:tcPr>
          <w:p w14:paraId="44C568DC" w14:textId="6DD7E199" w:rsidR="00D470FA" w:rsidRDefault="00D470FA" w:rsidP="006A233D">
            <w:pPr>
              <w:pStyle w:val="GTCTitle"/>
              <w:spacing w:before="0" w:after="0"/>
              <w:jc w:val="left"/>
              <w:rPr>
                <w:b w:val="0"/>
                <w:sz w:val="20"/>
                <w:szCs w:val="20"/>
              </w:rPr>
            </w:pPr>
            <w:r>
              <w:rPr>
                <w:b w:val="0"/>
                <w:sz w:val="20"/>
                <w:szCs w:val="20"/>
              </w:rPr>
              <w:t>2 (5%)</w:t>
            </w:r>
          </w:p>
        </w:tc>
        <w:tc>
          <w:tcPr>
            <w:tcW w:w="1620" w:type="dxa"/>
            <w:tcBorders>
              <w:bottom w:val="single" w:sz="8" w:space="0" w:color="auto"/>
            </w:tcBorders>
            <w:shd w:val="clear" w:color="auto" w:fill="auto"/>
          </w:tcPr>
          <w:p w14:paraId="645494BD" w14:textId="77777777" w:rsidR="00D470FA" w:rsidRPr="00B9099F" w:rsidRDefault="00D470FA" w:rsidP="006A233D">
            <w:pPr>
              <w:pStyle w:val="GTCTitle"/>
              <w:spacing w:before="0" w:after="0"/>
              <w:jc w:val="center"/>
              <w:rPr>
                <w:b w:val="0"/>
                <w:sz w:val="20"/>
                <w:szCs w:val="20"/>
              </w:rPr>
            </w:pPr>
          </w:p>
        </w:tc>
        <w:tc>
          <w:tcPr>
            <w:tcW w:w="1530" w:type="dxa"/>
            <w:tcBorders>
              <w:bottom w:val="single" w:sz="8" w:space="0" w:color="auto"/>
            </w:tcBorders>
            <w:shd w:val="clear" w:color="auto" w:fill="auto"/>
          </w:tcPr>
          <w:p w14:paraId="1BDB082E" w14:textId="1C968934" w:rsidR="00D470FA" w:rsidRPr="00B9099F" w:rsidRDefault="00D470FA" w:rsidP="006A233D">
            <w:pPr>
              <w:pStyle w:val="GTCTitle"/>
              <w:spacing w:before="0" w:after="0"/>
              <w:jc w:val="center"/>
              <w:rPr>
                <w:b w:val="0"/>
                <w:sz w:val="20"/>
                <w:szCs w:val="20"/>
              </w:rPr>
            </w:pPr>
            <w:r>
              <w:rPr>
                <w:b w:val="0"/>
                <w:sz w:val="20"/>
                <w:szCs w:val="20"/>
              </w:rPr>
              <w:t>Common</w:t>
            </w:r>
          </w:p>
        </w:tc>
      </w:tr>
    </w:tbl>
    <w:p w14:paraId="306865BB" w14:textId="77777777" w:rsidR="00FB6927" w:rsidRPr="00B9099F" w:rsidRDefault="00FB6927" w:rsidP="00FB6927">
      <w:pPr>
        <w:rPr>
          <w:sz w:val="20"/>
          <w:szCs w:val="20"/>
        </w:rPr>
      </w:pPr>
      <w:r w:rsidRPr="00B9099F">
        <w:rPr>
          <w:sz w:val="20"/>
          <w:szCs w:val="20"/>
        </w:rPr>
        <w:t>^ Frequency category based upon SPINRAZA treated adverse event.</w:t>
      </w:r>
    </w:p>
    <w:p w14:paraId="469B5915" w14:textId="77777777" w:rsidR="00434D56" w:rsidRDefault="00E51F89" w:rsidP="000A1165">
      <w:pPr>
        <w:jc w:val="left"/>
        <w:rPr>
          <w:sz w:val="20"/>
          <w:szCs w:val="20"/>
        </w:rPr>
      </w:pPr>
      <w:r w:rsidRPr="00B9099F">
        <w:rPr>
          <w:sz w:val="20"/>
          <w:szCs w:val="20"/>
        </w:rPr>
        <w:t xml:space="preserve">*Adverse events which are verbally communicated, such as those which commonly occur in the setting of lumbar puncture </w:t>
      </w:r>
      <w:proofErr w:type="gramStart"/>
      <w:r w:rsidRPr="00B9099F">
        <w:rPr>
          <w:sz w:val="20"/>
          <w:szCs w:val="20"/>
        </w:rPr>
        <w:t>procedure,</w:t>
      </w:r>
      <w:proofErr w:type="gramEnd"/>
      <w:r w:rsidRPr="00B9099F">
        <w:rPr>
          <w:sz w:val="20"/>
          <w:szCs w:val="20"/>
        </w:rPr>
        <w:t xml:space="preserve"> could not be assessed due to the infantile patient population.</w:t>
      </w:r>
    </w:p>
    <w:p w14:paraId="01A94DD9" w14:textId="51CF7978" w:rsidR="000A1165" w:rsidRDefault="000A1165" w:rsidP="000A1165">
      <w:pPr>
        <w:jc w:val="left"/>
        <w:rPr>
          <w:b/>
          <w:bCs/>
          <w:szCs w:val="26"/>
        </w:rPr>
      </w:pPr>
    </w:p>
    <w:p w14:paraId="78B45876" w14:textId="4601BE7A" w:rsidR="00E51F89" w:rsidRPr="00B9099F" w:rsidRDefault="00D65835" w:rsidP="000A1165">
      <w:pPr>
        <w:pStyle w:val="Heading3"/>
      </w:pPr>
      <w:r w:rsidRPr="00B9099F">
        <w:t xml:space="preserve">Table </w:t>
      </w:r>
      <w:r w:rsidR="00B002C1">
        <w:t>5</w:t>
      </w:r>
      <w:r w:rsidR="00E51F89" w:rsidRPr="00B9099F">
        <w:t>: Ad</w:t>
      </w:r>
      <w:r w:rsidR="00C23BCD" w:rsidRPr="00B9099F">
        <w:t xml:space="preserve">verse </w:t>
      </w:r>
      <w:r w:rsidR="00D94EB0">
        <w:t>e</w:t>
      </w:r>
      <w:r w:rsidR="00C23BCD" w:rsidRPr="00B9099F">
        <w:t xml:space="preserve">vents </w:t>
      </w:r>
      <w:r w:rsidR="00D94EB0">
        <w:t>r</w:t>
      </w:r>
      <w:r w:rsidR="00C23BCD" w:rsidRPr="00B9099F">
        <w:t>eported in CS4</w:t>
      </w:r>
      <w:r w:rsidR="00E51F89" w:rsidRPr="00B9099F">
        <w:t xml:space="preserve"> with an </w:t>
      </w:r>
      <w:r w:rsidR="00D94EB0">
        <w:t>i</w:t>
      </w:r>
      <w:r w:rsidR="00E51F89" w:rsidRPr="00B9099F">
        <w:t xml:space="preserve">ncidence at least 5% </w:t>
      </w:r>
      <w:r w:rsidR="00D94EB0">
        <w:t>and is h</w:t>
      </w:r>
      <w:r w:rsidR="00E51F89" w:rsidRPr="00B9099F">
        <w:t xml:space="preserve">igher in </w:t>
      </w:r>
      <w:r w:rsidR="00D94EB0">
        <w:t>p</w:t>
      </w:r>
      <w:r w:rsidR="00E51F89" w:rsidRPr="00B9099F">
        <w:t xml:space="preserve">atients </w:t>
      </w:r>
      <w:r w:rsidR="00D94EB0">
        <w:t>t</w:t>
      </w:r>
      <w:r w:rsidR="00E51F89" w:rsidRPr="00B9099F">
        <w:t xml:space="preserve">reated with </w:t>
      </w:r>
      <w:r w:rsidR="00E51F89" w:rsidRPr="00CB1E7C">
        <w:rPr>
          <w:szCs w:val="24"/>
        </w:rPr>
        <w:t>SPINRAZA</w:t>
      </w:r>
      <w:r w:rsidR="00E51F89" w:rsidRPr="00B9099F">
        <w:t xml:space="preserve"> than Sham</w:t>
      </w:r>
      <w:r w:rsidR="00E51F89" w:rsidRPr="00B9099F">
        <w:noBreakHyphen/>
        <w:t>Control</w:t>
      </w:r>
    </w:p>
    <w:tbl>
      <w:tblPr>
        <w:tblW w:w="857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9"/>
        <w:gridCol w:w="1620"/>
        <w:gridCol w:w="1530"/>
        <w:gridCol w:w="1710"/>
        <w:gridCol w:w="1710"/>
      </w:tblGrid>
      <w:tr w:rsidR="00DD579A" w:rsidRPr="00B9099F" w14:paraId="3B3FC9BB" w14:textId="77777777" w:rsidTr="00125BF0">
        <w:tc>
          <w:tcPr>
            <w:tcW w:w="2009" w:type="dxa"/>
            <w:vMerge w:val="restart"/>
            <w:shd w:val="clear" w:color="auto" w:fill="auto"/>
          </w:tcPr>
          <w:p w14:paraId="15D16E83" w14:textId="77777777" w:rsidR="00DD579A" w:rsidRPr="00B9099F" w:rsidRDefault="00DD579A" w:rsidP="006A233D">
            <w:pPr>
              <w:pStyle w:val="GTCTitle"/>
              <w:keepNext/>
              <w:widowControl w:val="0"/>
              <w:spacing w:before="0" w:after="0"/>
              <w:jc w:val="left"/>
              <w:rPr>
                <w:b w:val="0"/>
                <w:sz w:val="20"/>
                <w:szCs w:val="20"/>
              </w:rPr>
            </w:pPr>
            <w:proofErr w:type="spellStart"/>
            <w:r w:rsidRPr="00B9099F">
              <w:rPr>
                <w:b w:val="0"/>
                <w:sz w:val="20"/>
                <w:szCs w:val="20"/>
              </w:rPr>
              <w:t>MedDRA</w:t>
            </w:r>
            <w:proofErr w:type="spellEnd"/>
            <w:r w:rsidRPr="00B9099F">
              <w:rPr>
                <w:b w:val="0"/>
                <w:sz w:val="20"/>
                <w:szCs w:val="20"/>
              </w:rPr>
              <w:t xml:space="preserve"> preferred term</w:t>
            </w:r>
          </w:p>
        </w:tc>
        <w:tc>
          <w:tcPr>
            <w:tcW w:w="1620" w:type="dxa"/>
            <w:vMerge w:val="restart"/>
            <w:shd w:val="clear" w:color="auto" w:fill="auto"/>
          </w:tcPr>
          <w:p w14:paraId="1E895F39" w14:textId="77777777" w:rsidR="00DD579A" w:rsidRPr="00B9099F" w:rsidRDefault="00DD579A" w:rsidP="006A233D">
            <w:pPr>
              <w:pStyle w:val="GTCTitle"/>
              <w:keepNext/>
              <w:widowControl w:val="0"/>
              <w:spacing w:before="0" w:after="0"/>
              <w:jc w:val="center"/>
              <w:rPr>
                <w:b w:val="0"/>
                <w:sz w:val="20"/>
                <w:szCs w:val="20"/>
              </w:rPr>
            </w:pPr>
            <w:r w:rsidRPr="00B9099F">
              <w:rPr>
                <w:b w:val="0"/>
                <w:sz w:val="20"/>
                <w:szCs w:val="20"/>
              </w:rPr>
              <w:t>SPINRAZA</w:t>
            </w:r>
          </w:p>
          <w:p w14:paraId="1716DA10" w14:textId="77777777" w:rsidR="00DD579A" w:rsidRPr="00B9099F" w:rsidRDefault="00DD579A" w:rsidP="006A233D">
            <w:pPr>
              <w:pStyle w:val="GTCTitle"/>
              <w:keepNext/>
              <w:widowControl w:val="0"/>
              <w:spacing w:before="0" w:after="0"/>
              <w:jc w:val="center"/>
              <w:rPr>
                <w:b w:val="0"/>
                <w:sz w:val="20"/>
                <w:szCs w:val="20"/>
              </w:rPr>
            </w:pPr>
            <w:r w:rsidRPr="00B9099F">
              <w:rPr>
                <w:b w:val="0"/>
                <w:sz w:val="20"/>
                <w:szCs w:val="20"/>
              </w:rPr>
              <w:t>n=84</w:t>
            </w:r>
          </w:p>
          <w:p w14:paraId="62B84ECF" w14:textId="77777777" w:rsidR="00DD579A" w:rsidRPr="00B9099F" w:rsidRDefault="00DD579A" w:rsidP="006A233D">
            <w:pPr>
              <w:pStyle w:val="GTCTitle"/>
              <w:keepNext/>
              <w:widowControl w:val="0"/>
              <w:spacing w:before="0" w:after="0"/>
              <w:jc w:val="center"/>
              <w:rPr>
                <w:b w:val="0"/>
                <w:sz w:val="20"/>
                <w:szCs w:val="20"/>
              </w:rPr>
            </w:pPr>
          </w:p>
        </w:tc>
        <w:tc>
          <w:tcPr>
            <w:tcW w:w="1530" w:type="dxa"/>
            <w:vMerge w:val="restart"/>
            <w:shd w:val="clear" w:color="auto" w:fill="auto"/>
          </w:tcPr>
          <w:p w14:paraId="53B4417A" w14:textId="77777777" w:rsidR="00DD579A" w:rsidRPr="00B9099F" w:rsidRDefault="00DD579A" w:rsidP="006A233D">
            <w:pPr>
              <w:pStyle w:val="GTCTitle"/>
              <w:keepNext/>
              <w:widowControl w:val="0"/>
              <w:spacing w:before="0" w:after="0"/>
              <w:jc w:val="center"/>
              <w:rPr>
                <w:b w:val="0"/>
                <w:sz w:val="20"/>
                <w:szCs w:val="20"/>
              </w:rPr>
            </w:pPr>
            <w:r w:rsidRPr="00B9099F">
              <w:rPr>
                <w:b w:val="0"/>
                <w:sz w:val="20"/>
                <w:szCs w:val="20"/>
              </w:rPr>
              <w:t>Sham</w:t>
            </w:r>
            <w:r w:rsidRPr="00B9099F">
              <w:rPr>
                <w:b w:val="0"/>
                <w:sz w:val="20"/>
                <w:szCs w:val="20"/>
              </w:rPr>
              <w:noBreakHyphen/>
              <w:t>control</w:t>
            </w:r>
          </w:p>
          <w:p w14:paraId="4540BCD6" w14:textId="77777777" w:rsidR="00DD579A" w:rsidRPr="00B9099F" w:rsidRDefault="00DD579A" w:rsidP="006A233D">
            <w:pPr>
              <w:pStyle w:val="GTCTitle"/>
              <w:keepNext/>
              <w:widowControl w:val="0"/>
              <w:spacing w:before="0" w:after="0"/>
              <w:jc w:val="center"/>
              <w:rPr>
                <w:b w:val="0"/>
                <w:sz w:val="20"/>
                <w:szCs w:val="20"/>
              </w:rPr>
            </w:pPr>
            <w:r w:rsidRPr="00B9099F">
              <w:rPr>
                <w:b w:val="0"/>
                <w:sz w:val="20"/>
                <w:szCs w:val="20"/>
              </w:rPr>
              <w:t>n=42</w:t>
            </w:r>
          </w:p>
          <w:p w14:paraId="5F993D93" w14:textId="77777777" w:rsidR="00DD579A" w:rsidRPr="00B9099F" w:rsidRDefault="00DD579A" w:rsidP="006A233D">
            <w:pPr>
              <w:pStyle w:val="GTCTitle"/>
              <w:keepNext/>
              <w:widowControl w:val="0"/>
              <w:spacing w:before="0" w:after="0"/>
              <w:jc w:val="center"/>
              <w:rPr>
                <w:b w:val="0"/>
                <w:sz w:val="20"/>
                <w:szCs w:val="20"/>
              </w:rPr>
            </w:pPr>
          </w:p>
        </w:tc>
        <w:tc>
          <w:tcPr>
            <w:tcW w:w="3420" w:type="dxa"/>
            <w:gridSpan w:val="2"/>
            <w:shd w:val="clear" w:color="auto" w:fill="auto"/>
          </w:tcPr>
          <w:p w14:paraId="14DC1675" w14:textId="77777777" w:rsidR="00DD579A" w:rsidRPr="00B9099F" w:rsidRDefault="00DD579A" w:rsidP="006A233D">
            <w:pPr>
              <w:pStyle w:val="GTCTitle"/>
              <w:keepNext/>
              <w:widowControl w:val="0"/>
              <w:spacing w:before="0" w:after="0"/>
              <w:jc w:val="center"/>
              <w:rPr>
                <w:b w:val="0"/>
                <w:sz w:val="20"/>
                <w:szCs w:val="20"/>
              </w:rPr>
            </w:pPr>
            <w:r w:rsidRPr="00B9099F">
              <w:rPr>
                <w:b w:val="0"/>
                <w:sz w:val="20"/>
                <w:szCs w:val="20"/>
              </w:rPr>
              <w:t>SPINRAZA Frequency Category</w:t>
            </w:r>
            <w:r w:rsidRPr="00B9099F">
              <w:rPr>
                <w:rFonts w:ascii="Times New Roman" w:hAnsi="Times New Roman" w:cs="Times New Roman"/>
                <w:b w:val="0"/>
                <w:sz w:val="20"/>
                <w:szCs w:val="20"/>
              </w:rPr>
              <w:t>^</w:t>
            </w:r>
          </w:p>
          <w:p w14:paraId="5A56491D" w14:textId="77777777" w:rsidR="00DD579A" w:rsidRPr="00B9099F" w:rsidRDefault="00DD579A" w:rsidP="006A233D">
            <w:pPr>
              <w:pStyle w:val="GTCTitle"/>
              <w:keepNext/>
              <w:widowControl w:val="0"/>
              <w:spacing w:before="0" w:after="0"/>
              <w:jc w:val="center"/>
              <w:rPr>
                <w:b w:val="0"/>
                <w:sz w:val="20"/>
                <w:szCs w:val="20"/>
              </w:rPr>
            </w:pPr>
            <w:r w:rsidRPr="00B9099F">
              <w:rPr>
                <w:b w:val="0"/>
                <w:sz w:val="20"/>
                <w:szCs w:val="20"/>
              </w:rPr>
              <w:t xml:space="preserve"> </w:t>
            </w:r>
          </w:p>
        </w:tc>
      </w:tr>
      <w:tr w:rsidR="00DD579A" w:rsidRPr="00B9099F" w14:paraId="0B968F08" w14:textId="77777777" w:rsidTr="00125BF0">
        <w:tc>
          <w:tcPr>
            <w:tcW w:w="2009" w:type="dxa"/>
            <w:vMerge/>
            <w:tcBorders>
              <w:bottom w:val="single" w:sz="8" w:space="0" w:color="auto"/>
            </w:tcBorders>
            <w:shd w:val="clear" w:color="auto" w:fill="auto"/>
          </w:tcPr>
          <w:p w14:paraId="1F40BE77" w14:textId="77777777" w:rsidR="00DD579A" w:rsidRPr="00B9099F" w:rsidRDefault="00DD579A" w:rsidP="006A233D">
            <w:pPr>
              <w:pStyle w:val="GTCTitle"/>
              <w:spacing w:before="0" w:after="0"/>
              <w:jc w:val="left"/>
              <w:rPr>
                <w:b w:val="0"/>
                <w:sz w:val="20"/>
                <w:szCs w:val="20"/>
              </w:rPr>
            </w:pPr>
          </w:p>
        </w:tc>
        <w:tc>
          <w:tcPr>
            <w:tcW w:w="1620" w:type="dxa"/>
            <w:vMerge/>
            <w:tcBorders>
              <w:bottom w:val="single" w:sz="8" w:space="0" w:color="auto"/>
            </w:tcBorders>
            <w:shd w:val="clear" w:color="auto" w:fill="auto"/>
          </w:tcPr>
          <w:p w14:paraId="11D79228" w14:textId="77777777" w:rsidR="00DD579A" w:rsidRPr="00B9099F" w:rsidRDefault="00DD579A" w:rsidP="006A233D">
            <w:pPr>
              <w:pStyle w:val="GTCTitle"/>
              <w:spacing w:before="0" w:after="0"/>
              <w:jc w:val="left"/>
              <w:rPr>
                <w:b w:val="0"/>
                <w:sz w:val="20"/>
                <w:szCs w:val="20"/>
              </w:rPr>
            </w:pPr>
          </w:p>
        </w:tc>
        <w:tc>
          <w:tcPr>
            <w:tcW w:w="1530" w:type="dxa"/>
            <w:vMerge/>
            <w:tcBorders>
              <w:bottom w:val="single" w:sz="8" w:space="0" w:color="auto"/>
            </w:tcBorders>
            <w:shd w:val="clear" w:color="auto" w:fill="auto"/>
          </w:tcPr>
          <w:p w14:paraId="160EC17B" w14:textId="77777777" w:rsidR="00DD579A" w:rsidRPr="00B9099F" w:rsidRDefault="00DD579A" w:rsidP="006A233D">
            <w:pPr>
              <w:pStyle w:val="GTCTitle"/>
              <w:spacing w:before="0" w:after="0"/>
              <w:jc w:val="left"/>
              <w:rPr>
                <w:b w:val="0"/>
                <w:sz w:val="20"/>
                <w:szCs w:val="20"/>
              </w:rPr>
            </w:pPr>
          </w:p>
        </w:tc>
        <w:tc>
          <w:tcPr>
            <w:tcW w:w="1710" w:type="dxa"/>
            <w:tcBorders>
              <w:bottom w:val="single" w:sz="8" w:space="0" w:color="auto"/>
            </w:tcBorders>
            <w:shd w:val="clear" w:color="auto" w:fill="auto"/>
          </w:tcPr>
          <w:p w14:paraId="4F2140F5" w14:textId="77777777" w:rsidR="00DD579A" w:rsidRPr="00B9099F" w:rsidRDefault="00DD579A" w:rsidP="006A233D">
            <w:pPr>
              <w:pStyle w:val="GTCTitle"/>
              <w:spacing w:before="0" w:after="0"/>
              <w:jc w:val="center"/>
              <w:rPr>
                <w:b w:val="0"/>
                <w:sz w:val="20"/>
                <w:szCs w:val="20"/>
              </w:rPr>
            </w:pPr>
            <w:r w:rsidRPr="00B9099F">
              <w:rPr>
                <w:b w:val="0"/>
                <w:sz w:val="20"/>
                <w:szCs w:val="20"/>
              </w:rPr>
              <w:t>Very Common</w:t>
            </w:r>
          </w:p>
          <w:p w14:paraId="49C5D676" w14:textId="77777777" w:rsidR="00DD579A" w:rsidRPr="00B9099F" w:rsidRDefault="00DD579A" w:rsidP="006A233D">
            <w:pPr>
              <w:pStyle w:val="GTCTitle"/>
              <w:spacing w:before="0" w:after="0"/>
              <w:jc w:val="center"/>
              <w:rPr>
                <w:b w:val="0"/>
                <w:sz w:val="20"/>
                <w:szCs w:val="20"/>
              </w:rPr>
            </w:pPr>
            <w:r w:rsidRPr="00B9099F">
              <w:rPr>
                <w:b w:val="0"/>
                <w:sz w:val="20"/>
                <w:szCs w:val="20"/>
              </w:rPr>
              <w:t>(≥1/10)</w:t>
            </w:r>
          </w:p>
        </w:tc>
        <w:tc>
          <w:tcPr>
            <w:tcW w:w="1710" w:type="dxa"/>
            <w:tcBorders>
              <w:bottom w:val="single" w:sz="8" w:space="0" w:color="auto"/>
            </w:tcBorders>
            <w:shd w:val="clear" w:color="auto" w:fill="auto"/>
          </w:tcPr>
          <w:p w14:paraId="45C15671" w14:textId="77777777" w:rsidR="00DD579A" w:rsidRPr="00B9099F" w:rsidRDefault="00DD579A" w:rsidP="006A233D">
            <w:pPr>
              <w:pStyle w:val="GTCTitle"/>
              <w:spacing w:before="0" w:after="0"/>
              <w:jc w:val="center"/>
              <w:rPr>
                <w:b w:val="0"/>
                <w:sz w:val="20"/>
                <w:szCs w:val="20"/>
              </w:rPr>
            </w:pPr>
            <w:r w:rsidRPr="00B9099F">
              <w:rPr>
                <w:b w:val="0"/>
                <w:sz w:val="20"/>
                <w:szCs w:val="20"/>
              </w:rPr>
              <w:t>Common</w:t>
            </w:r>
          </w:p>
          <w:p w14:paraId="251E0445" w14:textId="77777777" w:rsidR="00DD579A" w:rsidRPr="00B9099F" w:rsidRDefault="00DD579A" w:rsidP="006A233D">
            <w:pPr>
              <w:pStyle w:val="GTCTitle"/>
              <w:spacing w:before="0" w:after="0"/>
              <w:jc w:val="center"/>
              <w:rPr>
                <w:b w:val="0"/>
                <w:sz w:val="20"/>
                <w:szCs w:val="20"/>
              </w:rPr>
            </w:pPr>
            <w:r w:rsidRPr="00B9099F">
              <w:rPr>
                <w:b w:val="0"/>
                <w:sz w:val="20"/>
                <w:szCs w:val="20"/>
              </w:rPr>
              <w:t>(≥1/100 - &lt;1/10)</w:t>
            </w:r>
          </w:p>
        </w:tc>
      </w:tr>
      <w:tr w:rsidR="00DD579A" w:rsidRPr="00B9099F" w14:paraId="755B40B1" w14:textId="77777777" w:rsidTr="00125BF0">
        <w:tc>
          <w:tcPr>
            <w:tcW w:w="2009" w:type="dxa"/>
            <w:tcBorders>
              <w:bottom w:val="single" w:sz="8" w:space="0" w:color="auto"/>
            </w:tcBorders>
            <w:shd w:val="clear" w:color="auto" w:fill="auto"/>
          </w:tcPr>
          <w:p w14:paraId="572B8568" w14:textId="77777777" w:rsidR="00DD579A" w:rsidRDefault="00DD579A" w:rsidP="00FB6927">
            <w:pPr>
              <w:pStyle w:val="GTCTitle"/>
              <w:spacing w:before="0" w:after="0"/>
              <w:jc w:val="left"/>
              <w:rPr>
                <w:b w:val="0"/>
                <w:sz w:val="20"/>
                <w:szCs w:val="20"/>
              </w:rPr>
            </w:pPr>
            <w:r>
              <w:rPr>
                <w:b w:val="0"/>
                <w:sz w:val="20"/>
                <w:szCs w:val="20"/>
              </w:rPr>
              <w:t>Influenza</w:t>
            </w:r>
          </w:p>
          <w:p w14:paraId="5D3C32DB" w14:textId="67B97E57" w:rsidR="00DD579A" w:rsidRPr="00B9099F" w:rsidRDefault="00DD579A" w:rsidP="00FB6927">
            <w:pPr>
              <w:pStyle w:val="GTCTitle"/>
              <w:spacing w:before="0" w:after="0"/>
              <w:jc w:val="left"/>
              <w:rPr>
                <w:b w:val="0"/>
                <w:sz w:val="20"/>
                <w:szCs w:val="20"/>
              </w:rPr>
            </w:pPr>
            <w:r>
              <w:rPr>
                <w:b w:val="0"/>
                <w:sz w:val="20"/>
                <w:szCs w:val="20"/>
              </w:rPr>
              <w:t>Conjunctivitis</w:t>
            </w:r>
          </w:p>
        </w:tc>
        <w:tc>
          <w:tcPr>
            <w:tcW w:w="1620" w:type="dxa"/>
            <w:tcBorders>
              <w:bottom w:val="single" w:sz="8" w:space="0" w:color="auto"/>
            </w:tcBorders>
            <w:shd w:val="clear" w:color="auto" w:fill="auto"/>
          </w:tcPr>
          <w:p w14:paraId="106D9D4C" w14:textId="77777777" w:rsidR="00DD579A" w:rsidRDefault="00DD579A" w:rsidP="004F1D0D">
            <w:pPr>
              <w:pStyle w:val="GTCTitle"/>
              <w:spacing w:before="0" w:after="0"/>
              <w:jc w:val="left"/>
              <w:rPr>
                <w:b w:val="0"/>
                <w:sz w:val="20"/>
                <w:szCs w:val="20"/>
              </w:rPr>
            </w:pPr>
            <w:r>
              <w:rPr>
                <w:b w:val="0"/>
                <w:sz w:val="20"/>
                <w:szCs w:val="20"/>
              </w:rPr>
              <w:t>8 (10%)</w:t>
            </w:r>
          </w:p>
          <w:p w14:paraId="6977E86D" w14:textId="1DBC86D1" w:rsidR="00DD579A" w:rsidRPr="00B9099F" w:rsidRDefault="00DD579A" w:rsidP="00D869AB">
            <w:pPr>
              <w:pStyle w:val="GTCTitle"/>
              <w:spacing w:before="0" w:after="0"/>
              <w:jc w:val="left"/>
              <w:rPr>
                <w:b w:val="0"/>
                <w:sz w:val="20"/>
                <w:szCs w:val="20"/>
              </w:rPr>
            </w:pPr>
            <w:r>
              <w:rPr>
                <w:b w:val="0"/>
                <w:sz w:val="20"/>
                <w:szCs w:val="20"/>
              </w:rPr>
              <w:t>6 (7%)</w:t>
            </w:r>
          </w:p>
        </w:tc>
        <w:tc>
          <w:tcPr>
            <w:tcW w:w="1530" w:type="dxa"/>
            <w:tcBorders>
              <w:bottom w:val="single" w:sz="8" w:space="0" w:color="auto"/>
            </w:tcBorders>
            <w:shd w:val="clear" w:color="auto" w:fill="auto"/>
          </w:tcPr>
          <w:p w14:paraId="5E119672" w14:textId="77777777" w:rsidR="00DD579A" w:rsidRDefault="00DD579A" w:rsidP="00D869AB">
            <w:pPr>
              <w:pStyle w:val="GTCTitle"/>
              <w:spacing w:before="0" w:after="0"/>
              <w:jc w:val="left"/>
              <w:rPr>
                <w:b w:val="0"/>
                <w:sz w:val="20"/>
                <w:szCs w:val="20"/>
              </w:rPr>
            </w:pPr>
            <w:r>
              <w:rPr>
                <w:b w:val="0"/>
                <w:sz w:val="20"/>
                <w:szCs w:val="20"/>
              </w:rPr>
              <w:t>3 (7%)</w:t>
            </w:r>
          </w:p>
          <w:p w14:paraId="381C9AE1" w14:textId="60670B77" w:rsidR="00DD579A" w:rsidRPr="00B9099F" w:rsidRDefault="00DD579A" w:rsidP="00D869AB">
            <w:pPr>
              <w:pStyle w:val="GTCTitle"/>
              <w:spacing w:before="0" w:after="0"/>
              <w:jc w:val="left"/>
              <w:rPr>
                <w:b w:val="0"/>
                <w:sz w:val="20"/>
                <w:szCs w:val="20"/>
              </w:rPr>
            </w:pPr>
            <w:r>
              <w:rPr>
                <w:b w:val="0"/>
                <w:sz w:val="20"/>
                <w:szCs w:val="20"/>
              </w:rPr>
              <w:t>2 (5%)</w:t>
            </w:r>
          </w:p>
        </w:tc>
        <w:tc>
          <w:tcPr>
            <w:tcW w:w="1710" w:type="dxa"/>
            <w:tcBorders>
              <w:bottom w:val="single" w:sz="8" w:space="0" w:color="auto"/>
            </w:tcBorders>
            <w:shd w:val="clear" w:color="auto" w:fill="auto"/>
          </w:tcPr>
          <w:p w14:paraId="3C6E7830" w14:textId="10659DF5" w:rsidR="00DD579A" w:rsidRPr="00B9099F" w:rsidRDefault="00DD579A" w:rsidP="00125BF0">
            <w:pPr>
              <w:pStyle w:val="GTCTitle"/>
              <w:spacing w:before="0" w:after="0"/>
              <w:jc w:val="center"/>
              <w:rPr>
                <w:b w:val="0"/>
                <w:sz w:val="20"/>
                <w:szCs w:val="20"/>
              </w:rPr>
            </w:pPr>
            <w:r>
              <w:rPr>
                <w:b w:val="0"/>
                <w:sz w:val="20"/>
                <w:szCs w:val="20"/>
              </w:rPr>
              <w:t>Very Common</w:t>
            </w:r>
          </w:p>
        </w:tc>
        <w:tc>
          <w:tcPr>
            <w:tcW w:w="1710" w:type="dxa"/>
            <w:tcBorders>
              <w:bottom w:val="single" w:sz="8" w:space="0" w:color="auto"/>
            </w:tcBorders>
            <w:shd w:val="clear" w:color="auto" w:fill="auto"/>
          </w:tcPr>
          <w:p w14:paraId="37190C76" w14:textId="77777777" w:rsidR="00DD579A" w:rsidRDefault="00DD579A" w:rsidP="00125BF0">
            <w:pPr>
              <w:pStyle w:val="GTCTitle"/>
              <w:spacing w:before="0" w:after="0"/>
              <w:jc w:val="center"/>
              <w:rPr>
                <w:b w:val="0"/>
                <w:sz w:val="20"/>
                <w:szCs w:val="20"/>
              </w:rPr>
            </w:pPr>
          </w:p>
          <w:p w14:paraId="7505AA18" w14:textId="136CDC31" w:rsidR="00DD579A" w:rsidRPr="00B9099F" w:rsidRDefault="00DD579A" w:rsidP="00125BF0">
            <w:pPr>
              <w:pStyle w:val="GTCTitle"/>
              <w:spacing w:before="0" w:after="0"/>
              <w:jc w:val="center"/>
              <w:rPr>
                <w:b w:val="0"/>
                <w:sz w:val="20"/>
                <w:szCs w:val="20"/>
              </w:rPr>
            </w:pPr>
            <w:r>
              <w:rPr>
                <w:b w:val="0"/>
                <w:sz w:val="20"/>
                <w:szCs w:val="20"/>
              </w:rPr>
              <w:t>Common</w:t>
            </w:r>
          </w:p>
        </w:tc>
      </w:tr>
      <w:tr w:rsidR="00DD579A" w:rsidRPr="00B9099F" w14:paraId="4853CEA2" w14:textId="77777777" w:rsidTr="00125BF0">
        <w:tc>
          <w:tcPr>
            <w:tcW w:w="2009" w:type="dxa"/>
            <w:tcBorders>
              <w:bottom w:val="single" w:sz="8" w:space="0" w:color="auto"/>
            </w:tcBorders>
            <w:shd w:val="clear" w:color="auto" w:fill="auto"/>
          </w:tcPr>
          <w:p w14:paraId="6FA286F4" w14:textId="77777777" w:rsidR="00DD579A" w:rsidRPr="00B9099F" w:rsidRDefault="00DD579A" w:rsidP="00FB6927">
            <w:pPr>
              <w:pStyle w:val="GTCTitle"/>
              <w:spacing w:before="0" w:after="0"/>
              <w:jc w:val="left"/>
              <w:rPr>
                <w:b w:val="0"/>
                <w:sz w:val="20"/>
                <w:szCs w:val="20"/>
              </w:rPr>
            </w:pPr>
            <w:r w:rsidRPr="00B9099F">
              <w:rPr>
                <w:b w:val="0"/>
                <w:sz w:val="20"/>
                <w:szCs w:val="20"/>
              </w:rPr>
              <w:t>Pyrexia</w:t>
            </w:r>
          </w:p>
        </w:tc>
        <w:tc>
          <w:tcPr>
            <w:tcW w:w="1620" w:type="dxa"/>
            <w:tcBorders>
              <w:bottom w:val="single" w:sz="8" w:space="0" w:color="auto"/>
            </w:tcBorders>
            <w:shd w:val="clear" w:color="auto" w:fill="auto"/>
          </w:tcPr>
          <w:p w14:paraId="492038EC" w14:textId="77777777" w:rsidR="00DD579A" w:rsidRPr="00B9099F" w:rsidDel="003D7BF6" w:rsidRDefault="00DD579A" w:rsidP="004F1D0D">
            <w:pPr>
              <w:pStyle w:val="GTCTitle"/>
              <w:spacing w:before="0" w:after="0"/>
              <w:jc w:val="left"/>
              <w:rPr>
                <w:b w:val="0"/>
                <w:sz w:val="20"/>
                <w:szCs w:val="20"/>
              </w:rPr>
            </w:pPr>
            <w:r w:rsidRPr="00B9099F">
              <w:rPr>
                <w:b w:val="0"/>
                <w:sz w:val="20"/>
                <w:szCs w:val="20"/>
              </w:rPr>
              <w:t>36 (43%)</w:t>
            </w:r>
          </w:p>
        </w:tc>
        <w:tc>
          <w:tcPr>
            <w:tcW w:w="1530" w:type="dxa"/>
            <w:tcBorders>
              <w:bottom w:val="single" w:sz="8" w:space="0" w:color="auto"/>
            </w:tcBorders>
            <w:shd w:val="clear" w:color="auto" w:fill="auto"/>
          </w:tcPr>
          <w:p w14:paraId="7434A05B" w14:textId="77777777" w:rsidR="00DD579A" w:rsidRPr="00B9099F" w:rsidRDefault="00DD579A" w:rsidP="00D869AB">
            <w:pPr>
              <w:pStyle w:val="GTCTitle"/>
              <w:spacing w:before="0" w:after="0"/>
              <w:jc w:val="left"/>
              <w:rPr>
                <w:b w:val="0"/>
                <w:sz w:val="20"/>
                <w:szCs w:val="20"/>
              </w:rPr>
            </w:pPr>
            <w:r w:rsidRPr="00B9099F">
              <w:rPr>
                <w:b w:val="0"/>
                <w:sz w:val="20"/>
                <w:szCs w:val="20"/>
              </w:rPr>
              <w:t>15 (36%)</w:t>
            </w:r>
          </w:p>
        </w:tc>
        <w:tc>
          <w:tcPr>
            <w:tcW w:w="1710" w:type="dxa"/>
            <w:tcBorders>
              <w:bottom w:val="single" w:sz="8" w:space="0" w:color="auto"/>
            </w:tcBorders>
            <w:shd w:val="clear" w:color="auto" w:fill="auto"/>
          </w:tcPr>
          <w:p w14:paraId="21F8AF1B" w14:textId="77777777" w:rsidR="00DD579A" w:rsidRPr="00B9099F" w:rsidRDefault="00DD579A" w:rsidP="00125BF0">
            <w:pPr>
              <w:pStyle w:val="GTCTitle"/>
              <w:spacing w:before="0" w:after="0"/>
              <w:jc w:val="center"/>
              <w:rPr>
                <w:b w:val="0"/>
                <w:sz w:val="20"/>
                <w:szCs w:val="20"/>
              </w:rPr>
            </w:pPr>
            <w:r w:rsidRPr="00B9099F">
              <w:rPr>
                <w:b w:val="0"/>
                <w:sz w:val="20"/>
                <w:szCs w:val="20"/>
              </w:rPr>
              <w:t>Very Common</w:t>
            </w:r>
          </w:p>
        </w:tc>
        <w:tc>
          <w:tcPr>
            <w:tcW w:w="1710" w:type="dxa"/>
            <w:tcBorders>
              <w:bottom w:val="single" w:sz="8" w:space="0" w:color="auto"/>
            </w:tcBorders>
            <w:shd w:val="clear" w:color="auto" w:fill="auto"/>
          </w:tcPr>
          <w:p w14:paraId="5C6275F3" w14:textId="77777777" w:rsidR="00DD579A" w:rsidRPr="00B9099F" w:rsidRDefault="00DD579A" w:rsidP="00125BF0">
            <w:pPr>
              <w:pStyle w:val="GTCTitle"/>
              <w:spacing w:before="0" w:after="0"/>
              <w:jc w:val="center"/>
              <w:rPr>
                <w:b w:val="0"/>
                <w:sz w:val="20"/>
                <w:szCs w:val="20"/>
              </w:rPr>
            </w:pPr>
          </w:p>
        </w:tc>
      </w:tr>
      <w:tr w:rsidR="00DD579A" w:rsidRPr="00B9099F" w14:paraId="588F0C9D" w14:textId="77777777" w:rsidTr="00125BF0">
        <w:tc>
          <w:tcPr>
            <w:tcW w:w="2009" w:type="dxa"/>
            <w:tcBorders>
              <w:bottom w:val="single" w:sz="8" w:space="0" w:color="auto"/>
            </w:tcBorders>
            <w:shd w:val="clear" w:color="auto" w:fill="auto"/>
          </w:tcPr>
          <w:p w14:paraId="34654EF0" w14:textId="77777777" w:rsidR="00DD579A" w:rsidRPr="00B9099F" w:rsidRDefault="00DD579A" w:rsidP="006A233D">
            <w:pPr>
              <w:pStyle w:val="GTCTitle"/>
              <w:spacing w:before="0" w:after="0"/>
              <w:jc w:val="left"/>
              <w:rPr>
                <w:b w:val="0"/>
                <w:sz w:val="20"/>
                <w:szCs w:val="20"/>
              </w:rPr>
            </w:pPr>
            <w:r w:rsidRPr="00B9099F">
              <w:rPr>
                <w:b w:val="0"/>
                <w:sz w:val="20"/>
                <w:szCs w:val="20"/>
              </w:rPr>
              <w:t>Headache*</w:t>
            </w:r>
          </w:p>
        </w:tc>
        <w:tc>
          <w:tcPr>
            <w:tcW w:w="1620" w:type="dxa"/>
            <w:tcBorders>
              <w:bottom w:val="single" w:sz="8" w:space="0" w:color="auto"/>
            </w:tcBorders>
            <w:shd w:val="clear" w:color="auto" w:fill="auto"/>
          </w:tcPr>
          <w:p w14:paraId="2D92260E" w14:textId="77777777" w:rsidR="00DD579A" w:rsidRPr="00B9099F" w:rsidRDefault="00DD579A" w:rsidP="00125BF0">
            <w:pPr>
              <w:pStyle w:val="GTCTitle"/>
              <w:spacing w:before="0" w:after="0"/>
              <w:jc w:val="left"/>
              <w:rPr>
                <w:b w:val="0"/>
                <w:sz w:val="20"/>
                <w:szCs w:val="20"/>
              </w:rPr>
            </w:pPr>
            <w:r w:rsidRPr="00B9099F">
              <w:rPr>
                <w:b w:val="0"/>
                <w:sz w:val="20"/>
                <w:szCs w:val="20"/>
              </w:rPr>
              <w:t>24 (29%)</w:t>
            </w:r>
          </w:p>
        </w:tc>
        <w:tc>
          <w:tcPr>
            <w:tcW w:w="1530" w:type="dxa"/>
            <w:tcBorders>
              <w:bottom w:val="single" w:sz="8" w:space="0" w:color="auto"/>
            </w:tcBorders>
            <w:shd w:val="clear" w:color="auto" w:fill="auto"/>
          </w:tcPr>
          <w:p w14:paraId="5ACAAAE5" w14:textId="77777777" w:rsidR="00DD579A" w:rsidRPr="00B9099F" w:rsidRDefault="00DD579A" w:rsidP="00125BF0">
            <w:pPr>
              <w:pStyle w:val="GTCTitle"/>
              <w:spacing w:before="0" w:after="0"/>
              <w:jc w:val="left"/>
              <w:rPr>
                <w:b w:val="0"/>
                <w:sz w:val="20"/>
                <w:szCs w:val="20"/>
              </w:rPr>
            </w:pPr>
            <w:r w:rsidRPr="00B9099F">
              <w:rPr>
                <w:b w:val="0"/>
                <w:sz w:val="20"/>
                <w:szCs w:val="20"/>
              </w:rPr>
              <w:t>3 (7%)</w:t>
            </w:r>
          </w:p>
        </w:tc>
        <w:tc>
          <w:tcPr>
            <w:tcW w:w="1710" w:type="dxa"/>
            <w:tcBorders>
              <w:bottom w:val="single" w:sz="8" w:space="0" w:color="auto"/>
            </w:tcBorders>
            <w:shd w:val="clear" w:color="auto" w:fill="auto"/>
          </w:tcPr>
          <w:p w14:paraId="2C0AFBCB" w14:textId="77777777" w:rsidR="00DD579A" w:rsidRPr="00B9099F" w:rsidRDefault="00DD579A" w:rsidP="004F1D0D">
            <w:pPr>
              <w:pStyle w:val="GTCTitle"/>
              <w:spacing w:before="0" w:after="0"/>
              <w:jc w:val="center"/>
              <w:rPr>
                <w:b w:val="0"/>
                <w:sz w:val="20"/>
                <w:szCs w:val="20"/>
              </w:rPr>
            </w:pPr>
            <w:r w:rsidRPr="00B9099F">
              <w:rPr>
                <w:b w:val="0"/>
                <w:sz w:val="20"/>
                <w:szCs w:val="20"/>
              </w:rPr>
              <w:t>Very Common</w:t>
            </w:r>
          </w:p>
        </w:tc>
        <w:tc>
          <w:tcPr>
            <w:tcW w:w="1710" w:type="dxa"/>
            <w:tcBorders>
              <w:bottom w:val="single" w:sz="8" w:space="0" w:color="auto"/>
            </w:tcBorders>
            <w:shd w:val="clear" w:color="auto" w:fill="auto"/>
          </w:tcPr>
          <w:p w14:paraId="3C6A641A" w14:textId="77777777" w:rsidR="00DD579A" w:rsidRPr="00B9099F" w:rsidRDefault="00DD579A" w:rsidP="00D869AB">
            <w:pPr>
              <w:pStyle w:val="GTCTitle"/>
              <w:spacing w:before="0" w:after="0"/>
              <w:jc w:val="center"/>
              <w:rPr>
                <w:b w:val="0"/>
                <w:sz w:val="20"/>
                <w:szCs w:val="20"/>
              </w:rPr>
            </w:pPr>
          </w:p>
        </w:tc>
      </w:tr>
      <w:tr w:rsidR="00DD579A" w:rsidRPr="00B9099F" w14:paraId="5E42DF9C" w14:textId="77777777" w:rsidTr="00125BF0">
        <w:tc>
          <w:tcPr>
            <w:tcW w:w="2009" w:type="dxa"/>
            <w:shd w:val="clear" w:color="auto" w:fill="auto"/>
          </w:tcPr>
          <w:p w14:paraId="3EFBABF9" w14:textId="77777777" w:rsidR="00DD579A" w:rsidRDefault="00DD579A" w:rsidP="006A233D">
            <w:pPr>
              <w:pStyle w:val="GTCTitle"/>
              <w:spacing w:before="0" w:after="0"/>
              <w:jc w:val="left"/>
              <w:rPr>
                <w:b w:val="0"/>
                <w:sz w:val="20"/>
                <w:szCs w:val="20"/>
              </w:rPr>
            </w:pPr>
            <w:r w:rsidRPr="00B9099F">
              <w:rPr>
                <w:b w:val="0"/>
                <w:sz w:val="20"/>
                <w:szCs w:val="20"/>
              </w:rPr>
              <w:t>Vomiting*</w:t>
            </w:r>
          </w:p>
          <w:p w14:paraId="03ACC1FC" w14:textId="4731BE7E" w:rsidR="00DD579A" w:rsidRPr="00B9099F" w:rsidRDefault="00DD579A" w:rsidP="006A233D">
            <w:pPr>
              <w:pStyle w:val="GTCTitle"/>
              <w:spacing w:before="0" w:after="0"/>
              <w:jc w:val="left"/>
              <w:rPr>
                <w:b w:val="0"/>
                <w:sz w:val="20"/>
                <w:szCs w:val="20"/>
              </w:rPr>
            </w:pPr>
            <w:r>
              <w:rPr>
                <w:b w:val="0"/>
                <w:sz w:val="20"/>
                <w:szCs w:val="20"/>
              </w:rPr>
              <w:t>Diarrhoea</w:t>
            </w:r>
          </w:p>
        </w:tc>
        <w:tc>
          <w:tcPr>
            <w:tcW w:w="1620" w:type="dxa"/>
            <w:shd w:val="clear" w:color="auto" w:fill="auto"/>
          </w:tcPr>
          <w:p w14:paraId="66A4A126" w14:textId="77777777" w:rsidR="00DD579A" w:rsidRDefault="00DD579A" w:rsidP="00125BF0">
            <w:pPr>
              <w:pStyle w:val="GTCTitle"/>
              <w:spacing w:before="0" w:after="0"/>
              <w:jc w:val="left"/>
              <w:rPr>
                <w:b w:val="0"/>
                <w:sz w:val="20"/>
                <w:szCs w:val="20"/>
              </w:rPr>
            </w:pPr>
            <w:r w:rsidRPr="00B9099F">
              <w:rPr>
                <w:b w:val="0"/>
                <w:sz w:val="20"/>
                <w:szCs w:val="20"/>
              </w:rPr>
              <w:t>24 (29%)</w:t>
            </w:r>
          </w:p>
          <w:p w14:paraId="159AA376" w14:textId="7B7F594C" w:rsidR="00DD579A" w:rsidRPr="00B9099F" w:rsidRDefault="00DD579A" w:rsidP="00125BF0">
            <w:pPr>
              <w:pStyle w:val="GTCTitle"/>
              <w:spacing w:before="0" w:after="0"/>
              <w:jc w:val="left"/>
              <w:rPr>
                <w:b w:val="0"/>
                <w:sz w:val="20"/>
                <w:szCs w:val="20"/>
              </w:rPr>
            </w:pPr>
            <w:r>
              <w:rPr>
                <w:b w:val="0"/>
                <w:sz w:val="20"/>
                <w:szCs w:val="20"/>
              </w:rPr>
              <w:t>8 (10%)</w:t>
            </w:r>
          </w:p>
        </w:tc>
        <w:tc>
          <w:tcPr>
            <w:tcW w:w="1530" w:type="dxa"/>
            <w:shd w:val="clear" w:color="auto" w:fill="auto"/>
          </w:tcPr>
          <w:p w14:paraId="333BB6BF" w14:textId="77777777" w:rsidR="00DD579A" w:rsidRDefault="00DD579A" w:rsidP="00125BF0">
            <w:pPr>
              <w:pStyle w:val="GTCTitle"/>
              <w:spacing w:before="0" w:after="0"/>
              <w:jc w:val="left"/>
              <w:rPr>
                <w:b w:val="0"/>
                <w:sz w:val="20"/>
                <w:szCs w:val="20"/>
              </w:rPr>
            </w:pPr>
            <w:r w:rsidRPr="00B9099F">
              <w:rPr>
                <w:b w:val="0"/>
                <w:sz w:val="20"/>
                <w:szCs w:val="20"/>
              </w:rPr>
              <w:t>5 (12%)</w:t>
            </w:r>
          </w:p>
          <w:p w14:paraId="687DA135" w14:textId="64084BD6" w:rsidR="00DD579A" w:rsidRPr="00B9099F" w:rsidRDefault="00DD579A" w:rsidP="00125BF0">
            <w:pPr>
              <w:pStyle w:val="GTCTitle"/>
              <w:spacing w:before="0" w:after="0"/>
              <w:jc w:val="left"/>
              <w:rPr>
                <w:b w:val="0"/>
                <w:sz w:val="20"/>
                <w:szCs w:val="20"/>
              </w:rPr>
            </w:pPr>
            <w:r>
              <w:rPr>
                <w:b w:val="0"/>
                <w:sz w:val="20"/>
                <w:szCs w:val="20"/>
              </w:rPr>
              <w:t>3 (7%)</w:t>
            </w:r>
          </w:p>
        </w:tc>
        <w:tc>
          <w:tcPr>
            <w:tcW w:w="1710" w:type="dxa"/>
            <w:shd w:val="clear" w:color="auto" w:fill="auto"/>
          </w:tcPr>
          <w:p w14:paraId="369E6910" w14:textId="22605952" w:rsidR="00DD579A" w:rsidRPr="00B9099F" w:rsidRDefault="00DD579A" w:rsidP="004F1D0D">
            <w:pPr>
              <w:pStyle w:val="GTCTitle"/>
              <w:spacing w:before="0" w:after="0"/>
              <w:jc w:val="center"/>
              <w:rPr>
                <w:b w:val="0"/>
                <w:sz w:val="20"/>
                <w:szCs w:val="20"/>
              </w:rPr>
            </w:pPr>
            <w:r w:rsidRPr="00B9099F">
              <w:rPr>
                <w:b w:val="0"/>
                <w:sz w:val="20"/>
                <w:szCs w:val="20"/>
              </w:rPr>
              <w:t>Very Common</w:t>
            </w:r>
          </w:p>
        </w:tc>
        <w:tc>
          <w:tcPr>
            <w:tcW w:w="1710" w:type="dxa"/>
            <w:shd w:val="clear" w:color="auto" w:fill="auto"/>
          </w:tcPr>
          <w:p w14:paraId="75F2869A" w14:textId="77777777" w:rsidR="00DD579A" w:rsidRDefault="00DD579A" w:rsidP="00D869AB">
            <w:pPr>
              <w:pStyle w:val="GTCTitle"/>
              <w:spacing w:before="0" w:after="0"/>
              <w:jc w:val="center"/>
              <w:rPr>
                <w:b w:val="0"/>
                <w:sz w:val="20"/>
                <w:szCs w:val="20"/>
              </w:rPr>
            </w:pPr>
          </w:p>
          <w:p w14:paraId="7631597C" w14:textId="23615F22" w:rsidR="00DD579A" w:rsidRPr="00B9099F" w:rsidRDefault="00DD579A" w:rsidP="00D869AB">
            <w:pPr>
              <w:pStyle w:val="GTCTitle"/>
              <w:spacing w:before="0" w:after="0"/>
              <w:jc w:val="center"/>
              <w:rPr>
                <w:b w:val="0"/>
                <w:sz w:val="20"/>
                <w:szCs w:val="20"/>
              </w:rPr>
            </w:pPr>
            <w:r>
              <w:rPr>
                <w:b w:val="0"/>
                <w:sz w:val="20"/>
                <w:szCs w:val="20"/>
              </w:rPr>
              <w:t>Common</w:t>
            </w:r>
          </w:p>
        </w:tc>
      </w:tr>
      <w:tr w:rsidR="00DD579A" w:rsidRPr="00B9099F" w14:paraId="238E4C62" w14:textId="77777777" w:rsidTr="00125BF0">
        <w:trPr>
          <w:trHeight w:val="1043"/>
        </w:trPr>
        <w:tc>
          <w:tcPr>
            <w:tcW w:w="2009" w:type="dxa"/>
            <w:shd w:val="clear" w:color="auto" w:fill="auto"/>
          </w:tcPr>
          <w:p w14:paraId="4CA03A04" w14:textId="26BD9C16" w:rsidR="00DD579A" w:rsidRDefault="00DD579A" w:rsidP="006A233D">
            <w:pPr>
              <w:pStyle w:val="GTCTitle"/>
              <w:spacing w:before="0" w:after="0"/>
              <w:jc w:val="left"/>
              <w:rPr>
                <w:b w:val="0"/>
                <w:sz w:val="20"/>
                <w:szCs w:val="20"/>
              </w:rPr>
            </w:pPr>
            <w:r>
              <w:rPr>
                <w:b w:val="0"/>
                <w:sz w:val="20"/>
                <w:szCs w:val="20"/>
              </w:rPr>
              <w:t>Cough</w:t>
            </w:r>
          </w:p>
          <w:p w14:paraId="16CDE1A1" w14:textId="085C0108" w:rsidR="00DD579A" w:rsidRDefault="00DD579A" w:rsidP="006A233D">
            <w:pPr>
              <w:pStyle w:val="GTCTitle"/>
              <w:spacing w:before="0" w:after="0"/>
              <w:jc w:val="left"/>
              <w:rPr>
                <w:b w:val="0"/>
                <w:sz w:val="20"/>
                <w:szCs w:val="20"/>
              </w:rPr>
            </w:pPr>
            <w:r w:rsidRPr="00B9099F">
              <w:rPr>
                <w:b w:val="0"/>
                <w:sz w:val="20"/>
                <w:szCs w:val="20"/>
              </w:rPr>
              <w:t>Epistaxis</w:t>
            </w:r>
          </w:p>
          <w:p w14:paraId="212FBBF3" w14:textId="6C44113A" w:rsidR="00DD579A" w:rsidRPr="00B9099F" w:rsidRDefault="00DD579A" w:rsidP="006A233D">
            <w:pPr>
              <w:pStyle w:val="GTCTitle"/>
              <w:spacing w:before="0" w:after="0"/>
              <w:jc w:val="left"/>
              <w:rPr>
                <w:b w:val="0"/>
                <w:sz w:val="20"/>
                <w:szCs w:val="20"/>
              </w:rPr>
            </w:pPr>
            <w:r>
              <w:rPr>
                <w:b w:val="0"/>
                <w:sz w:val="20"/>
                <w:szCs w:val="20"/>
              </w:rPr>
              <w:t>Upper respiratory tract congestion</w:t>
            </w:r>
          </w:p>
        </w:tc>
        <w:tc>
          <w:tcPr>
            <w:tcW w:w="1620" w:type="dxa"/>
            <w:shd w:val="clear" w:color="auto" w:fill="auto"/>
          </w:tcPr>
          <w:p w14:paraId="0B948A2D" w14:textId="150A77EE" w:rsidR="00DD579A" w:rsidRDefault="00DD579A" w:rsidP="00125BF0">
            <w:pPr>
              <w:pStyle w:val="GTCTitle"/>
              <w:spacing w:before="0" w:after="0"/>
              <w:jc w:val="left"/>
              <w:rPr>
                <w:b w:val="0"/>
                <w:sz w:val="20"/>
                <w:szCs w:val="20"/>
              </w:rPr>
            </w:pPr>
            <w:r>
              <w:rPr>
                <w:b w:val="0"/>
                <w:sz w:val="20"/>
                <w:szCs w:val="20"/>
              </w:rPr>
              <w:t>21 (25%)</w:t>
            </w:r>
          </w:p>
          <w:p w14:paraId="7EC58D5D" w14:textId="5A73125E" w:rsidR="00DD579A" w:rsidRDefault="00DD579A" w:rsidP="00125BF0">
            <w:pPr>
              <w:pStyle w:val="GTCTitle"/>
              <w:spacing w:before="0" w:after="0"/>
              <w:jc w:val="left"/>
              <w:rPr>
                <w:b w:val="0"/>
                <w:sz w:val="20"/>
                <w:szCs w:val="20"/>
              </w:rPr>
            </w:pPr>
            <w:r w:rsidRPr="00B9099F">
              <w:rPr>
                <w:b w:val="0"/>
                <w:sz w:val="20"/>
                <w:szCs w:val="20"/>
              </w:rPr>
              <w:t xml:space="preserve">6 (7%) </w:t>
            </w:r>
          </w:p>
          <w:p w14:paraId="11F5FD20" w14:textId="77777777" w:rsidR="00DD579A" w:rsidRDefault="00DD579A" w:rsidP="00125BF0">
            <w:pPr>
              <w:pStyle w:val="GTCTitle"/>
              <w:spacing w:before="0" w:after="0"/>
              <w:jc w:val="left"/>
              <w:rPr>
                <w:b w:val="0"/>
                <w:sz w:val="20"/>
                <w:szCs w:val="20"/>
              </w:rPr>
            </w:pPr>
          </w:p>
          <w:p w14:paraId="3F4A26C1" w14:textId="5C4477DA" w:rsidR="00DD579A" w:rsidRPr="00B9099F" w:rsidRDefault="00DD579A" w:rsidP="00125BF0">
            <w:pPr>
              <w:pStyle w:val="GTCTitle"/>
              <w:spacing w:before="0" w:after="0"/>
              <w:jc w:val="left"/>
              <w:rPr>
                <w:b w:val="0"/>
                <w:sz w:val="20"/>
                <w:szCs w:val="20"/>
              </w:rPr>
            </w:pPr>
            <w:r>
              <w:rPr>
                <w:b w:val="0"/>
                <w:sz w:val="20"/>
                <w:szCs w:val="20"/>
              </w:rPr>
              <w:t>5 (6%)</w:t>
            </w:r>
          </w:p>
        </w:tc>
        <w:tc>
          <w:tcPr>
            <w:tcW w:w="1530" w:type="dxa"/>
            <w:shd w:val="clear" w:color="auto" w:fill="auto"/>
          </w:tcPr>
          <w:p w14:paraId="4B00480C" w14:textId="7672BD7F" w:rsidR="00DD579A" w:rsidRDefault="00DD579A" w:rsidP="00125BF0">
            <w:pPr>
              <w:pStyle w:val="GTCTitle"/>
              <w:spacing w:before="0" w:after="0"/>
              <w:jc w:val="left"/>
              <w:rPr>
                <w:b w:val="0"/>
                <w:sz w:val="20"/>
                <w:szCs w:val="20"/>
              </w:rPr>
            </w:pPr>
            <w:r>
              <w:rPr>
                <w:b w:val="0"/>
                <w:sz w:val="20"/>
                <w:szCs w:val="20"/>
              </w:rPr>
              <w:t>9 (21%)</w:t>
            </w:r>
          </w:p>
          <w:p w14:paraId="0BF571BB" w14:textId="77777777" w:rsidR="00DD579A" w:rsidRDefault="00DD579A" w:rsidP="00125BF0">
            <w:pPr>
              <w:pStyle w:val="GTCTitle"/>
              <w:spacing w:before="0" w:after="0"/>
              <w:jc w:val="left"/>
              <w:rPr>
                <w:b w:val="0"/>
                <w:sz w:val="20"/>
                <w:szCs w:val="20"/>
              </w:rPr>
            </w:pPr>
            <w:r w:rsidRPr="00B9099F">
              <w:rPr>
                <w:b w:val="0"/>
                <w:sz w:val="20"/>
                <w:szCs w:val="20"/>
              </w:rPr>
              <w:t>0</w:t>
            </w:r>
          </w:p>
          <w:p w14:paraId="35424891" w14:textId="77777777" w:rsidR="00DD579A" w:rsidRDefault="00DD579A" w:rsidP="00125BF0">
            <w:pPr>
              <w:pStyle w:val="GTCTitle"/>
              <w:spacing w:before="0" w:after="0"/>
              <w:jc w:val="left"/>
              <w:rPr>
                <w:b w:val="0"/>
                <w:sz w:val="20"/>
                <w:szCs w:val="20"/>
              </w:rPr>
            </w:pPr>
          </w:p>
          <w:p w14:paraId="1ABD8CE9" w14:textId="12C02EA6" w:rsidR="00DD579A" w:rsidRPr="00B9099F" w:rsidRDefault="00DD579A" w:rsidP="00125BF0">
            <w:pPr>
              <w:pStyle w:val="GTCTitle"/>
              <w:spacing w:before="0" w:after="0"/>
              <w:jc w:val="left"/>
              <w:rPr>
                <w:b w:val="0"/>
                <w:sz w:val="20"/>
                <w:szCs w:val="20"/>
              </w:rPr>
            </w:pPr>
            <w:r>
              <w:rPr>
                <w:b w:val="0"/>
                <w:sz w:val="20"/>
                <w:szCs w:val="20"/>
              </w:rPr>
              <w:t>2 (5%)</w:t>
            </w:r>
          </w:p>
        </w:tc>
        <w:tc>
          <w:tcPr>
            <w:tcW w:w="1710" w:type="dxa"/>
            <w:shd w:val="clear" w:color="auto" w:fill="auto"/>
          </w:tcPr>
          <w:p w14:paraId="74D39577" w14:textId="2ECF00DE" w:rsidR="00DD579A" w:rsidRPr="00B9099F" w:rsidRDefault="00DD579A" w:rsidP="004F1D0D">
            <w:pPr>
              <w:pStyle w:val="GTCTitle"/>
              <w:spacing w:before="0" w:after="0"/>
              <w:jc w:val="center"/>
              <w:rPr>
                <w:b w:val="0"/>
                <w:sz w:val="20"/>
                <w:szCs w:val="20"/>
              </w:rPr>
            </w:pPr>
            <w:r>
              <w:rPr>
                <w:b w:val="0"/>
                <w:sz w:val="20"/>
                <w:szCs w:val="20"/>
              </w:rPr>
              <w:t>Very Common</w:t>
            </w:r>
          </w:p>
        </w:tc>
        <w:tc>
          <w:tcPr>
            <w:tcW w:w="1710" w:type="dxa"/>
            <w:shd w:val="clear" w:color="auto" w:fill="auto"/>
          </w:tcPr>
          <w:p w14:paraId="76DBE19C" w14:textId="77777777" w:rsidR="00DD579A" w:rsidRDefault="00DD579A" w:rsidP="00D869AB">
            <w:pPr>
              <w:pStyle w:val="GTCTitle"/>
              <w:spacing w:before="0" w:after="0"/>
              <w:jc w:val="center"/>
              <w:rPr>
                <w:b w:val="0"/>
                <w:sz w:val="20"/>
                <w:szCs w:val="20"/>
              </w:rPr>
            </w:pPr>
          </w:p>
          <w:p w14:paraId="55D2D682" w14:textId="77777777" w:rsidR="00DD579A" w:rsidRDefault="00DD579A" w:rsidP="00D869AB">
            <w:pPr>
              <w:pStyle w:val="GTCTitle"/>
              <w:spacing w:before="0" w:after="0"/>
              <w:jc w:val="center"/>
              <w:rPr>
                <w:b w:val="0"/>
                <w:sz w:val="20"/>
                <w:szCs w:val="20"/>
              </w:rPr>
            </w:pPr>
            <w:r w:rsidRPr="00B9099F">
              <w:rPr>
                <w:b w:val="0"/>
                <w:sz w:val="20"/>
                <w:szCs w:val="20"/>
              </w:rPr>
              <w:t>Common</w:t>
            </w:r>
          </w:p>
          <w:p w14:paraId="0F4D51B9" w14:textId="77777777" w:rsidR="00DD579A" w:rsidRDefault="00DD579A" w:rsidP="00D869AB">
            <w:pPr>
              <w:pStyle w:val="GTCTitle"/>
              <w:spacing w:before="0" w:after="0"/>
              <w:jc w:val="center"/>
              <w:rPr>
                <w:b w:val="0"/>
                <w:sz w:val="20"/>
                <w:szCs w:val="20"/>
              </w:rPr>
            </w:pPr>
          </w:p>
          <w:p w14:paraId="7419F9BA" w14:textId="3DEC79A6" w:rsidR="00DD579A" w:rsidRPr="00B9099F" w:rsidRDefault="00DD579A" w:rsidP="00D869AB">
            <w:pPr>
              <w:pStyle w:val="GTCTitle"/>
              <w:spacing w:before="0" w:after="0"/>
              <w:jc w:val="center"/>
              <w:rPr>
                <w:b w:val="0"/>
                <w:sz w:val="20"/>
                <w:szCs w:val="20"/>
              </w:rPr>
            </w:pPr>
            <w:r>
              <w:rPr>
                <w:b w:val="0"/>
                <w:sz w:val="20"/>
                <w:szCs w:val="20"/>
              </w:rPr>
              <w:t>Common</w:t>
            </w:r>
          </w:p>
        </w:tc>
      </w:tr>
      <w:tr w:rsidR="00DD579A" w:rsidRPr="00B9099F" w14:paraId="6DFF546A" w14:textId="77777777" w:rsidTr="00125BF0">
        <w:trPr>
          <w:trHeight w:val="791"/>
        </w:trPr>
        <w:tc>
          <w:tcPr>
            <w:tcW w:w="2009" w:type="dxa"/>
            <w:tcBorders>
              <w:bottom w:val="single" w:sz="8" w:space="0" w:color="auto"/>
            </w:tcBorders>
            <w:shd w:val="clear" w:color="auto" w:fill="auto"/>
          </w:tcPr>
          <w:p w14:paraId="3419D674" w14:textId="77777777" w:rsidR="00DD579A" w:rsidRPr="00B9099F" w:rsidRDefault="00DD579A" w:rsidP="006A233D">
            <w:pPr>
              <w:pStyle w:val="GTCTitle"/>
              <w:spacing w:before="0" w:after="0"/>
              <w:jc w:val="left"/>
              <w:rPr>
                <w:b w:val="0"/>
                <w:sz w:val="20"/>
                <w:szCs w:val="20"/>
              </w:rPr>
            </w:pPr>
            <w:r w:rsidRPr="00B9099F">
              <w:rPr>
                <w:b w:val="0"/>
                <w:sz w:val="20"/>
                <w:szCs w:val="20"/>
              </w:rPr>
              <w:t>Back pain*</w:t>
            </w:r>
          </w:p>
        </w:tc>
        <w:tc>
          <w:tcPr>
            <w:tcW w:w="1620" w:type="dxa"/>
            <w:tcBorders>
              <w:bottom w:val="single" w:sz="8" w:space="0" w:color="auto"/>
            </w:tcBorders>
            <w:shd w:val="clear" w:color="auto" w:fill="auto"/>
          </w:tcPr>
          <w:p w14:paraId="5E44E6A6" w14:textId="77777777" w:rsidR="00DD579A" w:rsidRPr="00B9099F" w:rsidRDefault="00DD579A" w:rsidP="00125BF0">
            <w:pPr>
              <w:pStyle w:val="GTCTitle"/>
              <w:spacing w:before="0" w:after="0"/>
              <w:jc w:val="left"/>
              <w:rPr>
                <w:b w:val="0"/>
                <w:sz w:val="20"/>
                <w:szCs w:val="20"/>
              </w:rPr>
            </w:pPr>
            <w:r w:rsidRPr="00B9099F">
              <w:rPr>
                <w:b w:val="0"/>
                <w:sz w:val="20"/>
                <w:szCs w:val="20"/>
              </w:rPr>
              <w:t>21 (25%)</w:t>
            </w:r>
          </w:p>
        </w:tc>
        <w:tc>
          <w:tcPr>
            <w:tcW w:w="1530" w:type="dxa"/>
            <w:tcBorders>
              <w:bottom w:val="single" w:sz="8" w:space="0" w:color="auto"/>
            </w:tcBorders>
            <w:shd w:val="clear" w:color="auto" w:fill="auto"/>
          </w:tcPr>
          <w:p w14:paraId="14514539" w14:textId="77777777" w:rsidR="00DD579A" w:rsidRPr="00B9099F" w:rsidRDefault="00DD579A" w:rsidP="00125BF0">
            <w:pPr>
              <w:pStyle w:val="GTCTitle"/>
              <w:spacing w:before="0" w:after="0"/>
              <w:jc w:val="left"/>
              <w:rPr>
                <w:b w:val="0"/>
                <w:sz w:val="20"/>
                <w:szCs w:val="20"/>
              </w:rPr>
            </w:pPr>
            <w:r w:rsidRPr="00B9099F">
              <w:rPr>
                <w:b w:val="0"/>
                <w:sz w:val="20"/>
                <w:szCs w:val="20"/>
              </w:rPr>
              <w:t>0</w:t>
            </w:r>
          </w:p>
        </w:tc>
        <w:tc>
          <w:tcPr>
            <w:tcW w:w="1710" w:type="dxa"/>
            <w:tcBorders>
              <w:bottom w:val="single" w:sz="8" w:space="0" w:color="auto"/>
            </w:tcBorders>
            <w:shd w:val="clear" w:color="auto" w:fill="auto"/>
          </w:tcPr>
          <w:p w14:paraId="0CD96A29" w14:textId="77777777" w:rsidR="00DD579A" w:rsidRPr="00B9099F" w:rsidRDefault="00DD579A" w:rsidP="004F1D0D">
            <w:pPr>
              <w:pStyle w:val="GTCTitle"/>
              <w:spacing w:before="0" w:after="0"/>
              <w:jc w:val="center"/>
              <w:rPr>
                <w:b w:val="0"/>
                <w:sz w:val="20"/>
                <w:szCs w:val="20"/>
              </w:rPr>
            </w:pPr>
            <w:r w:rsidRPr="00B9099F">
              <w:rPr>
                <w:b w:val="0"/>
                <w:sz w:val="20"/>
                <w:szCs w:val="20"/>
              </w:rPr>
              <w:t>Very Common</w:t>
            </w:r>
          </w:p>
        </w:tc>
        <w:tc>
          <w:tcPr>
            <w:tcW w:w="1710" w:type="dxa"/>
            <w:tcBorders>
              <w:bottom w:val="single" w:sz="8" w:space="0" w:color="auto"/>
            </w:tcBorders>
            <w:shd w:val="clear" w:color="auto" w:fill="auto"/>
          </w:tcPr>
          <w:p w14:paraId="0BCA6131" w14:textId="77777777" w:rsidR="00DD579A" w:rsidRPr="00B9099F" w:rsidRDefault="00DD579A" w:rsidP="00D869AB">
            <w:pPr>
              <w:pStyle w:val="GTCTitle"/>
              <w:spacing w:before="0" w:after="0"/>
              <w:jc w:val="center"/>
              <w:rPr>
                <w:b w:val="0"/>
                <w:sz w:val="20"/>
                <w:szCs w:val="20"/>
              </w:rPr>
            </w:pPr>
          </w:p>
        </w:tc>
      </w:tr>
    </w:tbl>
    <w:p w14:paraId="77564883" w14:textId="4BF51DD2" w:rsidR="00C61AE4" w:rsidRPr="00B9099F" w:rsidRDefault="00C61AE4" w:rsidP="00C61AE4">
      <w:pPr>
        <w:rPr>
          <w:sz w:val="20"/>
          <w:szCs w:val="20"/>
        </w:rPr>
      </w:pPr>
      <w:r w:rsidRPr="00B9099F">
        <w:rPr>
          <w:sz w:val="20"/>
          <w:szCs w:val="20"/>
        </w:rPr>
        <w:t xml:space="preserve">^ Frequency category based upon </w:t>
      </w:r>
      <w:r w:rsidR="008E74AF">
        <w:rPr>
          <w:sz w:val="20"/>
          <w:szCs w:val="20"/>
        </w:rPr>
        <w:t xml:space="preserve">SPINRAZA </w:t>
      </w:r>
      <w:r w:rsidRPr="00B9099F">
        <w:rPr>
          <w:sz w:val="20"/>
          <w:szCs w:val="20"/>
        </w:rPr>
        <w:t>treated adverse event.</w:t>
      </w:r>
    </w:p>
    <w:p w14:paraId="6970DDE8" w14:textId="1585D06B" w:rsidR="00BF26FE" w:rsidRDefault="00E51F89" w:rsidP="00125BF0">
      <w:pPr>
        <w:rPr>
          <w:sz w:val="22"/>
          <w:szCs w:val="22"/>
        </w:rPr>
      </w:pPr>
      <w:r w:rsidRPr="00B9099F">
        <w:rPr>
          <w:sz w:val="20"/>
          <w:szCs w:val="20"/>
        </w:rPr>
        <w:lastRenderedPageBreak/>
        <w:t xml:space="preserve">*Adverse events considered related to the lumbar puncture procedure. These events can be considered manifestations of post-lumbar puncture syndrome. </w:t>
      </w:r>
    </w:p>
    <w:p w14:paraId="3A53BB09" w14:textId="77777777" w:rsidR="00434D56" w:rsidRDefault="00434D56" w:rsidP="00B32E4E">
      <w:pPr>
        <w:pStyle w:val="Heading3"/>
      </w:pPr>
    </w:p>
    <w:p w14:paraId="033B5A13" w14:textId="251825C9" w:rsidR="00B32E4E" w:rsidRPr="00DD54D9" w:rsidRDefault="00B32E4E" w:rsidP="00B32E4E">
      <w:pPr>
        <w:pStyle w:val="Heading3"/>
      </w:pPr>
      <w:r w:rsidRPr="00DD54D9">
        <w:t>Table 6: Incidence of possibly drug-related adverse events across all studies in patients treated with SPINRAZA</w:t>
      </w:r>
      <w:r w:rsidR="008B75AC">
        <w:t>^</w:t>
      </w:r>
      <w:r w:rsidR="00132A95" w:rsidRPr="00D301CF">
        <w:rPr>
          <w:vertAlign w:val="superscript"/>
        </w:rPr>
        <w:t>#</w:t>
      </w:r>
      <w:r w:rsidRPr="00DD54D9">
        <w:t>.</w:t>
      </w:r>
    </w:p>
    <w:tbl>
      <w:tblPr>
        <w:tblW w:w="902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829"/>
        <w:gridCol w:w="1260"/>
        <w:gridCol w:w="1260"/>
        <w:gridCol w:w="1440"/>
        <w:gridCol w:w="1260"/>
      </w:tblGrid>
      <w:tr w:rsidR="00DD579A" w:rsidRPr="00B9099F" w14:paraId="039D8113" w14:textId="77777777" w:rsidTr="00125BF0">
        <w:tc>
          <w:tcPr>
            <w:tcW w:w="1980" w:type="dxa"/>
            <w:vMerge w:val="restart"/>
            <w:shd w:val="clear" w:color="auto" w:fill="auto"/>
          </w:tcPr>
          <w:p w14:paraId="413E4DC6" w14:textId="77777777" w:rsidR="00DD579A" w:rsidRPr="00B9099F" w:rsidRDefault="00DD579A" w:rsidP="007E4622">
            <w:pPr>
              <w:pStyle w:val="GTCTitle"/>
              <w:keepNext/>
              <w:widowControl w:val="0"/>
              <w:spacing w:before="0" w:after="0"/>
              <w:jc w:val="left"/>
              <w:rPr>
                <w:b w:val="0"/>
                <w:sz w:val="20"/>
                <w:szCs w:val="20"/>
              </w:rPr>
            </w:pPr>
            <w:proofErr w:type="spellStart"/>
            <w:r w:rsidRPr="00B9099F">
              <w:rPr>
                <w:b w:val="0"/>
                <w:sz w:val="20"/>
                <w:szCs w:val="20"/>
              </w:rPr>
              <w:t>MedDRA</w:t>
            </w:r>
            <w:proofErr w:type="spellEnd"/>
            <w:r w:rsidRPr="00B9099F">
              <w:rPr>
                <w:b w:val="0"/>
                <w:sz w:val="20"/>
                <w:szCs w:val="20"/>
              </w:rPr>
              <w:t xml:space="preserve"> preferred term</w:t>
            </w:r>
          </w:p>
        </w:tc>
        <w:tc>
          <w:tcPr>
            <w:tcW w:w="1829" w:type="dxa"/>
            <w:vMerge w:val="restart"/>
            <w:shd w:val="clear" w:color="auto" w:fill="auto"/>
          </w:tcPr>
          <w:p w14:paraId="0E3A72DC" w14:textId="3DC49C0C" w:rsidR="00DD579A" w:rsidRPr="00B9099F" w:rsidRDefault="00DD579A" w:rsidP="007E4622">
            <w:pPr>
              <w:pStyle w:val="GTCTitle"/>
              <w:keepNext/>
              <w:widowControl w:val="0"/>
              <w:spacing w:before="0" w:after="0"/>
              <w:jc w:val="center"/>
              <w:rPr>
                <w:b w:val="0"/>
                <w:sz w:val="20"/>
                <w:szCs w:val="20"/>
              </w:rPr>
            </w:pPr>
            <w:r>
              <w:rPr>
                <w:b w:val="0"/>
                <w:sz w:val="20"/>
                <w:szCs w:val="20"/>
              </w:rPr>
              <w:t>Pre</w:t>
            </w:r>
            <w:r w:rsidR="00132A95">
              <w:rPr>
                <w:b w:val="0"/>
                <w:sz w:val="20"/>
                <w:szCs w:val="20"/>
              </w:rPr>
              <w:t>-</w:t>
            </w:r>
            <w:r>
              <w:rPr>
                <w:b w:val="0"/>
                <w:sz w:val="20"/>
                <w:szCs w:val="20"/>
              </w:rPr>
              <w:t>symptomatic infants (CS5)</w:t>
            </w:r>
          </w:p>
          <w:p w14:paraId="735511CC" w14:textId="77777777" w:rsidR="00DD579A" w:rsidRPr="00B9099F" w:rsidRDefault="00DD579A" w:rsidP="007E4622">
            <w:pPr>
              <w:pStyle w:val="GTCTitle"/>
              <w:keepNext/>
              <w:widowControl w:val="0"/>
              <w:spacing w:before="0" w:after="0"/>
              <w:jc w:val="center"/>
              <w:rPr>
                <w:b w:val="0"/>
                <w:sz w:val="20"/>
                <w:szCs w:val="20"/>
              </w:rPr>
            </w:pPr>
            <w:r>
              <w:rPr>
                <w:b w:val="0"/>
                <w:sz w:val="20"/>
                <w:szCs w:val="20"/>
              </w:rPr>
              <w:t>(</w:t>
            </w:r>
            <w:r w:rsidRPr="007C0C85">
              <w:rPr>
                <w:b w:val="0"/>
                <w:i/>
                <w:sz w:val="20"/>
                <w:szCs w:val="20"/>
              </w:rPr>
              <w:t>n</w:t>
            </w:r>
            <w:r>
              <w:rPr>
                <w:b w:val="0"/>
                <w:sz w:val="20"/>
                <w:szCs w:val="20"/>
              </w:rPr>
              <w:t>=20)</w:t>
            </w:r>
          </w:p>
        </w:tc>
        <w:tc>
          <w:tcPr>
            <w:tcW w:w="2520" w:type="dxa"/>
            <w:gridSpan w:val="2"/>
            <w:shd w:val="clear" w:color="auto" w:fill="auto"/>
          </w:tcPr>
          <w:p w14:paraId="7C54CD5B" w14:textId="130CE1B1" w:rsidR="00DD579A" w:rsidRPr="00B9099F" w:rsidRDefault="00DD579A">
            <w:pPr>
              <w:pStyle w:val="GTCTitle"/>
              <w:keepNext/>
              <w:widowControl w:val="0"/>
              <w:spacing w:before="0" w:after="0"/>
              <w:jc w:val="center"/>
              <w:rPr>
                <w:b w:val="0"/>
                <w:sz w:val="20"/>
                <w:szCs w:val="20"/>
              </w:rPr>
            </w:pPr>
            <w:r>
              <w:rPr>
                <w:b w:val="0"/>
                <w:sz w:val="20"/>
                <w:szCs w:val="20"/>
              </w:rPr>
              <w:t>Patients with infantile onset SMA</w:t>
            </w:r>
          </w:p>
        </w:tc>
        <w:tc>
          <w:tcPr>
            <w:tcW w:w="2700" w:type="dxa"/>
            <w:gridSpan w:val="2"/>
          </w:tcPr>
          <w:p w14:paraId="128B4332" w14:textId="5B5B9DFA" w:rsidR="00DD579A" w:rsidRDefault="00DD579A">
            <w:pPr>
              <w:pStyle w:val="GTCTitle"/>
              <w:keepNext/>
              <w:widowControl w:val="0"/>
              <w:spacing w:before="0" w:after="0"/>
              <w:jc w:val="center"/>
              <w:rPr>
                <w:b w:val="0"/>
                <w:sz w:val="20"/>
                <w:szCs w:val="20"/>
              </w:rPr>
            </w:pPr>
            <w:r>
              <w:rPr>
                <w:b w:val="0"/>
                <w:sz w:val="20"/>
                <w:szCs w:val="20"/>
              </w:rPr>
              <w:t>Patients with later onset SMA</w:t>
            </w:r>
          </w:p>
        </w:tc>
      </w:tr>
      <w:tr w:rsidR="00DD579A" w:rsidRPr="00B9099F" w14:paraId="50B2D4EB" w14:textId="77777777" w:rsidTr="00125BF0">
        <w:tc>
          <w:tcPr>
            <w:tcW w:w="1980" w:type="dxa"/>
            <w:vMerge/>
            <w:shd w:val="clear" w:color="auto" w:fill="auto"/>
          </w:tcPr>
          <w:p w14:paraId="1EFA22AF" w14:textId="77777777" w:rsidR="00DD579A" w:rsidRPr="00B9099F" w:rsidRDefault="00DD579A" w:rsidP="007E4622">
            <w:pPr>
              <w:pStyle w:val="GTCTitle"/>
              <w:spacing w:before="0" w:after="0"/>
              <w:jc w:val="left"/>
              <w:rPr>
                <w:b w:val="0"/>
                <w:sz w:val="20"/>
                <w:szCs w:val="20"/>
              </w:rPr>
            </w:pPr>
          </w:p>
        </w:tc>
        <w:tc>
          <w:tcPr>
            <w:tcW w:w="1829" w:type="dxa"/>
            <w:vMerge/>
            <w:shd w:val="clear" w:color="auto" w:fill="auto"/>
          </w:tcPr>
          <w:p w14:paraId="7D116252" w14:textId="77777777" w:rsidR="00DD579A" w:rsidRPr="00B9099F" w:rsidRDefault="00DD579A" w:rsidP="007E4622">
            <w:pPr>
              <w:pStyle w:val="GTCTitle"/>
              <w:spacing w:before="0" w:after="0"/>
              <w:jc w:val="left"/>
              <w:rPr>
                <w:b w:val="0"/>
                <w:sz w:val="20"/>
                <w:szCs w:val="20"/>
              </w:rPr>
            </w:pPr>
          </w:p>
        </w:tc>
        <w:tc>
          <w:tcPr>
            <w:tcW w:w="1260" w:type="dxa"/>
            <w:shd w:val="clear" w:color="auto" w:fill="auto"/>
          </w:tcPr>
          <w:p w14:paraId="1EF5E052" w14:textId="77777777" w:rsidR="00DD579A" w:rsidRDefault="00DD579A" w:rsidP="007E4622">
            <w:pPr>
              <w:pStyle w:val="GTCTitle"/>
              <w:spacing w:before="0" w:after="0"/>
              <w:jc w:val="center"/>
              <w:rPr>
                <w:b w:val="0"/>
                <w:sz w:val="20"/>
                <w:szCs w:val="20"/>
              </w:rPr>
            </w:pPr>
            <w:r>
              <w:rPr>
                <w:b w:val="0"/>
                <w:sz w:val="20"/>
                <w:szCs w:val="20"/>
              </w:rPr>
              <w:t>CS3A</w:t>
            </w:r>
          </w:p>
          <w:p w14:paraId="59AB7F6E" w14:textId="77777777" w:rsidR="00DD579A" w:rsidRPr="00B9099F" w:rsidRDefault="00DD579A" w:rsidP="007E4622">
            <w:pPr>
              <w:pStyle w:val="GTCTitle"/>
              <w:spacing w:before="0" w:after="0"/>
              <w:jc w:val="center"/>
              <w:rPr>
                <w:b w:val="0"/>
                <w:sz w:val="20"/>
                <w:szCs w:val="20"/>
              </w:rPr>
            </w:pPr>
            <w:r>
              <w:rPr>
                <w:b w:val="0"/>
                <w:sz w:val="20"/>
                <w:szCs w:val="20"/>
              </w:rPr>
              <w:t>(</w:t>
            </w:r>
            <w:r w:rsidRPr="007C0C85">
              <w:rPr>
                <w:b w:val="0"/>
                <w:i/>
                <w:sz w:val="20"/>
                <w:szCs w:val="20"/>
              </w:rPr>
              <w:t>n</w:t>
            </w:r>
            <w:r>
              <w:rPr>
                <w:b w:val="0"/>
                <w:sz w:val="20"/>
                <w:szCs w:val="20"/>
              </w:rPr>
              <w:t>=</w:t>
            </w:r>
            <w:r w:rsidRPr="00085BFB">
              <w:rPr>
                <w:b w:val="0"/>
                <w:sz w:val="20"/>
                <w:szCs w:val="20"/>
              </w:rPr>
              <w:t>20</w:t>
            </w:r>
            <w:r>
              <w:rPr>
                <w:b w:val="0"/>
                <w:sz w:val="20"/>
                <w:szCs w:val="20"/>
              </w:rPr>
              <w:t>)</w:t>
            </w:r>
          </w:p>
        </w:tc>
        <w:tc>
          <w:tcPr>
            <w:tcW w:w="1260" w:type="dxa"/>
            <w:shd w:val="clear" w:color="auto" w:fill="auto"/>
          </w:tcPr>
          <w:p w14:paraId="23449068" w14:textId="77777777" w:rsidR="00DD579A" w:rsidRDefault="00DD579A" w:rsidP="007E4622">
            <w:pPr>
              <w:pStyle w:val="GTCTitle"/>
              <w:spacing w:before="0" w:after="0"/>
              <w:jc w:val="center"/>
              <w:rPr>
                <w:b w:val="0"/>
                <w:sz w:val="20"/>
                <w:szCs w:val="20"/>
              </w:rPr>
            </w:pPr>
            <w:r>
              <w:rPr>
                <w:b w:val="0"/>
                <w:sz w:val="20"/>
                <w:szCs w:val="20"/>
              </w:rPr>
              <w:t>CS3B</w:t>
            </w:r>
          </w:p>
          <w:p w14:paraId="18649969" w14:textId="77777777" w:rsidR="00DD579A" w:rsidRPr="00B9099F" w:rsidRDefault="00DD579A" w:rsidP="007E4622">
            <w:pPr>
              <w:pStyle w:val="GTCTitle"/>
              <w:spacing w:before="0" w:after="0"/>
              <w:jc w:val="center"/>
              <w:rPr>
                <w:b w:val="0"/>
                <w:sz w:val="20"/>
                <w:szCs w:val="20"/>
              </w:rPr>
            </w:pPr>
            <w:r>
              <w:rPr>
                <w:b w:val="0"/>
                <w:sz w:val="20"/>
                <w:szCs w:val="20"/>
              </w:rPr>
              <w:t>(</w:t>
            </w:r>
            <w:r w:rsidRPr="007C0C85">
              <w:rPr>
                <w:b w:val="0"/>
                <w:i/>
                <w:sz w:val="20"/>
                <w:szCs w:val="20"/>
              </w:rPr>
              <w:t>n</w:t>
            </w:r>
            <w:r>
              <w:rPr>
                <w:b w:val="0"/>
                <w:sz w:val="20"/>
                <w:szCs w:val="20"/>
              </w:rPr>
              <w:t>=80)</w:t>
            </w:r>
          </w:p>
        </w:tc>
        <w:tc>
          <w:tcPr>
            <w:tcW w:w="1440" w:type="dxa"/>
          </w:tcPr>
          <w:p w14:paraId="665E0A63" w14:textId="77777777" w:rsidR="00DD579A" w:rsidRDefault="00DD579A" w:rsidP="007E4622">
            <w:pPr>
              <w:pStyle w:val="GTCTitle"/>
              <w:spacing w:before="0" w:after="0"/>
              <w:jc w:val="center"/>
              <w:rPr>
                <w:b w:val="0"/>
                <w:sz w:val="20"/>
                <w:szCs w:val="20"/>
              </w:rPr>
            </w:pPr>
            <w:r>
              <w:rPr>
                <w:b w:val="0"/>
                <w:sz w:val="20"/>
                <w:szCs w:val="20"/>
              </w:rPr>
              <w:t>CS4</w:t>
            </w:r>
          </w:p>
          <w:p w14:paraId="40C16F7A" w14:textId="77777777" w:rsidR="00DD579A" w:rsidRPr="00B9099F" w:rsidRDefault="00DD579A" w:rsidP="007E4622">
            <w:pPr>
              <w:pStyle w:val="GTCTitle"/>
              <w:spacing w:before="0" w:after="0"/>
              <w:jc w:val="center"/>
              <w:rPr>
                <w:b w:val="0"/>
                <w:sz w:val="20"/>
                <w:szCs w:val="20"/>
              </w:rPr>
            </w:pPr>
            <w:r>
              <w:rPr>
                <w:b w:val="0"/>
                <w:sz w:val="20"/>
                <w:szCs w:val="20"/>
              </w:rPr>
              <w:t>(</w:t>
            </w:r>
            <w:r w:rsidRPr="00711561">
              <w:rPr>
                <w:b w:val="0"/>
                <w:i/>
                <w:sz w:val="20"/>
                <w:szCs w:val="20"/>
              </w:rPr>
              <w:t>n</w:t>
            </w:r>
            <w:r>
              <w:rPr>
                <w:b w:val="0"/>
                <w:sz w:val="20"/>
                <w:szCs w:val="20"/>
              </w:rPr>
              <w:t>=84)</w:t>
            </w:r>
          </w:p>
        </w:tc>
        <w:tc>
          <w:tcPr>
            <w:tcW w:w="1260" w:type="dxa"/>
          </w:tcPr>
          <w:p w14:paraId="57DE6A4B" w14:textId="77777777" w:rsidR="00DD579A" w:rsidRDefault="00DD579A" w:rsidP="007E4622">
            <w:pPr>
              <w:pStyle w:val="GTCTitle"/>
              <w:spacing w:before="0" w:after="0"/>
              <w:jc w:val="center"/>
              <w:rPr>
                <w:b w:val="0"/>
                <w:sz w:val="20"/>
                <w:szCs w:val="20"/>
              </w:rPr>
            </w:pPr>
            <w:r>
              <w:rPr>
                <w:b w:val="0"/>
                <w:sz w:val="20"/>
                <w:szCs w:val="20"/>
              </w:rPr>
              <w:t>CS2-12</w:t>
            </w:r>
          </w:p>
          <w:p w14:paraId="0AA0AA52" w14:textId="77777777" w:rsidR="00DD579A" w:rsidRPr="00B9099F" w:rsidRDefault="00DD579A" w:rsidP="007E4622">
            <w:pPr>
              <w:pStyle w:val="GTCTitle"/>
              <w:spacing w:before="0" w:after="0"/>
              <w:jc w:val="center"/>
              <w:rPr>
                <w:b w:val="0"/>
                <w:sz w:val="20"/>
                <w:szCs w:val="20"/>
              </w:rPr>
            </w:pPr>
            <w:r>
              <w:rPr>
                <w:b w:val="0"/>
                <w:sz w:val="20"/>
                <w:szCs w:val="20"/>
              </w:rPr>
              <w:t>(</w:t>
            </w:r>
            <w:r w:rsidRPr="00711561">
              <w:rPr>
                <w:b w:val="0"/>
                <w:i/>
                <w:sz w:val="20"/>
                <w:szCs w:val="20"/>
              </w:rPr>
              <w:t>n</w:t>
            </w:r>
            <w:r>
              <w:rPr>
                <w:b w:val="0"/>
                <w:sz w:val="20"/>
                <w:szCs w:val="20"/>
              </w:rPr>
              <w:t>=56)</w:t>
            </w:r>
          </w:p>
        </w:tc>
      </w:tr>
      <w:tr w:rsidR="00DD579A" w:rsidRPr="00B9099F" w14:paraId="16606C01" w14:textId="77777777" w:rsidTr="00125BF0">
        <w:tc>
          <w:tcPr>
            <w:tcW w:w="1980" w:type="dxa"/>
            <w:shd w:val="clear" w:color="auto" w:fill="auto"/>
          </w:tcPr>
          <w:p w14:paraId="2E9B77AB" w14:textId="77777777" w:rsidR="00DD579A" w:rsidRDefault="00DD579A" w:rsidP="007E4622">
            <w:pPr>
              <w:pStyle w:val="GTCTitle"/>
              <w:spacing w:before="0" w:after="0"/>
              <w:jc w:val="left"/>
              <w:rPr>
                <w:b w:val="0"/>
                <w:sz w:val="20"/>
                <w:szCs w:val="20"/>
              </w:rPr>
            </w:pPr>
            <w:r>
              <w:rPr>
                <w:b w:val="0"/>
                <w:sz w:val="20"/>
                <w:szCs w:val="20"/>
              </w:rPr>
              <w:t>Headache*</w:t>
            </w:r>
          </w:p>
          <w:p w14:paraId="338352B4" w14:textId="2083084D" w:rsidR="00DD579A" w:rsidRDefault="00DD579A" w:rsidP="007E4622">
            <w:pPr>
              <w:pStyle w:val="GTCTitle"/>
              <w:spacing w:before="0" w:after="0"/>
              <w:jc w:val="left"/>
              <w:rPr>
                <w:b w:val="0"/>
                <w:sz w:val="20"/>
                <w:szCs w:val="20"/>
              </w:rPr>
            </w:pPr>
            <w:r>
              <w:rPr>
                <w:b w:val="0"/>
                <w:sz w:val="20"/>
                <w:szCs w:val="20"/>
              </w:rPr>
              <w:t>Hyperreflexia</w:t>
            </w:r>
          </w:p>
        </w:tc>
        <w:tc>
          <w:tcPr>
            <w:tcW w:w="1829" w:type="dxa"/>
            <w:shd w:val="clear" w:color="auto" w:fill="auto"/>
          </w:tcPr>
          <w:p w14:paraId="500882EE" w14:textId="77777777" w:rsidR="00DD579A" w:rsidRDefault="00DD579A" w:rsidP="007E4622">
            <w:pPr>
              <w:pStyle w:val="GTCTitle"/>
              <w:spacing w:before="0" w:after="0"/>
              <w:jc w:val="center"/>
              <w:rPr>
                <w:b w:val="0"/>
                <w:sz w:val="20"/>
                <w:szCs w:val="20"/>
              </w:rPr>
            </w:pPr>
            <w:r>
              <w:rPr>
                <w:b w:val="0"/>
                <w:sz w:val="20"/>
                <w:szCs w:val="20"/>
              </w:rPr>
              <w:t>0</w:t>
            </w:r>
          </w:p>
          <w:p w14:paraId="772D6EBA" w14:textId="4E44F688" w:rsidR="00DD579A" w:rsidRPr="00B9099F" w:rsidRDefault="00DD579A" w:rsidP="00DD579A">
            <w:pPr>
              <w:pStyle w:val="GTCTitle"/>
              <w:spacing w:before="0" w:after="0"/>
              <w:jc w:val="center"/>
              <w:rPr>
                <w:b w:val="0"/>
                <w:sz w:val="20"/>
                <w:szCs w:val="20"/>
              </w:rPr>
            </w:pPr>
            <w:r>
              <w:rPr>
                <w:b w:val="0"/>
                <w:sz w:val="20"/>
                <w:szCs w:val="20"/>
              </w:rPr>
              <w:t>1 (5%)</w:t>
            </w:r>
          </w:p>
        </w:tc>
        <w:tc>
          <w:tcPr>
            <w:tcW w:w="1260" w:type="dxa"/>
            <w:shd w:val="clear" w:color="auto" w:fill="auto"/>
          </w:tcPr>
          <w:p w14:paraId="24FDDE17" w14:textId="77777777" w:rsidR="00DD579A" w:rsidRDefault="00DD579A" w:rsidP="007E4622">
            <w:pPr>
              <w:pStyle w:val="GTCTitle"/>
              <w:spacing w:before="0" w:after="0"/>
              <w:jc w:val="center"/>
              <w:rPr>
                <w:b w:val="0"/>
                <w:sz w:val="20"/>
                <w:szCs w:val="20"/>
              </w:rPr>
            </w:pPr>
            <w:r>
              <w:rPr>
                <w:b w:val="0"/>
                <w:sz w:val="20"/>
                <w:szCs w:val="20"/>
              </w:rPr>
              <w:t>0</w:t>
            </w:r>
          </w:p>
          <w:p w14:paraId="22FAB2C2" w14:textId="612E0AC6" w:rsidR="00DD579A" w:rsidRPr="00B9099F" w:rsidRDefault="00DD579A" w:rsidP="00DD579A">
            <w:pPr>
              <w:pStyle w:val="GTCTitle"/>
              <w:spacing w:before="0" w:after="0"/>
              <w:jc w:val="center"/>
              <w:rPr>
                <w:b w:val="0"/>
                <w:sz w:val="20"/>
                <w:szCs w:val="20"/>
              </w:rPr>
            </w:pPr>
            <w:r>
              <w:rPr>
                <w:b w:val="0"/>
                <w:sz w:val="20"/>
                <w:szCs w:val="20"/>
              </w:rPr>
              <w:t>0</w:t>
            </w:r>
          </w:p>
        </w:tc>
        <w:tc>
          <w:tcPr>
            <w:tcW w:w="1260" w:type="dxa"/>
            <w:shd w:val="clear" w:color="auto" w:fill="auto"/>
          </w:tcPr>
          <w:p w14:paraId="06A881CA" w14:textId="77777777" w:rsidR="00DD579A" w:rsidRDefault="00DD579A" w:rsidP="007E4622">
            <w:pPr>
              <w:pStyle w:val="GTCTitle"/>
              <w:spacing w:before="0" w:after="0"/>
              <w:jc w:val="center"/>
              <w:rPr>
                <w:b w:val="0"/>
                <w:sz w:val="20"/>
                <w:szCs w:val="20"/>
              </w:rPr>
            </w:pPr>
            <w:r>
              <w:rPr>
                <w:b w:val="0"/>
                <w:sz w:val="20"/>
                <w:szCs w:val="20"/>
              </w:rPr>
              <w:t>0</w:t>
            </w:r>
          </w:p>
          <w:p w14:paraId="55FC9BA0" w14:textId="7745A945" w:rsidR="00DD579A" w:rsidRPr="00B9099F" w:rsidRDefault="00DD579A" w:rsidP="00DD579A">
            <w:pPr>
              <w:pStyle w:val="GTCTitle"/>
              <w:spacing w:before="0" w:after="0"/>
              <w:jc w:val="center"/>
              <w:rPr>
                <w:b w:val="0"/>
                <w:sz w:val="20"/>
                <w:szCs w:val="20"/>
              </w:rPr>
            </w:pPr>
            <w:r>
              <w:rPr>
                <w:b w:val="0"/>
                <w:sz w:val="20"/>
                <w:szCs w:val="20"/>
              </w:rPr>
              <w:t>1 (1%)</w:t>
            </w:r>
          </w:p>
        </w:tc>
        <w:tc>
          <w:tcPr>
            <w:tcW w:w="1440" w:type="dxa"/>
          </w:tcPr>
          <w:p w14:paraId="56EB1AB9" w14:textId="77777777" w:rsidR="00DD579A" w:rsidRDefault="00DD579A" w:rsidP="007E4622">
            <w:pPr>
              <w:pStyle w:val="GTCTitle"/>
              <w:spacing w:before="0" w:after="0"/>
              <w:jc w:val="center"/>
              <w:rPr>
                <w:b w:val="0"/>
                <w:sz w:val="20"/>
                <w:szCs w:val="20"/>
              </w:rPr>
            </w:pPr>
            <w:r>
              <w:rPr>
                <w:b w:val="0"/>
                <w:sz w:val="20"/>
                <w:szCs w:val="20"/>
              </w:rPr>
              <w:t>8 (10%)</w:t>
            </w:r>
          </w:p>
          <w:p w14:paraId="36E06C1F" w14:textId="6572F86D" w:rsidR="00DD579A" w:rsidRDefault="00DD579A" w:rsidP="00DD579A">
            <w:pPr>
              <w:pStyle w:val="GTCTitle"/>
              <w:spacing w:before="0" w:after="0"/>
              <w:jc w:val="center"/>
              <w:rPr>
                <w:b w:val="0"/>
                <w:sz w:val="20"/>
                <w:szCs w:val="20"/>
              </w:rPr>
            </w:pPr>
            <w:r>
              <w:rPr>
                <w:b w:val="0"/>
                <w:sz w:val="20"/>
                <w:szCs w:val="20"/>
              </w:rPr>
              <w:t>0</w:t>
            </w:r>
          </w:p>
        </w:tc>
        <w:tc>
          <w:tcPr>
            <w:tcW w:w="1260" w:type="dxa"/>
          </w:tcPr>
          <w:p w14:paraId="5AA0B0C2" w14:textId="77777777" w:rsidR="00DD579A" w:rsidRDefault="00DD579A" w:rsidP="007E4622">
            <w:pPr>
              <w:pStyle w:val="GTCTitle"/>
              <w:spacing w:before="0" w:after="0"/>
              <w:jc w:val="center"/>
              <w:rPr>
                <w:b w:val="0"/>
                <w:sz w:val="20"/>
                <w:szCs w:val="20"/>
              </w:rPr>
            </w:pPr>
            <w:r>
              <w:rPr>
                <w:b w:val="0"/>
                <w:sz w:val="20"/>
                <w:szCs w:val="20"/>
              </w:rPr>
              <w:t>1 (2%)</w:t>
            </w:r>
          </w:p>
          <w:p w14:paraId="54C7F720" w14:textId="58D3F19E" w:rsidR="00DD579A" w:rsidRDefault="00DD579A" w:rsidP="00DD579A">
            <w:pPr>
              <w:pStyle w:val="GTCTitle"/>
              <w:spacing w:before="0" w:after="0"/>
              <w:jc w:val="center"/>
              <w:rPr>
                <w:b w:val="0"/>
                <w:sz w:val="20"/>
                <w:szCs w:val="20"/>
              </w:rPr>
            </w:pPr>
            <w:r>
              <w:rPr>
                <w:b w:val="0"/>
                <w:sz w:val="20"/>
                <w:szCs w:val="20"/>
              </w:rPr>
              <w:t>0</w:t>
            </w:r>
          </w:p>
        </w:tc>
      </w:tr>
      <w:tr w:rsidR="00DD579A" w:rsidRPr="00B9099F" w14:paraId="7AB078EF" w14:textId="77777777" w:rsidTr="00125BF0">
        <w:tc>
          <w:tcPr>
            <w:tcW w:w="1980" w:type="dxa"/>
            <w:shd w:val="clear" w:color="auto" w:fill="auto"/>
          </w:tcPr>
          <w:p w14:paraId="1AF47FAE" w14:textId="05442139" w:rsidR="00DD579A" w:rsidRPr="00B9099F" w:rsidRDefault="00DD579A" w:rsidP="007E4622">
            <w:pPr>
              <w:pStyle w:val="GTCTitle"/>
              <w:spacing w:before="0" w:after="0"/>
              <w:jc w:val="left"/>
              <w:rPr>
                <w:b w:val="0"/>
                <w:sz w:val="20"/>
                <w:szCs w:val="20"/>
              </w:rPr>
            </w:pPr>
            <w:r>
              <w:rPr>
                <w:b w:val="0"/>
                <w:sz w:val="20"/>
                <w:szCs w:val="20"/>
              </w:rPr>
              <w:t>Post lumbar puncture syndrome*</w:t>
            </w:r>
          </w:p>
        </w:tc>
        <w:tc>
          <w:tcPr>
            <w:tcW w:w="1829" w:type="dxa"/>
            <w:shd w:val="clear" w:color="auto" w:fill="auto"/>
          </w:tcPr>
          <w:p w14:paraId="30D2E6C4" w14:textId="77777777" w:rsidR="00DD579A" w:rsidRDefault="00DD579A" w:rsidP="007E4622">
            <w:pPr>
              <w:pStyle w:val="GTCTitle"/>
              <w:spacing w:before="0" w:after="0"/>
              <w:jc w:val="center"/>
              <w:rPr>
                <w:b w:val="0"/>
                <w:sz w:val="20"/>
                <w:szCs w:val="20"/>
              </w:rPr>
            </w:pPr>
          </w:p>
          <w:p w14:paraId="72475B97" w14:textId="1BA6D1F1" w:rsidR="00DD579A" w:rsidRPr="00B9099F" w:rsidRDefault="00DD579A" w:rsidP="00DD579A">
            <w:pPr>
              <w:pStyle w:val="GTCTitle"/>
              <w:spacing w:before="0" w:after="0"/>
              <w:jc w:val="center"/>
              <w:rPr>
                <w:b w:val="0"/>
                <w:sz w:val="20"/>
                <w:szCs w:val="20"/>
              </w:rPr>
            </w:pPr>
            <w:r>
              <w:rPr>
                <w:b w:val="0"/>
                <w:sz w:val="20"/>
                <w:szCs w:val="20"/>
              </w:rPr>
              <w:t>0</w:t>
            </w:r>
          </w:p>
        </w:tc>
        <w:tc>
          <w:tcPr>
            <w:tcW w:w="1260" w:type="dxa"/>
            <w:shd w:val="clear" w:color="auto" w:fill="auto"/>
          </w:tcPr>
          <w:p w14:paraId="36919469" w14:textId="77777777" w:rsidR="00DD579A" w:rsidRDefault="00DD579A" w:rsidP="007E4622">
            <w:pPr>
              <w:pStyle w:val="GTCTitle"/>
              <w:spacing w:before="0" w:after="0"/>
              <w:jc w:val="center"/>
              <w:rPr>
                <w:b w:val="0"/>
                <w:sz w:val="20"/>
                <w:szCs w:val="20"/>
              </w:rPr>
            </w:pPr>
          </w:p>
          <w:p w14:paraId="0A971507" w14:textId="1F9B78D5" w:rsidR="00DD579A" w:rsidRPr="00B9099F" w:rsidRDefault="00DD579A" w:rsidP="00DD579A">
            <w:pPr>
              <w:pStyle w:val="GTCTitle"/>
              <w:spacing w:before="0" w:after="0"/>
              <w:jc w:val="center"/>
              <w:rPr>
                <w:b w:val="0"/>
                <w:sz w:val="20"/>
                <w:szCs w:val="20"/>
              </w:rPr>
            </w:pPr>
            <w:r>
              <w:rPr>
                <w:b w:val="0"/>
                <w:sz w:val="20"/>
                <w:szCs w:val="20"/>
              </w:rPr>
              <w:t>0</w:t>
            </w:r>
          </w:p>
        </w:tc>
        <w:tc>
          <w:tcPr>
            <w:tcW w:w="1260" w:type="dxa"/>
            <w:shd w:val="clear" w:color="auto" w:fill="auto"/>
          </w:tcPr>
          <w:p w14:paraId="610E606B" w14:textId="77777777" w:rsidR="00DD579A" w:rsidRPr="00B9099F" w:rsidRDefault="00DD579A" w:rsidP="007E4622">
            <w:pPr>
              <w:pStyle w:val="GTCTitle"/>
              <w:spacing w:before="0" w:after="0"/>
              <w:jc w:val="center"/>
              <w:rPr>
                <w:b w:val="0"/>
                <w:sz w:val="20"/>
                <w:szCs w:val="20"/>
              </w:rPr>
            </w:pPr>
          </w:p>
          <w:p w14:paraId="2865C546" w14:textId="7BB1DA50" w:rsidR="00DD579A" w:rsidRPr="00B9099F" w:rsidRDefault="00DD579A" w:rsidP="00DD579A">
            <w:pPr>
              <w:pStyle w:val="GTCTitle"/>
              <w:spacing w:before="0" w:after="0"/>
              <w:jc w:val="center"/>
              <w:rPr>
                <w:b w:val="0"/>
                <w:sz w:val="20"/>
                <w:szCs w:val="20"/>
              </w:rPr>
            </w:pPr>
            <w:r>
              <w:rPr>
                <w:b w:val="0"/>
                <w:sz w:val="20"/>
                <w:szCs w:val="20"/>
              </w:rPr>
              <w:t>0</w:t>
            </w:r>
          </w:p>
        </w:tc>
        <w:tc>
          <w:tcPr>
            <w:tcW w:w="1440" w:type="dxa"/>
          </w:tcPr>
          <w:p w14:paraId="634DE0B3" w14:textId="77777777" w:rsidR="00DD579A" w:rsidRDefault="00DD579A" w:rsidP="007E4622">
            <w:pPr>
              <w:pStyle w:val="GTCTitle"/>
              <w:spacing w:before="0" w:after="0"/>
              <w:jc w:val="center"/>
              <w:rPr>
                <w:b w:val="0"/>
                <w:sz w:val="20"/>
                <w:szCs w:val="20"/>
              </w:rPr>
            </w:pPr>
          </w:p>
          <w:p w14:paraId="569F2334" w14:textId="166CBE84" w:rsidR="00DD579A" w:rsidRPr="00B9099F" w:rsidRDefault="00DD579A" w:rsidP="00DD579A">
            <w:pPr>
              <w:pStyle w:val="GTCTitle"/>
              <w:spacing w:before="0" w:after="0"/>
              <w:jc w:val="center"/>
              <w:rPr>
                <w:b w:val="0"/>
                <w:sz w:val="20"/>
                <w:szCs w:val="20"/>
              </w:rPr>
            </w:pPr>
            <w:r>
              <w:rPr>
                <w:b w:val="0"/>
                <w:sz w:val="20"/>
                <w:szCs w:val="20"/>
              </w:rPr>
              <w:t>2 (2%)</w:t>
            </w:r>
          </w:p>
        </w:tc>
        <w:tc>
          <w:tcPr>
            <w:tcW w:w="1260" w:type="dxa"/>
          </w:tcPr>
          <w:p w14:paraId="32166147" w14:textId="77777777" w:rsidR="00DD579A" w:rsidRDefault="00DD579A" w:rsidP="007E4622">
            <w:pPr>
              <w:pStyle w:val="GTCTitle"/>
              <w:spacing w:before="0" w:after="0"/>
              <w:jc w:val="center"/>
              <w:rPr>
                <w:b w:val="0"/>
                <w:sz w:val="20"/>
                <w:szCs w:val="20"/>
              </w:rPr>
            </w:pPr>
          </w:p>
          <w:p w14:paraId="69158C33" w14:textId="3CD8D150" w:rsidR="00DD579A" w:rsidRPr="00B9099F" w:rsidRDefault="00DD579A" w:rsidP="00DD579A">
            <w:pPr>
              <w:pStyle w:val="GTCTitle"/>
              <w:spacing w:before="0" w:after="0"/>
              <w:jc w:val="center"/>
              <w:rPr>
                <w:b w:val="0"/>
                <w:sz w:val="20"/>
                <w:szCs w:val="20"/>
              </w:rPr>
            </w:pPr>
            <w:r>
              <w:rPr>
                <w:b w:val="0"/>
                <w:sz w:val="20"/>
                <w:szCs w:val="20"/>
              </w:rPr>
              <w:t>2 (4%)</w:t>
            </w:r>
          </w:p>
        </w:tc>
      </w:tr>
      <w:tr w:rsidR="00DD579A" w:rsidRPr="00B9099F" w14:paraId="6ECBCB99" w14:textId="77777777" w:rsidTr="00125BF0">
        <w:tc>
          <w:tcPr>
            <w:tcW w:w="1980" w:type="dxa"/>
            <w:shd w:val="clear" w:color="auto" w:fill="auto"/>
          </w:tcPr>
          <w:p w14:paraId="4652587A" w14:textId="77777777" w:rsidR="00DD579A" w:rsidRDefault="00DD579A" w:rsidP="007E4622">
            <w:pPr>
              <w:pStyle w:val="GTCTitle"/>
              <w:spacing w:before="0" w:after="0"/>
              <w:jc w:val="left"/>
              <w:rPr>
                <w:b w:val="0"/>
                <w:sz w:val="20"/>
                <w:szCs w:val="20"/>
              </w:rPr>
            </w:pPr>
            <w:r>
              <w:rPr>
                <w:b w:val="0"/>
                <w:sz w:val="20"/>
                <w:szCs w:val="20"/>
              </w:rPr>
              <w:t>Tachycardia</w:t>
            </w:r>
          </w:p>
        </w:tc>
        <w:tc>
          <w:tcPr>
            <w:tcW w:w="1829" w:type="dxa"/>
            <w:shd w:val="clear" w:color="auto" w:fill="auto"/>
          </w:tcPr>
          <w:p w14:paraId="3BDA01EA" w14:textId="6F1A5A7A" w:rsidR="00DD579A" w:rsidRDefault="00DD579A" w:rsidP="00DD579A">
            <w:pPr>
              <w:pStyle w:val="GTCTitle"/>
              <w:spacing w:before="0" w:after="0"/>
              <w:jc w:val="center"/>
              <w:rPr>
                <w:b w:val="0"/>
                <w:sz w:val="20"/>
                <w:szCs w:val="20"/>
              </w:rPr>
            </w:pPr>
            <w:r>
              <w:rPr>
                <w:b w:val="0"/>
                <w:sz w:val="20"/>
                <w:szCs w:val="20"/>
              </w:rPr>
              <w:t>1 (5%)</w:t>
            </w:r>
          </w:p>
        </w:tc>
        <w:tc>
          <w:tcPr>
            <w:tcW w:w="1260" w:type="dxa"/>
            <w:shd w:val="clear" w:color="auto" w:fill="auto"/>
          </w:tcPr>
          <w:p w14:paraId="48785EA9" w14:textId="38AF915B" w:rsidR="00DD579A" w:rsidRDefault="00DD579A" w:rsidP="00DD579A">
            <w:pPr>
              <w:pStyle w:val="GTCTitle"/>
              <w:spacing w:before="0" w:after="0"/>
              <w:jc w:val="center"/>
              <w:rPr>
                <w:b w:val="0"/>
                <w:sz w:val="20"/>
                <w:szCs w:val="20"/>
              </w:rPr>
            </w:pPr>
            <w:r>
              <w:rPr>
                <w:b w:val="0"/>
                <w:sz w:val="20"/>
                <w:szCs w:val="20"/>
              </w:rPr>
              <w:t>0</w:t>
            </w:r>
          </w:p>
        </w:tc>
        <w:tc>
          <w:tcPr>
            <w:tcW w:w="1260" w:type="dxa"/>
            <w:shd w:val="clear" w:color="auto" w:fill="auto"/>
          </w:tcPr>
          <w:p w14:paraId="06620F4E" w14:textId="5CD937DD" w:rsidR="00DD579A" w:rsidRDefault="00DD579A" w:rsidP="00DD579A">
            <w:pPr>
              <w:pStyle w:val="GTCTitle"/>
              <w:spacing w:before="0" w:after="0"/>
              <w:jc w:val="center"/>
              <w:rPr>
                <w:b w:val="0"/>
                <w:sz w:val="20"/>
                <w:szCs w:val="20"/>
              </w:rPr>
            </w:pPr>
            <w:r>
              <w:rPr>
                <w:b w:val="0"/>
                <w:sz w:val="20"/>
                <w:szCs w:val="20"/>
              </w:rPr>
              <w:t>1 (1%)</w:t>
            </w:r>
          </w:p>
        </w:tc>
        <w:tc>
          <w:tcPr>
            <w:tcW w:w="1440" w:type="dxa"/>
          </w:tcPr>
          <w:p w14:paraId="289194D8" w14:textId="646B3BC0" w:rsidR="00DD579A" w:rsidRDefault="00DD579A" w:rsidP="00DD579A">
            <w:pPr>
              <w:pStyle w:val="GTCTitle"/>
              <w:spacing w:before="0" w:after="0"/>
              <w:jc w:val="center"/>
              <w:rPr>
                <w:b w:val="0"/>
                <w:sz w:val="20"/>
                <w:szCs w:val="20"/>
              </w:rPr>
            </w:pPr>
            <w:r>
              <w:rPr>
                <w:b w:val="0"/>
                <w:sz w:val="20"/>
                <w:szCs w:val="20"/>
              </w:rPr>
              <w:t>1 (1%)</w:t>
            </w:r>
          </w:p>
        </w:tc>
        <w:tc>
          <w:tcPr>
            <w:tcW w:w="1260" w:type="dxa"/>
          </w:tcPr>
          <w:p w14:paraId="6D22E583" w14:textId="2E055637" w:rsidR="00DD579A" w:rsidRDefault="00DD579A" w:rsidP="00DD579A">
            <w:pPr>
              <w:pStyle w:val="GTCTitle"/>
              <w:spacing w:before="0" w:after="0"/>
              <w:jc w:val="center"/>
              <w:rPr>
                <w:b w:val="0"/>
                <w:sz w:val="20"/>
                <w:szCs w:val="20"/>
              </w:rPr>
            </w:pPr>
            <w:r>
              <w:rPr>
                <w:b w:val="0"/>
                <w:sz w:val="20"/>
                <w:szCs w:val="20"/>
              </w:rPr>
              <w:t>1 (2%)</w:t>
            </w:r>
          </w:p>
        </w:tc>
      </w:tr>
      <w:tr w:rsidR="00DD579A" w:rsidRPr="00B9099F" w14:paraId="7F9598B3" w14:textId="77777777" w:rsidTr="00125BF0">
        <w:tc>
          <w:tcPr>
            <w:tcW w:w="1980" w:type="dxa"/>
            <w:shd w:val="clear" w:color="auto" w:fill="auto"/>
          </w:tcPr>
          <w:p w14:paraId="518752B7" w14:textId="77777777" w:rsidR="00DD579A" w:rsidRDefault="00DD579A" w:rsidP="007E4622">
            <w:pPr>
              <w:pStyle w:val="GTCTitle"/>
              <w:spacing w:before="0" w:after="0"/>
              <w:jc w:val="left"/>
              <w:rPr>
                <w:b w:val="0"/>
                <w:sz w:val="20"/>
                <w:szCs w:val="20"/>
              </w:rPr>
            </w:pPr>
            <w:r>
              <w:rPr>
                <w:b w:val="0"/>
                <w:sz w:val="20"/>
                <w:szCs w:val="20"/>
              </w:rPr>
              <w:t>Vomiting</w:t>
            </w:r>
          </w:p>
        </w:tc>
        <w:tc>
          <w:tcPr>
            <w:tcW w:w="1829" w:type="dxa"/>
            <w:shd w:val="clear" w:color="auto" w:fill="auto"/>
          </w:tcPr>
          <w:p w14:paraId="33FFF2E9" w14:textId="77777777" w:rsidR="00DD579A" w:rsidRDefault="00DD579A" w:rsidP="007E4622">
            <w:pPr>
              <w:pStyle w:val="GTCTitle"/>
              <w:spacing w:before="0" w:after="0"/>
              <w:jc w:val="center"/>
              <w:rPr>
                <w:b w:val="0"/>
                <w:sz w:val="20"/>
                <w:szCs w:val="20"/>
              </w:rPr>
            </w:pPr>
            <w:r>
              <w:rPr>
                <w:b w:val="0"/>
                <w:sz w:val="20"/>
                <w:szCs w:val="20"/>
              </w:rPr>
              <w:t>0</w:t>
            </w:r>
          </w:p>
        </w:tc>
        <w:tc>
          <w:tcPr>
            <w:tcW w:w="1260" w:type="dxa"/>
            <w:shd w:val="clear" w:color="auto" w:fill="auto"/>
          </w:tcPr>
          <w:p w14:paraId="69E5FD8A" w14:textId="77777777" w:rsidR="00DD579A" w:rsidRDefault="00DD579A" w:rsidP="007E4622">
            <w:pPr>
              <w:pStyle w:val="GTCTitle"/>
              <w:spacing w:before="0" w:after="0"/>
              <w:jc w:val="center"/>
              <w:rPr>
                <w:b w:val="0"/>
                <w:sz w:val="20"/>
                <w:szCs w:val="20"/>
              </w:rPr>
            </w:pPr>
            <w:r>
              <w:rPr>
                <w:b w:val="0"/>
                <w:sz w:val="20"/>
                <w:szCs w:val="20"/>
              </w:rPr>
              <w:t xml:space="preserve">1 </w:t>
            </w:r>
            <w:r w:rsidRPr="00085BFB">
              <w:rPr>
                <w:b w:val="0"/>
                <w:sz w:val="20"/>
                <w:szCs w:val="20"/>
              </w:rPr>
              <w:t>(5</w:t>
            </w:r>
            <w:r>
              <w:rPr>
                <w:b w:val="0"/>
                <w:sz w:val="20"/>
                <w:szCs w:val="20"/>
              </w:rPr>
              <w:t>%)</w:t>
            </w:r>
          </w:p>
        </w:tc>
        <w:tc>
          <w:tcPr>
            <w:tcW w:w="1260" w:type="dxa"/>
            <w:shd w:val="clear" w:color="auto" w:fill="auto"/>
          </w:tcPr>
          <w:p w14:paraId="65DEB259" w14:textId="77777777" w:rsidR="00DD579A" w:rsidRDefault="00DD579A" w:rsidP="007E4622">
            <w:pPr>
              <w:pStyle w:val="GTCTitle"/>
              <w:spacing w:before="0" w:after="0"/>
              <w:jc w:val="center"/>
              <w:rPr>
                <w:b w:val="0"/>
                <w:sz w:val="20"/>
                <w:szCs w:val="20"/>
              </w:rPr>
            </w:pPr>
            <w:r>
              <w:rPr>
                <w:b w:val="0"/>
                <w:sz w:val="20"/>
                <w:szCs w:val="20"/>
              </w:rPr>
              <w:t>0</w:t>
            </w:r>
          </w:p>
        </w:tc>
        <w:tc>
          <w:tcPr>
            <w:tcW w:w="1440" w:type="dxa"/>
          </w:tcPr>
          <w:p w14:paraId="0F422927" w14:textId="77777777" w:rsidR="00DD579A" w:rsidRDefault="00DD579A" w:rsidP="007E4622">
            <w:pPr>
              <w:pStyle w:val="GTCTitle"/>
              <w:spacing w:before="0" w:after="0"/>
              <w:jc w:val="center"/>
              <w:rPr>
                <w:b w:val="0"/>
                <w:sz w:val="20"/>
                <w:szCs w:val="20"/>
              </w:rPr>
            </w:pPr>
            <w:r>
              <w:rPr>
                <w:b w:val="0"/>
                <w:sz w:val="20"/>
                <w:szCs w:val="20"/>
              </w:rPr>
              <w:t>2 (2%)</w:t>
            </w:r>
          </w:p>
        </w:tc>
        <w:tc>
          <w:tcPr>
            <w:tcW w:w="1260" w:type="dxa"/>
          </w:tcPr>
          <w:p w14:paraId="3FF0450B" w14:textId="3DF936B5" w:rsidR="00DD579A" w:rsidRDefault="00DD579A" w:rsidP="00DD579A">
            <w:pPr>
              <w:pStyle w:val="GTCTitle"/>
              <w:spacing w:before="0" w:after="0"/>
              <w:jc w:val="center"/>
              <w:rPr>
                <w:b w:val="0"/>
                <w:sz w:val="20"/>
                <w:szCs w:val="20"/>
              </w:rPr>
            </w:pPr>
            <w:r>
              <w:rPr>
                <w:b w:val="0"/>
                <w:sz w:val="20"/>
                <w:szCs w:val="20"/>
              </w:rPr>
              <w:t>0</w:t>
            </w:r>
          </w:p>
        </w:tc>
      </w:tr>
      <w:tr w:rsidR="00DD579A" w:rsidRPr="00B9099F" w14:paraId="1E30BC37" w14:textId="77777777" w:rsidTr="00125BF0">
        <w:tc>
          <w:tcPr>
            <w:tcW w:w="1980" w:type="dxa"/>
            <w:shd w:val="clear" w:color="auto" w:fill="auto"/>
          </w:tcPr>
          <w:p w14:paraId="66BCB17D" w14:textId="77777777" w:rsidR="00DD579A" w:rsidRDefault="00DD579A" w:rsidP="007E4622">
            <w:pPr>
              <w:pStyle w:val="GTCTitle"/>
              <w:spacing w:before="0" w:after="0"/>
              <w:jc w:val="left"/>
              <w:rPr>
                <w:b w:val="0"/>
                <w:sz w:val="20"/>
                <w:szCs w:val="20"/>
              </w:rPr>
            </w:pPr>
            <w:r>
              <w:rPr>
                <w:b w:val="0"/>
                <w:sz w:val="20"/>
                <w:szCs w:val="20"/>
              </w:rPr>
              <w:t>Pyrexia</w:t>
            </w:r>
          </w:p>
        </w:tc>
        <w:tc>
          <w:tcPr>
            <w:tcW w:w="1829" w:type="dxa"/>
            <w:shd w:val="clear" w:color="auto" w:fill="auto"/>
          </w:tcPr>
          <w:p w14:paraId="6FF204F0" w14:textId="77777777" w:rsidR="00DD579A" w:rsidRDefault="00DD579A" w:rsidP="007E4622">
            <w:pPr>
              <w:pStyle w:val="GTCTitle"/>
              <w:spacing w:before="0" w:after="0"/>
              <w:jc w:val="center"/>
              <w:rPr>
                <w:b w:val="0"/>
                <w:sz w:val="20"/>
                <w:szCs w:val="20"/>
              </w:rPr>
            </w:pPr>
            <w:r>
              <w:rPr>
                <w:b w:val="0"/>
                <w:sz w:val="20"/>
                <w:szCs w:val="20"/>
              </w:rPr>
              <w:t>1 (5%)</w:t>
            </w:r>
          </w:p>
        </w:tc>
        <w:tc>
          <w:tcPr>
            <w:tcW w:w="1260" w:type="dxa"/>
            <w:shd w:val="clear" w:color="auto" w:fill="auto"/>
          </w:tcPr>
          <w:p w14:paraId="32B4670C" w14:textId="77777777" w:rsidR="00DD579A" w:rsidRDefault="00DD579A" w:rsidP="007E4622">
            <w:pPr>
              <w:pStyle w:val="GTCTitle"/>
              <w:spacing w:before="0" w:after="0"/>
              <w:jc w:val="center"/>
              <w:rPr>
                <w:b w:val="0"/>
                <w:sz w:val="20"/>
                <w:szCs w:val="20"/>
              </w:rPr>
            </w:pPr>
            <w:r>
              <w:rPr>
                <w:b w:val="0"/>
                <w:sz w:val="20"/>
                <w:szCs w:val="20"/>
              </w:rPr>
              <w:t>0</w:t>
            </w:r>
          </w:p>
        </w:tc>
        <w:tc>
          <w:tcPr>
            <w:tcW w:w="1260" w:type="dxa"/>
            <w:shd w:val="clear" w:color="auto" w:fill="auto"/>
          </w:tcPr>
          <w:p w14:paraId="4DE1F493" w14:textId="77777777" w:rsidR="00DD579A" w:rsidRDefault="00DD579A" w:rsidP="007E4622">
            <w:pPr>
              <w:pStyle w:val="GTCTitle"/>
              <w:spacing w:before="0" w:after="0"/>
              <w:jc w:val="center"/>
              <w:rPr>
                <w:b w:val="0"/>
                <w:sz w:val="20"/>
                <w:szCs w:val="20"/>
              </w:rPr>
            </w:pPr>
            <w:r>
              <w:rPr>
                <w:b w:val="0"/>
                <w:sz w:val="20"/>
                <w:szCs w:val="20"/>
              </w:rPr>
              <w:t>2 (3%)</w:t>
            </w:r>
          </w:p>
        </w:tc>
        <w:tc>
          <w:tcPr>
            <w:tcW w:w="1440" w:type="dxa"/>
          </w:tcPr>
          <w:p w14:paraId="70709499" w14:textId="77777777" w:rsidR="00DD579A" w:rsidRDefault="00DD579A" w:rsidP="007E4622">
            <w:pPr>
              <w:pStyle w:val="GTCTitle"/>
              <w:spacing w:before="0" w:after="0"/>
              <w:jc w:val="center"/>
              <w:rPr>
                <w:b w:val="0"/>
                <w:sz w:val="20"/>
                <w:szCs w:val="20"/>
              </w:rPr>
            </w:pPr>
            <w:r>
              <w:rPr>
                <w:b w:val="0"/>
                <w:sz w:val="20"/>
                <w:szCs w:val="20"/>
              </w:rPr>
              <w:t>6 (7%)</w:t>
            </w:r>
          </w:p>
        </w:tc>
        <w:tc>
          <w:tcPr>
            <w:tcW w:w="1260" w:type="dxa"/>
          </w:tcPr>
          <w:p w14:paraId="2A01B2AF" w14:textId="77777777" w:rsidR="00DD579A" w:rsidRDefault="00DD579A" w:rsidP="007E4622">
            <w:pPr>
              <w:pStyle w:val="GTCTitle"/>
              <w:spacing w:before="0" w:after="0"/>
              <w:jc w:val="center"/>
              <w:rPr>
                <w:b w:val="0"/>
                <w:sz w:val="20"/>
                <w:szCs w:val="20"/>
              </w:rPr>
            </w:pPr>
            <w:r>
              <w:rPr>
                <w:b w:val="0"/>
                <w:sz w:val="20"/>
                <w:szCs w:val="20"/>
              </w:rPr>
              <w:t>0</w:t>
            </w:r>
          </w:p>
        </w:tc>
      </w:tr>
      <w:tr w:rsidR="00DD579A" w:rsidRPr="00B9099F" w14:paraId="27F945B1" w14:textId="77777777" w:rsidTr="00125BF0">
        <w:tc>
          <w:tcPr>
            <w:tcW w:w="1980" w:type="dxa"/>
            <w:shd w:val="clear" w:color="auto" w:fill="auto"/>
          </w:tcPr>
          <w:p w14:paraId="3C6B458D" w14:textId="77777777" w:rsidR="00DD579A" w:rsidRDefault="00DD579A" w:rsidP="007E4622">
            <w:pPr>
              <w:pStyle w:val="GTCTitle"/>
              <w:spacing w:before="0" w:after="0"/>
              <w:jc w:val="left"/>
              <w:rPr>
                <w:b w:val="0"/>
                <w:sz w:val="20"/>
                <w:szCs w:val="20"/>
              </w:rPr>
            </w:pPr>
            <w:r>
              <w:rPr>
                <w:b w:val="0"/>
                <w:sz w:val="20"/>
                <w:szCs w:val="20"/>
              </w:rPr>
              <w:t>Back pain*</w:t>
            </w:r>
          </w:p>
          <w:p w14:paraId="1D2A26A1" w14:textId="6C16C034" w:rsidR="00DD579A" w:rsidRDefault="00DD579A" w:rsidP="007E4622">
            <w:pPr>
              <w:pStyle w:val="GTCTitle"/>
              <w:spacing w:before="0" w:after="0"/>
              <w:jc w:val="left"/>
              <w:rPr>
                <w:b w:val="0"/>
                <w:sz w:val="20"/>
                <w:szCs w:val="20"/>
              </w:rPr>
            </w:pPr>
            <w:r>
              <w:rPr>
                <w:b w:val="0"/>
                <w:sz w:val="20"/>
                <w:szCs w:val="20"/>
              </w:rPr>
              <w:t>Muscular weakness</w:t>
            </w:r>
          </w:p>
        </w:tc>
        <w:tc>
          <w:tcPr>
            <w:tcW w:w="1829" w:type="dxa"/>
            <w:shd w:val="clear" w:color="auto" w:fill="auto"/>
          </w:tcPr>
          <w:p w14:paraId="75189DC4" w14:textId="77777777" w:rsidR="00DD579A" w:rsidRDefault="00DD579A" w:rsidP="007E4622">
            <w:pPr>
              <w:pStyle w:val="GTCTitle"/>
              <w:spacing w:before="0" w:after="0"/>
              <w:jc w:val="center"/>
              <w:rPr>
                <w:b w:val="0"/>
                <w:sz w:val="20"/>
                <w:szCs w:val="20"/>
              </w:rPr>
            </w:pPr>
            <w:r>
              <w:rPr>
                <w:b w:val="0"/>
                <w:sz w:val="20"/>
                <w:szCs w:val="20"/>
              </w:rPr>
              <w:t>0</w:t>
            </w:r>
          </w:p>
          <w:p w14:paraId="00A0E916" w14:textId="0B2F30AA" w:rsidR="00DD579A" w:rsidRDefault="00DD579A" w:rsidP="00132A95">
            <w:pPr>
              <w:pStyle w:val="GTCTitle"/>
              <w:spacing w:before="0" w:after="0"/>
              <w:jc w:val="center"/>
              <w:rPr>
                <w:b w:val="0"/>
                <w:sz w:val="20"/>
                <w:szCs w:val="20"/>
              </w:rPr>
            </w:pPr>
            <w:r>
              <w:rPr>
                <w:b w:val="0"/>
                <w:sz w:val="20"/>
                <w:szCs w:val="20"/>
              </w:rPr>
              <w:t>1 (5%)</w:t>
            </w:r>
          </w:p>
        </w:tc>
        <w:tc>
          <w:tcPr>
            <w:tcW w:w="1260" w:type="dxa"/>
            <w:shd w:val="clear" w:color="auto" w:fill="auto"/>
          </w:tcPr>
          <w:p w14:paraId="381A91D0" w14:textId="77777777" w:rsidR="00DD579A" w:rsidRDefault="00DD579A" w:rsidP="007E4622">
            <w:pPr>
              <w:pStyle w:val="GTCTitle"/>
              <w:spacing w:before="0" w:after="0"/>
              <w:jc w:val="center"/>
              <w:rPr>
                <w:b w:val="0"/>
                <w:sz w:val="20"/>
                <w:szCs w:val="20"/>
              </w:rPr>
            </w:pPr>
            <w:r>
              <w:rPr>
                <w:b w:val="0"/>
                <w:sz w:val="20"/>
                <w:szCs w:val="20"/>
              </w:rPr>
              <w:t>0</w:t>
            </w:r>
          </w:p>
          <w:p w14:paraId="593753C8" w14:textId="173C3B6D" w:rsidR="00DD579A" w:rsidRDefault="00DD579A" w:rsidP="00132A95">
            <w:pPr>
              <w:pStyle w:val="GTCTitle"/>
              <w:spacing w:before="0" w:after="0"/>
              <w:jc w:val="center"/>
              <w:rPr>
                <w:b w:val="0"/>
                <w:sz w:val="20"/>
                <w:szCs w:val="20"/>
              </w:rPr>
            </w:pPr>
            <w:r>
              <w:rPr>
                <w:b w:val="0"/>
                <w:sz w:val="20"/>
                <w:szCs w:val="20"/>
              </w:rPr>
              <w:t>0</w:t>
            </w:r>
          </w:p>
        </w:tc>
        <w:tc>
          <w:tcPr>
            <w:tcW w:w="1260" w:type="dxa"/>
            <w:shd w:val="clear" w:color="auto" w:fill="auto"/>
          </w:tcPr>
          <w:p w14:paraId="3A95FBBE" w14:textId="77777777" w:rsidR="00DD579A" w:rsidRDefault="00DD579A" w:rsidP="007E4622">
            <w:pPr>
              <w:pStyle w:val="GTCTitle"/>
              <w:spacing w:before="0" w:after="0"/>
              <w:jc w:val="center"/>
              <w:rPr>
                <w:b w:val="0"/>
                <w:sz w:val="20"/>
                <w:szCs w:val="20"/>
              </w:rPr>
            </w:pPr>
            <w:r>
              <w:rPr>
                <w:b w:val="0"/>
                <w:sz w:val="20"/>
                <w:szCs w:val="20"/>
              </w:rPr>
              <w:t>0</w:t>
            </w:r>
          </w:p>
          <w:p w14:paraId="1BC99D50" w14:textId="67A8ED29" w:rsidR="00DD579A" w:rsidRDefault="00DD579A" w:rsidP="00132A95">
            <w:pPr>
              <w:pStyle w:val="GTCTitle"/>
              <w:spacing w:before="0" w:after="0"/>
              <w:jc w:val="center"/>
              <w:rPr>
                <w:b w:val="0"/>
                <w:sz w:val="20"/>
                <w:szCs w:val="20"/>
              </w:rPr>
            </w:pPr>
            <w:r>
              <w:rPr>
                <w:b w:val="0"/>
                <w:sz w:val="20"/>
                <w:szCs w:val="20"/>
              </w:rPr>
              <w:t>0</w:t>
            </w:r>
          </w:p>
        </w:tc>
        <w:tc>
          <w:tcPr>
            <w:tcW w:w="1440" w:type="dxa"/>
          </w:tcPr>
          <w:p w14:paraId="20A4B92A" w14:textId="77777777" w:rsidR="00DD579A" w:rsidRDefault="00DD579A" w:rsidP="007E4622">
            <w:pPr>
              <w:pStyle w:val="GTCTitle"/>
              <w:spacing w:before="0" w:after="0"/>
              <w:jc w:val="center"/>
              <w:rPr>
                <w:b w:val="0"/>
                <w:sz w:val="20"/>
                <w:szCs w:val="20"/>
              </w:rPr>
            </w:pPr>
            <w:r>
              <w:rPr>
                <w:b w:val="0"/>
                <w:sz w:val="20"/>
                <w:szCs w:val="20"/>
              </w:rPr>
              <w:t>7 (8%)</w:t>
            </w:r>
          </w:p>
          <w:p w14:paraId="0CBB0AC7" w14:textId="2AE05C6F" w:rsidR="00DD579A" w:rsidRDefault="00DD579A" w:rsidP="00132A95">
            <w:pPr>
              <w:pStyle w:val="GTCTitle"/>
              <w:spacing w:before="0" w:after="0"/>
              <w:jc w:val="center"/>
              <w:rPr>
                <w:b w:val="0"/>
                <w:sz w:val="20"/>
                <w:szCs w:val="20"/>
              </w:rPr>
            </w:pPr>
            <w:r>
              <w:rPr>
                <w:b w:val="0"/>
                <w:sz w:val="20"/>
                <w:szCs w:val="20"/>
              </w:rPr>
              <w:t>1 (1%)</w:t>
            </w:r>
          </w:p>
        </w:tc>
        <w:tc>
          <w:tcPr>
            <w:tcW w:w="1260" w:type="dxa"/>
          </w:tcPr>
          <w:p w14:paraId="7E991A47" w14:textId="77777777" w:rsidR="00DD579A" w:rsidRDefault="00DD579A" w:rsidP="007E4622">
            <w:pPr>
              <w:pStyle w:val="GTCTitle"/>
              <w:spacing w:before="0" w:after="0"/>
              <w:jc w:val="center"/>
              <w:rPr>
                <w:b w:val="0"/>
                <w:sz w:val="20"/>
                <w:szCs w:val="20"/>
              </w:rPr>
            </w:pPr>
            <w:r>
              <w:rPr>
                <w:b w:val="0"/>
                <w:sz w:val="20"/>
                <w:szCs w:val="20"/>
              </w:rPr>
              <w:t>0</w:t>
            </w:r>
          </w:p>
          <w:p w14:paraId="49E9C361" w14:textId="5A58F02C" w:rsidR="00DD579A" w:rsidRDefault="00DD579A" w:rsidP="00132A95">
            <w:pPr>
              <w:pStyle w:val="GTCTitle"/>
              <w:spacing w:before="0" w:after="0"/>
              <w:jc w:val="center"/>
              <w:rPr>
                <w:b w:val="0"/>
                <w:sz w:val="20"/>
                <w:szCs w:val="20"/>
              </w:rPr>
            </w:pPr>
            <w:r>
              <w:rPr>
                <w:b w:val="0"/>
                <w:sz w:val="20"/>
                <w:szCs w:val="20"/>
              </w:rPr>
              <w:t>0</w:t>
            </w:r>
          </w:p>
        </w:tc>
      </w:tr>
    </w:tbl>
    <w:p w14:paraId="25742B44" w14:textId="77777777" w:rsidR="00B32E4E" w:rsidRPr="00CD79F2" w:rsidRDefault="00B32E4E" w:rsidP="00B32E4E">
      <w:pPr>
        <w:rPr>
          <w:sz w:val="20"/>
          <w:szCs w:val="20"/>
        </w:rPr>
      </w:pPr>
      <w:r w:rsidRPr="00B9099F">
        <w:rPr>
          <w:sz w:val="20"/>
          <w:szCs w:val="20"/>
        </w:rPr>
        <w:t xml:space="preserve">*Adverse events which are verbally communicated, such as those which commonly occur in the setting of lumbar puncture </w:t>
      </w:r>
      <w:proofErr w:type="gramStart"/>
      <w:r w:rsidRPr="00B9099F">
        <w:rPr>
          <w:sz w:val="20"/>
          <w:szCs w:val="20"/>
        </w:rPr>
        <w:t>procedure,</w:t>
      </w:r>
      <w:proofErr w:type="gramEnd"/>
      <w:r w:rsidRPr="00B9099F">
        <w:rPr>
          <w:sz w:val="20"/>
          <w:szCs w:val="20"/>
        </w:rPr>
        <w:t xml:space="preserve"> could not be assessed due to t</w:t>
      </w:r>
      <w:r>
        <w:rPr>
          <w:sz w:val="20"/>
          <w:szCs w:val="20"/>
        </w:rPr>
        <w:t>he infantile patient population and</w:t>
      </w:r>
      <w:r w:rsidRPr="00CD79F2">
        <w:rPr>
          <w:sz w:val="20"/>
          <w:szCs w:val="20"/>
        </w:rPr>
        <w:t xml:space="preserve"> could only be assessed in the later onset patient population.</w:t>
      </w:r>
    </w:p>
    <w:p w14:paraId="5AEB49F4" w14:textId="1B904080" w:rsidR="008B75AC" w:rsidRDefault="008B75AC" w:rsidP="008B75AC">
      <w:pPr>
        <w:rPr>
          <w:sz w:val="20"/>
          <w:szCs w:val="20"/>
        </w:rPr>
      </w:pPr>
      <w:r w:rsidRPr="00030D4A">
        <w:rPr>
          <w:sz w:val="20"/>
          <w:szCs w:val="20"/>
        </w:rPr>
        <w:t>^Events were determined as possibly drug-related by the investigator</w:t>
      </w:r>
      <w:r>
        <w:rPr>
          <w:sz w:val="20"/>
          <w:szCs w:val="20"/>
        </w:rPr>
        <w:t>.</w:t>
      </w:r>
    </w:p>
    <w:p w14:paraId="080739E2" w14:textId="209CB560" w:rsidR="00132A95" w:rsidRPr="00030D4A" w:rsidRDefault="00132A95" w:rsidP="008B75AC">
      <w:pPr>
        <w:rPr>
          <w:sz w:val="20"/>
          <w:szCs w:val="20"/>
        </w:rPr>
      </w:pPr>
      <w:r w:rsidRPr="00132A95">
        <w:rPr>
          <w:sz w:val="20"/>
          <w:szCs w:val="20"/>
          <w:vertAlign w:val="superscript"/>
        </w:rPr>
        <w:t>#</w:t>
      </w:r>
      <w:r>
        <w:rPr>
          <w:sz w:val="20"/>
          <w:szCs w:val="20"/>
        </w:rPr>
        <w:t>Events listed are those which occurred in 2 patients across all studies.</w:t>
      </w:r>
    </w:p>
    <w:p w14:paraId="70EF4C86" w14:textId="16C414E3" w:rsidR="00EC3585" w:rsidRDefault="00EC3585" w:rsidP="004C4CFE">
      <w:pPr>
        <w:keepNext/>
        <w:widowControl w:val="0"/>
        <w:rPr>
          <w:sz w:val="22"/>
          <w:szCs w:val="22"/>
        </w:rPr>
      </w:pPr>
    </w:p>
    <w:p w14:paraId="7B621902" w14:textId="77777777" w:rsidR="00EC3585" w:rsidRPr="00B9099F" w:rsidRDefault="00EC3585" w:rsidP="004C4CFE">
      <w:pPr>
        <w:keepNext/>
        <w:widowControl w:val="0"/>
        <w:rPr>
          <w:sz w:val="22"/>
          <w:szCs w:val="22"/>
        </w:rPr>
      </w:pPr>
    </w:p>
    <w:p w14:paraId="29FE0B50" w14:textId="77777777" w:rsidR="00E51F89" w:rsidRPr="00CB1E7C" w:rsidRDefault="00E51F89" w:rsidP="00E51F89">
      <w:pPr>
        <w:pStyle w:val="Heading4"/>
      </w:pPr>
      <w:r w:rsidRPr="00CB1E7C">
        <w:t>Lumbar-puncture-related events</w:t>
      </w:r>
    </w:p>
    <w:p w14:paraId="1204C379" w14:textId="77777777" w:rsidR="00E51F89" w:rsidRPr="00CB1E7C" w:rsidRDefault="00E51F89" w:rsidP="00E35F8E">
      <w:pPr>
        <w:rPr>
          <w:bCs/>
        </w:rPr>
      </w:pPr>
      <w:r w:rsidRPr="00CB1E7C">
        <w:rPr>
          <w:bCs/>
        </w:rPr>
        <w:t xml:space="preserve">Adverse events associated with the administration of </w:t>
      </w:r>
      <w:r w:rsidR="002C4C67" w:rsidRPr="00CB1E7C">
        <w:rPr>
          <w:bCs/>
        </w:rPr>
        <w:t>SPINRAZA</w:t>
      </w:r>
      <w:r w:rsidRPr="00CB1E7C">
        <w:rPr>
          <w:bCs/>
        </w:rPr>
        <w:t xml:space="preserve"> by lumbar puncture, such as headache, back pain, vomiting and post lumbar puncture syndrome, have been observed. The incidence and severity of these events were consistent with events expected to occur with lumbar puncture. N</w:t>
      </w:r>
      <w:r w:rsidRPr="00B9099F">
        <w:rPr>
          <w:bCs/>
        </w:rPr>
        <w:t>o serious complications of lumbar puncture, such as serious infections, have been observed</w:t>
      </w:r>
      <w:r w:rsidR="00D6218B" w:rsidRPr="00B9099F">
        <w:rPr>
          <w:bCs/>
        </w:rPr>
        <w:t xml:space="preserve"> in clinical studies</w:t>
      </w:r>
      <w:r w:rsidRPr="00B9099F">
        <w:rPr>
          <w:bCs/>
        </w:rPr>
        <w:t>.</w:t>
      </w:r>
    </w:p>
    <w:p w14:paraId="5BCBB067" w14:textId="77777777" w:rsidR="00E51F89" w:rsidRPr="00B9099F" w:rsidRDefault="00E51F89" w:rsidP="004C4CFE">
      <w:pPr>
        <w:keepNext/>
        <w:widowControl w:val="0"/>
        <w:rPr>
          <w:sz w:val="22"/>
          <w:szCs w:val="22"/>
        </w:rPr>
      </w:pPr>
    </w:p>
    <w:p w14:paraId="303B4925" w14:textId="77777777" w:rsidR="004C4CFE" w:rsidRPr="00B9099F" w:rsidRDefault="004C4CFE" w:rsidP="00327F0A">
      <w:pPr>
        <w:pStyle w:val="Heading4"/>
      </w:pPr>
      <w:r w:rsidRPr="00B9099F">
        <w:t>Immunogenicity</w:t>
      </w:r>
    </w:p>
    <w:p w14:paraId="6D71CF3B" w14:textId="77777777" w:rsidR="004C4CFE" w:rsidRPr="00B9099F" w:rsidRDefault="004C4CFE" w:rsidP="00CB1E7C">
      <w:pPr>
        <w:rPr>
          <w:bCs/>
        </w:rPr>
      </w:pPr>
      <w:r w:rsidRPr="00B9099F">
        <w:rPr>
          <w:bCs/>
        </w:rPr>
        <w:t xml:space="preserve">The immunogenic response to </w:t>
      </w:r>
      <w:r w:rsidR="00E51F89" w:rsidRPr="00B9099F">
        <w:rPr>
          <w:bCs/>
        </w:rPr>
        <w:t xml:space="preserve">SPINRAZA </w:t>
      </w:r>
      <w:r w:rsidRPr="00B9099F">
        <w:rPr>
          <w:bCs/>
        </w:rPr>
        <w:t>was determined in</w:t>
      </w:r>
      <w:r w:rsidR="00595511" w:rsidRPr="00B9099F">
        <w:rPr>
          <w:bCs/>
        </w:rPr>
        <w:t xml:space="preserve"> </w:t>
      </w:r>
      <w:r w:rsidR="00C61AE4" w:rsidRPr="00B9099F">
        <w:rPr>
          <w:bCs/>
        </w:rPr>
        <w:t>229</w:t>
      </w:r>
      <w:r w:rsidR="00595511" w:rsidRPr="00B9099F">
        <w:rPr>
          <w:bCs/>
        </w:rPr>
        <w:t xml:space="preserve"> patients with baseline and post-baseline plasma samples evaluated for anti-drug antibodies (ADAs)</w:t>
      </w:r>
      <w:r w:rsidRPr="00B9099F">
        <w:rPr>
          <w:bCs/>
        </w:rPr>
        <w:t xml:space="preserve">. Overall, the incidence of ADAs were low, with </w:t>
      </w:r>
      <w:r w:rsidR="00C61AE4" w:rsidRPr="00B9099F">
        <w:rPr>
          <w:bCs/>
        </w:rPr>
        <w:t>13</w:t>
      </w:r>
      <w:r w:rsidR="00E51F89" w:rsidRPr="00B9099F">
        <w:rPr>
          <w:bCs/>
        </w:rPr>
        <w:t xml:space="preserve"> (</w:t>
      </w:r>
      <w:r w:rsidR="00C61AE4" w:rsidRPr="0063576F">
        <w:rPr>
          <w:bCs/>
        </w:rPr>
        <w:t>6</w:t>
      </w:r>
      <w:r w:rsidR="00E51F89" w:rsidRPr="002963C4">
        <w:rPr>
          <w:bCs/>
        </w:rPr>
        <w:t>%)</w:t>
      </w:r>
      <w:r w:rsidRPr="00B9099F">
        <w:rPr>
          <w:bCs/>
        </w:rPr>
        <w:t xml:space="preserve"> patients developing treatment</w:t>
      </w:r>
      <w:r w:rsidRPr="00B9099F">
        <w:rPr>
          <w:bCs/>
        </w:rPr>
        <w:noBreakHyphen/>
        <w:t xml:space="preserve">emergent ADAs, of which </w:t>
      </w:r>
      <w:r w:rsidR="00C61AE4" w:rsidRPr="00B9099F">
        <w:rPr>
          <w:bCs/>
        </w:rPr>
        <w:t>2</w:t>
      </w:r>
      <w:r w:rsidRPr="00B9099F">
        <w:rPr>
          <w:bCs/>
        </w:rPr>
        <w:t xml:space="preserve"> were transient and </w:t>
      </w:r>
      <w:r w:rsidR="00C61AE4" w:rsidRPr="00B9099F">
        <w:rPr>
          <w:bCs/>
        </w:rPr>
        <w:t>5</w:t>
      </w:r>
      <w:r w:rsidR="00595511" w:rsidRPr="00B9099F">
        <w:rPr>
          <w:bCs/>
        </w:rPr>
        <w:t xml:space="preserve"> were </w:t>
      </w:r>
      <w:r w:rsidRPr="00B9099F">
        <w:rPr>
          <w:bCs/>
        </w:rPr>
        <w:t>considered to be persistent</w:t>
      </w:r>
      <w:r w:rsidR="00E51F89" w:rsidRPr="00B9099F">
        <w:rPr>
          <w:bCs/>
        </w:rPr>
        <w:t xml:space="preserve">, and </w:t>
      </w:r>
      <w:r w:rsidR="00C61AE4" w:rsidRPr="00B9099F">
        <w:rPr>
          <w:bCs/>
        </w:rPr>
        <w:t>6</w:t>
      </w:r>
      <w:r w:rsidR="00E51F89" w:rsidRPr="00B9099F">
        <w:rPr>
          <w:bCs/>
        </w:rPr>
        <w:t xml:space="preserve"> were unconfirmed at </w:t>
      </w:r>
      <w:r w:rsidR="00C61AE4" w:rsidRPr="00B9099F">
        <w:rPr>
          <w:bCs/>
        </w:rPr>
        <w:t xml:space="preserve">the </w:t>
      </w:r>
      <w:r w:rsidR="00E51F89" w:rsidRPr="00B9099F">
        <w:rPr>
          <w:bCs/>
        </w:rPr>
        <w:t xml:space="preserve">last data cut. </w:t>
      </w:r>
      <w:r w:rsidRPr="00B9099F">
        <w:rPr>
          <w:bCs/>
        </w:rPr>
        <w:t>There was no apparent effect of ADA development on clinical response, adverse events, or the pharmacokinetic profile of nusinersen.</w:t>
      </w:r>
    </w:p>
    <w:p w14:paraId="4227EC84" w14:textId="13EC0A5D" w:rsidR="004C4CFE" w:rsidRPr="00B9099F" w:rsidRDefault="004C4CFE" w:rsidP="0055588E">
      <w:pPr>
        <w:autoSpaceDE w:val="0"/>
        <w:autoSpaceDN w:val="0"/>
        <w:adjustRightInd w:val="0"/>
        <w:rPr>
          <w:rStyle w:val="Heading1Char"/>
          <w:sz w:val="24"/>
          <w:szCs w:val="24"/>
        </w:rPr>
      </w:pPr>
    </w:p>
    <w:p w14:paraId="06F58D66" w14:textId="77777777" w:rsidR="00B94292" w:rsidRPr="00CB1E7C" w:rsidRDefault="00B94292" w:rsidP="00B94292">
      <w:pPr>
        <w:autoSpaceDE w:val="0"/>
        <w:autoSpaceDN w:val="0"/>
        <w:adjustRightInd w:val="0"/>
        <w:jc w:val="left"/>
        <w:rPr>
          <w:rFonts w:cs="Arial"/>
          <w:b/>
          <w:bCs/>
          <w:i/>
          <w:color w:val="000000"/>
          <w:lang w:val="en-US"/>
        </w:rPr>
      </w:pPr>
      <w:r w:rsidRPr="00CB1E7C">
        <w:rPr>
          <w:rFonts w:cs="Arial"/>
          <w:b/>
          <w:bCs/>
          <w:i/>
          <w:color w:val="000000"/>
          <w:lang w:val="en-US"/>
        </w:rPr>
        <w:t>Post Marketing Experience</w:t>
      </w:r>
    </w:p>
    <w:p w14:paraId="2B2DD408" w14:textId="49994527" w:rsidR="00434D56" w:rsidRDefault="00B94292" w:rsidP="00CB1E7C">
      <w:pPr>
        <w:autoSpaceDE w:val="0"/>
        <w:autoSpaceDN w:val="0"/>
        <w:adjustRightInd w:val="0"/>
        <w:jc w:val="left"/>
        <w:rPr>
          <w:rStyle w:val="Heading1Char"/>
          <w:sz w:val="24"/>
          <w:szCs w:val="24"/>
        </w:rPr>
      </w:pPr>
      <w:r w:rsidRPr="00CB1E7C">
        <w:rPr>
          <w:bCs/>
        </w:rPr>
        <w:t>Adverse events associated with th</w:t>
      </w:r>
      <w:r w:rsidRPr="00B9099F">
        <w:rPr>
          <w:bCs/>
        </w:rPr>
        <w:t>e administration of SPINRAZA</w:t>
      </w:r>
      <w:r w:rsidRPr="00CB1E7C">
        <w:rPr>
          <w:bCs/>
        </w:rPr>
        <w:t xml:space="preserve"> by lumbar puncture have</w:t>
      </w:r>
      <w:r w:rsidRPr="00B9099F">
        <w:rPr>
          <w:bCs/>
        </w:rPr>
        <w:t xml:space="preserve"> </w:t>
      </w:r>
      <w:r w:rsidRPr="00CB1E7C">
        <w:rPr>
          <w:bCs/>
        </w:rPr>
        <w:t>been observed in the post-marketing setting, including serious infections</w:t>
      </w:r>
      <w:r w:rsidR="00C126C0" w:rsidRPr="00B9099F">
        <w:rPr>
          <w:bCs/>
        </w:rPr>
        <w:t xml:space="preserve"> and hydrocephalus</w:t>
      </w:r>
      <w:r w:rsidRPr="00CB1E7C">
        <w:rPr>
          <w:bCs/>
        </w:rPr>
        <w:t>.</w:t>
      </w:r>
    </w:p>
    <w:p w14:paraId="741F2E9B" w14:textId="77777777" w:rsidR="00434D56" w:rsidRPr="00CB1E7C" w:rsidRDefault="00434D56" w:rsidP="00CB1E7C">
      <w:pPr>
        <w:autoSpaceDE w:val="0"/>
        <w:autoSpaceDN w:val="0"/>
        <w:adjustRightInd w:val="0"/>
        <w:jc w:val="left"/>
      </w:pPr>
    </w:p>
    <w:p w14:paraId="2B94F138" w14:textId="77777777" w:rsidR="00B94292" w:rsidRPr="00B9099F" w:rsidRDefault="00B94292" w:rsidP="00125BF0">
      <w:pPr>
        <w:autoSpaceDE w:val="0"/>
        <w:autoSpaceDN w:val="0"/>
        <w:adjustRightInd w:val="0"/>
        <w:jc w:val="left"/>
        <w:rPr>
          <w:rStyle w:val="Heading1Char"/>
          <w:sz w:val="24"/>
          <w:szCs w:val="24"/>
        </w:rPr>
      </w:pPr>
    </w:p>
    <w:p w14:paraId="4B2CD5AE" w14:textId="30F1CE98" w:rsidR="00E33E7B" w:rsidRPr="00B9099F" w:rsidRDefault="000A0F9E" w:rsidP="00327F0A">
      <w:pPr>
        <w:pStyle w:val="Heading2"/>
      </w:pPr>
      <w:r w:rsidRPr="00B9099F">
        <w:t>DOSAGE AND ADMINISTRATION</w:t>
      </w:r>
    </w:p>
    <w:p w14:paraId="627C3FFC" w14:textId="3AF45540" w:rsidR="00951448" w:rsidRPr="00951448" w:rsidRDefault="00951448" w:rsidP="0021286E">
      <w:r>
        <w:t>Treatment should be initiated and supervised by specialist medical practitioners experienced in the diagnosis and management of SMA.</w:t>
      </w:r>
    </w:p>
    <w:p w14:paraId="379F5FA0" w14:textId="77777777" w:rsidR="00951448" w:rsidRDefault="00951448" w:rsidP="0021286E">
      <w:pPr>
        <w:rPr>
          <w:bCs/>
        </w:rPr>
      </w:pPr>
    </w:p>
    <w:p w14:paraId="120E412A" w14:textId="02C4167D" w:rsidR="0021286E" w:rsidRPr="00B9099F" w:rsidRDefault="0021286E" w:rsidP="0021286E">
      <w:pPr>
        <w:rPr>
          <w:bCs/>
        </w:rPr>
      </w:pPr>
      <w:r w:rsidRPr="00B9099F">
        <w:rPr>
          <w:bCs/>
        </w:rPr>
        <w:lastRenderedPageBreak/>
        <w:t xml:space="preserve">Treatment should be administered by health care professionals experienced in performing lumbar punctures. </w:t>
      </w:r>
    </w:p>
    <w:p w14:paraId="47E6B0A3" w14:textId="77777777" w:rsidR="0021286E" w:rsidRPr="00B9099F" w:rsidRDefault="0021286E" w:rsidP="0021286E">
      <w:pPr>
        <w:rPr>
          <w:bCs/>
        </w:rPr>
      </w:pPr>
    </w:p>
    <w:p w14:paraId="6B3DF0CA" w14:textId="4FE2F47A" w:rsidR="00951448" w:rsidRPr="00CB1E7C" w:rsidRDefault="0021286E" w:rsidP="0021286E">
      <w:r w:rsidRPr="00B9099F">
        <w:t xml:space="preserve">SPINRAZA </w:t>
      </w:r>
      <w:r w:rsidRPr="00B9099F">
        <w:rPr>
          <w:bCs/>
        </w:rPr>
        <w:t>is for intrathecal use by lumbar puncture.</w:t>
      </w:r>
      <w:r w:rsidRPr="00B9099F">
        <w:t xml:space="preserve"> </w:t>
      </w:r>
    </w:p>
    <w:p w14:paraId="16E006FB" w14:textId="77777777" w:rsidR="00E83A27" w:rsidRPr="00B9099F" w:rsidRDefault="00E83A27">
      <w:pPr>
        <w:autoSpaceDE w:val="0"/>
        <w:autoSpaceDN w:val="0"/>
        <w:adjustRightInd w:val="0"/>
        <w:rPr>
          <w:rFonts w:cs="Arial"/>
        </w:rPr>
      </w:pPr>
    </w:p>
    <w:p w14:paraId="2B788ED8" w14:textId="77777777" w:rsidR="0021286E" w:rsidRPr="00B9099F" w:rsidRDefault="0021286E" w:rsidP="0021286E">
      <w:pPr>
        <w:pStyle w:val="Heading3"/>
      </w:pPr>
      <w:r w:rsidRPr="00B9099F">
        <w:t xml:space="preserve">Dosing regimen </w:t>
      </w:r>
    </w:p>
    <w:p w14:paraId="45731CF3" w14:textId="60A20CD0" w:rsidR="004C4CFE" w:rsidRPr="00B9099F" w:rsidRDefault="00E5784C" w:rsidP="00CB1E7C">
      <w:r w:rsidRPr="00B9099F">
        <w:rPr>
          <w:bCs/>
        </w:rPr>
        <w:t xml:space="preserve">The recommended dosage is 12 mg (5 mL) per administration. Initiate </w:t>
      </w:r>
      <w:r w:rsidRPr="00B9099F">
        <w:rPr>
          <w:lang w:val="en-GB"/>
        </w:rPr>
        <w:t>SPINRAZA</w:t>
      </w:r>
      <w:r w:rsidRPr="00B9099F">
        <w:rPr>
          <w:bCs/>
        </w:rPr>
        <w:t xml:space="preserve"> treatment as early as possible after diagnosis with 4 loading doses on Days 0, 14, 28, and 63. A maintenance dose should be administered once every 4 months thereafter. </w:t>
      </w:r>
      <w:r w:rsidR="0021286E" w:rsidRPr="00B9099F">
        <w:rPr>
          <w:bCs/>
        </w:rPr>
        <w:t xml:space="preserve">(See </w:t>
      </w:r>
      <w:r w:rsidR="0021286E" w:rsidRPr="00B9099F">
        <w:rPr>
          <w:bCs/>
          <w:i/>
        </w:rPr>
        <w:t>Special dosage instructions</w:t>
      </w:r>
      <w:r w:rsidR="00F13AB9" w:rsidRPr="00B9099F">
        <w:rPr>
          <w:bCs/>
          <w:i/>
        </w:rPr>
        <w:t xml:space="preserve"> for intrathecal administration</w:t>
      </w:r>
      <w:r w:rsidR="0021286E" w:rsidRPr="00B9099F">
        <w:rPr>
          <w:bCs/>
        </w:rPr>
        <w:t xml:space="preserve">). </w:t>
      </w:r>
    </w:p>
    <w:p w14:paraId="6C2A68B2" w14:textId="77777777" w:rsidR="006F475F" w:rsidRPr="00B9099F" w:rsidRDefault="006F475F" w:rsidP="0060012B">
      <w:pPr>
        <w:autoSpaceDE w:val="0"/>
        <w:autoSpaceDN w:val="0"/>
        <w:adjustRightInd w:val="0"/>
        <w:rPr>
          <w:rFonts w:cs="Arial"/>
        </w:rPr>
      </w:pPr>
    </w:p>
    <w:p w14:paraId="31FF6D60" w14:textId="77777777" w:rsidR="0021286E" w:rsidRPr="00B9099F" w:rsidRDefault="0021286E" w:rsidP="0021286E">
      <w:pPr>
        <w:pStyle w:val="Heading3"/>
        <w:rPr>
          <w:lang w:val="en-GB"/>
        </w:rPr>
      </w:pPr>
      <w:r w:rsidRPr="00B9099F">
        <w:rPr>
          <w:lang w:val="en-GB"/>
        </w:rPr>
        <w:t>Dose delay</w:t>
      </w:r>
    </w:p>
    <w:p w14:paraId="2F13C754" w14:textId="77777777" w:rsidR="0021286E" w:rsidRPr="00B9099F" w:rsidRDefault="0021286E" w:rsidP="0021286E">
      <w:pPr>
        <w:rPr>
          <w:lang w:val="en-GB"/>
        </w:rPr>
      </w:pPr>
      <w:r w:rsidRPr="00B9099F">
        <w:rPr>
          <w:lang w:val="en-GB"/>
        </w:rPr>
        <w:t>If a loading dose is delayed or missed SPINRAZA should be administered as soon as possible, with at least 14 days between doses, and dosing continued</w:t>
      </w:r>
      <w:r w:rsidRPr="00B9099F" w:rsidDel="006A16C5">
        <w:rPr>
          <w:lang w:val="en-GB"/>
        </w:rPr>
        <w:t xml:space="preserve"> </w:t>
      </w:r>
      <w:r w:rsidRPr="00B9099F">
        <w:rPr>
          <w:lang w:val="en-GB"/>
        </w:rPr>
        <w:t>at the prescribed dosing frequency.</w:t>
      </w:r>
    </w:p>
    <w:p w14:paraId="24D2B7FC" w14:textId="77777777" w:rsidR="0021286E" w:rsidRPr="00B9099F" w:rsidRDefault="0021286E" w:rsidP="0021286E">
      <w:pPr>
        <w:rPr>
          <w:lang w:val="en-GB"/>
        </w:rPr>
      </w:pPr>
    </w:p>
    <w:p w14:paraId="42E9098D" w14:textId="77777777" w:rsidR="0021286E" w:rsidRPr="00B9099F" w:rsidRDefault="0021286E" w:rsidP="0021286E">
      <w:pPr>
        <w:rPr>
          <w:lang w:val="en-GB"/>
        </w:rPr>
      </w:pPr>
      <w:r w:rsidRPr="00B9099F">
        <w:rPr>
          <w:lang w:val="en-GB"/>
        </w:rPr>
        <w:t>In the maintenance phase, if a planned dose is delayed or missed SPINRAZA should be administered as soon as possible and dosing continued</w:t>
      </w:r>
      <w:r w:rsidRPr="00B9099F" w:rsidDel="006A16C5">
        <w:rPr>
          <w:lang w:val="en-GB"/>
        </w:rPr>
        <w:t xml:space="preserve"> </w:t>
      </w:r>
      <w:r w:rsidRPr="00B9099F">
        <w:rPr>
          <w:lang w:val="en-GB"/>
        </w:rPr>
        <w:t>at the prescribed dosing frequency.</w:t>
      </w:r>
    </w:p>
    <w:p w14:paraId="0120393F" w14:textId="77777777" w:rsidR="006F3883" w:rsidRPr="00B9099F" w:rsidRDefault="006F3883" w:rsidP="0060012B">
      <w:pPr>
        <w:autoSpaceDE w:val="0"/>
        <w:autoSpaceDN w:val="0"/>
        <w:adjustRightInd w:val="0"/>
        <w:rPr>
          <w:rFonts w:cs="Arial"/>
        </w:rPr>
      </w:pPr>
    </w:p>
    <w:p w14:paraId="4C40E341" w14:textId="77777777" w:rsidR="006F3883" w:rsidRPr="00B9099F" w:rsidRDefault="006F3883" w:rsidP="00327F0A">
      <w:pPr>
        <w:pStyle w:val="Heading3"/>
      </w:pPr>
      <w:r w:rsidRPr="00B9099F">
        <w:t>Special populations</w:t>
      </w:r>
    </w:p>
    <w:p w14:paraId="705B0562" w14:textId="77777777" w:rsidR="0046617F" w:rsidRPr="00B9099F" w:rsidRDefault="0046617F" w:rsidP="00327F0A">
      <w:pPr>
        <w:pStyle w:val="Heading5"/>
      </w:pPr>
      <w:r w:rsidRPr="00B9099F">
        <w:t>Adults</w:t>
      </w:r>
    </w:p>
    <w:p w14:paraId="6EEA84EC" w14:textId="77777777" w:rsidR="0046617F" w:rsidRPr="00B9099F" w:rsidRDefault="0046617F" w:rsidP="0046617F">
      <w:r w:rsidRPr="00B9099F">
        <w:t>There are limited data in patients over the age of 18 years.</w:t>
      </w:r>
    </w:p>
    <w:p w14:paraId="35FA498C" w14:textId="77777777" w:rsidR="0021286E" w:rsidRPr="00B9099F" w:rsidRDefault="0021286E" w:rsidP="0046617F">
      <w:pPr>
        <w:rPr>
          <w:rFonts w:cs="Arial"/>
        </w:rPr>
      </w:pPr>
    </w:p>
    <w:p w14:paraId="5DE4446B" w14:textId="77777777" w:rsidR="0046617F" w:rsidRPr="00B9099F" w:rsidRDefault="0046617F" w:rsidP="00327F0A">
      <w:pPr>
        <w:pStyle w:val="Heading5"/>
      </w:pPr>
      <w:proofErr w:type="spellStart"/>
      <w:r w:rsidRPr="00B9099F">
        <w:t>Paediatric</w:t>
      </w:r>
      <w:proofErr w:type="spellEnd"/>
    </w:p>
    <w:p w14:paraId="19219E6E" w14:textId="77777777" w:rsidR="0021286E" w:rsidRPr="00B9099F" w:rsidRDefault="0046617F" w:rsidP="0046617F">
      <w:pPr>
        <w:rPr>
          <w:rFonts w:cs="Arial"/>
        </w:rPr>
      </w:pPr>
      <w:r w:rsidRPr="00B9099F">
        <w:t xml:space="preserve">SPINRAZA has been studied in patients ranging from newborn to 17 years (See </w:t>
      </w:r>
      <w:r w:rsidRPr="00B9099F">
        <w:rPr>
          <w:i/>
        </w:rPr>
        <w:t>Clinical Trials</w:t>
      </w:r>
      <w:r w:rsidRPr="00B9099F">
        <w:t>).</w:t>
      </w:r>
    </w:p>
    <w:p w14:paraId="39C7A878" w14:textId="77777777" w:rsidR="00FB760F" w:rsidRPr="00B9099F" w:rsidRDefault="00FB760F" w:rsidP="0060012B">
      <w:pPr>
        <w:autoSpaceDE w:val="0"/>
        <w:autoSpaceDN w:val="0"/>
        <w:adjustRightInd w:val="0"/>
        <w:rPr>
          <w:rFonts w:cs="Arial"/>
          <w:b/>
          <w:i/>
        </w:rPr>
      </w:pPr>
    </w:p>
    <w:p w14:paraId="3B96DA83" w14:textId="77777777" w:rsidR="0046617F" w:rsidRPr="00B9099F" w:rsidRDefault="0046617F" w:rsidP="00327F0A">
      <w:pPr>
        <w:pStyle w:val="Heading5"/>
      </w:pPr>
      <w:r w:rsidRPr="00B9099F">
        <w:t>Use in the elderly</w:t>
      </w:r>
    </w:p>
    <w:p w14:paraId="2549A20B" w14:textId="77777777" w:rsidR="0046617F" w:rsidRPr="00B9099F" w:rsidRDefault="0046617F" w:rsidP="0046617F">
      <w:r w:rsidRPr="00B9099F">
        <w:t>There are no data in patients over the age of 65.</w:t>
      </w:r>
    </w:p>
    <w:p w14:paraId="14DA3A4B" w14:textId="77777777" w:rsidR="0046617F" w:rsidRPr="00B9099F" w:rsidRDefault="0046617F" w:rsidP="0046617F"/>
    <w:p w14:paraId="12FB0EDD" w14:textId="77777777" w:rsidR="006F475F" w:rsidRPr="00B9099F" w:rsidRDefault="006F475F" w:rsidP="00327F0A">
      <w:pPr>
        <w:pStyle w:val="Heading5"/>
      </w:pPr>
      <w:r w:rsidRPr="00B9099F">
        <w:t>Use in patients with renal impairment</w:t>
      </w:r>
    </w:p>
    <w:p w14:paraId="4475EFEE" w14:textId="77777777" w:rsidR="0046617F" w:rsidRPr="00B9099F" w:rsidRDefault="0046617F" w:rsidP="00327F0A">
      <w:r w:rsidRPr="00B9099F">
        <w:t>SPINRAZA has not been studied in patients with renal impairment.</w:t>
      </w:r>
    </w:p>
    <w:p w14:paraId="7B824769" w14:textId="77777777" w:rsidR="006F475F" w:rsidRPr="00B9099F" w:rsidRDefault="006F475F" w:rsidP="00327F0A">
      <w:pPr>
        <w:rPr>
          <w:rFonts w:cs="Arial"/>
        </w:rPr>
      </w:pPr>
    </w:p>
    <w:p w14:paraId="4FFA9210" w14:textId="77777777" w:rsidR="006F475F" w:rsidRPr="00B9099F" w:rsidRDefault="006F475F" w:rsidP="00327F0A">
      <w:pPr>
        <w:pStyle w:val="Heading5"/>
      </w:pPr>
      <w:r w:rsidRPr="00B9099F">
        <w:t>Use in patients with hepatic impairment</w:t>
      </w:r>
    </w:p>
    <w:p w14:paraId="5AC240A9" w14:textId="77777777" w:rsidR="0046617F" w:rsidRPr="00B9099F" w:rsidRDefault="0046617F" w:rsidP="0046617F">
      <w:r w:rsidRPr="00B9099F">
        <w:t xml:space="preserve">SPINRAZA has not been studied in patients with hepatic impairment. SPINRAZA is not metabolized via the cytochrome P450 enzyme system in the liver; therefore dosage adjustment is unlikely to be required in patients with hepatic impairment. (See </w:t>
      </w:r>
      <w:r w:rsidRPr="00B9099F">
        <w:rPr>
          <w:i/>
        </w:rPr>
        <w:t>Interactions with other medicines</w:t>
      </w:r>
      <w:r w:rsidRPr="00B9099F">
        <w:t xml:space="preserve"> and </w:t>
      </w:r>
      <w:r w:rsidRPr="00B9099F">
        <w:rPr>
          <w:i/>
        </w:rPr>
        <w:t>Pharmacokinetics</w:t>
      </w:r>
      <w:r w:rsidRPr="00B9099F">
        <w:t>).</w:t>
      </w:r>
    </w:p>
    <w:p w14:paraId="69376CDB" w14:textId="77777777" w:rsidR="00CD7416" w:rsidRPr="00B9099F" w:rsidRDefault="00CD7416">
      <w:pPr>
        <w:autoSpaceDE w:val="0"/>
        <w:autoSpaceDN w:val="0"/>
        <w:adjustRightInd w:val="0"/>
        <w:rPr>
          <w:rStyle w:val="Heading1Char"/>
          <w:b w:val="0"/>
          <w:bCs w:val="0"/>
          <w:kern w:val="0"/>
          <w:sz w:val="24"/>
          <w:szCs w:val="24"/>
        </w:rPr>
      </w:pPr>
    </w:p>
    <w:p w14:paraId="0E58091E" w14:textId="77777777" w:rsidR="006F3883" w:rsidRPr="00B9099F" w:rsidRDefault="006F3883" w:rsidP="00327F0A">
      <w:pPr>
        <w:pStyle w:val="Heading3"/>
      </w:pPr>
      <w:r w:rsidRPr="00B9099F">
        <w:t>Instructions for preparation</w:t>
      </w:r>
      <w:r w:rsidR="00F045BD" w:rsidRPr="00B9099F">
        <w:t xml:space="preserve"> of the injection</w:t>
      </w:r>
    </w:p>
    <w:p w14:paraId="62628B87" w14:textId="77777777" w:rsidR="006F3883" w:rsidRPr="00B9099F" w:rsidRDefault="006F3883" w:rsidP="00C82590">
      <w:pPr>
        <w:numPr>
          <w:ilvl w:val="0"/>
          <w:numId w:val="3"/>
        </w:numPr>
      </w:pPr>
      <w:r w:rsidRPr="00B9099F">
        <w:t xml:space="preserve">The </w:t>
      </w:r>
      <w:r w:rsidR="00F045BD" w:rsidRPr="00B9099F">
        <w:t>SPINRAZA</w:t>
      </w:r>
      <w:r w:rsidRPr="00B9099F">
        <w:t xml:space="preserve"> vial should be inspected for particles prior to </w:t>
      </w:r>
      <w:r w:rsidR="00C537E9" w:rsidRPr="00B9099F">
        <w:t>preparation</w:t>
      </w:r>
      <w:r w:rsidRPr="00B9099F">
        <w:t>. If particles are observed and/or the liquid in the vial is not clear and colo</w:t>
      </w:r>
      <w:r w:rsidR="00F045BD" w:rsidRPr="00B9099F">
        <w:t>u</w:t>
      </w:r>
      <w:r w:rsidRPr="00B9099F">
        <w:t>rless, the vial must not be used.</w:t>
      </w:r>
    </w:p>
    <w:p w14:paraId="798FACC1" w14:textId="77777777" w:rsidR="006F3883" w:rsidRPr="00B9099F" w:rsidRDefault="006F3883" w:rsidP="00C82590">
      <w:pPr>
        <w:numPr>
          <w:ilvl w:val="0"/>
          <w:numId w:val="3"/>
        </w:numPr>
      </w:pPr>
      <w:r w:rsidRPr="00B9099F">
        <w:t>Aseptic techniqu</w:t>
      </w:r>
      <w:r w:rsidR="00F045BD" w:rsidRPr="00B9099F">
        <w:t>e should be used when preparing SPINRAZA</w:t>
      </w:r>
      <w:r w:rsidRPr="00B9099F">
        <w:t xml:space="preserve"> solution for intrathecal administration.</w:t>
      </w:r>
    </w:p>
    <w:p w14:paraId="17E36BD7" w14:textId="77777777" w:rsidR="006F3883" w:rsidRPr="00B9099F" w:rsidRDefault="006F3883" w:rsidP="00C82590">
      <w:pPr>
        <w:numPr>
          <w:ilvl w:val="0"/>
          <w:numId w:val="3"/>
        </w:numPr>
      </w:pPr>
      <w:r w:rsidRPr="00B9099F">
        <w:t>The vial should be taken out of the refrigerator and allowed to warm to room temperature (25</w:t>
      </w:r>
      <w:r w:rsidRPr="00B9099F">
        <w:rPr>
          <w:vertAlign w:val="superscript"/>
        </w:rPr>
        <w:t>o</w:t>
      </w:r>
      <w:r w:rsidR="00F045BD" w:rsidRPr="00B9099F">
        <w:t>C</w:t>
      </w:r>
      <w:r w:rsidRPr="00B9099F">
        <w:t xml:space="preserve">) without using external heat sources, prior to administration. </w:t>
      </w:r>
    </w:p>
    <w:p w14:paraId="0AACD72C" w14:textId="77777777" w:rsidR="006F3883" w:rsidRPr="00B9099F" w:rsidRDefault="006F3883" w:rsidP="00C82590">
      <w:pPr>
        <w:numPr>
          <w:ilvl w:val="0"/>
          <w:numId w:val="3"/>
        </w:numPr>
      </w:pPr>
      <w:r w:rsidRPr="00B9099F">
        <w:lastRenderedPageBreak/>
        <w:t>If the vial remains unopened and the solution is not used, it should be returned back to the refrigerator</w:t>
      </w:r>
      <w:r w:rsidR="00C537E9" w:rsidRPr="00B9099F">
        <w:t xml:space="preserve"> (2-8</w:t>
      </w:r>
      <w:r w:rsidR="00C537E9" w:rsidRPr="00B9099F">
        <w:sym w:font="Symbol" w:char="F0B0"/>
      </w:r>
      <w:r w:rsidR="00C537E9" w:rsidRPr="00B9099F">
        <w:t>C)</w:t>
      </w:r>
      <w:r w:rsidRPr="00B9099F">
        <w:t xml:space="preserve">. </w:t>
      </w:r>
    </w:p>
    <w:p w14:paraId="23C77213" w14:textId="77777777" w:rsidR="006F3883" w:rsidRPr="00B9099F" w:rsidRDefault="006F3883" w:rsidP="00C82590">
      <w:pPr>
        <w:numPr>
          <w:ilvl w:val="0"/>
          <w:numId w:val="3"/>
        </w:numPr>
      </w:pPr>
      <w:r w:rsidRPr="00B9099F">
        <w:t xml:space="preserve">Just prior to administration, insert the syringe needle into the vial through the </w:t>
      </w:r>
      <w:proofErr w:type="spellStart"/>
      <w:r w:rsidRPr="00B9099F">
        <w:t>center</w:t>
      </w:r>
      <w:proofErr w:type="spellEnd"/>
      <w:r w:rsidRPr="00B9099F">
        <w:t xml:space="preserve"> of the over-seal to remove the appropriate volum</w:t>
      </w:r>
      <w:r w:rsidR="00F045BD" w:rsidRPr="00B9099F">
        <w:t xml:space="preserve">e (see </w:t>
      </w:r>
      <w:r w:rsidR="00F045BD" w:rsidRPr="00B9099F">
        <w:rPr>
          <w:i/>
        </w:rPr>
        <w:t>Dosing regimen and dose adjustments</w:t>
      </w:r>
      <w:r w:rsidRPr="00B9099F">
        <w:t xml:space="preserve">). </w:t>
      </w:r>
      <w:r w:rsidR="00F045BD" w:rsidRPr="00B9099F">
        <w:t>SPINRAZA</w:t>
      </w:r>
      <w:r w:rsidRPr="00B9099F">
        <w:t xml:space="preserve"> must not be diluted.</w:t>
      </w:r>
    </w:p>
    <w:p w14:paraId="35701A7F" w14:textId="77777777" w:rsidR="006F3883" w:rsidRPr="00B9099F" w:rsidRDefault="006F3883" w:rsidP="00C82590">
      <w:pPr>
        <w:numPr>
          <w:ilvl w:val="0"/>
          <w:numId w:val="3"/>
        </w:numPr>
      </w:pPr>
      <w:r w:rsidRPr="00B9099F">
        <w:t>Once drawn in to the syringe, if the solution is not used within 6 hours, it must be discarded.</w:t>
      </w:r>
    </w:p>
    <w:p w14:paraId="28B53A94" w14:textId="77777777" w:rsidR="006F3883" w:rsidRPr="00B9099F" w:rsidRDefault="006F3883" w:rsidP="00C82590">
      <w:pPr>
        <w:numPr>
          <w:ilvl w:val="0"/>
          <w:numId w:val="3"/>
        </w:numPr>
      </w:pPr>
      <w:r w:rsidRPr="00B9099F">
        <w:t>Any unused product or waste material must be disposed of in accordance with local requirements.</w:t>
      </w:r>
    </w:p>
    <w:p w14:paraId="4B94FB55" w14:textId="77777777" w:rsidR="006F3883" w:rsidRPr="00B9099F" w:rsidRDefault="006F3883">
      <w:pPr>
        <w:autoSpaceDE w:val="0"/>
        <w:autoSpaceDN w:val="0"/>
        <w:adjustRightInd w:val="0"/>
        <w:rPr>
          <w:rStyle w:val="Heading1Char"/>
          <w:b w:val="0"/>
          <w:bCs w:val="0"/>
          <w:kern w:val="0"/>
          <w:sz w:val="24"/>
          <w:szCs w:val="24"/>
        </w:rPr>
      </w:pPr>
    </w:p>
    <w:p w14:paraId="2D7AD53B" w14:textId="77777777" w:rsidR="006F3883" w:rsidRPr="00B9099F" w:rsidRDefault="006F3883">
      <w:pPr>
        <w:autoSpaceDE w:val="0"/>
        <w:autoSpaceDN w:val="0"/>
        <w:adjustRightInd w:val="0"/>
        <w:rPr>
          <w:rStyle w:val="Heading1Char"/>
          <w:b w:val="0"/>
          <w:bCs w:val="0"/>
          <w:kern w:val="0"/>
          <w:sz w:val="24"/>
          <w:szCs w:val="24"/>
        </w:rPr>
      </w:pPr>
    </w:p>
    <w:p w14:paraId="5C52FABE" w14:textId="77777777" w:rsidR="00FB760F" w:rsidRPr="00B9099F" w:rsidRDefault="00FB760F" w:rsidP="00FB760F">
      <w:pPr>
        <w:pStyle w:val="Heading3"/>
        <w:rPr>
          <w:lang w:val="en-GB"/>
        </w:rPr>
      </w:pPr>
      <w:r w:rsidRPr="00B9099F">
        <w:rPr>
          <w:lang w:val="en-GB"/>
        </w:rPr>
        <w:t xml:space="preserve">Special Dosage Instructions for </w:t>
      </w:r>
      <w:r w:rsidR="00F045BD" w:rsidRPr="00B9099F">
        <w:rPr>
          <w:lang w:val="en-GB"/>
        </w:rPr>
        <w:t xml:space="preserve">intrathecal </w:t>
      </w:r>
      <w:r w:rsidRPr="00B9099F">
        <w:rPr>
          <w:lang w:val="en-GB"/>
        </w:rPr>
        <w:t>administration</w:t>
      </w:r>
    </w:p>
    <w:p w14:paraId="766A41B5" w14:textId="77777777" w:rsidR="00FB760F" w:rsidRPr="00B9099F" w:rsidRDefault="00FB760F" w:rsidP="00E5784C">
      <w:pPr>
        <w:numPr>
          <w:ilvl w:val="0"/>
          <w:numId w:val="4"/>
        </w:numPr>
      </w:pPr>
      <w:r w:rsidRPr="00B9099F">
        <w:t xml:space="preserve">The solution must be visually inspected prior to </w:t>
      </w:r>
      <w:r w:rsidR="00C537E9" w:rsidRPr="00B9099F">
        <w:t>administration</w:t>
      </w:r>
      <w:r w:rsidRPr="00B9099F">
        <w:t>. Only clear and colourless solutions, free from particles,</w:t>
      </w:r>
      <w:r w:rsidR="00E57837" w:rsidRPr="00B9099F">
        <w:t xml:space="preserve"> </w:t>
      </w:r>
      <w:r w:rsidR="00C537E9" w:rsidRPr="00B9099F">
        <w:t>should be administered</w:t>
      </w:r>
      <w:r w:rsidRPr="00B9099F">
        <w:t>.</w:t>
      </w:r>
      <w:r w:rsidR="00E5784C" w:rsidRPr="00B9099F">
        <w:t xml:space="preserve"> The use of external filters is not required.</w:t>
      </w:r>
      <w:r w:rsidRPr="00B9099F">
        <w:t xml:space="preserve"> </w:t>
      </w:r>
    </w:p>
    <w:p w14:paraId="6567B22A" w14:textId="77777777" w:rsidR="00FB760F" w:rsidRPr="00B9099F" w:rsidRDefault="00FB760F" w:rsidP="00C82590">
      <w:pPr>
        <w:numPr>
          <w:ilvl w:val="0"/>
          <w:numId w:val="4"/>
        </w:numPr>
      </w:pPr>
      <w:r w:rsidRPr="00B9099F">
        <w:t>Aseptic technique must be used when administering SPINRAZA.</w:t>
      </w:r>
    </w:p>
    <w:p w14:paraId="562AE75F" w14:textId="77777777" w:rsidR="00FB760F" w:rsidRPr="00B9099F" w:rsidRDefault="00FB760F" w:rsidP="00C82590">
      <w:pPr>
        <w:numPr>
          <w:ilvl w:val="0"/>
          <w:numId w:val="4"/>
        </w:numPr>
      </w:pPr>
      <w:r w:rsidRPr="00B9099F">
        <w:t xml:space="preserve">Sedation may be required to administer SPINRAZA, as indicated by the clinical condition of the patient. </w:t>
      </w:r>
    </w:p>
    <w:p w14:paraId="46FB19DA" w14:textId="77777777" w:rsidR="00FB760F" w:rsidRPr="00B9099F" w:rsidRDefault="00FB760F" w:rsidP="00C82590">
      <w:pPr>
        <w:numPr>
          <w:ilvl w:val="0"/>
          <w:numId w:val="4"/>
        </w:numPr>
      </w:pPr>
      <w:r w:rsidRPr="00B9099F">
        <w:t xml:space="preserve">Ultrasound (or other imaging techniques) may be considered to guide </w:t>
      </w:r>
      <w:r w:rsidR="00ED73BB" w:rsidRPr="00B9099F">
        <w:t>intrathecal</w:t>
      </w:r>
      <w:r w:rsidRPr="00B9099F">
        <w:t xml:space="preserve"> administration of SPINRAZA, particularly in younger patients.</w:t>
      </w:r>
    </w:p>
    <w:p w14:paraId="2A1BA114" w14:textId="77777777" w:rsidR="00FB760F" w:rsidRPr="00B9099F" w:rsidRDefault="00FB760F" w:rsidP="00C82590">
      <w:pPr>
        <w:numPr>
          <w:ilvl w:val="0"/>
          <w:numId w:val="4"/>
        </w:numPr>
      </w:pPr>
      <w:r w:rsidRPr="00B9099F">
        <w:t>It is recommended that the volume of cerebr</w:t>
      </w:r>
      <w:r w:rsidR="00ED296B" w:rsidRPr="00B9099F">
        <w:t>o</w:t>
      </w:r>
      <w:r w:rsidRPr="00B9099F">
        <w:t>spinal fluid equivalent to the volume of SPINRAZA to be injected is removed prior to administration of SPINRAZA</w:t>
      </w:r>
      <w:r w:rsidR="00F045BD" w:rsidRPr="00B9099F">
        <w:t xml:space="preserve">. </w:t>
      </w:r>
    </w:p>
    <w:p w14:paraId="00FF50CA" w14:textId="339762EF" w:rsidR="00FB760F" w:rsidRPr="00B9099F" w:rsidRDefault="00FB760F" w:rsidP="00C82590">
      <w:pPr>
        <w:numPr>
          <w:ilvl w:val="0"/>
          <w:numId w:val="4"/>
        </w:numPr>
      </w:pPr>
      <w:r w:rsidRPr="00B9099F">
        <w:t>SPINRAZA is administered as an intrathecal bolus injection over 1 to 3 minutes, using a spinal an</w:t>
      </w:r>
      <w:r w:rsidR="00F045BD" w:rsidRPr="00B9099F">
        <w:t>a</w:t>
      </w:r>
      <w:r w:rsidRPr="00B9099F">
        <w:t>esthesia needle. The injection must not be administered in areas of the skin where there are signs of infection or inflammation.</w:t>
      </w:r>
    </w:p>
    <w:p w14:paraId="5DCB04A9" w14:textId="77777777" w:rsidR="00FB760F" w:rsidRPr="00B9099F" w:rsidRDefault="00FB760F" w:rsidP="00C82590">
      <w:pPr>
        <w:numPr>
          <w:ilvl w:val="0"/>
          <w:numId w:val="4"/>
        </w:numPr>
      </w:pPr>
      <w:r w:rsidRPr="00B9099F">
        <w:t>Any unused contents of the vial should be discarded.</w:t>
      </w:r>
    </w:p>
    <w:p w14:paraId="507EB8D6" w14:textId="77777777" w:rsidR="00FB760F" w:rsidRPr="00B9099F" w:rsidRDefault="00FB760F">
      <w:pPr>
        <w:autoSpaceDE w:val="0"/>
        <w:autoSpaceDN w:val="0"/>
        <w:adjustRightInd w:val="0"/>
        <w:rPr>
          <w:rStyle w:val="Heading1Char"/>
          <w:b w:val="0"/>
          <w:bCs w:val="0"/>
          <w:kern w:val="0"/>
          <w:sz w:val="24"/>
          <w:szCs w:val="24"/>
        </w:rPr>
      </w:pPr>
    </w:p>
    <w:p w14:paraId="2885CF32" w14:textId="77777777" w:rsidR="00C537E9" w:rsidRPr="00B9099F" w:rsidRDefault="00C537E9" w:rsidP="00C537E9">
      <w:pPr>
        <w:autoSpaceDE w:val="0"/>
        <w:autoSpaceDN w:val="0"/>
        <w:adjustRightInd w:val="0"/>
        <w:rPr>
          <w:rStyle w:val="Heading1Char"/>
          <w:b w:val="0"/>
          <w:bCs w:val="0"/>
          <w:kern w:val="0"/>
          <w:sz w:val="24"/>
          <w:szCs w:val="24"/>
        </w:rPr>
      </w:pPr>
      <w:r w:rsidRPr="00B9099F">
        <w:t xml:space="preserve">SPINRAZA </w:t>
      </w:r>
      <w:r w:rsidR="007F097D" w:rsidRPr="00B9099F">
        <w:t>is for single use in one patient only. Discard any residue</w:t>
      </w:r>
      <w:r w:rsidRPr="00B9099F">
        <w:t xml:space="preserve">. </w:t>
      </w:r>
    </w:p>
    <w:p w14:paraId="306A88C2" w14:textId="77777777" w:rsidR="00C537E9" w:rsidRPr="00B9099F" w:rsidRDefault="00C537E9">
      <w:pPr>
        <w:autoSpaceDE w:val="0"/>
        <w:autoSpaceDN w:val="0"/>
        <w:adjustRightInd w:val="0"/>
        <w:rPr>
          <w:rStyle w:val="Heading1Char"/>
          <w:b w:val="0"/>
          <w:bCs w:val="0"/>
          <w:kern w:val="0"/>
          <w:sz w:val="24"/>
          <w:szCs w:val="24"/>
        </w:rPr>
      </w:pPr>
    </w:p>
    <w:p w14:paraId="020D3AEB" w14:textId="77777777" w:rsidR="00770732" w:rsidRPr="00B9099F" w:rsidRDefault="00770732">
      <w:pPr>
        <w:autoSpaceDE w:val="0"/>
        <w:autoSpaceDN w:val="0"/>
        <w:adjustRightInd w:val="0"/>
        <w:rPr>
          <w:rStyle w:val="Heading1Char"/>
          <w:b w:val="0"/>
          <w:bCs w:val="0"/>
          <w:kern w:val="0"/>
          <w:sz w:val="24"/>
          <w:szCs w:val="24"/>
        </w:rPr>
      </w:pPr>
    </w:p>
    <w:p w14:paraId="509A04F0" w14:textId="77777777" w:rsidR="00E33E7B" w:rsidRPr="00B9099F" w:rsidRDefault="000A0F9E" w:rsidP="00327F0A">
      <w:pPr>
        <w:pStyle w:val="Heading2"/>
      </w:pPr>
      <w:r w:rsidRPr="00B9099F">
        <w:rPr>
          <w:rStyle w:val="Heading1Char"/>
          <w:b/>
          <w:bCs/>
          <w:caps/>
          <w:kern w:val="0"/>
          <w:sz w:val="24"/>
          <w:szCs w:val="28"/>
        </w:rPr>
        <w:t>OVERDOSAGE</w:t>
      </w:r>
    </w:p>
    <w:p w14:paraId="3FBC548A" w14:textId="77777777" w:rsidR="00F13AB9" w:rsidRPr="00B9099F" w:rsidRDefault="00AD5981" w:rsidP="00AD5981">
      <w:r w:rsidRPr="00B9099F">
        <w:t xml:space="preserve">No cases of overdose associated with adverse reactions were reported in clinical studies. In case of overdose with SPINRAZA the patient should be advised to seek medical attention if they experience any signs or symptoms of adverse reactions. </w:t>
      </w:r>
    </w:p>
    <w:p w14:paraId="37040B73" w14:textId="77777777" w:rsidR="00CD7416" w:rsidRPr="00B9099F" w:rsidRDefault="003B4822" w:rsidP="00AD5981">
      <w:r w:rsidRPr="00B9099F">
        <w:rPr>
          <w:rFonts w:cs="Arial"/>
        </w:rPr>
        <w:t>For information on the management of overdose, c</w:t>
      </w:r>
      <w:r w:rsidR="000F4FA3" w:rsidRPr="00B9099F">
        <w:rPr>
          <w:rFonts w:cs="Arial"/>
        </w:rPr>
        <w:t xml:space="preserve">ontact the Poisons Information Centre on 13 11 26 </w:t>
      </w:r>
      <w:r w:rsidRPr="00B9099F">
        <w:rPr>
          <w:rFonts w:cs="Arial"/>
        </w:rPr>
        <w:t>(Australia).</w:t>
      </w:r>
    </w:p>
    <w:p w14:paraId="31380209" w14:textId="77777777" w:rsidR="00D945DF" w:rsidRPr="00B9099F" w:rsidRDefault="00D945DF" w:rsidP="0060012B">
      <w:pPr>
        <w:pStyle w:val="GTCBodyText"/>
        <w:spacing w:before="0" w:after="0" w:line="240" w:lineRule="auto"/>
        <w:jc w:val="left"/>
        <w:rPr>
          <w:rStyle w:val="Heading1Char"/>
          <w:b w:val="0"/>
          <w:bCs w:val="0"/>
          <w:kern w:val="0"/>
          <w:sz w:val="24"/>
          <w:szCs w:val="24"/>
          <w:lang w:val="en-US"/>
        </w:rPr>
      </w:pPr>
    </w:p>
    <w:p w14:paraId="4CB2E325" w14:textId="77777777" w:rsidR="00770732" w:rsidRPr="00B9099F" w:rsidRDefault="00770732" w:rsidP="0060012B">
      <w:pPr>
        <w:pStyle w:val="GTCBodyText"/>
        <w:spacing w:before="0" w:after="0" w:line="240" w:lineRule="auto"/>
        <w:jc w:val="left"/>
        <w:rPr>
          <w:rStyle w:val="Heading1Char"/>
          <w:b w:val="0"/>
          <w:bCs w:val="0"/>
          <w:kern w:val="0"/>
          <w:sz w:val="24"/>
          <w:szCs w:val="24"/>
          <w:lang w:val="en-US"/>
        </w:rPr>
      </w:pPr>
    </w:p>
    <w:p w14:paraId="05C0CE0C" w14:textId="77777777" w:rsidR="00E33E7B" w:rsidRPr="00B9099F" w:rsidRDefault="000A0F9E" w:rsidP="00327F0A">
      <w:pPr>
        <w:pStyle w:val="Heading2"/>
      </w:pPr>
      <w:r w:rsidRPr="00B9099F">
        <w:rPr>
          <w:rStyle w:val="Heading1Char"/>
          <w:b/>
          <w:bCs/>
          <w:caps/>
          <w:kern w:val="0"/>
          <w:sz w:val="24"/>
          <w:szCs w:val="28"/>
        </w:rPr>
        <w:t>PRESENTATION AND STORAGE CONDITIONS</w:t>
      </w:r>
    </w:p>
    <w:p w14:paraId="50AD6066" w14:textId="77777777" w:rsidR="00EF5885" w:rsidRPr="00B9099F" w:rsidRDefault="005B2ABE">
      <w:pPr>
        <w:autoSpaceDE w:val="0"/>
        <w:autoSpaceDN w:val="0"/>
        <w:adjustRightInd w:val="0"/>
        <w:rPr>
          <w:rFonts w:cs="Arial"/>
        </w:rPr>
      </w:pPr>
      <w:bookmarkStart w:id="47" w:name="ga2f05ca7-0c75-46dd-abf9-84d8f9713679"/>
      <w:bookmarkEnd w:id="47"/>
      <w:r w:rsidRPr="00B9099F">
        <w:rPr>
          <w:rFonts w:cs="Arial"/>
        </w:rPr>
        <w:t xml:space="preserve">Each pack </w:t>
      </w:r>
      <w:r w:rsidR="006F3883" w:rsidRPr="00B9099F">
        <w:rPr>
          <w:rFonts w:cs="Arial"/>
        </w:rPr>
        <w:t xml:space="preserve">contains </w:t>
      </w:r>
      <w:r w:rsidR="00EF5885" w:rsidRPr="00B9099F">
        <w:rPr>
          <w:rFonts w:cs="Arial"/>
        </w:rPr>
        <w:t xml:space="preserve">one </w:t>
      </w:r>
      <w:r w:rsidR="006F3883" w:rsidRPr="00B9099F">
        <w:rPr>
          <w:rFonts w:cs="Arial"/>
        </w:rPr>
        <w:t>5mL liquid in</w:t>
      </w:r>
      <w:r w:rsidRPr="00B9099F">
        <w:rPr>
          <w:rFonts w:cs="Arial"/>
        </w:rPr>
        <w:t xml:space="preserve"> vial (type 1 glass</w:t>
      </w:r>
      <w:r w:rsidR="00EF5885" w:rsidRPr="00B9099F">
        <w:rPr>
          <w:rFonts w:cs="Arial"/>
        </w:rPr>
        <w:t xml:space="preserve">) with a </w:t>
      </w:r>
      <w:proofErr w:type="spellStart"/>
      <w:r w:rsidR="00ED296B" w:rsidRPr="00B9099F">
        <w:rPr>
          <w:rFonts w:cs="Arial"/>
        </w:rPr>
        <w:t>bromobutyl</w:t>
      </w:r>
      <w:proofErr w:type="spellEnd"/>
      <w:r w:rsidR="00ED296B" w:rsidRPr="00B9099F">
        <w:rPr>
          <w:rFonts w:cs="Arial"/>
        </w:rPr>
        <w:t xml:space="preserve"> rubber </w:t>
      </w:r>
      <w:r w:rsidR="00EF5885" w:rsidRPr="00B9099F">
        <w:rPr>
          <w:rFonts w:cs="Arial"/>
        </w:rPr>
        <w:t xml:space="preserve">stopper, an aluminium over-seal and </w:t>
      </w:r>
      <w:r w:rsidR="00ED296B" w:rsidRPr="00B9099F">
        <w:rPr>
          <w:rFonts w:cs="Arial"/>
        </w:rPr>
        <w:t xml:space="preserve">a flip-off </w:t>
      </w:r>
      <w:r w:rsidR="00EF5885" w:rsidRPr="00B9099F">
        <w:rPr>
          <w:rFonts w:cs="Arial"/>
        </w:rPr>
        <w:t>plastic cap</w:t>
      </w:r>
      <w:r w:rsidR="006F3883" w:rsidRPr="00B9099F">
        <w:rPr>
          <w:rFonts w:cs="Arial"/>
        </w:rPr>
        <w:t xml:space="preserve">. </w:t>
      </w:r>
      <w:r w:rsidR="00EF5885" w:rsidRPr="00B9099F">
        <w:rPr>
          <w:rFonts w:cs="Arial"/>
        </w:rPr>
        <w:t xml:space="preserve">Each vial contains 5mL of a clear and colourless solution, of 12.6 </w:t>
      </w:r>
      <w:r w:rsidR="00F13AB9" w:rsidRPr="00B9099F">
        <w:rPr>
          <w:rFonts w:cs="Arial"/>
        </w:rPr>
        <w:t>mg nusinersen hepta</w:t>
      </w:r>
      <w:r w:rsidR="00EF5885" w:rsidRPr="00B9099F">
        <w:rPr>
          <w:rFonts w:cs="Arial"/>
        </w:rPr>
        <w:t>decasodium, equivalent to 12 mg of nusinersen for intrathecal injection.</w:t>
      </w:r>
    </w:p>
    <w:p w14:paraId="2658122E" w14:textId="77777777" w:rsidR="005B2ABE" w:rsidRPr="00B9099F" w:rsidRDefault="005B2ABE">
      <w:pPr>
        <w:autoSpaceDE w:val="0"/>
        <w:autoSpaceDN w:val="0"/>
        <w:adjustRightInd w:val="0"/>
        <w:rPr>
          <w:rFonts w:cs="Arial"/>
        </w:rPr>
      </w:pPr>
    </w:p>
    <w:p w14:paraId="1BBE427C" w14:textId="77777777" w:rsidR="00FB760F" w:rsidRPr="00B9099F" w:rsidRDefault="00FB760F" w:rsidP="00FB760F">
      <w:r w:rsidRPr="00B9099F">
        <w:t>Store between 2</w:t>
      </w:r>
      <w:r w:rsidRPr="00B9099F">
        <w:rPr>
          <w:vertAlign w:val="superscript"/>
        </w:rPr>
        <w:t>o</w:t>
      </w:r>
      <w:r w:rsidRPr="00B9099F">
        <w:t>C to 8</w:t>
      </w:r>
      <w:r w:rsidRPr="00B9099F">
        <w:rPr>
          <w:vertAlign w:val="superscript"/>
        </w:rPr>
        <w:t>o</w:t>
      </w:r>
      <w:r w:rsidRPr="00B9099F">
        <w:t xml:space="preserve">C. </w:t>
      </w:r>
      <w:r w:rsidR="00F13AB9" w:rsidRPr="00B9099F">
        <w:t>Refrigerate.</w:t>
      </w:r>
      <w:r w:rsidRPr="00B9099F">
        <w:t xml:space="preserve"> </w:t>
      </w:r>
      <w:r w:rsidR="00F13AB9" w:rsidRPr="00B9099F">
        <w:t>D</w:t>
      </w:r>
      <w:r w:rsidRPr="00B9099F">
        <w:t xml:space="preserve">o not freeze. </w:t>
      </w:r>
    </w:p>
    <w:p w14:paraId="6D09455E" w14:textId="77777777" w:rsidR="00FB760F" w:rsidRPr="00B9099F" w:rsidRDefault="00FB760F" w:rsidP="00FB760F">
      <w:r w:rsidRPr="00B9099F">
        <w:t>SPINRAZA should be protected from light and kept in the original carton until time of use.</w:t>
      </w:r>
    </w:p>
    <w:p w14:paraId="17B71B71" w14:textId="77777777" w:rsidR="00FB760F" w:rsidRPr="00B9099F" w:rsidRDefault="00FB760F" w:rsidP="00FB760F"/>
    <w:p w14:paraId="66A46DEE" w14:textId="77777777" w:rsidR="00FB760F" w:rsidRPr="00B9099F" w:rsidRDefault="00FB760F" w:rsidP="00FB760F">
      <w:r w:rsidRPr="00B9099F">
        <w:lastRenderedPageBreak/>
        <w:t xml:space="preserve">Prior to administration, unopened vials of SPINRAZA can be removed from and returned to the refrigerator </w:t>
      </w:r>
      <w:r w:rsidR="00703588" w:rsidRPr="00B9099F">
        <w:t xml:space="preserve">a total of 5 times, </w:t>
      </w:r>
      <w:r w:rsidRPr="00B9099F">
        <w:t>if necessary. If removed from the original carton, the total combined time out of refrigeration and secondary packaging (carton) should not exceed 30 hours, at a temperature that does not exceed 25</w:t>
      </w:r>
      <w:r w:rsidRPr="00B9099F">
        <w:rPr>
          <w:vertAlign w:val="superscript"/>
        </w:rPr>
        <w:t>o</w:t>
      </w:r>
      <w:r w:rsidRPr="00B9099F">
        <w:t>C.</w:t>
      </w:r>
    </w:p>
    <w:p w14:paraId="4D1A1FEC" w14:textId="77777777" w:rsidR="00FB760F" w:rsidRPr="00B9099F" w:rsidRDefault="00FB760F">
      <w:pPr>
        <w:autoSpaceDE w:val="0"/>
        <w:autoSpaceDN w:val="0"/>
        <w:adjustRightInd w:val="0"/>
        <w:rPr>
          <w:rFonts w:cs="Arial"/>
        </w:rPr>
      </w:pPr>
    </w:p>
    <w:p w14:paraId="7E47801D" w14:textId="77777777" w:rsidR="00FB760F" w:rsidRPr="00B9099F" w:rsidRDefault="000515BB" w:rsidP="00FB760F">
      <w:r w:rsidRPr="00B9099F">
        <w:t xml:space="preserve">Do not dilute. Once drawn into syringe, administer within 6 hours. Discard any unused product. </w:t>
      </w:r>
      <w:proofErr w:type="gramStart"/>
      <w:r w:rsidRPr="00B9099F">
        <w:t>For single use in one patient on one occasion only.</w:t>
      </w:r>
      <w:proofErr w:type="gramEnd"/>
    </w:p>
    <w:p w14:paraId="180AE182" w14:textId="77777777" w:rsidR="00D945DF" w:rsidRPr="00B9099F" w:rsidRDefault="00D945DF">
      <w:pPr>
        <w:autoSpaceDE w:val="0"/>
        <w:autoSpaceDN w:val="0"/>
        <w:adjustRightInd w:val="0"/>
        <w:rPr>
          <w:rFonts w:cs="Arial"/>
        </w:rPr>
      </w:pPr>
    </w:p>
    <w:p w14:paraId="7479ED33" w14:textId="77777777" w:rsidR="009C450C" w:rsidRPr="00B9099F" w:rsidRDefault="009C450C" w:rsidP="0060012B">
      <w:pPr>
        <w:pStyle w:val="C-BodyText"/>
        <w:spacing w:before="0" w:after="0" w:line="240" w:lineRule="auto"/>
        <w:rPr>
          <w:rFonts w:ascii="Arial" w:hAnsi="Arial" w:cs="Arial"/>
          <w:szCs w:val="24"/>
          <w:lang w:val="en-AU"/>
        </w:rPr>
      </w:pPr>
      <w:r w:rsidRPr="00B9099F">
        <w:rPr>
          <w:rFonts w:ascii="Arial" w:hAnsi="Arial" w:cs="Arial"/>
          <w:szCs w:val="24"/>
          <w:lang w:val="en-AU"/>
        </w:rPr>
        <w:t>Dispose of all the materials</w:t>
      </w:r>
      <w:r w:rsidR="00FB760F" w:rsidRPr="00B9099F">
        <w:rPr>
          <w:rFonts w:ascii="Arial" w:hAnsi="Arial" w:cs="Arial"/>
          <w:szCs w:val="24"/>
          <w:lang w:val="en-AU"/>
        </w:rPr>
        <w:t>, including any unused solution contained within the vial</w:t>
      </w:r>
      <w:r w:rsidRPr="00B9099F">
        <w:rPr>
          <w:rFonts w:ascii="Arial" w:hAnsi="Arial" w:cs="Arial"/>
          <w:szCs w:val="24"/>
          <w:lang w:val="en-AU"/>
        </w:rPr>
        <w:t xml:space="preserve"> in accordance with local requirements.</w:t>
      </w:r>
    </w:p>
    <w:p w14:paraId="048DA77B" w14:textId="7E7EBA2D" w:rsidR="00D945DF" w:rsidRDefault="00D945DF" w:rsidP="00D945DF">
      <w:pPr>
        <w:autoSpaceDE w:val="0"/>
        <w:autoSpaceDN w:val="0"/>
        <w:adjustRightInd w:val="0"/>
        <w:rPr>
          <w:rFonts w:cs="Arial"/>
        </w:rPr>
      </w:pPr>
    </w:p>
    <w:p w14:paraId="5EB94B6A" w14:textId="77777777" w:rsidR="001B41E2" w:rsidRPr="00B9099F" w:rsidRDefault="001B41E2" w:rsidP="00D945DF">
      <w:pPr>
        <w:autoSpaceDE w:val="0"/>
        <w:autoSpaceDN w:val="0"/>
        <w:adjustRightInd w:val="0"/>
        <w:rPr>
          <w:rFonts w:cs="Arial"/>
        </w:rPr>
      </w:pPr>
    </w:p>
    <w:p w14:paraId="495EC72A" w14:textId="77777777" w:rsidR="00E33E7B" w:rsidRPr="00B9099F" w:rsidRDefault="000A0F9E" w:rsidP="00327F0A">
      <w:pPr>
        <w:pStyle w:val="Heading2"/>
      </w:pPr>
      <w:r w:rsidRPr="00B9099F">
        <w:rPr>
          <w:rStyle w:val="Heading1Char"/>
          <w:b/>
          <w:bCs/>
          <w:caps/>
          <w:kern w:val="0"/>
          <w:sz w:val="24"/>
          <w:szCs w:val="28"/>
        </w:rPr>
        <w:t>NAME AND ADDRESS OF THE SPONSOR</w:t>
      </w:r>
    </w:p>
    <w:p w14:paraId="540B79E9" w14:textId="77777777" w:rsidR="0055695B" w:rsidRPr="00B9099F" w:rsidRDefault="0055695B" w:rsidP="0060012B">
      <w:pPr>
        <w:pStyle w:val="BodyTextIndent"/>
        <w:keepNext/>
        <w:widowControl/>
        <w:tabs>
          <w:tab w:val="clear" w:pos="-374"/>
          <w:tab w:val="clear" w:pos="0"/>
          <w:tab w:val="clear" w:pos="720"/>
          <w:tab w:val="clear" w:pos="1440"/>
          <w:tab w:val="clear" w:pos="2160"/>
          <w:tab w:val="clear" w:pos="2880"/>
          <w:tab w:val="clear" w:pos="3600"/>
          <w:tab w:val="clear" w:pos="4320"/>
          <w:tab w:val="clear" w:pos="5040"/>
          <w:tab w:val="clear" w:pos="5760"/>
          <w:tab w:val="clear" w:pos="6139"/>
        </w:tabs>
        <w:jc w:val="left"/>
        <w:rPr>
          <w:sz w:val="24"/>
          <w:szCs w:val="24"/>
          <w:lang w:val="en-US"/>
        </w:rPr>
      </w:pPr>
      <w:r w:rsidRPr="00B9099F">
        <w:rPr>
          <w:sz w:val="24"/>
          <w:szCs w:val="24"/>
          <w:lang w:val="en-US"/>
        </w:rPr>
        <w:t>Biogen Australia Pty Ltd</w:t>
      </w:r>
    </w:p>
    <w:p w14:paraId="5750CFD0" w14:textId="77777777" w:rsidR="0055695B" w:rsidRPr="00B9099F" w:rsidRDefault="0055695B" w:rsidP="0060012B">
      <w:pPr>
        <w:pStyle w:val="BodyTextIndent"/>
        <w:keepNext/>
        <w:widowControl/>
        <w:tabs>
          <w:tab w:val="clear" w:pos="-374"/>
          <w:tab w:val="clear" w:pos="0"/>
          <w:tab w:val="clear" w:pos="720"/>
          <w:tab w:val="clear" w:pos="1440"/>
          <w:tab w:val="clear" w:pos="2160"/>
          <w:tab w:val="clear" w:pos="2880"/>
          <w:tab w:val="clear" w:pos="3600"/>
          <w:tab w:val="clear" w:pos="4320"/>
          <w:tab w:val="clear" w:pos="5040"/>
          <w:tab w:val="clear" w:pos="5760"/>
          <w:tab w:val="clear" w:pos="6139"/>
        </w:tabs>
        <w:jc w:val="left"/>
        <w:rPr>
          <w:sz w:val="24"/>
          <w:szCs w:val="24"/>
          <w:lang w:val="en-US"/>
        </w:rPr>
      </w:pPr>
      <w:r w:rsidRPr="00B9099F">
        <w:rPr>
          <w:sz w:val="24"/>
          <w:szCs w:val="24"/>
          <w:lang w:val="en-US"/>
        </w:rPr>
        <w:t>ABN 30 095 760 115</w:t>
      </w:r>
    </w:p>
    <w:p w14:paraId="5241352E" w14:textId="77777777" w:rsidR="0055695B" w:rsidRPr="00B9099F" w:rsidRDefault="0055695B" w:rsidP="0060012B">
      <w:pPr>
        <w:pStyle w:val="BodyTextIndent"/>
        <w:widowControl/>
        <w:tabs>
          <w:tab w:val="clear" w:pos="-374"/>
          <w:tab w:val="clear" w:pos="0"/>
          <w:tab w:val="clear" w:pos="720"/>
          <w:tab w:val="clear" w:pos="1440"/>
          <w:tab w:val="clear" w:pos="2160"/>
          <w:tab w:val="clear" w:pos="2880"/>
          <w:tab w:val="clear" w:pos="3600"/>
          <w:tab w:val="clear" w:pos="4320"/>
          <w:tab w:val="clear" w:pos="5040"/>
          <w:tab w:val="clear" w:pos="5760"/>
          <w:tab w:val="clear" w:pos="6139"/>
        </w:tabs>
        <w:jc w:val="left"/>
        <w:rPr>
          <w:sz w:val="24"/>
          <w:szCs w:val="24"/>
          <w:lang w:val="en-GB"/>
        </w:rPr>
      </w:pPr>
      <w:r w:rsidRPr="00B9099F">
        <w:rPr>
          <w:sz w:val="24"/>
          <w:szCs w:val="24"/>
          <w:lang w:val="en-GB"/>
        </w:rPr>
        <w:t xml:space="preserve">Level </w:t>
      </w:r>
      <w:r w:rsidR="003D66BD" w:rsidRPr="00B9099F">
        <w:rPr>
          <w:sz w:val="24"/>
          <w:szCs w:val="24"/>
          <w:lang w:val="en-GB"/>
        </w:rPr>
        <w:t>3</w:t>
      </w:r>
      <w:r w:rsidRPr="00B9099F">
        <w:rPr>
          <w:sz w:val="24"/>
          <w:szCs w:val="24"/>
          <w:lang w:val="en-GB"/>
        </w:rPr>
        <w:t>, 123 Epping Road</w:t>
      </w:r>
    </w:p>
    <w:p w14:paraId="2AA1FEA7" w14:textId="77777777" w:rsidR="00E51E01" w:rsidRPr="00B9099F" w:rsidRDefault="0055695B" w:rsidP="0060012B">
      <w:pPr>
        <w:pStyle w:val="BodyTextIndent"/>
        <w:widowControl/>
        <w:tabs>
          <w:tab w:val="clear" w:pos="-374"/>
          <w:tab w:val="clear" w:pos="0"/>
          <w:tab w:val="clear" w:pos="720"/>
          <w:tab w:val="clear" w:pos="1440"/>
          <w:tab w:val="clear" w:pos="2160"/>
          <w:tab w:val="clear" w:pos="2880"/>
          <w:tab w:val="clear" w:pos="3600"/>
          <w:tab w:val="clear" w:pos="4320"/>
          <w:tab w:val="clear" w:pos="5040"/>
          <w:tab w:val="clear" w:pos="5760"/>
          <w:tab w:val="clear" w:pos="6139"/>
        </w:tabs>
        <w:jc w:val="left"/>
        <w:rPr>
          <w:sz w:val="24"/>
          <w:szCs w:val="24"/>
          <w:lang w:val="en-GB"/>
        </w:rPr>
      </w:pPr>
      <w:r w:rsidRPr="00B9099F">
        <w:rPr>
          <w:sz w:val="24"/>
          <w:szCs w:val="24"/>
          <w:lang w:val="en-GB"/>
        </w:rPr>
        <w:t>North Ryde NSW 2113</w:t>
      </w:r>
    </w:p>
    <w:p w14:paraId="23B31773" w14:textId="77777777" w:rsidR="00CD7416" w:rsidRPr="00B9099F" w:rsidRDefault="00CD7416" w:rsidP="0060012B">
      <w:pPr>
        <w:pStyle w:val="BodyTextIndent"/>
        <w:widowControl/>
        <w:tabs>
          <w:tab w:val="clear" w:pos="-374"/>
          <w:tab w:val="clear" w:pos="0"/>
          <w:tab w:val="clear" w:pos="720"/>
          <w:tab w:val="clear" w:pos="1440"/>
          <w:tab w:val="clear" w:pos="2160"/>
          <w:tab w:val="clear" w:pos="2880"/>
          <w:tab w:val="clear" w:pos="3600"/>
          <w:tab w:val="clear" w:pos="4320"/>
          <w:tab w:val="clear" w:pos="5040"/>
          <w:tab w:val="clear" w:pos="5760"/>
          <w:tab w:val="clear" w:pos="6139"/>
        </w:tabs>
        <w:jc w:val="left"/>
        <w:rPr>
          <w:rStyle w:val="Heading1Char"/>
          <w:sz w:val="24"/>
          <w:szCs w:val="24"/>
        </w:rPr>
      </w:pPr>
    </w:p>
    <w:p w14:paraId="289754E5" w14:textId="77777777" w:rsidR="00770732" w:rsidRPr="00B9099F" w:rsidRDefault="00770732" w:rsidP="0060012B">
      <w:pPr>
        <w:pStyle w:val="BodyTextIndent"/>
        <w:widowControl/>
        <w:tabs>
          <w:tab w:val="clear" w:pos="-374"/>
          <w:tab w:val="clear" w:pos="0"/>
          <w:tab w:val="clear" w:pos="720"/>
          <w:tab w:val="clear" w:pos="1440"/>
          <w:tab w:val="clear" w:pos="2160"/>
          <w:tab w:val="clear" w:pos="2880"/>
          <w:tab w:val="clear" w:pos="3600"/>
          <w:tab w:val="clear" w:pos="4320"/>
          <w:tab w:val="clear" w:pos="5040"/>
          <w:tab w:val="clear" w:pos="5760"/>
          <w:tab w:val="clear" w:pos="6139"/>
        </w:tabs>
        <w:jc w:val="left"/>
        <w:rPr>
          <w:rStyle w:val="Heading1Char"/>
          <w:sz w:val="24"/>
          <w:szCs w:val="24"/>
        </w:rPr>
      </w:pPr>
    </w:p>
    <w:p w14:paraId="50A09EEC" w14:textId="77777777" w:rsidR="00E33E7B" w:rsidRPr="00B9099F" w:rsidRDefault="000A0F9E" w:rsidP="00327F0A">
      <w:pPr>
        <w:pStyle w:val="Heading2"/>
      </w:pPr>
      <w:r w:rsidRPr="00B9099F">
        <w:rPr>
          <w:rStyle w:val="Heading1Char"/>
          <w:b/>
          <w:bCs/>
          <w:caps/>
          <w:kern w:val="0"/>
          <w:sz w:val="24"/>
          <w:szCs w:val="28"/>
        </w:rPr>
        <w:t>POISON SCHEDULE OF THE MEDICINE</w:t>
      </w:r>
    </w:p>
    <w:p w14:paraId="3CFD9362" w14:textId="77777777" w:rsidR="00E33E7B" w:rsidRPr="00B9099F" w:rsidRDefault="004E4425" w:rsidP="00D945DF">
      <w:pPr>
        <w:rPr>
          <w:rFonts w:cs="Arial"/>
          <w:lang w:val="en-US"/>
        </w:rPr>
      </w:pPr>
      <w:r w:rsidRPr="00B9099F">
        <w:rPr>
          <w:rFonts w:cs="Arial"/>
          <w:lang w:val="en-US"/>
        </w:rPr>
        <w:t>Schedule 4 – Prescription Only Medicine</w:t>
      </w:r>
    </w:p>
    <w:p w14:paraId="670BF3A9" w14:textId="77777777" w:rsidR="00D945DF" w:rsidRPr="00B9099F" w:rsidRDefault="00D945DF" w:rsidP="00D945DF">
      <w:pPr>
        <w:rPr>
          <w:rFonts w:cs="Arial"/>
          <w:lang w:val="en-US"/>
        </w:rPr>
      </w:pPr>
    </w:p>
    <w:p w14:paraId="508F8B29" w14:textId="77777777" w:rsidR="00770732" w:rsidRPr="00B9099F" w:rsidRDefault="00770732" w:rsidP="00D945DF">
      <w:pPr>
        <w:rPr>
          <w:rFonts w:cs="Arial"/>
          <w:lang w:val="en-US"/>
        </w:rPr>
      </w:pPr>
    </w:p>
    <w:p w14:paraId="2DDA8BE5" w14:textId="77777777" w:rsidR="00E33E7B" w:rsidRPr="00B9099F" w:rsidRDefault="00C474BB" w:rsidP="00327F0A">
      <w:pPr>
        <w:pStyle w:val="Heading2"/>
        <w:rPr>
          <w:rStyle w:val="Heading1Char"/>
          <w:b/>
          <w:bCs/>
          <w:caps/>
          <w:kern w:val="0"/>
          <w:sz w:val="24"/>
          <w:szCs w:val="28"/>
        </w:rPr>
      </w:pPr>
      <w:r w:rsidRPr="00B9099F">
        <w:rPr>
          <w:rStyle w:val="Heading1Char"/>
          <w:b/>
          <w:bCs/>
          <w:caps/>
          <w:kern w:val="0"/>
          <w:sz w:val="24"/>
          <w:szCs w:val="28"/>
        </w:rPr>
        <w:t>DATE OF FIRST INCLUSION ON THE ARTG</w:t>
      </w:r>
    </w:p>
    <w:p w14:paraId="3435AE87" w14:textId="17FED06C" w:rsidR="00207C36" w:rsidRPr="00B9099F" w:rsidRDefault="00BD4FEA" w:rsidP="00327F0A">
      <w:pPr>
        <w:rPr>
          <w:rFonts w:cs="Arial"/>
          <w:lang w:val="en-US"/>
        </w:rPr>
      </w:pPr>
      <w:r>
        <w:rPr>
          <w:rFonts w:cs="Arial"/>
          <w:lang w:val="en-US"/>
        </w:rPr>
        <w:t>3 November 2017</w:t>
      </w:r>
    </w:p>
    <w:p w14:paraId="0A753ED2" w14:textId="77777777" w:rsidR="004E4425" w:rsidRPr="00B9099F" w:rsidRDefault="004E4425">
      <w:pPr>
        <w:pStyle w:val="Default"/>
        <w:rPr>
          <w:rFonts w:ascii="Arial" w:hAnsi="Arial" w:cs="Arial"/>
        </w:rPr>
      </w:pPr>
    </w:p>
    <w:p w14:paraId="4EF7C698" w14:textId="77777777" w:rsidR="00207C36" w:rsidRPr="00353D21" w:rsidRDefault="00207C36">
      <w:pPr>
        <w:rPr>
          <w:rFonts w:cs="Arial"/>
        </w:rPr>
      </w:pPr>
      <w:r w:rsidRPr="00B9099F">
        <w:rPr>
          <w:rFonts w:cs="Arial"/>
        </w:rPr>
        <w:t>Biogen</w:t>
      </w:r>
      <w:r w:rsidRPr="00B9099F">
        <w:rPr>
          <w:rFonts w:cs="Arial"/>
          <w:vertAlign w:val="superscript"/>
        </w:rPr>
        <w:t>®</w:t>
      </w:r>
      <w:r w:rsidRPr="00B9099F">
        <w:rPr>
          <w:rFonts w:cs="Arial"/>
        </w:rPr>
        <w:t xml:space="preserve"> is a registered trademark of Biogen MA Inc.</w:t>
      </w:r>
    </w:p>
    <w:p w14:paraId="128A99ED" w14:textId="77777777" w:rsidR="008D048B" w:rsidRPr="00353D21" w:rsidRDefault="008D048B" w:rsidP="00B11BE9">
      <w:pPr>
        <w:rPr>
          <w:rFonts w:cs="Arial"/>
          <w:sz w:val="22"/>
          <w:szCs w:val="22"/>
          <w:lang w:val="en-US"/>
        </w:rPr>
      </w:pPr>
    </w:p>
    <w:sectPr w:rsidR="008D048B" w:rsidRPr="00353D21" w:rsidSect="00803F7C">
      <w:headerReference w:type="default" r:id="rId25"/>
      <w:footerReference w:type="default" r:id="rId26"/>
      <w:pgSz w:w="11907" w:h="16839" w:code="9"/>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E53D42" w14:textId="77777777" w:rsidR="00EE7DFE" w:rsidRDefault="00EE7DFE">
      <w:r>
        <w:separator/>
      </w:r>
    </w:p>
  </w:endnote>
  <w:endnote w:type="continuationSeparator" w:id="0">
    <w:p w14:paraId="63A46D7F" w14:textId="77777777" w:rsidR="00EE7DFE" w:rsidRDefault="00EE7DFE">
      <w:r>
        <w:continuationSeparator/>
      </w:r>
    </w:p>
  </w:endnote>
  <w:endnote w:type="continuationNotice" w:id="1">
    <w:p w14:paraId="2890EE86" w14:textId="77777777" w:rsidR="00EE7DFE" w:rsidRDefault="00EE7D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Neue Condensed">
    <w:altName w:val="Arial"/>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7495132"/>
      <w:docPartObj>
        <w:docPartGallery w:val="Page Numbers (Bottom of Page)"/>
        <w:docPartUnique/>
      </w:docPartObj>
    </w:sdtPr>
    <w:sdtEndPr/>
    <w:sdtContent>
      <w:sdt>
        <w:sdtPr>
          <w:id w:val="860082579"/>
          <w:docPartObj>
            <w:docPartGallery w:val="Page Numbers (Top of Page)"/>
            <w:docPartUnique/>
          </w:docPartObj>
        </w:sdtPr>
        <w:sdtEndPr/>
        <w:sdtContent>
          <w:p w14:paraId="63F391F9" w14:textId="6445C8AE" w:rsidR="00EE7DFE" w:rsidRPr="005664FB" w:rsidRDefault="00EE7DFE" w:rsidP="0060012B">
            <w:pPr>
              <w:pStyle w:val="Footer"/>
              <w:tabs>
                <w:tab w:val="clear" w:pos="8640"/>
                <w:tab w:val="right" w:pos="9639"/>
              </w:tabs>
              <w:rPr>
                <w:rFonts w:cs="Arial"/>
                <w:sz w:val="22"/>
                <w:szCs w:val="22"/>
                <w:lang w:val="en-US"/>
              </w:rPr>
            </w:pPr>
            <w:r>
              <w:rPr>
                <w:rFonts w:cs="Arial"/>
                <w:sz w:val="20"/>
                <w:szCs w:val="20"/>
                <w:lang w:val="en-US"/>
              </w:rPr>
              <w:t>SPINRAZA PI</w:t>
            </w:r>
            <w:r w:rsidRPr="00482C55">
              <w:rPr>
                <w:rFonts w:cs="Arial"/>
                <w:sz w:val="20"/>
                <w:szCs w:val="20"/>
                <w:lang w:val="en-US"/>
              </w:rPr>
              <w:t xml:space="preserve"> (version </w:t>
            </w:r>
            <w:r w:rsidR="00BD4FEA">
              <w:rPr>
                <w:rFonts w:cs="Arial"/>
                <w:sz w:val="20"/>
                <w:szCs w:val="20"/>
                <w:lang w:val="en-US"/>
              </w:rPr>
              <w:t>1</w:t>
            </w:r>
            <w:r w:rsidR="00171C45">
              <w:rPr>
                <w:rFonts w:cs="Arial"/>
                <w:sz w:val="20"/>
                <w:szCs w:val="20"/>
                <w:lang w:val="en-US"/>
              </w:rPr>
              <w:t>11</w:t>
            </w:r>
            <w:r>
              <w:rPr>
                <w:rFonts w:cs="Arial"/>
                <w:sz w:val="20"/>
                <w:szCs w:val="20"/>
                <w:lang w:val="en-US"/>
              </w:rPr>
              <w:t>17</w:t>
            </w:r>
            <w:r w:rsidRPr="00482C55">
              <w:rPr>
                <w:rFonts w:cs="Arial"/>
                <w:sz w:val="20"/>
                <w:szCs w:val="20"/>
                <w:lang w:val="en-US"/>
              </w:rPr>
              <w:t>)</w:t>
            </w:r>
            <w:r>
              <w:rPr>
                <w:rFonts w:cs="Arial"/>
                <w:sz w:val="22"/>
                <w:szCs w:val="22"/>
                <w:lang w:val="en-US"/>
              </w:rPr>
              <w:tab/>
            </w:r>
            <w:r>
              <w:rPr>
                <w:rFonts w:cs="Arial"/>
                <w:sz w:val="22"/>
                <w:szCs w:val="22"/>
                <w:lang w:val="en-US"/>
              </w:rPr>
              <w:tab/>
            </w:r>
            <w:r w:rsidRPr="0060012B">
              <w:rPr>
                <w:rFonts w:cs="Arial"/>
                <w:sz w:val="20"/>
                <w:szCs w:val="20"/>
              </w:rPr>
              <w:t xml:space="preserve">Page </w:t>
            </w:r>
            <w:r w:rsidRPr="0060012B">
              <w:rPr>
                <w:rFonts w:cs="Arial"/>
                <w:bCs/>
                <w:sz w:val="20"/>
                <w:szCs w:val="20"/>
              </w:rPr>
              <w:fldChar w:fldCharType="begin"/>
            </w:r>
            <w:r w:rsidRPr="0060012B">
              <w:rPr>
                <w:rFonts w:cs="Arial"/>
                <w:bCs/>
                <w:sz w:val="20"/>
                <w:szCs w:val="20"/>
              </w:rPr>
              <w:instrText xml:space="preserve"> PAGE </w:instrText>
            </w:r>
            <w:r w:rsidRPr="0060012B">
              <w:rPr>
                <w:rFonts w:cs="Arial"/>
                <w:bCs/>
                <w:sz w:val="20"/>
                <w:szCs w:val="20"/>
              </w:rPr>
              <w:fldChar w:fldCharType="separate"/>
            </w:r>
            <w:r w:rsidR="00667717">
              <w:rPr>
                <w:rFonts w:cs="Arial"/>
                <w:bCs/>
                <w:noProof/>
                <w:sz w:val="20"/>
                <w:szCs w:val="20"/>
              </w:rPr>
              <w:t>3</w:t>
            </w:r>
            <w:r w:rsidRPr="0060012B">
              <w:rPr>
                <w:rFonts w:cs="Arial"/>
                <w:bCs/>
                <w:sz w:val="20"/>
                <w:szCs w:val="20"/>
              </w:rPr>
              <w:fldChar w:fldCharType="end"/>
            </w:r>
            <w:r w:rsidRPr="0060012B">
              <w:rPr>
                <w:rFonts w:cs="Arial"/>
                <w:sz w:val="20"/>
                <w:szCs w:val="20"/>
              </w:rPr>
              <w:t xml:space="preserve"> of </w:t>
            </w:r>
            <w:r w:rsidRPr="0060012B">
              <w:rPr>
                <w:rFonts w:cs="Arial"/>
                <w:bCs/>
                <w:sz w:val="20"/>
                <w:szCs w:val="20"/>
              </w:rPr>
              <w:fldChar w:fldCharType="begin"/>
            </w:r>
            <w:r w:rsidRPr="0060012B">
              <w:rPr>
                <w:rFonts w:cs="Arial"/>
                <w:bCs/>
                <w:sz w:val="20"/>
                <w:szCs w:val="20"/>
              </w:rPr>
              <w:instrText xml:space="preserve"> NUMPAGES  </w:instrText>
            </w:r>
            <w:r w:rsidRPr="0060012B">
              <w:rPr>
                <w:rFonts w:cs="Arial"/>
                <w:bCs/>
                <w:sz w:val="20"/>
                <w:szCs w:val="20"/>
              </w:rPr>
              <w:fldChar w:fldCharType="separate"/>
            </w:r>
            <w:r w:rsidR="00667717">
              <w:rPr>
                <w:rFonts w:cs="Arial"/>
                <w:bCs/>
                <w:noProof/>
                <w:sz w:val="20"/>
                <w:szCs w:val="20"/>
              </w:rPr>
              <w:t>25</w:t>
            </w:r>
            <w:r w:rsidRPr="0060012B">
              <w:rPr>
                <w:rFonts w:cs="Arial"/>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73D206" w14:textId="77777777" w:rsidR="00EE7DFE" w:rsidRDefault="00EE7DFE">
      <w:r>
        <w:separator/>
      </w:r>
    </w:p>
  </w:footnote>
  <w:footnote w:type="continuationSeparator" w:id="0">
    <w:p w14:paraId="7B2B112C" w14:textId="77777777" w:rsidR="00EE7DFE" w:rsidRDefault="00EE7DFE">
      <w:r>
        <w:continuationSeparator/>
      </w:r>
    </w:p>
  </w:footnote>
  <w:footnote w:type="continuationNotice" w:id="1">
    <w:p w14:paraId="0A6FE4FB" w14:textId="77777777" w:rsidR="00EE7DFE" w:rsidRDefault="00EE7DF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667717" w:rsidRPr="001C184C" w14:paraId="57299FD4" w14:textId="77777777" w:rsidTr="00D43929">
      <w:trPr>
        <w:trHeight w:val="602"/>
      </w:trPr>
      <w:tc>
        <w:tcPr>
          <w:tcW w:w="8720" w:type="dxa"/>
          <w:shd w:val="clear" w:color="auto" w:fill="E4F2E0"/>
        </w:tcPr>
        <w:p w14:paraId="76A5F15E" w14:textId="77777777" w:rsidR="00667717" w:rsidRPr="001C184C" w:rsidRDefault="00667717" w:rsidP="00D43929">
          <w:pPr>
            <w:pStyle w:val="Footer"/>
            <w:rPr>
              <w:b/>
              <w:sz w:val="18"/>
              <w:szCs w:val="18"/>
            </w:rPr>
          </w:pPr>
          <w:r w:rsidRPr="001C184C">
            <w:rPr>
              <w:b/>
              <w:sz w:val="18"/>
              <w:szCs w:val="18"/>
            </w:rPr>
            <w:t xml:space="preserve">Attachment 1: Product information for </w:t>
          </w:r>
          <w:r w:rsidRPr="00E878D2">
            <w:rPr>
              <w:b/>
              <w:sz w:val="18"/>
              <w:szCs w:val="18"/>
            </w:rPr>
            <w:t xml:space="preserve">AusPAR </w:t>
          </w:r>
          <w:proofErr w:type="spellStart"/>
          <w:r w:rsidRPr="00E878D2">
            <w:rPr>
              <w:b/>
              <w:sz w:val="18"/>
              <w:szCs w:val="18"/>
            </w:rPr>
            <w:t>Spinraza</w:t>
          </w:r>
          <w:proofErr w:type="spellEnd"/>
          <w:r w:rsidRPr="00E878D2">
            <w:rPr>
              <w:b/>
              <w:sz w:val="18"/>
              <w:szCs w:val="18"/>
            </w:rPr>
            <w:t xml:space="preserve"> </w:t>
          </w:r>
          <w:proofErr w:type="spellStart"/>
          <w:r w:rsidRPr="00E878D2">
            <w:rPr>
              <w:b/>
              <w:sz w:val="18"/>
              <w:szCs w:val="18"/>
            </w:rPr>
            <w:t>nusinersen</w:t>
          </w:r>
          <w:proofErr w:type="spellEnd"/>
          <w:r w:rsidRPr="00E878D2">
            <w:rPr>
              <w:b/>
              <w:sz w:val="18"/>
              <w:szCs w:val="18"/>
            </w:rPr>
            <w:t xml:space="preserve"> (as </w:t>
          </w:r>
          <w:proofErr w:type="spellStart"/>
          <w:r w:rsidRPr="00E878D2">
            <w:rPr>
              <w:b/>
              <w:sz w:val="18"/>
              <w:szCs w:val="18"/>
            </w:rPr>
            <w:t>heptadecasodium</w:t>
          </w:r>
          <w:proofErr w:type="spellEnd"/>
          <w:r w:rsidRPr="00E878D2">
            <w:rPr>
              <w:b/>
              <w:sz w:val="18"/>
              <w:szCs w:val="18"/>
            </w:rPr>
            <w:t>) Biogen Australia Pty Ltd PM-2016-04042-1-3 FINAL 13 August2018</w:t>
          </w:r>
          <w:r>
            <w:rPr>
              <w:b/>
              <w:sz w:val="18"/>
              <w:szCs w:val="18"/>
            </w:rPr>
            <w:t xml:space="preserve"> </w:t>
          </w:r>
          <w:r w:rsidRPr="001C184C">
            <w:rPr>
              <w:b/>
              <w:sz w:val="18"/>
              <w:szCs w:val="18"/>
            </w:rPr>
            <w:t>This Product information was approved at the time this AusPAR was published.</w:t>
          </w:r>
        </w:p>
      </w:tc>
    </w:tr>
  </w:tbl>
  <w:p w14:paraId="551045D2" w14:textId="77777777" w:rsidR="00DF75A7" w:rsidRDefault="00DF75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1A8D"/>
    <w:multiLevelType w:val="hybridMultilevel"/>
    <w:tmpl w:val="765AC1B4"/>
    <w:lvl w:ilvl="0" w:tplc="36886DA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9FB1D29"/>
    <w:multiLevelType w:val="hybridMultilevel"/>
    <w:tmpl w:val="CD140C16"/>
    <w:lvl w:ilvl="0" w:tplc="36886DA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E202513"/>
    <w:multiLevelType w:val="hybridMultilevel"/>
    <w:tmpl w:val="E988CD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85412EE"/>
    <w:multiLevelType w:val="hybridMultilevel"/>
    <w:tmpl w:val="88FC9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B06658D"/>
    <w:multiLevelType w:val="hybridMultilevel"/>
    <w:tmpl w:val="B8FAF59E"/>
    <w:lvl w:ilvl="0" w:tplc="36886DA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20B48E0"/>
    <w:multiLevelType w:val="hybridMultilevel"/>
    <w:tmpl w:val="0A1E8104"/>
    <w:lvl w:ilvl="0" w:tplc="36886DA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7D5781C"/>
    <w:multiLevelType w:val="hybridMultilevel"/>
    <w:tmpl w:val="05BECBCA"/>
    <w:lvl w:ilvl="0" w:tplc="36886DA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90A258D"/>
    <w:multiLevelType w:val="hybridMultilevel"/>
    <w:tmpl w:val="01CC6C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614E2D59"/>
    <w:multiLevelType w:val="hybridMultilevel"/>
    <w:tmpl w:val="B986F538"/>
    <w:lvl w:ilvl="0" w:tplc="36886DA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9D60422"/>
    <w:multiLevelType w:val="hybridMultilevel"/>
    <w:tmpl w:val="63D2CADA"/>
    <w:lvl w:ilvl="0" w:tplc="36886DA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B270115"/>
    <w:multiLevelType w:val="hybridMultilevel"/>
    <w:tmpl w:val="357071A2"/>
    <w:lvl w:ilvl="0" w:tplc="36886DA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13A19E0"/>
    <w:multiLevelType w:val="hybridMultilevel"/>
    <w:tmpl w:val="25D0277E"/>
    <w:lvl w:ilvl="0" w:tplc="1390F9F8">
      <w:start w:val="9"/>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4787295"/>
    <w:multiLevelType w:val="hybridMultilevel"/>
    <w:tmpl w:val="190C24EC"/>
    <w:lvl w:ilvl="0" w:tplc="36886DA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C145DF4"/>
    <w:multiLevelType w:val="hybridMultilevel"/>
    <w:tmpl w:val="5F189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7"/>
  </w:num>
  <w:num w:numId="4">
    <w:abstractNumId w:val="2"/>
  </w:num>
  <w:num w:numId="5">
    <w:abstractNumId w:val="4"/>
  </w:num>
  <w:num w:numId="6">
    <w:abstractNumId w:val="11"/>
  </w:num>
  <w:num w:numId="7">
    <w:abstractNumId w:val="10"/>
  </w:num>
  <w:num w:numId="8">
    <w:abstractNumId w:val="9"/>
  </w:num>
  <w:num w:numId="9">
    <w:abstractNumId w:val="6"/>
  </w:num>
  <w:num w:numId="10">
    <w:abstractNumId w:val="12"/>
  </w:num>
  <w:num w:numId="11">
    <w:abstractNumId w:val="8"/>
  </w:num>
  <w:num w:numId="12">
    <w:abstractNumId w:val="5"/>
  </w:num>
  <w:num w:numId="13">
    <w:abstractNumId w:val="1"/>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E7B"/>
    <w:rsid w:val="00000EE2"/>
    <w:rsid w:val="0000414E"/>
    <w:rsid w:val="00005267"/>
    <w:rsid w:val="00005678"/>
    <w:rsid w:val="00005C92"/>
    <w:rsid w:val="00014D1F"/>
    <w:rsid w:val="00016087"/>
    <w:rsid w:val="000209BF"/>
    <w:rsid w:val="00021002"/>
    <w:rsid w:val="00022767"/>
    <w:rsid w:val="000248BC"/>
    <w:rsid w:val="000300C5"/>
    <w:rsid w:val="00031F00"/>
    <w:rsid w:val="00036607"/>
    <w:rsid w:val="00037173"/>
    <w:rsid w:val="00043D8D"/>
    <w:rsid w:val="00047578"/>
    <w:rsid w:val="000479A8"/>
    <w:rsid w:val="000515BB"/>
    <w:rsid w:val="000522C6"/>
    <w:rsid w:val="00052496"/>
    <w:rsid w:val="000524FE"/>
    <w:rsid w:val="00052A29"/>
    <w:rsid w:val="0005397B"/>
    <w:rsid w:val="00057113"/>
    <w:rsid w:val="000579E1"/>
    <w:rsid w:val="000632D3"/>
    <w:rsid w:val="0006337E"/>
    <w:rsid w:val="00063AAE"/>
    <w:rsid w:val="000658D8"/>
    <w:rsid w:val="0006601D"/>
    <w:rsid w:val="00067E1E"/>
    <w:rsid w:val="00070F7B"/>
    <w:rsid w:val="0007103B"/>
    <w:rsid w:val="00072291"/>
    <w:rsid w:val="0007369D"/>
    <w:rsid w:val="0008031F"/>
    <w:rsid w:val="00083062"/>
    <w:rsid w:val="00083276"/>
    <w:rsid w:val="00083333"/>
    <w:rsid w:val="000872FE"/>
    <w:rsid w:val="00087960"/>
    <w:rsid w:val="000934AB"/>
    <w:rsid w:val="00093C41"/>
    <w:rsid w:val="00094C48"/>
    <w:rsid w:val="000954E7"/>
    <w:rsid w:val="000A0F9E"/>
    <w:rsid w:val="000A1165"/>
    <w:rsid w:val="000A2EA8"/>
    <w:rsid w:val="000A4CC8"/>
    <w:rsid w:val="000A58D1"/>
    <w:rsid w:val="000A6B81"/>
    <w:rsid w:val="000A6D37"/>
    <w:rsid w:val="000A70B2"/>
    <w:rsid w:val="000A7E3D"/>
    <w:rsid w:val="000B0064"/>
    <w:rsid w:val="000B1244"/>
    <w:rsid w:val="000B1414"/>
    <w:rsid w:val="000B17ED"/>
    <w:rsid w:val="000B2F3B"/>
    <w:rsid w:val="000C45C1"/>
    <w:rsid w:val="000C6ABD"/>
    <w:rsid w:val="000C6B28"/>
    <w:rsid w:val="000C6C17"/>
    <w:rsid w:val="000C7022"/>
    <w:rsid w:val="000C7462"/>
    <w:rsid w:val="000D19FF"/>
    <w:rsid w:val="000D22B7"/>
    <w:rsid w:val="000D47C1"/>
    <w:rsid w:val="000E2DAA"/>
    <w:rsid w:val="000E3420"/>
    <w:rsid w:val="000E3809"/>
    <w:rsid w:val="000F02D3"/>
    <w:rsid w:val="000F0651"/>
    <w:rsid w:val="000F0688"/>
    <w:rsid w:val="000F1039"/>
    <w:rsid w:val="000F2909"/>
    <w:rsid w:val="000F3D76"/>
    <w:rsid w:val="000F4FA3"/>
    <w:rsid w:val="000F59E7"/>
    <w:rsid w:val="001009C1"/>
    <w:rsid w:val="00100D06"/>
    <w:rsid w:val="0010181C"/>
    <w:rsid w:val="00102086"/>
    <w:rsid w:val="00103F41"/>
    <w:rsid w:val="00111F85"/>
    <w:rsid w:val="001130E4"/>
    <w:rsid w:val="001165D7"/>
    <w:rsid w:val="001167A2"/>
    <w:rsid w:val="00116E4D"/>
    <w:rsid w:val="00124809"/>
    <w:rsid w:val="00125BF0"/>
    <w:rsid w:val="00132A95"/>
    <w:rsid w:val="001338E8"/>
    <w:rsid w:val="00133AD7"/>
    <w:rsid w:val="001344A7"/>
    <w:rsid w:val="0013535E"/>
    <w:rsid w:val="0014082E"/>
    <w:rsid w:val="001414B7"/>
    <w:rsid w:val="001420B7"/>
    <w:rsid w:val="00142767"/>
    <w:rsid w:val="00142F67"/>
    <w:rsid w:val="001446A3"/>
    <w:rsid w:val="00144CC3"/>
    <w:rsid w:val="00145312"/>
    <w:rsid w:val="00151002"/>
    <w:rsid w:val="00154B1A"/>
    <w:rsid w:val="001550F4"/>
    <w:rsid w:val="001553D1"/>
    <w:rsid w:val="00155771"/>
    <w:rsid w:val="0015642C"/>
    <w:rsid w:val="0016210D"/>
    <w:rsid w:val="00163CC9"/>
    <w:rsid w:val="00164E4A"/>
    <w:rsid w:val="00166ADC"/>
    <w:rsid w:val="001672B4"/>
    <w:rsid w:val="001673C1"/>
    <w:rsid w:val="001707DE"/>
    <w:rsid w:val="00171C45"/>
    <w:rsid w:val="00173B0D"/>
    <w:rsid w:val="00174BD0"/>
    <w:rsid w:val="001761A4"/>
    <w:rsid w:val="001761D8"/>
    <w:rsid w:val="00176C4B"/>
    <w:rsid w:val="0017769D"/>
    <w:rsid w:val="00180683"/>
    <w:rsid w:val="0018151C"/>
    <w:rsid w:val="00185FF9"/>
    <w:rsid w:val="0018699B"/>
    <w:rsid w:val="00187676"/>
    <w:rsid w:val="001911C8"/>
    <w:rsid w:val="001933B8"/>
    <w:rsid w:val="0019366F"/>
    <w:rsid w:val="0019438F"/>
    <w:rsid w:val="0019466D"/>
    <w:rsid w:val="00196CE3"/>
    <w:rsid w:val="00197BE0"/>
    <w:rsid w:val="001A04DE"/>
    <w:rsid w:val="001A4F8F"/>
    <w:rsid w:val="001A51EC"/>
    <w:rsid w:val="001A5F12"/>
    <w:rsid w:val="001A6293"/>
    <w:rsid w:val="001A67ED"/>
    <w:rsid w:val="001A7B67"/>
    <w:rsid w:val="001A7DBC"/>
    <w:rsid w:val="001B0648"/>
    <w:rsid w:val="001B341F"/>
    <w:rsid w:val="001B41E2"/>
    <w:rsid w:val="001B42A4"/>
    <w:rsid w:val="001B77D0"/>
    <w:rsid w:val="001B78B0"/>
    <w:rsid w:val="001C38C4"/>
    <w:rsid w:val="001C4BDE"/>
    <w:rsid w:val="001C5906"/>
    <w:rsid w:val="001C70B9"/>
    <w:rsid w:val="001D2142"/>
    <w:rsid w:val="001D3C35"/>
    <w:rsid w:val="001D5812"/>
    <w:rsid w:val="001D592C"/>
    <w:rsid w:val="001D5BC6"/>
    <w:rsid w:val="001D6064"/>
    <w:rsid w:val="001D7E99"/>
    <w:rsid w:val="001E6000"/>
    <w:rsid w:val="001E7284"/>
    <w:rsid w:val="001F0197"/>
    <w:rsid w:val="001F1086"/>
    <w:rsid w:val="001F1CF1"/>
    <w:rsid w:val="001F2BF5"/>
    <w:rsid w:val="001F6575"/>
    <w:rsid w:val="00200C54"/>
    <w:rsid w:val="00200E44"/>
    <w:rsid w:val="00202D00"/>
    <w:rsid w:val="00202EFB"/>
    <w:rsid w:val="00204432"/>
    <w:rsid w:val="00207C36"/>
    <w:rsid w:val="002106CF"/>
    <w:rsid w:val="0021286E"/>
    <w:rsid w:val="00214F48"/>
    <w:rsid w:val="00216A41"/>
    <w:rsid w:val="00216B25"/>
    <w:rsid w:val="0021703D"/>
    <w:rsid w:val="002176FD"/>
    <w:rsid w:val="002212E2"/>
    <w:rsid w:val="002306CC"/>
    <w:rsid w:val="00231200"/>
    <w:rsid w:val="002333C8"/>
    <w:rsid w:val="00233B26"/>
    <w:rsid w:val="00235ACE"/>
    <w:rsid w:val="00237A5B"/>
    <w:rsid w:val="00240503"/>
    <w:rsid w:val="00245563"/>
    <w:rsid w:val="002464FD"/>
    <w:rsid w:val="00247D12"/>
    <w:rsid w:val="00250961"/>
    <w:rsid w:val="00250F0B"/>
    <w:rsid w:val="00251669"/>
    <w:rsid w:val="0025208D"/>
    <w:rsid w:val="00255421"/>
    <w:rsid w:val="002561ED"/>
    <w:rsid w:val="00256207"/>
    <w:rsid w:val="002567C7"/>
    <w:rsid w:val="00264F83"/>
    <w:rsid w:val="0026567E"/>
    <w:rsid w:val="0026597F"/>
    <w:rsid w:val="002706AE"/>
    <w:rsid w:val="00270A1C"/>
    <w:rsid w:val="0027188B"/>
    <w:rsid w:val="00276685"/>
    <w:rsid w:val="00277106"/>
    <w:rsid w:val="00277E48"/>
    <w:rsid w:val="0028231F"/>
    <w:rsid w:val="002823C0"/>
    <w:rsid w:val="00286359"/>
    <w:rsid w:val="00291E66"/>
    <w:rsid w:val="002929E6"/>
    <w:rsid w:val="002958F7"/>
    <w:rsid w:val="002963C4"/>
    <w:rsid w:val="0029669F"/>
    <w:rsid w:val="002976B1"/>
    <w:rsid w:val="002A03F7"/>
    <w:rsid w:val="002A139E"/>
    <w:rsid w:val="002A1F22"/>
    <w:rsid w:val="002A222B"/>
    <w:rsid w:val="002A3672"/>
    <w:rsid w:val="002A4796"/>
    <w:rsid w:val="002A5A7E"/>
    <w:rsid w:val="002A6250"/>
    <w:rsid w:val="002A6C19"/>
    <w:rsid w:val="002B191B"/>
    <w:rsid w:val="002B3799"/>
    <w:rsid w:val="002B3F4F"/>
    <w:rsid w:val="002B51DC"/>
    <w:rsid w:val="002B5256"/>
    <w:rsid w:val="002B54F8"/>
    <w:rsid w:val="002B5EB2"/>
    <w:rsid w:val="002C1892"/>
    <w:rsid w:val="002C2F21"/>
    <w:rsid w:val="002C4BD3"/>
    <w:rsid w:val="002C4C67"/>
    <w:rsid w:val="002C517D"/>
    <w:rsid w:val="002C641D"/>
    <w:rsid w:val="002D3DF0"/>
    <w:rsid w:val="002D41C6"/>
    <w:rsid w:val="002D523A"/>
    <w:rsid w:val="002D556F"/>
    <w:rsid w:val="002D5642"/>
    <w:rsid w:val="002D580E"/>
    <w:rsid w:val="002D5B32"/>
    <w:rsid w:val="002E1906"/>
    <w:rsid w:val="002E2372"/>
    <w:rsid w:val="002E3673"/>
    <w:rsid w:val="002E5CD9"/>
    <w:rsid w:val="002E5F87"/>
    <w:rsid w:val="002E61C4"/>
    <w:rsid w:val="002E61EE"/>
    <w:rsid w:val="002E7D39"/>
    <w:rsid w:val="002F0D31"/>
    <w:rsid w:val="002F2100"/>
    <w:rsid w:val="002F64F0"/>
    <w:rsid w:val="003059B0"/>
    <w:rsid w:val="00307321"/>
    <w:rsid w:val="00311517"/>
    <w:rsid w:val="003116B7"/>
    <w:rsid w:val="00311E48"/>
    <w:rsid w:val="00313172"/>
    <w:rsid w:val="003135F7"/>
    <w:rsid w:val="00313D0A"/>
    <w:rsid w:val="00314C77"/>
    <w:rsid w:val="00315A61"/>
    <w:rsid w:val="00315D47"/>
    <w:rsid w:val="00316713"/>
    <w:rsid w:val="00316CC3"/>
    <w:rsid w:val="003172C7"/>
    <w:rsid w:val="003217A6"/>
    <w:rsid w:val="00321C1F"/>
    <w:rsid w:val="00322C01"/>
    <w:rsid w:val="003248B5"/>
    <w:rsid w:val="00324C76"/>
    <w:rsid w:val="003254E9"/>
    <w:rsid w:val="00325EA0"/>
    <w:rsid w:val="003270D5"/>
    <w:rsid w:val="00327F0A"/>
    <w:rsid w:val="003318B0"/>
    <w:rsid w:val="00331C35"/>
    <w:rsid w:val="00333FFB"/>
    <w:rsid w:val="00334128"/>
    <w:rsid w:val="003358CD"/>
    <w:rsid w:val="00337AC3"/>
    <w:rsid w:val="00340F7F"/>
    <w:rsid w:val="00343AE3"/>
    <w:rsid w:val="003446DD"/>
    <w:rsid w:val="00344E3F"/>
    <w:rsid w:val="0034577D"/>
    <w:rsid w:val="0034652C"/>
    <w:rsid w:val="0034718A"/>
    <w:rsid w:val="00350037"/>
    <w:rsid w:val="003508EA"/>
    <w:rsid w:val="00353D21"/>
    <w:rsid w:val="00355A6D"/>
    <w:rsid w:val="003570B2"/>
    <w:rsid w:val="00357865"/>
    <w:rsid w:val="00357F8E"/>
    <w:rsid w:val="00360764"/>
    <w:rsid w:val="0036598D"/>
    <w:rsid w:val="00366146"/>
    <w:rsid w:val="00366E50"/>
    <w:rsid w:val="00373810"/>
    <w:rsid w:val="0037391B"/>
    <w:rsid w:val="003743C2"/>
    <w:rsid w:val="00374DDE"/>
    <w:rsid w:val="00375F07"/>
    <w:rsid w:val="00376621"/>
    <w:rsid w:val="003818B9"/>
    <w:rsid w:val="00381933"/>
    <w:rsid w:val="00382664"/>
    <w:rsid w:val="0038403C"/>
    <w:rsid w:val="00387FA3"/>
    <w:rsid w:val="00391CC4"/>
    <w:rsid w:val="003955A1"/>
    <w:rsid w:val="003979D6"/>
    <w:rsid w:val="003A3A72"/>
    <w:rsid w:val="003A6485"/>
    <w:rsid w:val="003B10D9"/>
    <w:rsid w:val="003B17B9"/>
    <w:rsid w:val="003B2199"/>
    <w:rsid w:val="003B4822"/>
    <w:rsid w:val="003B5A2C"/>
    <w:rsid w:val="003C22FC"/>
    <w:rsid w:val="003C41FD"/>
    <w:rsid w:val="003C544E"/>
    <w:rsid w:val="003C55BC"/>
    <w:rsid w:val="003C56AA"/>
    <w:rsid w:val="003C692F"/>
    <w:rsid w:val="003C6AD0"/>
    <w:rsid w:val="003D0155"/>
    <w:rsid w:val="003D36D1"/>
    <w:rsid w:val="003D46F9"/>
    <w:rsid w:val="003D48FF"/>
    <w:rsid w:val="003D4916"/>
    <w:rsid w:val="003D4DA2"/>
    <w:rsid w:val="003D66BD"/>
    <w:rsid w:val="003D7B0E"/>
    <w:rsid w:val="003D7D40"/>
    <w:rsid w:val="003E2AD7"/>
    <w:rsid w:val="003E2E86"/>
    <w:rsid w:val="003E2F3B"/>
    <w:rsid w:val="003E3B46"/>
    <w:rsid w:val="003E556E"/>
    <w:rsid w:val="003E6716"/>
    <w:rsid w:val="003E7D1C"/>
    <w:rsid w:val="003F2510"/>
    <w:rsid w:val="003F532F"/>
    <w:rsid w:val="003F5DD7"/>
    <w:rsid w:val="00406B00"/>
    <w:rsid w:val="00407AF6"/>
    <w:rsid w:val="00407C1A"/>
    <w:rsid w:val="004117E0"/>
    <w:rsid w:val="004120CE"/>
    <w:rsid w:val="00412C7A"/>
    <w:rsid w:val="004153D2"/>
    <w:rsid w:val="00417239"/>
    <w:rsid w:val="004207C1"/>
    <w:rsid w:val="004223D2"/>
    <w:rsid w:val="0042242B"/>
    <w:rsid w:val="004239A0"/>
    <w:rsid w:val="004243A8"/>
    <w:rsid w:val="00424D3D"/>
    <w:rsid w:val="004265BF"/>
    <w:rsid w:val="00426C74"/>
    <w:rsid w:val="00431F73"/>
    <w:rsid w:val="00432878"/>
    <w:rsid w:val="004342EE"/>
    <w:rsid w:val="0043482D"/>
    <w:rsid w:val="00434D56"/>
    <w:rsid w:val="004354BD"/>
    <w:rsid w:val="00442CDC"/>
    <w:rsid w:val="004447D6"/>
    <w:rsid w:val="00445787"/>
    <w:rsid w:val="004509E5"/>
    <w:rsid w:val="0045200B"/>
    <w:rsid w:val="00452AE8"/>
    <w:rsid w:val="00454FA4"/>
    <w:rsid w:val="004556A8"/>
    <w:rsid w:val="00457C04"/>
    <w:rsid w:val="00460BB1"/>
    <w:rsid w:val="00461CAA"/>
    <w:rsid w:val="004638D1"/>
    <w:rsid w:val="004651DA"/>
    <w:rsid w:val="00465CFF"/>
    <w:rsid w:val="0046617F"/>
    <w:rsid w:val="00466D2F"/>
    <w:rsid w:val="00466E68"/>
    <w:rsid w:val="00467EE6"/>
    <w:rsid w:val="004702CF"/>
    <w:rsid w:val="00470B8C"/>
    <w:rsid w:val="0047170C"/>
    <w:rsid w:val="0047227D"/>
    <w:rsid w:val="00474CBB"/>
    <w:rsid w:val="0047685B"/>
    <w:rsid w:val="00477CB7"/>
    <w:rsid w:val="0048150F"/>
    <w:rsid w:val="00481A8F"/>
    <w:rsid w:val="004824F8"/>
    <w:rsid w:val="00482C55"/>
    <w:rsid w:val="0048328A"/>
    <w:rsid w:val="00484852"/>
    <w:rsid w:val="004848B4"/>
    <w:rsid w:val="00487F87"/>
    <w:rsid w:val="00490444"/>
    <w:rsid w:val="00492FBB"/>
    <w:rsid w:val="00494A85"/>
    <w:rsid w:val="00494BC0"/>
    <w:rsid w:val="00494D3C"/>
    <w:rsid w:val="0049618B"/>
    <w:rsid w:val="00496ED3"/>
    <w:rsid w:val="00497723"/>
    <w:rsid w:val="004978D8"/>
    <w:rsid w:val="004A0301"/>
    <w:rsid w:val="004A1017"/>
    <w:rsid w:val="004A17C0"/>
    <w:rsid w:val="004A2C7B"/>
    <w:rsid w:val="004A73F2"/>
    <w:rsid w:val="004A7BCC"/>
    <w:rsid w:val="004B0C5D"/>
    <w:rsid w:val="004B37D7"/>
    <w:rsid w:val="004B46FC"/>
    <w:rsid w:val="004B60F1"/>
    <w:rsid w:val="004B6A9D"/>
    <w:rsid w:val="004B6AAC"/>
    <w:rsid w:val="004C0C37"/>
    <w:rsid w:val="004C24D4"/>
    <w:rsid w:val="004C4CFE"/>
    <w:rsid w:val="004C4D85"/>
    <w:rsid w:val="004C5071"/>
    <w:rsid w:val="004C62A9"/>
    <w:rsid w:val="004C66DE"/>
    <w:rsid w:val="004D2332"/>
    <w:rsid w:val="004D347F"/>
    <w:rsid w:val="004D421A"/>
    <w:rsid w:val="004D44CD"/>
    <w:rsid w:val="004E0AFD"/>
    <w:rsid w:val="004E4425"/>
    <w:rsid w:val="004E4579"/>
    <w:rsid w:val="004E6070"/>
    <w:rsid w:val="004E6DD8"/>
    <w:rsid w:val="004F11E2"/>
    <w:rsid w:val="004F1374"/>
    <w:rsid w:val="004F1D0D"/>
    <w:rsid w:val="004F38EF"/>
    <w:rsid w:val="004F3FD4"/>
    <w:rsid w:val="004F6F2A"/>
    <w:rsid w:val="005002AC"/>
    <w:rsid w:val="00500702"/>
    <w:rsid w:val="00502FA7"/>
    <w:rsid w:val="00503948"/>
    <w:rsid w:val="00504E02"/>
    <w:rsid w:val="005066F2"/>
    <w:rsid w:val="0051128D"/>
    <w:rsid w:val="00512040"/>
    <w:rsid w:val="00512B95"/>
    <w:rsid w:val="005130DA"/>
    <w:rsid w:val="005134D3"/>
    <w:rsid w:val="00513B94"/>
    <w:rsid w:val="005172BC"/>
    <w:rsid w:val="005179DC"/>
    <w:rsid w:val="0052119C"/>
    <w:rsid w:val="005221F6"/>
    <w:rsid w:val="00522238"/>
    <w:rsid w:val="00527098"/>
    <w:rsid w:val="0052734A"/>
    <w:rsid w:val="00527848"/>
    <w:rsid w:val="00532174"/>
    <w:rsid w:val="0053325F"/>
    <w:rsid w:val="00533D0B"/>
    <w:rsid w:val="00535530"/>
    <w:rsid w:val="00536547"/>
    <w:rsid w:val="0053689B"/>
    <w:rsid w:val="00536FE1"/>
    <w:rsid w:val="005427C2"/>
    <w:rsid w:val="00542EE9"/>
    <w:rsid w:val="0054305E"/>
    <w:rsid w:val="00544E43"/>
    <w:rsid w:val="00545737"/>
    <w:rsid w:val="00545FF3"/>
    <w:rsid w:val="00546571"/>
    <w:rsid w:val="0054775E"/>
    <w:rsid w:val="0055107C"/>
    <w:rsid w:val="00551D0E"/>
    <w:rsid w:val="005525F2"/>
    <w:rsid w:val="00552BC6"/>
    <w:rsid w:val="00553665"/>
    <w:rsid w:val="0055588E"/>
    <w:rsid w:val="00555DC6"/>
    <w:rsid w:val="005565E3"/>
    <w:rsid w:val="0055695B"/>
    <w:rsid w:val="00556E53"/>
    <w:rsid w:val="00563BF1"/>
    <w:rsid w:val="00564D8A"/>
    <w:rsid w:val="00565248"/>
    <w:rsid w:val="0056553A"/>
    <w:rsid w:val="00565938"/>
    <w:rsid w:val="005664FB"/>
    <w:rsid w:val="00566C6E"/>
    <w:rsid w:val="00572885"/>
    <w:rsid w:val="005754F4"/>
    <w:rsid w:val="0057574C"/>
    <w:rsid w:val="00576376"/>
    <w:rsid w:val="00583A57"/>
    <w:rsid w:val="005846B3"/>
    <w:rsid w:val="00584BB4"/>
    <w:rsid w:val="00586274"/>
    <w:rsid w:val="00586AAF"/>
    <w:rsid w:val="00591580"/>
    <w:rsid w:val="00592354"/>
    <w:rsid w:val="00592761"/>
    <w:rsid w:val="00594C55"/>
    <w:rsid w:val="00595511"/>
    <w:rsid w:val="005966DC"/>
    <w:rsid w:val="00597488"/>
    <w:rsid w:val="005A057F"/>
    <w:rsid w:val="005A1072"/>
    <w:rsid w:val="005A2093"/>
    <w:rsid w:val="005A257A"/>
    <w:rsid w:val="005A275E"/>
    <w:rsid w:val="005A2B55"/>
    <w:rsid w:val="005A3E82"/>
    <w:rsid w:val="005A6484"/>
    <w:rsid w:val="005A73BB"/>
    <w:rsid w:val="005B2ABE"/>
    <w:rsid w:val="005C0656"/>
    <w:rsid w:val="005C12A2"/>
    <w:rsid w:val="005C2ACB"/>
    <w:rsid w:val="005C6277"/>
    <w:rsid w:val="005D162E"/>
    <w:rsid w:val="005D1C23"/>
    <w:rsid w:val="005D5172"/>
    <w:rsid w:val="005D6435"/>
    <w:rsid w:val="005E1ACC"/>
    <w:rsid w:val="005E26E8"/>
    <w:rsid w:val="005E534F"/>
    <w:rsid w:val="005F02CA"/>
    <w:rsid w:val="005F14F7"/>
    <w:rsid w:val="005F57FB"/>
    <w:rsid w:val="005F61F1"/>
    <w:rsid w:val="005F67C2"/>
    <w:rsid w:val="005F6FC5"/>
    <w:rsid w:val="005F768A"/>
    <w:rsid w:val="0060012B"/>
    <w:rsid w:val="00600419"/>
    <w:rsid w:val="0060153B"/>
    <w:rsid w:val="00602461"/>
    <w:rsid w:val="006042C3"/>
    <w:rsid w:val="00607F4E"/>
    <w:rsid w:val="00611B0A"/>
    <w:rsid w:val="00611DE2"/>
    <w:rsid w:val="00614244"/>
    <w:rsid w:val="00615E83"/>
    <w:rsid w:val="00620116"/>
    <w:rsid w:val="00621A9E"/>
    <w:rsid w:val="00621DE3"/>
    <w:rsid w:val="00622F9E"/>
    <w:rsid w:val="00623A4C"/>
    <w:rsid w:val="0062581F"/>
    <w:rsid w:val="0062589C"/>
    <w:rsid w:val="00625AD2"/>
    <w:rsid w:val="00630664"/>
    <w:rsid w:val="00631D82"/>
    <w:rsid w:val="00632B31"/>
    <w:rsid w:val="00635203"/>
    <w:rsid w:val="0063576F"/>
    <w:rsid w:val="0063605C"/>
    <w:rsid w:val="00636337"/>
    <w:rsid w:val="006405B1"/>
    <w:rsid w:val="006434BB"/>
    <w:rsid w:val="00645415"/>
    <w:rsid w:val="00646B5D"/>
    <w:rsid w:val="00650CFB"/>
    <w:rsid w:val="006520E0"/>
    <w:rsid w:val="00653745"/>
    <w:rsid w:val="00654223"/>
    <w:rsid w:val="00654353"/>
    <w:rsid w:val="006549E1"/>
    <w:rsid w:val="00663274"/>
    <w:rsid w:val="00667717"/>
    <w:rsid w:val="00673C5E"/>
    <w:rsid w:val="0067715E"/>
    <w:rsid w:val="0067786A"/>
    <w:rsid w:val="00677E27"/>
    <w:rsid w:val="0068121C"/>
    <w:rsid w:val="00683F82"/>
    <w:rsid w:val="00685F00"/>
    <w:rsid w:val="00691224"/>
    <w:rsid w:val="0069227F"/>
    <w:rsid w:val="0069289A"/>
    <w:rsid w:val="00693575"/>
    <w:rsid w:val="00694716"/>
    <w:rsid w:val="006A233D"/>
    <w:rsid w:val="006A5B8B"/>
    <w:rsid w:val="006A6395"/>
    <w:rsid w:val="006A6695"/>
    <w:rsid w:val="006A6BAF"/>
    <w:rsid w:val="006A6D7A"/>
    <w:rsid w:val="006A6ECF"/>
    <w:rsid w:val="006B15BB"/>
    <w:rsid w:val="006B6849"/>
    <w:rsid w:val="006B721D"/>
    <w:rsid w:val="006B798B"/>
    <w:rsid w:val="006C007A"/>
    <w:rsid w:val="006C1646"/>
    <w:rsid w:val="006C3188"/>
    <w:rsid w:val="006C4374"/>
    <w:rsid w:val="006C4879"/>
    <w:rsid w:val="006D24B3"/>
    <w:rsid w:val="006D2D2E"/>
    <w:rsid w:val="006D54AB"/>
    <w:rsid w:val="006D684D"/>
    <w:rsid w:val="006E12DB"/>
    <w:rsid w:val="006E2705"/>
    <w:rsid w:val="006E289F"/>
    <w:rsid w:val="006E3341"/>
    <w:rsid w:val="006E49DA"/>
    <w:rsid w:val="006E549D"/>
    <w:rsid w:val="006E5F9F"/>
    <w:rsid w:val="006E7D7B"/>
    <w:rsid w:val="006F12C7"/>
    <w:rsid w:val="006F2D96"/>
    <w:rsid w:val="006F3883"/>
    <w:rsid w:val="006F475F"/>
    <w:rsid w:val="006F4F8B"/>
    <w:rsid w:val="006F526B"/>
    <w:rsid w:val="006F74CD"/>
    <w:rsid w:val="006F7CF2"/>
    <w:rsid w:val="00702059"/>
    <w:rsid w:val="0070214C"/>
    <w:rsid w:val="007034E2"/>
    <w:rsid w:val="00703588"/>
    <w:rsid w:val="007079C9"/>
    <w:rsid w:val="00710ABA"/>
    <w:rsid w:val="00711008"/>
    <w:rsid w:val="007118CC"/>
    <w:rsid w:val="007126C6"/>
    <w:rsid w:val="00714D01"/>
    <w:rsid w:val="007159A8"/>
    <w:rsid w:val="00716689"/>
    <w:rsid w:val="00720D40"/>
    <w:rsid w:val="00722775"/>
    <w:rsid w:val="00723DB0"/>
    <w:rsid w:val="00724C7A"/>
    <w:rsid w:val="00730E46"/>
    <w:rsid w:val="00732E64"/>
    <w:rsid w:val="00733BFB"/>
    <w:rsid w:val="00734628"/>
    <w:rsid w:val="007358DA"/>
    <w:rsid w:val="007379B5"/>
    <w:rsid w:val="00737D7D"/>
    <w:rsid w:val="00740EF9"/>
    <w:rsid w:val="0074139D"/>
    <w:rsid w:val="00741573"/>
    <w:rsid w:val="007426E6"/>
    <w:rsid w:val="00744D6C"/>
    <w:rsid w:val="00745204"/>
    <w:rsid w:val="0074581A"/>
    <w:rsid w:val="00746F04"/>
    <w:rsid w:val="00747121"/>
    <w:rsid w:val="00752F1C"/>
    <w:rsid w:val="00753A6A"/>
    <w:rsid w:val="00756B5B"/>
    <w:rsid w:val="0076239F"/>
    <w:rsid w:val="00763A6B"/>
    <w:rsid w:val="00764727"/>
    <w:rsid w:val="00765F92"/>
    <w:rsid w:val="00767446"/>
    <w:rsid w:val="007678DC"/>
    <w:rsid w:val="00767936"/>
    <w:rsid w:val="00770732"/>
    <w:rsid w:val="00772CA4"/>
    <w:rsid w:val="00775BBC"/>
    <w:rsid w:val="00776A5D"/>
    <w:rsid w:val="0077745D"/>
    <w:rsid w:val="00780548"/>
    <w:rsid w:val="007829B0"/>
    <w:rsid w:val="00785408"/>
    <w:rsid w:val="00785A4B"/>
    <w:rsid w:val="00790978"/>
    <w:rsid w:val="00794253"/>
    <w:rsid w:val="00794CEF"/>
    <w:rsid w:val="0079765B"/>
    <w:rsid w:val="00797664"/>
    <w:rsid w:val="007A18B9"/>
    <w:rsid w:val="007A19ED"/>
    <w:rsid w:val="007A29F3"/>
    <w:rsid w:val="007A394E"/>
    <w:rsid w:val="007A3D7A"/>
    <w:rsid w:val="007B175D"/>
    <w:rsid w:val="007B182D"/>
    <w:rsid w:val="007B1E9F"/>
    <w:rsid w:val="007B4926"/>
    <w:rsid w:val="007C1279"/>
    <w:rsid w:val="007C21D4"/>
    <w:rsid w:val="007C3904"/>
    <w:rsid w:val="007C3D72"/>
    <w:rsid w:val="007C533F"/>
    <w:rsid w:val="007D0CB9"/>
    <w:rsid w:val="007D0EA9"/>
    <w:rsid w:val="007D1A92"/>
    <w:rsid w:val="007D1C3B"/>
    <w:rsid w:val="007D2DC0"/>
    <w:rsid w:val="007D6D57"/>
    <w:rsid w:val="007D709E"/>
    <w:rsid w:val="007D7F61"/>
    <w:rsid w:val="007E0426"/>
    <w:rsid w:val="007E1CD3"/>
    <w:rsid w:val="007E43BE"/>
    <w:rsid w:val="007E4509"/>
    <w:rsid w:val="007E4622"/>
    <w:rsid w:val="007E4C34"/>
    <w:rsid w:val="007E53C0"/>
    <w:rsid w:val="007E5DAA"/>
    <w:rsid w:val="007E709E"/>
    <w:rsid w:val="007F021E"/>
    <w:rsid w:val="007F097D"/>
    <w:rsid w:val="007F0DD0"/>
    <w:rsid w:val="007F114B"/>
    <w:rsid w:val="007F40A8"/>
    <w:rsid w:val="007F4FB1"/>
    <w:rsid w:val="007F6471"/>
    <w:rsid w:val="00801452"/>
    <w:rsid w:val="008025AF"/>
    <w:rsid w:val="00803F7C"/>
    <w:rsid w:val="008042E1"/>
    <w:rsid w:val="0080456F"/>
    <w:rsid w:val="008058D8"/>
    <w:rsid w:val="008061A6"/>
    <w:rsid w:val="00810463"/>
    <w:rsid w:val="00813674"/>
    <w:rsid w:val="008140D2"/>
    <w:rsid w:val="0081582F"/>
    <w:rsid w:val="00817E12"/>
    <w:rsid w:val="00820CD9"/>
    <w:rsid w:val="0082156C"/>
    <w:rsid w:val="0082274E"/>
    <w:rsid w:val="008229C9"/>
    <w:rsid w:val="008234FE"/>
    <w:rsid w:val="00825FB1"/>
    <w:rsid w:val="00827597"/>
    <w:rsid w:val="008275E2"/>
    <w:rsid w:val="00827A44"/>
    <w:rsid w:val="00830EDF"/>
    <w:rsid w:val="00833A5C"/>
    <w:rsid w:val="00833E66"/>
    <w:rsid w:val="008404C2"/>
    <w:rsid w:val="00842792"/>
    <w:rsid w:val="00843E8C"/>
    <w:rsid w:val="0084517C"/>
    <w:rsid w:val="008454C8"/>
    <w:rsid w:val="0084702B"/>
    <w:rsid w:val="00850148"/>
    <w:rsid w:val="00850296"/>
    <w:rsid w:val="00851386"/>
    <w:rsid w:val="008531CE"/>
    <w:rsid w:val="00860EBD"/>
    <w:rsid w:val="00862376"/>
    <w:rsid w:val="008642B5"/>
    <w:rsid w:val="008655BC"/>
    <w:rsid w:val="008656E1"/>
    <w:rsid w:val="0086691E"/>
    <w:rsid w:val="00867AFF"/>
    <w:rsid w:val="00870C34"/>
    <w:rsid w:val="00870D6C"/>
    <w:rsid w:val="00883786"/>
    <w:rsid w:val="00885163"/>
    <w:rsid w:val="008877DB"/>
    <w:rsid w:val="00890432"/>
    <w:rsid w:val="008908E5"/>
    <w:rsid w:val="00890985"/>
    <w:rsid w:val="00891BAF"/>
    <w:rsid w:val="008926EF"/>
    <w:rsid w:val="0089336E"/>
    <w:rsid w:val="00894112"/>
    <w:rsid w:val="00894F3B"/>
    <w:rsid w:val="0089547A"/>
    <w:rsid w:val="0089762A"/>
    <w:rsid w:val="00897795"/>
    <w:rsid w:val="00897AFA"/>
    <w:rsid w:val="008A0196"/>
    <w:rsid w:val="008A2207"/>
    <w:rsid w:val="008A2889"/>
    <w:rsid w:val="008A4C94"/>
    <w:rsid w:val="008B02FB"/>
    <w:rsid w:val="008B3533"/>
    <w:rsid w:val="008B5247"/>
    <w:rsid w:val="008B5272"/>
    <w:rsid w:val="008B6512"/>
    <w:rsid w:val="008B75AC"/>
    <w:rsid w:val="008C1EC6"/>
    <w:rsid w:val="008C2532"/>
    <w:rsid w:val="008C32BB"/>
    <w:rsid w:val="008C54A0"/>
    <w:rsid w:val="008D034C"/>
    <w:rsid w:val="008D048B"/>
    <w:rsid w:val="008D09FA"/>
    <w:rsid w:val="008D25E2"/>
    <w:rsid w:val="008D6541"/>
    <w:rsid w:val="008E1B27"/>
    <w:rsid w:val="008E23B3"/>
    <w:rsid w:val="008E2EB5"/>
    <w:rsid w:val="008E580E"/>
    <w:rsid w:val="008E6DB9"/>
    <w:rsid w:val="008E74AF"/>
    <w:rsid w:val="008E7F2E"/>
    <w:rsid w:val="008F094F"/>
    <w:rsid w:val="008F0E86"/>
    <w:rsid w:val="008F2AFA"/>
    <w:rsid w:val="008F6A97"/>
    <w:rsid w:val="008F7F5F"/>
    <w:rsid w:val="0090116F"/>
    <w:rsid w:val="00901701"/>
    <w:rsid w:val="00907519"/>
    <w:rsid w:val="00911CDE"/>
    <w:rsid w:val="009124CD"/>
    <w:rsid w:val="00912A0B"/>
    <w:rsid w:val="00916184"/>
    <w:rsid w:val="00916A3E"/>
    <w:rsid w:val="009170B2"/>
    <w:rsid w:val="0091740F"/>
    <w:rsid w:val="00920D3D"/>
    <w:rsid w:val="009211E8"/>
    <w:rsid w:val="00923A9F"/>
    <w:rsid w:val="00923D38"/>
    <w:rsid w:val="00924C3A"/>
    <w:rsid w:val="0092651C"/>
    <w:rsid w:val="009275A7"/>
    <w:rsid w:val="00927720"/>
    <w:rsid w:val="00931A7B"/>
    <w:rsid w:val="0093294B"/>
    <w:rsid w:val="0093434B"/>
    <w:rsid w:val="00936668"/>
    <w:rsid w:val="009369A4"/>
    <w:rsid w:val="00936F35"/>
    <w:rsid w:val="00941A87"/>
    <w:rsid w:val="009428D5"/>
    <w:rsid w:val="00942EBB"/>
    <w:rsid w:val="00943163"/>
    <w:rsid w:val="00944EC3"/>
    <w:rsid w:val="00947835"/>
    <w:rsid w:val="00947B5A"/>
    <w:rsid w:val="00950134"/>
    <w:rsid w:val="0095019A"/>
    <w:rsid w:val="00950822"/>
    <w:rsid w:val="00951162"/>
    <w:rsid w:val="00951448"/>
    <w:rsid w:val="00951BDB"/>
    <w:rsid w:val="00955CD4"/>
    <w:rsid w:val="00956F0C"/>
    <w:rsid w:val="0095746D"/>
    <w:rsid w:val="00957679"/>
    <w:rsid w:val="00960252"/>
    <w:rsid w:val="00961C42"/>
    <w:rsid w:val="009666E6"/>
    <w:rsid w:val="009706D7"/>
    <w:rsid w:val="00972933"/>
    <w:rsid w:val="00975A02"/>
    <w:rsid w:val="00977540"/>
    <w:rsid w:val="00980D28"/>
    <w:rsid w:val="0098104D"/>
    <w:rsid w:val="009827D7"/>
    <w:rsid w:val="00983329"/>
    <w:rsid w:val="00993290"/>
    <w:rsid w:val="00993CF0"/>
    <w:rsid w:val="009970CE"/>
    <w:rsid w:val="009A0EBA"/>
    <w:rsid w:val="009A19FA"/>
    <w:rsid w:val="009A4E2D"/>
    <w:rsid w:val="009A53C4"/>
    <w:rsid w:val="009A665E"/>
    <w:rsid w:val="009A7D82"/>
    <w:rsid w:val="009B036C"/>
    <w:rsid w:val="009B179A"/>
    <w:rsid w:val="009B1C9D"/>
    <w:rsid w:val="009B24F8"/>
    <w:rsid w:val="009B27DB"/>
    <w:rsid w:val="009B6534"/>
    <w:rsid w:val="009C045F"/>
    <w:rsid w:val="009C1C87"/>
    <w:rsid w:val="009C1F60"/>
    <w:rsid w:val="009C2779"/>
    <w:rsid w:val="009C2D80"/>
    <w:rsid w:val="009C450C"/>
    <w:rsid w:val="009C59ED"/>
    <w:rsid w:val="009C63B6"/>
    <w:rsid w:val="009C68FD"/>
    <w:rsid w:val="009C6F7C"/>
    <w:rsid w:val="009C7F2E"/>
    <w:rsid w:val="009E1C15"/>
    <w:rsid w:val="009E58E8"/>
    <w:rsid w:val="009E626B"/>
    <w:rsid w:val="009E6C57"/>
    <w:rsid w:val="009F45C6"/>
    <w:rsid w:val="009F7B38"/>
    <w:rsid w:val="00A027C9"/>
    <w:rsid w:val="00A05A40"/>
    <w:rsid w:val="00A05BBD"/>
    <w:rsid w:val="00A06DCF"/>
    <w:rsid w:val="00A104F9"/>
    <w:rsid w:val="00A117DD"/>
    <w:rsid w:val="00A1229E"/>
    <w:rsid w:val="00A14F98"/>
    <w:rsid w:val="00A16BA8"/>
    <w:rsid w:val="00A22382"/>
    <w:rsid w:val="00A27127"/>
    <w:rsid w:val="00A3059F"/>
    <w:rsid w:val="00A32143"/>
    <w:rsid w:val="00A32AC3"/>
    <w:rsid w:val="00A353F3"/>
    <w:rsid w:val="00A37177"/>
    <w:rsid w:val="00A37AEE"/>
    <w:rsid w:val="00A43731"/>
    <w:rsid w:val="00A437CE"/>
    <w:rsid w:val="00A442B5"/>
    <w:rsid w:val="00A44C38"/>
    <w:rsid w:val="00A47459"/>
    <w:rsid w:val="00A505C3"/>
    <w:rsid w:val="00A51FD7"/>
    <w:rsid w:val="00A52D3F"/>
    <w:rsid w:val="00A57AF9"/>
    <w:rsid w:val="00A609B0"/>
    <w:rsid w:val="00A631D3"/>
    <w:rsid w:val="00A65F79"/>
    <w:rsid w:val="00A73F18"/>
    <w:rsid w:val="00A7500E"/>
    <w:rsid w:val="00A756C8"/>
    <w:rsid w:val="00A7613F"/>
    <w:rsid w:val="00A770D1"/>
    <w:rsid w:val="00A77EA4"/>
    <w:rsid w:val="00A811D2"/>
    <w:rsid w:val="00A82638"/>
    <w:rsid w:val="00A833B4"/>
    <w:rsid w:val="00A84317"/>
    <w:rsid w:val="00A85C02"/>
    <w:rsid w:val="00A867C6"/>
    <w:rsid w:val="00A87E13"/>
    <w:rsid w:val="00A91823"/>
    <w:rsid w:val="00A9357C"/>
    <w:rsid w:val="00A9370A"/>
    <w:rsid w:val="00A9629E"/>
    <w:rsid w:val="00AA04F0"/>
    <w:rsid w:val="00AA0790"/>
    <w:rsid w:val="00AA1DF3"/>
    <w:rsid w:val="00AA20B9"/>
    <w:rsid w:val="00AA2B3D"/>
    <w:rsid w:val="00AA457A"/>
    <w:rsid w:val="00AA7F2F"/>
    <w:rsid w:val="00AB0395"/>
    <w:rsid w:val="00AB159C"/>
    <w:rsid w:val="00AB1D7E"/>
    <w:rsid w:val="00AB22B8"/>
    <w:rsid w:val="00AB4B1F"/>
    <w:rsid w:val="00AB7177"/>
    <w:rsid w:val="00AB7488"/>
    <w:rsid w:val="00AB7523"/>
    <w:rsid w:val="00AC1B4B"/>
    <w:rsid w:val="00AC1E8F"/>
    <w:rsid w:val="00AC2822"/>
    <w:rsid w:val="00AC29E0"/>
    <w:rsid w:val="00AC30C9"/>
    <w:rsid w:val="00AC4331"/>
    <w:rsid w:val="00AC45E9"/>
    <w:rsid w:val="00AC6B5B"/>
    <w:rsid w:val="00AC7733"/>
    <w:rsid w:val="00AD2450"/>
    <w:rsid w:val="00AD3125"/>
    <w:rsid w:val="00AD4223"/>
    <w:rsid w:val="00AD5869"/>
    <w:rsid w:val="00AD5981"/>
    <w:rsid w:val="00AE2317"/>
    <w:rsid w:val="00AE52DE"/>
    <w:rsid w:val="00AE6E9C"/>
    <w:rsid w:val="00AE7AAD"/>
    <w:rsid w:val="00AF0F79"/>
    <w:rsid w:val="00AF2347"/>
    <w:rsid w:val="00AF2D99"/>
    <w:rsid w:val="00AF6B53"/>
    <w:rsid w:val="00AF79B2"/>
    <w:rsid w:val="00B002C1"/>
    <w:rsid w:val="00B00F3E"/>
    <w:rsid w:val="00B01CAA"/>
    <w:rsid w:val="00B024B6"/>
    <w:rsid w:val="00B02A6A"/>
    <w:rsid w:val="00B03725"/>
    <w:rsid w:val="00B07317"/>
    <w:rsid w:val="00B07E87"/>
    <w:rsid w:val="00B07FC9"/>
    <w:rsid w:val="00B113B3"/>
    <w:rsid w:val="00B11BE9"/>
    <w:rsid w:val="00B11BF7"/>
    <w:rsid w:val="00B129D7"/>
    <w:rsid w:val="00B12C7B"/>
    <w:rsid w:val="00B131A4"/>
    <w:rsid w:val="00B13276"/>
    <w:rsid w:val="00B15B41"/>
    <w:rsid w:val="00B15DC3"/>
    <w:rsid w:val="00B17CFF"/>
    <w:rsid w:val="00B22829"/>
    <w:rsid w:val="00B239C1"/>
    <w:rsid w:val="00B253C8"/>
    <w:rsid w:val="00B27524"/>
    <w:rsid w:val="00B306B1"/>
    <w:rsid w:val="00B30D30"/>
    <w:rsid w:val="00B30D32"/>
    <w:rsid w:val="00B3137B"/>
    <w:rsid w:val="00B3139B"/>
    <w:rsid w:val="00B32D40"/>
    <w:rsid w:val="00B32E4E"/>
    <w:rsid w:val="00B35347"/>
    <w:rsid w:val="00B367EA"/>
    <w:rsid w:val="00B37D77"/>
    <w:rsid w:val="00B4258A"/>
    <w:rsid w:val="00B46433"/>
    <w:rsid w:val="00B47E64"/>
    <w:rsid w:val="00B509B4"/>
    <w:rsid w:val="00B610AE"/>
    <w:rsid w:val="00B63E9E"/>
    <w:rsid w:val="00B6427E"/>
    <w:rsid w:val="00B6454A"/>
    <w:rsid w:val="00B66844"/>
    <w:rsid w:val="00B675E0"/>
    <w:rsid w:val="00B67B8C"/>
    <w:rsid w:val="00B749E8"/>
    <w:rsid w:val="00B75E50"/>
    <w:rsid w:val="00B773D0"/>
    <w:rsid w:val="00B82DDF"/>
    <w:rsid w:val="00B83F4D"/>
    <w:rsid w:val="00B841ED"/>
    <w:rsid w:val="00B855A3"/>
    <w:rsid w:val="00B9019D"/>
    <w:rsid w:val="00B9099F"/>
    <w:rsid w:val="00B91180"/>
    <w:rsid w:val="00B92360"/>
    <w:rsid w:val="00B92BED"/>
    <w:rsid w:val="00B9394B"/>
    <w:rsid w:val="00B93F96"/>
    <w:rsid w:val="00B93FEB"/>
    <w:rsid w:val="00B94292"/>
    <w:rsid w:val="00B942C4"/>
    <w:rsid w:val="00B958E3"/>
    <w:rsid w:val="00BA1FFA"/>
    <w:rsid w:val="00BA5DE6"/>
    <w:rsid w:val="00BA744A"/>
    <w:rsid w:val="00BA76BF"/>
    <w:rsid w:val="00BB08E3"/>
    <w:rsid w:val="00BB2233"/>
    <w:rsid w:val="00BB2A6A"/>
    <w:rsid w:val="00BB62EB"/>
    <w:rsid w:val="00BB72AF"/>
    <w:rsid w:val="00BB72D6"/>
    <w:rsid w:val="00BC0944"/>
    <w:rsid w:val="00BC4418"/>
    <w:rsid w:val="00BC5488"/>
    <w:rsid w:val="00BC5504"/>
    <w:rsid w:val="00BC67FE"/>
    <w:rsid w:val="00BC7CA5"/>
    <w:rsid w:val="00BD097E"/>
    <w:rsid w:val="00BD4FEA"/>
    <w:rsid w:val="00BD6C51"/>
    <w:rsid w:val="00BD763D"/>
    <w:rsid w:val="00BD7B7F"/>
    <w:rsid w:val="00BE1016"/>
    <w:rsid w:val="00BE1D4A"/>
    <w:rsid w:val="00BE2B02"/>
    <w:rsid w:val="00BE3199"/>
    <w:rsid w:val="00BE3229"/>
    <w:rsid w:val="00BE4920"/>
    <w:rsid w:val="00BE5720"/>
    <w:rsid w:val="00BE6281"/>
    <w:rsid w:val="00BE7674"/>
    <w:rsid w:val="00BF26FE"/>
    <w:rsid w:val="00BF41D9"/>
    <w:rsid w:val="00BF52D3"/>
    <w:rsid w:val="00BF7D75"/>
    <w:rsid w:val="00C00593"/>
    <w:rsid w:val="00C016C7"/>
    <w:rsid w:val="00C05B81"/>
    <w:rsid w:val="00C05F05"/>
    <w:rsid w:val="00C06569"/>
    <w:rsid w:val="00C065A9"/>
    <w:rsid w:val="00C072DE"/>
    <w:rsid w:val="00C10228"/>
    <w:rsid w:val="00C126C0"/>
    <w:rsid w:val="00C12F28"/>
    <w:rsid w:val="00C14999"/>
    <w:rsid w:val="00C15724"/>
    <w:rsid w:val="00C20C1D"/>
    <w:rsid w:val="00C20E11"/>
    <w:rsid w:val="00C219F1"/>
    <w:rsid w:val="00C237D5"/>
    <w:rsid w:val="00C23BCD"/>
    <w:rsid w:val="00C25D91"/>
    <w:rsid w:val="00C26B9C"/>
    <w:rsid w:val="00C279F8"/>
    <w:rsid w:val="00C303FD"/>
    <w:rsid w:val="00C30E7C"/>
    <w:rsid w:val="00C31EB5"/>
    <w:rsid w:val="00C357F5"/>
    <w:rsid w:val="00C35F42"/>
    <w:rsid w:val="00C36916"/>
    <w:rsid w:val="00C378AF"/>
    <w:rsid w:val="00C37A3F"/>
    <w:rsid w:val="00C415E4"/>
    <w:rsid w:val="00C41D7E"/>
    <w:rsid w:val="00C421BE"/>
    <w:rsid w:val="00C4420A"/>
    <w:rsid w:val="00C4711F"/>
    <w:rsid w:val="00C474BB"/>
    <w:rsid w:val="00C50CDC"/>
    <w:rsid w:val="00C52888"/>
    <w:rsid w:val="00C537E9"/>
    <w:rsid w:val="00C53888"/>
    <w:rsid w:val="00C5469D"/>
    <w:rsid w:val="00C547B8"/>
    <w:rsid w:val="00C55AEB"/>
    <w:rsid w:val="00C574E0"/>
    <w:rsid w:val="00C605C9"/>
    <w:rsid w:val="00C61AE4"/>
    <w:rsid w:val="00C630A1"/>
    <w:rsid w:val="00C63208"/>
    <w:rsid w:val="00C632CD"/>
    <w:rsid w:val="00C63791"/>
    <w:rsid w:val="00C703FD"/>
    <w:rsid w:val="00C74DD1"/>
    <w:rsid w:val="00C77557"/>
    <w:rsid w:val="00C77A8A"/>
    <w:rsid w:val="00C817F3"/>
    <w:rsid w:val="00C82590"/>
    <w:rsid w:val="00C8378D"/>
    <w:rsid w:val="00C83A02"/>
    <w:rsid w:val="00C854F5"/>
    <w:rsid w:val="00C85B08"/>
    <w:rsid w:val="00C85BB6"/>
    <w:rsid w:val="00C87F89"/>
    <w:rsid w:val="00C9038B"/>
    <w:rsid w:val="00C93AED"/>
    <w:rsid w:val="00C954DD"/>
    <w:rsid w:val="00CA250F"/>
    <w:rsid w:val="00CA482B"/>
    <w:rsid w:val="00CA5FD4"/>
    <w:rsid w:val="00CB0900"/>
    <w:rsid w:val="00CB0CB1"/>
    <w:rsid w:val="00CB1E7C"/>
    <w:rsid w:val="00CB3854"/>
    <w:rsid w:val="00CB4A08"/>
    <w:rsid w:val="00CB595D"/>
    <w:rsid w:val="00CB5CB1"/>
    <w:rsid w:val="00CC0661"/>
    <w:rsid w:val="00CC1CE2"/>
    <w:rsid w:val="00CC3CE5"/>
    <w:rsid w:val="00CC4028"/>
    <w:rsid w:val="00CC4515"/>
    <w:rsid w:val="00CC7055"/>
    <w:rsid w:val="00CD09A2"/>
    <w:rsid w:val="00CD0D42"/>
    <w:rsid w:val="00CD122B"/>
    <w:rsid w:val="00CD29F3"/>
    <w:rsid w:val="00CD2C81"/>
    <w:rsid w:val="00CD2CEB"/>
    <w:rsid w:val="00CD2E3A"/>
    <w:rsid w:val="00CD30C8"/>
    <w:rsid w:val="00CD3C8E"/>
    <w:rsid w:val="00CD6344"/>
    <w:rsid w:val="00CD6616"/>
    <w:rsid w:val="00CD7416"/>
    <w:rsid w:val="00CE016D"/>
    <w:rsid w:val="00CE2BDE"/>
    <w:rsid w:val="00CE2E56"/>
    <w:rsid w:val="00CE5030"/>
    <w:rsid w:val="00CF18AE"/>
    <w:rsid w:val="00CF385B"/>
    <w:rsid w:val="00CF7334"/>
    <w:rsid w:val="00CF7B84"/>
    <w:rsid w:val="00D02219"/>
    <w:rsid w:val="00D05A9A"/>
    <w:rsid w:val="00D079D9"/>
    <w:rsid w:val="00D07B49"/>
    <w:rsid w:val="00D129BA"/>
    <w:rsid w:val="00D134DC"/>
    <w:rsid w:val="00D14D3A"/>
    <w:rsid w:val="00D16E6F"/>
    <w:rsid w:val="00D17B5A"/>
    <w:rsid w:val="00D22727"/>
    <w:rsid w:val="00D22729"/>
    <w:rsid w:val="00D23745"/>
    <w:rsid w:val="00D2514C"/>
    <w:rsid w:val="00D26D5A"/>
    <w:rsid w:val="00D26FBC"/>
    <w:rsid w:val="00D27479"/>
    <w:rsid w:val="00D301CF"/>
    <w:rsid w:val="00D317A7"/>
    <w:rsid w:val="00D323AA"/>
    <w:rsid w:val="00D35632"/>
    <w:rsid w:val="00D42190"/>
    <w:rsid w:val="00D433C9"/>
    <w:rsid w:val="00D44E37"/>
    <w:rsid w:val="00D47090"/>
    <w:rsid w:val="00D470FA"/>
    <w:rsid w:val="00D50071"/>
    <w:rsid w:val="00D50927"/>
    <w:rsid w:val="00D50FA8"/>
    <w:rsid w:val="00D51A0C"/>
    <w:rsid w:val="00D51F7E"/>
    <w:rsid w:val="00D521A9"/>
    <w:rsid w:val="00D524AF"/>
    <w:rsid w:val="00D52D7C"/>
    <w:rsid w:val="00D53A56"/>
    <w:rsid w:val="00D53BDA"/>
    <w:rsid w:val="00D54264"/>
    <w:rsid w:val="00D60C5C"/>
    <w:rsid w:val="00D6218B"/>
    <w:rsid w:val="00D62257"/>
    <w:rsid w:val="00D62E61"/>
    <w:rsid w:val="00D63DA2"/>
    <w:rsid w:val="00D65835"/>
    <w:rsid w:val="00D66ABC"/>
    <w:rsid w:val="00D670EF"/>
    <w:rsid w:val="00D67184"/>
    <w:rsid w:val="00D7296E"/>
    <w:rsid w:val="00D740DE"/>
    <w:rsid w:val="00D76974"/>
    <w:rsid w:val="00D7724D"/>
    <w:rsid w:val="00D825FD"/>
    <w:rsid w:val="00D82B92"/>
    <w:rsid w:val="00D834B0"/>
    <w:rsid w:val="00D83F0A"/>
    <w:rsid w:val="00D8504E"/>
    <w:rsid w:val="00D857DD"/>
    <w:rsid w:val="00D85F03"/>
    <w:rsid w:val="00D869AB"/>
    <w:rsid w:val="00D86AF4"/>
    <w:rsid w:val="00D900D1"/>
    <w:rsid w:val="00D9146A"/>
    <w:rsid w:val="00D918AC"/>
    <w:rsid w:val="00D945DF"/>
    <w:rsid w:val="00D94EB0"/>
    <w:rsid w:val="00D9504D"/>
    <w:rsid w:val="00DA13CA"/>
    <w:rsid w:val="00DA1AF0"/>
    <w:rsid w:val="00DA5131"/>
    <w:rsid w:val="00DA5A9F"/>
    <w:rsid w:val="00DB47F6"/>
    <w:rsid w:val="00DB58FF"/>
    <w:rsid w:val="00DC1F34"/>
    <w:rsid w:val="00DC469A"/>
    <w:rsid w:val="00DC5AF3"/>
    <w:rsid w:val="00DC776F"/>
    <w:rsid w:val="00DD2894"/>
    <w:rsid w:val="00DD3EB1"/>
    <w:rsid w:val="00DD4B68"/>
    <w:rsid w:val="00DD4FA6"/>
    <w:rsid w:val="00DD579A"/>
    <w:rsid w:val="00DD7147"/>
    <w:rsid w:val="00DD741B"/>
    <w:rsid w:val="00DE1264"/>
    <w:rsid w:val="00DE4158"/>
    <w:rsid w:val="00DE4A82"/>
    <w:rsid w:val="00DE5528"/>
    <w:rsid w:val="00DE5CC7"/>
    <w:rsid w:val="00DE77EC"/>
    <w:rsid w:val="00DF1DD1"/>
    <w:rsid w:val="00DF2002"/>
    <w:rsid w:val="00DF2623"/>
    <w:rsid w:val="00DF75A7"/>
    <w:rsid w:val="00E00995"/>
    <w:rsid w:val="00E030ED"/>
    <w:rsid w:val="00E04BAF"/>
    <w:rsid w:val="00E0723E"/>
    <w:rsid w:val="00E13265"/>
    <w:rsid w:val="00E13651"/>
    <w:rsid w:val="00E15686"/>
    <w:rsid w:val="00E22843"/>
    <w:rsid w:val="00E23349"/>
    <w:rsid w:val="00E30369"/>
    <w:rsid w:val="00E31ACC"/>
    <w:rsid w:val="00E33C38"/>
    <w:rsid w:val="00E33E7B"/>
    <w:rsid w:val="00E3495B"/>
    <w:rsid w:val="00E357BE"/>
    <w:rsid w:val="00E35805"/>
    <w:rsid w:val="00E35F8E"/>
    <w:rsid w:val="00E40E19"/>
    <w:rsid w:val="00E41DF4"/>
    <w:rsid w:val="00E42D10"/>
    <w:rsid w:val="00E42F6E"/>
    <w:rsid w:val="00E4413D"/>
    <w:rsid w:val="00E458D6"/>
    <w:rsid w:val="00E47B9D"/>
    <w:rsid w:val="00E50289"/>
    <w:rsid w:val="00E51E01"/>
    <w:rsid w:val="00E51F89"/>
    <w:rsid w:val="00E52C97"/>
    <w:rsid w:val="00E52EFC"/>
    <w:rsid w:val="00E545EE"/>
    <w:rsid w:val="00E56DF8"/>
    <w:rsid w:val="00E57837"/>
    <w:rsid w:val="00E5784C"/>
    <w:rsid w:val="00E57CF8"/>
    <w:rsid w:val="00E60F3B"/>
    <w:rsid w:val="00E613B0"/>
    <w:rsid w:val="00E6149C"/>
    <w:rsid w:val="00E623FD"/>
    <w:rsid w:val="00E626BF"/>
    <w:rsid w:val="00E64DBA"/>
    <w:rsid w:val="00E65747"/>
    <w:rsid w:val="00E6613A"/>
    <w:rsid w:val="00E66F6A"/>
    <w:rsid w:val="00E6760C"/>
    <w:rsid w:val="00E72B71"/>
    <w:rsid w:val="00E72C9C"/>
    <w:rsid w:val="00E74CE7"/>
    <w:rsid w:val="00E75C23"/>
    <w:rsid w:val="00E76C67"/>
    <w:rsid w:val="00E775B7"/>
    <w:rsid w:val="00E824E3"/>
    <w:rsid w:val="00E834E3"/>
    <w:rsid w:val="00E83A27"/>
    <w:rsid w:val="00E92B06"/>
    <w:rsid w:val="00E9782E"/>
    <w:rsid w:val="00E97E1A"/>
    <w:rsid w:val="00EA2449"/>
    <w:rsid w:val="00EA260F"/>
    <w:rsid w:val="00EA3024"/>
    <w:rsid w:val="00EA760E"/>
    <w:rsid w:val="00EA7F0F"/>
    <w:rsid w:val="00EB027F"/>
    <w:rsid w:val="00EB0562"/>
    <w:rsid w:val="00EB0AB0"/>
    <w:rsid w:val="00EB2AFC"/>
    <w:rsid w:val="00EB34ED"/>
    <w:rsid w:val="00EB3CF6"/>
    <w:rsid w:val="00EB435A"/>
    <w:rsid w:val="00EB6651"/>
    <w:rsid w:val="00EB7E76"/>
    <w:rsid w:val="00EC3585"/>
    <w:rsid w:val="00EC38E9"/>
    <w:rsid w:val="00EC5FB0"/>
    <w:rsid w:val="00EC6DE7"/>
    <w:rsid w:val="00ED2283"/>
    <w:rsid w:val="00ED2352"/>
    <w:rsid w:val="00ED296B"/>
    <w:rsid w:val="00ED4DA1"/>
    <w:rsid w:val="00ED58EB"/>
    <w:rsid w:val="00ED6A85"/>
    <w:rsid w:val="00ED73BB"/>
    <w:rsid w:val="00EE418D"/>
    <w:rsid w:val="00EE4894"/>
    <w:rsid w:val="00EE7694"/>
    <w:rsid w:val="00EE7DFE"/>
    <w:rsid w:val="00EF1985"/>
    <w:rsid w:val="00EF249E"/>
    <w:rsid w:val="00EF2519"/>
    <w:rsid w:val="00EF2B08"/>
    <w:rsid w:val="00EF3DC0"/>
    <w:rsid w:val="00EF5885"/>
    <w:rsid w:val="00EF5A9C"/>
    <w:rsid w:val="00F01385"/>
    <w:rsid w:val="00F017D3"/>
    <w:rsid w:val="00F024CE"/>
    <w:rsid w:val="00F02A92"/>
    <w:rsid w:val="00F03415"/>
    <w:rsid w:val="00F03B4B"/>
    <w:rsid w:val="00F045BD"/>
    <w:rsid w:val="00F0604E"/>
    <w:rsid w:val="00F06612"/>
    <w:rsid w:val="00F12144"/>
    <w:rsid w:val="00F13AB9"/>
    <w:rsid w:val="00F13B47"/>
    <w:rsid w:val="00F141F8"/>
    <w:rsid w:val="00F2032B"/>
    <w:rsid w:val="00F220AC"/>
    <w:rsid w:val="00F242D5"/>
    <w:rsid w:val="00F25314"/>
    <w:rsid w:val="00F27C9C"/>
    <w:rsid w:val="00F30FE8"/>
    <w:rsid w:val="00F31B11"/>
    <w:rsid w:val="00F32462"/>
    <w:rsid w:val="00F35E85"/>
    <w:rsid w:val="00F4143E"/>
    <w:rsid w:val="00F41D5E"/>
    <w:rsid w:val="00F422F2"/>
    <w:rsid w:val="00F45209"/>
    <w:rsid w:val="00F47592"/>
    <w:rsid w:val="00F52EBF"/>
    <w:rsid w:val="00F54206"/>
    <w:rsid w:val="00F5468A"/>
    <w:rsid w:val="00F54BAD"/>
    <w:rsid w:val="00F56066"/>
    <w:rsid w:val="00F60761"/>
    <w:rsid w:val="00F6166C"/>
    <w:rsid w:val="00F61D4A"/>
    <w:rsid w:val="00F625E0"/>
    <w:rsid w:val="00F6326B"/>
    <w:rsid w:val="00F639AD"/>
    <w:rsid w:val="00F6407C"/>
    <w:rsid w:val="00F64583"/>
    <w:rsid w:val="00F64FA6"/>
    <w:rsid w:val="00F663A2"/>
    <w:rsid w:val="00F6720E"/>
    <w:rsid w:val="00F67F82"/>
    <w:rsid w:val="00F70732"/>
    <w:rsid w:val="00F70DB4"/>
    <w:rsid w:val="00F73147"/>
    <w:rsid w:val="00F743DC"/>
    <w:rsid w:val="00F7582F"/>
    <w:rsid w:val="00F765E6"/>
    <w:rsid w:val="00F77025"/>
    <w:rsid w:val="00F80C83"/>
    <w:rsid w:val="00F8280B"/>
    <w:rsid w:val="00F8432C"/>
    <w:rsid w:val="00F84B4E"/>
    <w:rsid w:val="00F85BF8"/>
    <w:rsid w:val="00F867E5"/>
    <w:rsid w:val="00F90410"/>
    <w:rsid w:val="00F91A36"/>
    <w:rsid w:val="00F9259B"/>
    <w:rsid w:val="00F92C32"/>
    <w:rsid w:val="00F95C67"/>
    <w:rsid w:val="00F9605C"/>
    <w:rsid w:val="00F970B3"/>
    <w:rsid w:val="00FA026F"/>
    <w:rsid w:val="00FA02D9"/>
    <w:rsid w:val="00FA1ED0"/>
    <w:rsid w:val="00FA3277"/>
    <w:rsid w:val="00FA4459"/>
    <w:rsid w:val="00FA5D60"/>
    <w:rsid w:val="00FA6E84"/>
    <w:rsid w:val="00FB644D"/>
    <w:rsid w:val="00FB6927"/>
    <w:rsid w:val="00FB760F"/>
    <w:rsid w:val="00FC234A"/>
    <w:rsid w:val="00FC433C"/>
    <w:rsid w:val="00FC4C93"/>
    <w:rsid w:val="00FD2960"/>
    <w:rsid w:val="00FD4EF5"/>
    <w:rsid w:val="00FD6956"/>
    <w:rsid w:val="00FE07BF"/>
    <w:rsid w:val="00FE0FF0"/>
    <w:rsid w:val="00FE1354"/>
    <w:rsid w:val="00FE1DE2"/>
    <w:rsid w:val="00FE3ED8"/>
    <w:rsid w:val="00FE448A"/>
    <w:rsid w:val="00FE7864"/>
    <w:rsid w:val="00FF16D9"/>
    <w:rsid w:val="00FF461E"/>
    <w:rsid w:val="00FF551B"/>
    <w:rsid w:val="00FF6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921F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qFormat="1"/>
    <w:lsdException w:name="heading 4" w:qFormat="1"/>
    <w:lsdException w:name="heading 5" w:uiPriority="9" w:qFormat="1"/>
    <w:lsdException w:name="heading 6" w:uiPriority="9"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45D"/>
    <w:pPr>
      <w:jc w:val="both"/>
    </w:pPr>
    <w:rPr>
      <w:rFonts w:ascii="Arial" w:hAnsi="Arial"/>
      <w:sz w:val="24"/>
      <w:szCs w:val="24"/>
      <w:lang w:val="en-AU"/>
    </w:rPr>
  </w:style>
  <w:style w:type="paragraph" w:styleId="Heading1">
    <w:name w:val="heading 1"/>
    <w:basedOn w:val="Normal"/>
    <w:next w:val="Normal"/>
    <w:link w:val="Heading1Char"/>
    <w:qFormat/>
    <w:rsid w:val="00431F73"/>
    <w:pPr>
      <w:keepNext/>
      <w:outlineLvl w:val="0"/>
    </w:pPr>
    <w:rPr>
      <w:rFonts w:cs="Arial"/>
      <w:b/>
      <w:bCs/>
      <w:caps/>
      <w:kern w:val="32"/>
      <w:sz w:val="32"/>
      <w:szCs w:val="32"/>
    </w:rPr>
  </w:style>
  <w:style w:type="paragraph" w:styleId="Heading2">
    <w:name w:val="heading 2"/>
    <w:basedOn w:val="Normal"/>
    <w:next w:val="Normal"/>
    <w:link w:val="Heading2Char"/>
    <w:uiPriority w:val="9"/>
    <w:qFormat/>
    <w:rsid w:val="00431F73"/>
    <w:pPr>
      <w:keepNext/>
      <w:outlineLvl w:val="1"/>
    </w:pPr>
    <w:rPr>
      <w:rFonts w:cs="Arial"/>
      <w:b/>
      <w:bCs/>
      <w:iCs/>
      <w:caps/>
      <w:szCs w:val="28"/>
    </w:rPr>
  </w:style>
  <w:style w:type="paragraph" w:styleId="Heading3">
    <w:name w:val="heading 3"/>
    <w:basedOn w:val="Normal"/>
    <w:next w:val="Normal"/>
    <w:link w:val="Heading3Char"/>
    <w:unhideWhenUsed/>
    <w:qFormat/>
    <w:rsid w:val="00431F73"/>
    <w:pPr>
      <w:keepNext/>
      <w:outlineLvl w:val="2"/>
    </w:pPr>
    <w:rPr>
      <w:b/>
      <w:bCs/>
      <w:szCs w:val="26"/>
    </w:rPr>
  </w:style>
  <w:style w:type="paragraph" w:styleId="Heading4">
    <w:name w:val="heading 4"/>
    <w:basedOn w:val="Normal"/>
    <w:next w:val="Normal"/>
    <w:link w:val="Heading4Char"/>
    <w:unhideWhenUsed/>
    <w:qFormat/>
    <w:rsid w:val="00487F87"/>
    <w:pPr>
      <w:keepNext/>
      <w:keepLines/>
      <w:jc w:val="left"/>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77745D"/>
    <w:pPr>
      <w:keepNext/>
      <w:keepLines/>
      <w:jc w:val="left"/>
      <w:outlineLvl w:val="4"/>
    </w:pPr>
    <w:rPr>
      <w:rFonts w:eastAsiaTheme="majorEastAsia" w:cstheme="majorBidi"/>
      <w:b/>
      <w:i/>
      <w:lang w:val="en-US"/>
    </w:rPr>
  </w:style>
  <w:style w:type="paragraph" w:styleId="Heading6">
    <w:name w:val="heading 6"/>
    <w:basedOn w:val="Normal"/>
    <w:next w:val="Normal"/>
    <w:link w:val="Heading6Char"/>
    <w:uiPriority w:val="9"/>
    <w:unhideWhenUsed/>
    <w:qFormat/>
    <w:rsid w:val="0077745D"/>
    <w:pPr>
      <w:keepNext/>
      <w:keepLines/>
      <w:jc w:val="left"/>
      <w:outlineLvl w:val="5"/>
    </w:pPr>
    <w:rPr>
      <w:rFonts w:eastAsiaTheme="majorEastAsia" w:cstheme="majorBidi"/>
      <w:i/>
      <w:i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31F73"/>
    <w:rPr>
      <w:rFonts w:ascii="Arial" w:hAnsi="Arial" w:cs="Arial"/>
      <w:b/>
      <w:bCs/>
      <w:caps/>
      <w:kern w:val="32"/>
      <w:sz w:val="32"/>
      <w:szCs w:val="32"/>
      <w:lang w:val="en-AU"/>
    </w:rPr>
  </w:style>
  <w:style w:type="paragraph" w:customStyle="1" w:styleId="first">
    <w:name w:val="first"/>
    <w:basedOn w:val="Normal"/>
    <w:rsid w:val="00331C35"/>
    <w:pPr>
      <w:spacing w:before="100" w:beforeAutospacing="1" w:after="100" w:afterAutospacing="1"/>
    </w:pPr>
    <w:rPr>
      <w:lang w:val="en-US"/>
    </w:rPr>
  </w:style>
  <w:style w:type="paragraph" w:styleId="NormalWeb">
    <w:name w:val="Normal (Web)"/>
    <w:basedOn w:val="Normal"/>
    <w:rsid w:val="00331C35"/>
    <w:pPr>
      <w:spacing w:before="100" w:beforeAutospacing="1" w:after="100" w:afterAutospacing="1"/>
    </w:pPr>
    <w:rPr>
      <w:lang w:val="en-US"/>
    </w:rPr>
  </w:style>
  <w:style w:type="character" w:customStyle="1" w:styleId="sub">
    <w:name w:val="sub"/>
    <w:basedOn w:val="DefaultParagraphFont"/>
    <w:rsid w:val="00331C35"/>
  </w:style>
  <w:style w:type="character" w:customStyle="1" w:styleId="italics">
    <w:name w:val="italics"/>
    <w:basedOn w:val="DefaultParagraphFont"/>
    <w:rsid w:val="00331C35"/>
  </w:style>
  <w:style w:type="character" w:styleId="CommentReference">
    <w:name w:val="annotation reference"/>
    <w:uiPriority w:val="99"/>
    <w:rsid w:val="00E834E3"/>
    <w:rPr>
      <w:sz w:val="16"/>
      <w:szCs w:val="16"/>
    </w:rPr>
  </w:style>
  <w:style w:type="paragraph" w:styleId="CommentText">
    <w:name w:val="annotation text"/>
    <w:aliases w:val="Annotationtext"/>
    <w:basedOn w:val="Normal"/>
    <w:link w:val="CommentTextChar"/>
    <w:uiPriority w:val="99"/>
    <w:rsid w:val="00E834E3"/>
    <w:rPr>
      <w:sz w:val="20"/>
      <w:szCs w:val="20"/>
    </w:rPr>
  </w:style>
  <w:style w:type="paragraph" w:styleId="CommentSubject">
    <w:name w:val="annotation subject"/>
    <w:basedOn w:val="CommentText"/>
    <w:next w:val="CommentText"/>
    <w:semiHidden/>
    <w:rsid w:val="00E834E3"/>
    <w:rPr>
      <w:b/>
      <w:bCs/>
    </w:rPr>
  </w:style>
  <w:style w:type="paragraph" w:styleId="BalloonText">
    <w:name w:val="Balloon Text"/>
    <w:basedOn w:val="Normal"/>
    <w:semiHidden/>
    <w:rsid w:val="00E834E3"/>
    <w:rPr>
      <w:rFonts w:ascii="Tahoma" w:hAnsi="Tahoma" w:cs="Tahoma"/>
      <w:sz w:val="16"/>
      <w:szCs w:val="16"/>
    </w:rPr>
  </w:style>
  <w:style w:type="character" w:styleId="Hyperlink">
    <w:name w:val="Hyperlink"/>
    <w:rsid w:val="00407C1A"/>
    <w:rPr>
      <w:color w:val="0000FF"/>
      <w:u w:val="single"/>
    </w:rPr>
  </w:style>
  <w:style w:type="character" w:customStyle="1" w:styleId="bold">
    <w:name w:val="bold"/>
    <w:basedOn w:val="DefaultParagraphFont"/>
    <w:rsid w:val="00407C1A"/>
  </w:style>
  <w:style w:type="character" w:customStyle="1" w:styleId="underline">
    <w:name w:val="underline"/>
    <w:basedOn w:val="DefaultParagraphFont"/>
    <w:rsid w:val="00936F35"/>
  </w:style>
  <w:style w:type="paragraph" w:customStyle="1" w:styleId="C-BodyText">
    <w:name w:val="C-Body Text"/>
    <w:link w:val="C-BodyTextChar"/>
    <w:rsid w:val="0048150F"/>
    <w:pPr>
      <w:spacing w:before="120" w:after="120" w:line="280" w:lineRule="atLeast"/>
    </w:pPr>
    <w:rPr>
      <w:sz w:val="24"/>
    </w:rPr>
  </w:style>
  <w:style w:type="character" w:customStyle="1" w:styleId="bolditalics">
    <w:name w:val="bolditalics"/>
    <w:basedOn w:val="DefaultParagraphFont"/>
    <w:rsid w:val="0048150F"/>
  </w:style>
  <w:style w:type="character" w:customStyle="1" w:styleId="C-BodyTextChar">
    <w:name w:val="C-Body Text Char"/>
    <w:link w:val="C-BodyText"/>
    <w:rsid w:val="0048150F"/>
    <w:rPr>
      <w:sz w:val="24"/>
      <w:lang w:val="en-US" w:eastAsia="en-US" w:bidi="ar-SA"/>
    </w:rPr>
  </w:style>
  <w:style w:type="character" w:customStyle="1" w:styleId="sup">
    <w:name w:val="sup"/>
    <w:basedOn w:val="DefaultParagraphFont"/>
    <w:rsid w:val="00445787"/>
  </w:style>
  <w:style w:type="paragraph" w:styleId="BodyTextIndent">
    <w:name w:val="Body Text Indent"/>
    <w:basedOn w:val="Normal"/>
    <w:link w:val="BodyTextIndentChar"/>
    <w:rsid w:val="0055695B"/>
    <w:pPr>
      <w:widowControl w:val="0"/>
      <w:tabs>
        <w:tab w:val="left" w:pos="-374"/>
        <w:tab w:val="left" w:pos="0"/>
        <w:tab w:val="left" w:pos="720"/>
        <w:tab w:val="left" w:pos="1440"/>
        <w:tab w:val="left" w:pos="2160"/>
        <w:tab w:val="left" w:pos="2880"/>
        <w:tab w:val="left" w:pos="3600"/>
        <w:tab w:val="left" w:pos="4320"/>
        <w:tab w:val="left" w:pos="5040"/>
        <w:tab w:val="left" w:pos="5760"/>
        <w:tab w:val="left" w:pos="6139"/>
      </w:tabs>
      <w:autoSpaceDE w:val="0"/>
      <w:autoSpaceDN w:val="0"/>
    </w:pPr>
    <w:rPr>
      <w:rFonts w:cs="Arial"/>
      <w:sz w:val="22"/>
      <w:szCs w:val="22"/>
    </w:rPr>
  </w:style>
  <w:style w:type="paragraph" w:customStyle="1" w:styleId="Default">
    <w:name w:val="Default"/>
    <w:rsid w:val="00477CB7"/>
    <w:pPr>
      <w:autoSpaceDE w:val="0"/>
      <w:autoSpaceDN w:val="0"/>
      <w:adjustRightInd w:val="0"/>
    </w:pPr>
    <w:rPr>
      <w:color w:val="000000"/>
      <w:sz w:val="24"/>
      <w:szCs w:val="24"/>
    </w:rPr>
  </w:style>
  <w:style w:type="paragraph" w:styleId="Header">
    <w:name w:val="header"/>
    <w:basedOn w:val="Normal"/>
    <w:link w:val="HeaderChar"/>
    <w:uiPriority w:val="99"/>
    <w:rsid w:val="005664FB"/>
    <w:pPr>
      <w:tabs>
        <w:tab w:val="center" w:pos="4320"/>
        <w:tab w:val="right" w:pos="8640"/>
      </w:tabs>
    </w:pPr>
  </w:style>
  <w:style w:type="paragraph" w:styleId="Footer">
    <w:name w:val="footer"/>
    <w:basedOn w:val="Normal"/>
    <w:link w:val="FooterChar"/>
    <w:rsid w:val="005664FB"/>
    <w:pPr>
      <w:tabs>
        <w:tab w:val="center" w:pos="4320"/>
        <w:tab w:val="right" w:pos="8640"/>
      </w:tabs>
    </w:pPr>
  </w:style>
  <w:style w:type="character" w:styleId="PageNumber">
    <w:name w:val="page number"/>
    <w:basedOn w:val="DefaultParagraphFont"/>
    <w:rsid w:val="005664FB"/>
  </w:style>
  <w:style w:type="paragraph" w:customStyle="1" w:styleId="GTCBodyText">
    <w:name w:val="GTC Body Text"/>
    <w:basedOn w:val="Normal"/>
    <w:rsid w:val="00200C54"/>
    <w:pPr>
      <w:spacing w:before="240" w:after="240" w:line="300" w:lineRule="auto"/>
    </w:pPr>
    <w:rPr>
      <w:lang w:val="en-US"/>
    </w:rPr>
  </w:style>
  <w:style w:type="character" w:customStyle="1" w:styleId="gtcsubscript">
    <w:name w:val="gtcsubscript"/>
    <w:rsid w:val="00200C54"/>
  </w:style>
  <w:style w:type="character" w:customStyle="1" w:styleId="gtcunderline1">
    <w:name w:val="gtcunderline1"/>
    <w:rsid w:val="006A6BAF"/>
    <w:rPr>
      <w:u w:val="single"/>
    </w:rPr>
  </w:style>
  <w:style w:type="character" w:customStyle="1" w:styleId="gtcitalic1">
    <w:name w:val="gtcitalic1"/>
    <w:rsid w:val="006A6BAF"/>
    <w:rPr>
      <w:i/>
      <w:iCs/>
    </w:rPr>
  </w:style>
  <w:style w:type="paragraph" w:customStyle="1" w:styleId="GTCParagraph">
    <w:name w:val="GTC Paragraph"/>
    <w:rsid w:val="006A6BAF"/>
    <w:rPr>
      <w:sz w:val="24"/>
      <w:szCs w:val="24"/>
    </w:rPr>
  </w:style>
  <w:style w:type="paragraph" w:customStyle="1" w:styleId="Empty">
    <w:name w:val="Empty"/>
    <w:basedOn w:val="PlainText"/>
    <w:rsid w:val="006A6BAF"/>
    <w:rPr>
      <w:lang w:val="en-US"/>
    </w:rPr>
  </w:style>
  <w:style w:type="paragraph" w:styleId="PlainText">
    <w:name w:val="Plain Text"/>
    <w:basedOn w:val="Normal"/>
    <w:link w:val="PlainTextChar"/>
    <w:rsid w:val="006A6BAF"/>
    <w:rPr>
      <w:rFonts w:ascii="Courier New" w:hAnsi="Courier New" w:cs="Courier New"/>
      <w:sz w:val="20"/>
      <w:szCs w:val="20"/>
    </w:rPr>
  </w:style>
  <w:style w:type="character" w:customStyle="1" w:styleId="PlainTextChar">
    <w:name w:val="Plain Text Char"/>
    <w:link w:val="PlainText"/>
    <w:rsid w:val="006A6BAF"/>
    <w:rPr>
      <w:rFonts w:ascii="Courier New" w:hAnsi="Courier New" w:cs="Courier New"/>
      <w:lang w:val="en-AU"/>
    </w:rPr>
  </w:style>
  <w:style w:type="character" w:customStyle="1" w:styleId="Heading3Char">
    <w:name w:val="Heading 3 Char"/>
    <w:link w:val="Heading3"/>
    <w:rsid w:val="00431F73"/>
    <w:rPr>
      <w:rFonts w:ascii="Arial" w:hAnsi="Arial"/>
      <w:b/>
      <w:bCs/>
      <w:sz w:val="24"/>
      <w:szCs w:val="26"/>
      <w:lang w:val="en-AU"/>
    </w:rPr>
  </w:style>
  <w:style w:type="character" w:customStyle="1" w:styleId="gtcbold1">
    <w:name w:val="gtcbold1"/>
    <w:rsid w:val="000C6B28"/>
    <w:rPr>
      <w:b/>
      <w:bCs/>
    </w:rPr>
  </w:style>
  <w:style w:type="paragraph" w:styleId="Revision">
    <w:name w:val="Revision"/>
    <w:hidden/>
    <w:uiPriority w:val="99"/>
    <w:semiHidden/>
    <w:rsid w:val="00EB027F"/>
    <w:rPr>
      <w:sz w:val="24"/>
      <w:szCs w:val="24"/>
      <w:lang w:val="en-AU"/>
    </w:rPr>
  </w:style>
  <w:style w:type="paragraph" w:styleId="ListParagraph">
    <w:name w:val="List Paragraph"/>
    <w:basedOn w:val="Normal"/>
    <w:uiPriority w:val="34"/>
    <w:qFormat/>
    <w:rsid w:val="00E50289"/>
    <w:pPr>
      <w:spacing w:after="200" w:line="276" w:lineRule="auto"/>
      <w:ind w:left="720"/>
      <w:contextualSpacing/>
    </w:pPr>
    <w:rPr>
      <w:rFonts w:asciiTheme="minorHAnsi" w:eastAsiaTheme="minorHAnsi" w:hAnsiTheme="minorHAnsi" w:cstheme="minorBidi"/>
      <w:sz w:val="22"/>
      <w:szCs w:val="22"/>
      <w:lang w:val="en-US"/>
    </w:rPr>
  </w:style>
  <w:style w:type="table" w:styleId="TableGrid">
    <w:name w:val="Table Grid"/>
    <w:basedOn w:val="TableNormal"/>
    <w:uiPriority w:val="59"/>
    <w:rsid w:val="00F27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odyTextChar2">
    <w:name w:val="C-Body Text Char2"/>
    <w:locked/>
    <w:rsid w:val="00FF551B"/>
    <w:rPr>
      <w:rFonts w:ascii="Times New Roman" w:eastAsia="Times New Roman" w:hAnsi="Times New Roman"/>
      <w:sz w:val="24"/>
    </w:rPr>
  </w:style>
  <w:style w:type="character" w:customStyle="1" w:styleId="FooterChar">
    <w:name w:val="Footer Char"/>
    <w:basedOn w:val="DefaultParagraphFont"/>
    <w:link w:val="Footer"/>
    <w:rsid w:val="0043482D"/>
    <w:rPr>
      <w:sz w:val="24"/>
      <w:szCs w:val="24"/>
      <w:lang w:val="en-AU"/>
    </w:rPr>
  </w:style>
  <w:style w:type="paragraph" w:customStyle="1" w:styleId="Pa0">
    <w:name w:val="Pa0"/>
    <w:basedOn w:val="Default"/>
    <w:next w:val="Default"/>
    <w:uiPriority w:val="99"/>
    <w:rsid w:val="00503948"/>
    <w:pPr>
      <w:spacing w:line="141" w:lineRule="atLeast"/>
    </w:pPr>
    <w:rPr>
      <w:rFonts w:ascii="HelveticaNeue Condensed" w:hAnsi="HelveticaNeue Condensed"/>
      <w:color w:val="auto"/>
    </w:rPr>
  </w:style>
  <w:style w:type="character" w:customStyle="1" w:styleId="caption-h">
    <w:name w:val="caption-h"/>
    <w:rsid w:val="003E2E86"/>
  </w:style>
  <w:style w:type="character" w:customStyle="1" w:styleId="Heading2Char">
    <w:name w:val="Heading 2 Char"/>
    <w:link w:val="Heading2"/>
    <w:uiPriority w:val="9"/>
    <w:rsid w:val="00431F73"/>
    <w:rPr>
      <w:rFonts w:ascii="Arial" w:hAnsi="Arial" w:cs="Arial"/>
      <w:b/>
      <w:bCs/>
      <w:iCs/>
      <w:caps/>
      <w:sz w:val="24"/>
      <w:szCs w:val="28"/>
      <w:lang w:val="en-AU"/>
    </w:rPr>
  </w:style>
  <w:style w:type="paragraph" w:customStyle="1" w:styleId="C-TableHeader">
    <w:name w:val="C-Table Header"/>
    <w:next w:val="Normal"/>
    <w:rsid w:val="00885163"/>
    <w:pPr>
      <w:keepNext/>
      <w:spacing w:before="60" w:after="60"/>
    </w:pPr>
    <w:rPr>
      <w:b/>
      <w:sz w:val="22"/>
    </w:rPr>
  </w:style>
  <w:style w:type="paragraph" w:customStyle="1" w:styleId="Table">
    <w:name w:val="Table"/>
    <w:basedOn w:val="Heading3"/>
    <w:qFormat/>
    <w:rsid w:val="00BC0944"/>
    <w:rPr>
      <w:sz w:val="20"/>
      <w:lang w:val="en-US"/>
    </w:rPr>
  </w:style>
  <w:style w:type="character" w:customStyle="1" w:styleId="CommentTextChar">
    <w:name w:val="Comment Text Char"/>
    <w:aliases w:val="Annotationtext Char"/>
    <w:basedOn w:val="DefaultParagraphFont"/>
    <w:link w:val="CommentText"/>
    <w:uiPriority w:val="99"/>
    <w:rsid w:val="00683F82"/>
    <w:rPr>
      <w:rFonts w:ascii="Arial" w:hAnsi="Arial"/>
      <w:lang w:val="en-AU"/>
    </w:rPr>
  </w:style>
  <w:style w:type="paragraph" w:customStyle="1" w:styleId="GTCTitle">
    <w:name w:val="GTC Title"/>
    <w:basedOn w:val="Normal"/>
    <w:rsid w:val="002176FD"/>
    <w:pPr>
      <w:spacing w:before="120" w:after="120"/>
    </w:pPr>
    <w:rPr>
      <w:rFonts w:cs="Arial"/>
      <w:b/>
      <w:bCs/>
      <w:sz w:val="36"/>
      <w:szCs w:val="36"/>
      <w:lang w:val="en-US"/>
    </w:rPr>
  </w:style>
  <w:style w:type="character" w:customStyle="1" w:styleId="Heading4Char">
    <w:name w:val="Heading 4 Char"/>
    <w:basedOn w:val="DefaultParagraphFont"/>
    <w:link w:val="Heading4"/>
    <w:uiPriority w:val="9"/>
    <w:rsid w:val="00487F87"/>
    <w:rPr>
      <w:rFonts w:ascii="Arial" w:eastAsiaTheme="majorEastAsia" w:hAnsi="Arial" w:cstheme="majorBidi"/>
      <w:bCs/>
      <w:i/>
      <w:iCs/>
      <w:sz w:val="24"/>
      <w:szCs w:val="24"/>
      <w:lang w:val="en-AU"/>
    </w:rPr>
  </w:style>
  <w:style w:type="character" w:customStyle="1" w:styleId="Heading5Char">
    <w:name w:val="Heading 5 Char"/>
    <w:basedOn w:val="DefaultParagraphFont"/>
    <w:link w:val="Heading5"/>
    <w:uiPriority w:val="9"/>
    <w:rsid w:val="0077745D"/>
    <w:rPr>
      <w:rFonts w:ascii="Arial" w:eastAsiaTheme="majorEastAsia" w:hAnsi="Arial" w:cstheme="majorBidi"/>
      <w:b/>
      <w:i/>
      <w:sz w:val="24"/>
      <w:szCs w:val="24"/>
    </w:rPr>
  </w:style>
  <w:style w:type="character" w:customStyle="1" w:styleId="Heading6Char">
    <w:name w:val="Heading 6 Char"/>
    <w:basedOn w:val="DefaultParagraphFont"/>
    <w:link w:val="Heading6"/>
    <w:uiPriority w:val="9"/>
    <w:rsid w:val="0077745D"/>
    <w:rPr>
      <w:rFonts w:ascii="Arial" w:eastAsiaTheme="majorEastAsia" w:hAnsi="Arial" w:cstheme="majorBidi"/>
      <w:i/>
      <w:iCs/>
      <w:sz w:val="24"/>
      <w:szCs w:val="24"/>
    </w:rPr>
  </w:style>
  <w:style w:type="character" w:customStyle="1" w:styleId="BodyTextIndentChar">
    <w:name w:val="Body Text Indent Char"/>
    <w:basedOn w:val="DefaultParagraphFont"/>
    <w:link w:val="BodyTextIndent"/>
    <w:rsid w:val="0077745D"/>
    <w:rPr>
      <w:rFonts w:ascii="Arial" w:hAnsi="Arial" w:cs="Arial"/>
      <w:sz w:val="22"/>
      <w:szCs w:val="22"/>
      <w:lang w:val="en-AU"/>
    </w:rPr>
  </w:style>
  <w:style w:type="paragraph" w:customStyle="1" w:styleId="GTCLink">
    <w:name w:val="GTC Link"/>
    <w:basedOn w:val="Normal"/>
    <w:rsid w:val="00EF2519"/>
    <w:pPr>
      <w:spacing w:before="100" w:beforeAutospacing="1" w:after="100" w:afterAutospacing="1"/>
      <w:jc w:val="left"/>
    </w:pPr>
    <w:rPr>
      <w:rFonts w:ascii="Times New Roman" w:hAnsi="Times New Roman"/>
      <w:u w:val="single"/>
      <w:lang w:val="en-US"/>
    </w:rPr>
  </w:style>
  <w:style w:type="paragraph" w:customStyle="1" w:styleId="GTCBodyTextAlignJustify">
    <w:name w:val="GTC Body Text Align Justify"/>
    <w:basedOn w:val="Normal"/>
    <w:rsid w:val="00D079D9"/>
    <w:pPr>
      <w:spacing w:before="240" w:after="240" w:line="300" w:lineRule="auto"/>
    </w:pPr>
    <w:rPr>
      <w:rFonts w:ascii="Times New Roman" w:hAnsi="Times New Roman"/>
      <w:lang w:val="en-US"/>
    </w:rPr>
  </w:style>
  <w:style w:type="character" w:customStyle="1" w:styleId="HeaderChar">
    <w:name w:val="Header Char"/>
    <w:basedOn w:val="DefaultParagraphFont"/>
    <w:link w:val="Header"/>
    <w:uiPriority w:val="99"/>
    <w:rsid w:val="00667717"/>
    <w:rPr>
      <w:rFonts w:ascii="Arial" w:hAnsi="Arial"/>
      <w:sz w:val="24"/>
      <w:szCs w:val="24"/>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qFormat="1"/>
    <w:lsdException w:name="heading 4" w:qFormat="1"/>
    <w:lsdException w:name="heading 5" w:uiPriority="9" w:qFormat="1"/>
    <w:lsdException w:name="heading 6" w:uiPriority="9"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45D"/>
    <w:pPr>
      <w:jc w:val="both"/>
    </w:pPr>
    <w:rPr>
      <w:rFonts w:ascii="Arial" w:hAnsi="Arial"/>
      <w:sz w:val="24"/>
      <w:szCs w:val="24"/>
      <w:lang w:val="en-AU"/>
    </w:rPr>
  </w:style>
  <w:style w:type="paragraph" w:styleId="Heading1">
    <w:name w:val="heading 1"/>
    <w:basedOn w:val="Normal"/>
    <w:next w:val="Normal"/>
    <w:link w:val="Heading1Char"/>
    <w:qFormat/>
    <w:rsid w:val="00431F73"/>
    <w:pPr>
      <w:keepNext/>
      <w:outlineLvl w:val="0"/>
    </w:pPr>
    <w:rPr>
      <w:rFonts w:cs="Arial"/>
      <w:b/>
      <w:bCs/>
      <w:caps/>
      <w:kern w:val="32"/>
      <w:sz w:val="32"/>
      <w:szCs w:val="32"/>
    </w:rPr>
  </w:style>
  <w:style w:type="paragraph" w:styleId="Heading2">
    <w:name w:val="heading 2"/>
    <w:basedOn w:val="Normal"/>
    <w:next w:val="Normal"/>
    <w:link w:val="Heading2Char"/>
    <w:uiPriority w:val="9"/>
    <w:qFormat/>
    <w:rsid w:val="00431F73"/>
    <w:pPr>
      <w:keepNext/>
      <w:outlineLvl w:val="1"/>
    </w:pPr>
    <w:rPr>
      <w:rFonts w:cs="Arial"/>
      <w:b/>
      <w:bCs/>
      <w:iCs/>
      <w:caps/>
      <w:szCs w:val="28"/>
    </w:rPr>
  </w:style>
  <w:style w:type="paragraph" w:styleId="Heading3">
    <w:name w:val="heading 3"/>
    <w:basedOn w:val="Normal"/>
    <w:next w:val="Normal"/>
    <w:link w:val="Heading3Char"/>
    <w:unhideWhenUsed/>
    <w:qFormat/>
    <w:rsid w:val="00431F73"/>
    <w:pPr>
      <w:keepNext/>
      <w:outlineLvl w:val="2"/>
    </w:pPr>
    <w:rPr>
      <w:b/>
      <w:bCs/>
      <w:szCs w:val="26"/>
    </w:rPr>
  </w:style>
  <w:style w:type="paragraph" w:styleId="Heading4">
    <w:name w:val="heading 4"/>
    <w:basedOn w:val="Normal"/>
    <w:next w:val="Normal"/>
    <w:link w:val="Heading4Char"/>
    <w:unhideWhenUsed/>
    <w:qFormat/>
    <w:rsid w:val="00487F87"/>
    <w:pPr>
      <w:keepNext/>
      <w:keepLines/>
      <w:jc w:val="left"/>
      <w:outlineLvl w:val="3"/>
    </w:pPr>
    <w:rPr>
      <w:rFonts w:eastAsiaTheme="majorEastAsia" w:cstheme="majorBidi"/>
      <w:bCs/>
      <w:i/>
      <w:iCs/>
    </w:rPr>
  </w:style>
  <w:style w:type="paragraph" w:styleId="Heading5">
    <w:name w:val="heading 5"/>
    <w:basedOn w:val="Normal"/>
    <w:next w:val="Normal"/>
    <w:link w:val="Heading5Char"/>
    <w:uiPriority w:val="9"/>
    <w:unhideWhenUsed/>
    <w:qFormat/>
    <w:rsid w:val="0077745D"/>
    <w:pPr>
      <w:keepNext/>
      <w:keepLines/>
      <w:jc w:val="left"/>
      <w:outlineLvl w:val="4"/>
    </w:pPr>
    <w:rPr>
      <w:rFonts w:eastAsiaTheme="majorEastAsia" w:cstheme="majorBidi"/>
      <w:b/>
      <w:i/>
      <w:lang w:val="en-US"/>
    </w:rPr>
  </w:style>
  <w:style w:type="paragraph" w:styleId="Heading6">
    <w:name w:val="heading 6"/>
    <w:basedOn w:val="Normal"/>
    <w:next w:val="Normal"/>
    <w:link w:val="Heading6Char"/>
    <w:uiPriority w:val="9"/>
    <w:unhideWhenUsed/>
    <w:qFormat/>
    <w:rsid w:val="0077745D"/>
    <w:pPr>
      <w:keepNext/>
      <w:keepLines/>
      <w:jc w:val="left"/>
      <w:outlineLvl w:val="5"/>
    </w:pPr>
    <w:rPr>
      <w:rFonts w:eastAsiaTheme="majorEastAsia" w:cstheme="majorBidi"/>
      <w:i/>
      <w:i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31F73"/>
    <w:rPr>
      <w:rFonts w:ascii="Arial" w:hAnsi="Arial" w:cs="Arial"/>
      <w:b/>
      <w:bCs/>
      <w:caps/>
      <w:kern w:val="32"/>
      <w:sz w:val="32"/>
      <w:szCs w:val="32"/>
      <w:lang w:val="en-AU"/>
    </w:rPr>
  </w:style>
  <w:style w:type="paragraph" w:customStyle="1" w:styleId="first">
    <w:name w:val="first"/>
    <w:basedOn w:val="Normal"/>
    <w:rsid w:val="00331C35"/>
    <w:pPr>
      <w:spacing w:before="100" w:beforeAutospacing="1" w:after="100" w:afterAutospacing="1"/>
    </w:pPr>
    <w:rPr>
      <w:lang w:val="en-US"/>
    </w:rPr>
  </w:style>
  <w:style w:type="paragraph" w:styleId="NormalWeb">
    <w:name w:val="Normal (Web)"/>
    <w:basedOn w:val="Normal"/>
    <w:rsid w:val="00331C35"/>
    <w:pPr>
      <w:spacing w:before="100" w:beforeAutospacing="1" w:after="100" w:afterAutospacing="1"/>
    </w:pPr>
    <w:rPr>
      <w:lang w:val="en-US"/>
    </w:rPr>
  </w:style>
  <w:style w:type="character" w:customStyle="1" w:styleId="sub">
    <w:name w:val="sub"/>
    <w:basedOn w:val="DefaultParagraphFont"/>
    <w:rsid w:val="00331C35"/>
  </w:style>
  <w:style w:type="character" w:customStyle="1" w:styleId="italics">
    <w:name w:val="italics"/>
    <w:basedOn w:val="DefaultParagraphFont"/>
    <w:rsid w:val="00331C35"/>
  </w:style>
  <w:style w:type="character" w:styleId="CommentReference">
    <w:name w:val="annotation reference"/>
    <w:uiPriority w:val="99"/>
    <w:rsid w:val="00E834E3"/>
    <w:rPr>
      <w:sz w:val="16"/>
      <w:szCs w:val="16"/>
    </w:rPr>
  </w:style>
  <w:style w:type="paragraph" w:styleId="CommentText">
    <w:name w:val="annotation text"/>
    <w:aliases w:val="Annotationtext"/>
    <w:basedOn w:val="Normal"/>
    <w:link w:val="CommentTextChar"/>
    <w:uiPriority w:val="99"/>
    <w:rsid w:val="00E834E3"/>
    <w:rPr>
      <w:sz w:val="20"/>
      <w:szCs w:val="20"/>
    </w:rPr>
  </w:style>
  <w:style w:type="paragraph" w:styleId="CommentSubject">
    <w:name w:val="annotation subject"/>
    <w:basedOn w:val="CommentText"/>
    <w:next w:val="CommentText"/>
    <w:semiHidden/>
    <w:rsid w:val="00E834E3"/>
    <w:rPr>
      <w:b/>
      <w:bCs/>
    </w:rPr>
  </w:style>
  <w:style w:type="paragraph" w:styleId="BalloonText">
    <w:name w:val="Balloon Text"/>
    <w:basedOn w:val="Normal"/>
    <w:semiHidden/>
    <w:rsid w:val="00E834E3"/>
    <w:rPr>
      <w:rFonts w:ascii="Tahoma" w:hAnsi="Tahoma" w:cs="Tahoma"/>
      <w:sz w:val="16"/>
      <w:szCs w:val="16"/>
    </w:rPr>
  </w:style>
  <w:style w:type="character" w:styleId="Hyperlink">
    <w:name w:val="Hyperlink"/>
    <w:rsid w:val="00407C1A"/>
    <w:rPr>
      <w:color w:val="0000FF"/>
      <w:u w:val="single"/>
    </w:rPr>
  </w:style>
  <w:style w:type="character" w:customStyle="1" w:styleId="bold">
    <w:name w:val="bold"/>
    <w:basedOn w:val="DefaultParagraphFont"/>
    <w:rsid w:val="00407C1A"/>
  </w:style>
  <w:style w:type="character" w:customStyle="1" w:styleId="underline">
    <w:name w:val="underline"/>
    <w:basedOn w:val="DefaultParagraphFont"/>
    <w:rsid w:val="00936F35"/>
  </w:style>
  <w:style w:type="paragraph" w:customStyle="1" w:styleId="C-BodyText">
    <w:name w:val="C-Body Text"/>
    <w:link w:val="C-BodyTextChar"/>
    <w:rsid w:val="0048150F"/>
    <w:pPr>
      <w:spacing w:before="120" w:after="120" w:line="280" w:lineRule="atLeast"/>
    </w:pPr>
    <w:rPr>
      <w:sz w:val="24"/>
    </w:rPr>
  </w:style>
  <w:style w:type="character" w:customStyle="1" w:styleId="bolditalics">
    <w:name w:val="bolditalics"/>
    <w:basedOn w:val="DefaultParagraphFont"/>
    <w:rsid w:val="0048150F"/>
  </w:style>
  <w:style w:type="character" w:customStyle="1" w:styleId="C-BodyTextChar">
    <w:name w:val="C-Body Text Char"/>
    <w:link w:val="C-BodyText"/>
    <w:rsid w:val="0048150F"/>
    <w:rPr>
      <w:sz w:val="24"/>
      <w:lang w:val="en-US" w:eastAsia="en-US" w:bidi="ar-SA"/>
    </w:rPr>
  </w:style>
  <w:style w:type="character" w:customStyle="1" w:styleId="sup">
    <w:name w:val="sup"/>
    <w:basedOn w:val="DefaultParagraphFont"/>
    <w:rsid w:val="00445787"/>
  </w:style>
  <w:style w:type="paragraph" w:styleId="BodyTextIndent">
    <w:name w:val="Body Text Indent"/>
    <w:basedOn w:val="Normal"/>
    <w:link w:val="BodyTextIndentChar"/>
    <w:rsid w:val="0055695B"/>
    <w:pPr>
      <w:widowControl w:val="0"/>
      <w:tabs>
        <w:tab w:val="left" w:pos="-374"/>
        <w:tab w:val="left" w:pos="0"/>
        <w:tab w:val="left" w:pos="720"/>
        <w:tab w:val="left" w:pos="1440"/>
        <w:tab w:val="left" w:pos="2160"/>
        <w:tab w:val="left" w:pos="2880"/>
        <w:tab w:val="left" w:pos="3600"/>
        <w:tab w:val="left" w:pos="4320"/>
        <w:tab w:val="left" w:pos="5040"/>
        <w:tab w:val="left" w:pos="5760"/>
        <w:tab w:val="left" w:pos="6139"/>
      </w:tabs>
      <w:autoSpaceDE w:val="0"/>
      <w:autoSpaceDN w:val="0"/>
    </w:pPr>
    <w:rPr>
      <w:rFonts w:cs="Arial"/>
      <w:sz w:val="22"/>
      <w:szCs w:val="22"/>
    </w:rPr>
  </w:style>
  <w:style w:type="paragraph" w:customStyle="1" w:styleId="Default">
    <w:name w:val="Default"/>
    <w:rsid w:val="00477CB7"/>
    <w:pPr>
      <w:autoSpaceDE w:val="0"/>
      <w:autoSpaceDN w:val="0"/>
      <w:adjustRightInd w:val="0"/>
    </w:pPr>
    <w:rPr>
      <w:color w:val="000000"/>
      <w:sz w:val="24"/>
      <w:szCs w:val="24"/>
    </w:rPr>
  </w:style>
  <w:style w:type="paragraph" w:styleId="Header">
    <w:name w:val="header"/>
    <w:basedOn w:val="Normal"/>
    <w:link w:val="HeaderChar"/>
    <w:uiPriority w:val="99"/>
    <w:rsid w:val="005664FB"/>
    <w:pPr>
      <w:tabs>
        <w:tab w:val="center" w:pos="4320"/>
        <w:tab w:val="right" w:pos="8640"/>
      </w:tabs>
    </w:pPr>
  </w:style>
  <w:style w:type="paragraph" w:styleId="Footer">
    <w:name w:val="footer"/>
    <w:basedOn w:val="Normal"/>
    <w:link w:val="FooterChar"/>
    <w:rsid w:val="005664FB"/>
    <w:pPr>
      <w:tabs>
        <w:tab w:val="center" w:pos="4320"/>
        <w:tab w:val="right" w:pos="8640"/>
      </w:tabs>
    </w:pPr>
  </w:style>
  <w:style w:type="character" w:styleId="PageNumber">
    <w:name w:val="page number"/>
    <w:basedOn w:val="DefaultParagraphFont"/>
    <w:rsid w:val="005664FB"/>
  </w:style>
  <w:style w:type="paragraph" w:customStyle="1" w:styleId="GTCBodyText">
    <w:name w:val="GTC Body Text"/>
    <w:basedOn w:val="Normal"/>
    <w:rsid w:val="00200C54"/>
    <w:pPr>
      <w:spacing w:before="240" w:after="240" w:line="300" w:lineRule="auto"/>
    </w:pPr>
    <w:rPr>
      <w:lang w:val="en-US"/>
    </w:rPr>
  </w:style>
  <w:style w:type="character" w:customStyle="1" w:styleId="gtcsubscript">
    <w:name w:val="gtcsubscript"/>
    <w:rsid w:val="00200C54"/>
  </w:style>
  <w:style w:type="character" w:customStyle="1" w:styleId="gtcunderline1">
    <w:name w:val="gtcunderline1"/>
    <w:rsid w:val="006A6BAF"/>
    <w:rPr>
      <w:u w:val="single"/>
    </w:rPr>
  </w:style>
  <w:style w:type="character" w:customStyle="1" w:styleId="gtcitalic1">
    <w:name w:val="gtcitalic1"/>
    <w:rsid w:val="006A6BAF"/>
    <w:rPr>
      <w:i/>
      <w:iCs/>
    </w:rPr>
  </w:style>
  <w:style w:type="paragraph" w:customStyle="1" w:styleId="GTCParagraph">
    <w:name w:val="GTC Paragraph"/>
    <w:rsid w:val="006A6BAF"/>
    <w:rPr>
      <w:sz w:val="24"/>
      <w:szCs w:val="24"/>
    </w:rPr>
  </w:style>
  <w:style w:type="paragraph" w:customStyle="1" w:styleId="Empty">
    <w:name w:val="Empty"/>
    <w:basedOn w:val="PlainText"/>
    <w:rsid w:val="006A6BAF"/>
    <w:rPr>
      <w:lang w:val="en-US"/>
    </w:rPr>
  </w:style>
  <w:style w:type="paragraph" w:styleId="PlainText">
    <w:name w:val="Plain Text"/>
    <w:basedOn w:val="Normal"/>
    <w:link w:val="PlainTextChar"/>
    <w:rsid w:val="006A6BAF"/>
    <w:rPr>
      <w:rFonts w:ascii="Courier New" w:hAnsi="Courier New" w:cs="Courier New"/>
      <w:sz w:val="20"/>
      <w:szCs w:val="20"/>
    </w:rPr>
  </w:style>
  <w:style w:type="character" w:customStyle="1" w:styleId="PlainTextChar">
    <w:name w:val="Plain Text Char"/>
    <w:link w:val="PlainText"/>
    <w:rsid w:val="006A6BAF"/>
    <w:rPr>
      <w:rFonts w:ascii="Courier New" w:hAnsi="Courier New" w:cs="Courier New"/>
      <w:lang w:val="en-AU"/>
    </w:rPr>
  </w:style>
  <w:style w:type="character" w:customStyle="1" w:styleId="Heading3Char">
    <w:name w:val="Heading 3 Char"/>
    <w:link w:val="Heading3"/>
    <w:rsid w:val="00431F73"/>
    <w:rPr>
      <w:rFonts w:ascii="Arial" w:hAnsi="Arial"/>
      <w:b/>
      <w:bCs/>
      <w:sz w:val="24"/>
      <w:szCs w:val="26"/>
      <w:lang w:val="en-AU"/>
    </w:rPr>
  </w:style>
  <w:style w:type="character" w:customStyle="1" w:styleId="gtcbold1">
    <w:name w:val="gtcbold1"/>
    <w:rsid w:val="000C6B28"/>
    <w:rPr>
      <w:b/>
      <w:bCs/>
    </w:rPr>
  </w:style>
  <w:style w:type="paragraph" w:styleId="Revision">
    <w:name w:val="Revision"/>
    <w:hidden/>
    <w:uiPriority w:val="99"/>
    <w:semiHidden/>
    <w:rsid w:val="00EB027F"/>
    <w:rPr>
      <w:sz w:val="24"/>
      <w:szCs w:val="24"/>
      <w:lang w:val="en-AU"/>
    </w:rPr>
  </w:style>
  <w:style w:type="paragraph" w:styleId="ListParagraph">
    <w:name w:val="List Paragraph"/>
    <w:basedOn w:val="Normal"/>
    <w:uiPriority w:val="34"/>
    <w:qFormat/>
    <w:rsid w:val="00E50289"/>
    <w:pPr>
      <w:spacing w:after="200" w:line="276" w:lineRule="auto"/>
      <w:ind w:left="720"/>
      <w:contextualSpacing/>
    </w:pPr>
    <w:rPr>
      <w:rFonts w:asciiTheme="minorHAnsi" w:eastAsiaTheme="minorHAnsi" w:hAnsiTheme="minorHAnsi" w:cstheme="minorBidi"/>
      <w:sz w:val="22"/>
      <w:szCs w:val="22"/>
      <w:lang w:val="en-US"/>
    </w:rPr>
  </w:style>
  <w:style w:type="table" w:styleId="TableGrid">
    <w:name w:val="Table Grid"/>
    <w:basedOn w:val="TableNormal"/>
    <w:uiPriority w:val="59"/>
    <w:rsid w:val="00F27C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odyTextChar2">
    <w:name w:val="C-Body Text Char2"/>
    <w:locked/>
    <w:rsid w:val="00FF551B"/>
    <w:rPr>
      <w:rFonts w:ascii="Times New Roman" w:eastAsia="Times New Roman" w:hAnsi="Times New Roman"/>
      <w:sz w:val="24"/>
    </w:rPr>
  </w:style>
  <w:style w:type="character" w:customStyle="1" w:styleId="FooterChar">
    <w:name w:val="Footer Char"/>
    <w:basedOn w:val="DefaultParagraphFont"/>
    <w:link w:val="Footer"/>
    <w:rsid w:val="0043482D"/>
    <w:rPr>
      <w:sz w:val="24"/>
      <w:szCs w:val="24"/>
      <w:lang w:val="en-AU"/>
    </w:rPr>
  </w:style>
  <w:style w:type="paragraph" w:customStyle="1" w:styleId="Pa0">
    <w:name w:val="Pa0"/>
    <w:basedOn w:val="Default"/>
    <w:next w:val="Default"/>
    <w:uiPriority w:val="99"/>
    <w:rsid w:val="00503948"/>
    <w:pPr>
      <w:spacing w:line="141" w:lineRule="atLeast"/>
    </w:pPr>
    <w:rPr>
      <w:rFonts w:ascii="HelveticaNeue Condensed" w:hAnsi="HelveticaNeue Condensed"/>
      <w:color w:val="auto"/>
    </w:rPr>
  </w:style>
  <w:style w:type="character" w:customStyle="1" w:styleId="caption-h">
    <w:name w:val="caption-h"/>
    <w:rsid w:val="003E2E86"/>
  </w:style>
  <w:style w:type="character" w:customStyle="1" w:styleId="Heading2Char">
    <w:name w:val="Heading 2 Char"/>
    <w:link w:val="Heading2"/>
    <w:uiPriority w:val="9"/>
    <w:rsid w:val="00431F73"/>
    <w:rPr>
      <w:rFonts w:ascii="Arial" w:hAnsi="Arial" w:cs="Arial"/>
      <w:b/>
      <w:bCs/>
      <w:iCs/>
      <w:caps/>
      <w:sz w:val="24"/>
      <w:szCs w:val="28"/>
      <w:lang w:val="en-AU"/>
    </w:rPr>
  </w:style>
  <w:style w:type="paragraph" w:customStyle="1" w:styleId="C-TableHeader">
    <w:name w:val="C-Table Header"/>
    <w:next w:val="Normal"/>
    <w:rsid w:val="00885163"/>
    <w:pPr>
      <w:keepNext/>
      <w:spacing w:before="60" w:after="60"/>
    </w:pPr>
    <w:rPr>
      <w:b/>
      <w:sz w:val="22"/>
    </w:rPr>
  </w:style>
  <w:style w:type="paragraph" w:customStyle="1" w:styleId="Table">
    <w:name w:val="Table"/>
    <w:basedOn w:val="Heading3"/>
    <w:qFormat/>
    <w:rsid w:val="00BC0944"/>
    <w:rPr>
      <w:sz w:val="20"/>
      <w:lang w:val="en-US"/>
    </w:rPr>
  </w:style>
  <w:style w:type="character" w:customStyle="1" w:styleId="CommentTextChar">
    <w:name w:val="Comment Text Char"/>
    <w:aliases w:val="Annotationtext Char"/>
    <w:basedOn w:val="DefaultParagraphFont"/>
    <w:link w:val="CommentText"/>
    <w:uiPriority w:val="99"/>
    <w:rsid w:val="00683F82"/>
    <w:rPr>
      <w:rFonts w:ascii="Arial" w:hAnsi="Arial"/>
      <w:lang w:val="en-AU"/>
    </w:rPr>
  </w:style>
  <w:style w:type="paragraph" w:customStyle="1" w:styleId="GTCTitle">
    <w:name w:val="GTC Title"/>
    <w:basedOn w:val="Normal"/>
    <w:rsid w:val="002176FD"/>
    <w:pPr>
      <w:spacing w:before="120" w:after="120"/>
    </w:pPr>
    <w:rPr>
      <w:rFonts w:cs="Arial"/>
      <w:b/>
      <w:bCs/>
      <w:sz w:val="36"/>
      <w:szCs w:val="36"/>
      <w:lang w:val="en-US"/>
    </w:rPr>
  </w:style>
  <w:style w:type="character" w:customStyle="1" w:styleId="Heading4Char">
    <w:name w:val="Heading 4 Char"/>
    <w:basedOn w:val="DefaultParagraphFont"/>
    <w:link w:val="Heading4"/>
    <w:uiPriority w:val="9"/>
    <w:rsid w:val="00487F87"/>
    <w:rPr>
      <w:rFonts w:ascii="Arial" w:eastAsiaTheme="majorEastAsia" w:hAnsi="Arial" w:cstheme="majorBidi"/>
      <w:bCs/>
      <w:i/>
      <w:iCs/>
      <w:sz w:val="24"/>
      <w:szCs w:val="24"/>
      <w:lang w:val="en-AU"/>
    </w:rPr>
  </w:style>
  <w:style w:type="character" w:customStyle="1" w:styleId="Heading5Char">
    <w:name w:val="Heading 5 Char"/>
    <w:basedOn w:val="DefaultParagraphFont"/>
    <w:link w:val="Heading5"/>
    <w:uiPriority w:val="9"/>
    <w:rsid w:val="0077745D"/>
    <w:rPr>
      <w:rFonts w:ascii="Arial" w:eastAsiaTheme="majorEastAsia" w:hAnsi="Arial" w:cstheme="majorBidi"/>
      <w:b/>
      <w:i/>
      <w:sz w:val="24"/>
      <w:szCs w:val="24"/>
    </w:rPr>
  </w:style>
  <w:style w:type="character" w:customStyle="1" w:styleId="Heading6Char">
    <w:name w:val="Heading 6 Char"/>
    <w:basedOn w:val="DefaultParagraphFont"/>
    <w:link w:val="Heading6"/>
    <w:uiPriority w:val="9"/>
    <w:rsid w:val="0077745D"/>
    <w:rPr>
      <w:rFonts w:ascii="Arial" w:eastAsiaTheme="majorEastAsia" w:hAnsi="Arial" w:cstheme="majorBidi"/>
      <w:i/>
      <w:iCs/>
      <w:sz w:val="24"/>
      <w:szCs w:val="24"/>
    </w:rPr>
  </w:style>
  <w:style w:type="character" w:customStyle="1" w:styleId="BodyTextIndentChar">
    <w:name w:val="Body Text Indent Char"/>
    <w:basedOn w:val="DefaultParagraphFont"/>
    <w:link w:val="BodyTextIndent"/>
    <w:rsid w:val="0077745D"/>
    <w:rPr>
      <w:rFonts w:ascii="Arial" w:hAnsi="Arial" w:cs="Arial"/>
      <w:sz w:val="22"/>
      <w:szCs w:val="22"/>
      <w:lang w:val="en-AU"/>
    </w:rPr>
  </w:style>
  <w:style w:type="paragraph" w:customStyle="1" w:styleId="GTCLink">
    <w:name w:val="GTC Link"/>
    <w:basedOn w:val="Normal"/>
    <w:rsid w:val="00EF2519"/>
    <w:pPr>
      <w:spacing w:before="100" w:beforeAutospacing="1" w:after="100" w:afterAutospacing="1"/>
      <w:jc w:val="left"/>
    </w:pPr>
    <w:rPr>
      <w:rFonts w:ascii="Times New Roman" w:hAnsi="Times New Roman"/>
      <w:u w:val="single"/>
      <w:lang w:val="en-US"/>
    </w:rPr>
  </w:style>
  <w:style w:type="paragraph" w:customStyle="1" w:styleId="GTCBodyTextAlignJustify">
    <w:name w:val="GTC Body Text Align Justify"/>
    <w:basedOn w:val="Normal"/>
    <w:rsid w:val="00D079D9"/>
    <w:pPr>
      <w:spacing w:before="240" w:after="240" w:line="300" w:lineRule="auto"/>
    </w:pPr>
    <w:rPr>
      <w:rFonts w:ascii="Times New Roman" w:hAnsi="Times New Roman"/>
      <w:lang w:val="en-US"/>
    </w:rPr>
  </w:style>
  <w:style w:type="character" w:customStyle="1" w:styleId="HeaderChar">
    <w:name w:val="Header Char"/>
    <w:basedOn w:val="DefaultParagraphFont"/>
    <w:link w:val="Header"/>
    <w:uiPriority w:val="99"/>
    <w:rsid w:val="00667717"/>
    <w:rPr>
      <w:rFonts w:ascii="Arial" w:hAnsi="Arial"/>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06219">
      <w:bodyDiv w:val="1"/>
      <w:marLeft w:val="0"/>
      <w:marRight w:val="0"/>
      <w:marTop w:val="0"/>
      <w:marBottom w:val="0"/>
      <w:divBdr>
        <w:top w:val="none" w:sz="0" w:space="0" w:color="auto"/>
        <w:left w:val="none" w:sz="0" w:space="0" w:color="auto"/>
        <w:bottom w:val="none" w:sz="0" w:space="0" w:color="auto"/>
        <w:right w:val="none" w:sz="0" w:space="0" w:color="auto"/>
      </w:divBdr>
    </w:div>
    <w:div w:id="184902007">
      <w:bodyDiv w:val="1"/>
      <w:marLeft w:val="0"/>
      <w:marRight w:val="0"/>
      <w:marTop w:val="0"/>
      <w:marBottom w:val="0"/>
      <w:divBdr>
        <w:top w:val="none" w:sz="0" w:space="0" w:color="auto"/>
        <w:left w:val="none" w:sz="0" w:space="0" w:color="auto"/>
        <w:bottom w:val="none" w:sz="0" w:space="0" w:color="auto"/>
        <w:right w:val="none" w:sz="0" w:space="0" w:color="auto"/>
      </w:divBdr>
    </w:div>
    <w:div w:id="627781981">
      <w:bodyDiv w:val="1"/>
      <w:marLeft w:val="0"/>
      <w:marRight w:val="0"/>
      <w:marTop w:val="0"/>
      <w:marBottom w:val="0"/>
      <w:divBdr>
        <w:top w:val="none" w:sz="0" w:space="0" w:color="auto"/>
        <w:left w:val="none" w:sz="0" w:space="0" w:color="auto"/>
        <w:bottom w:val="none" w:sz="0" w:space="0" w:color="auto"/>
        <w:right w:val="none" w:sz="0" w:space="0" w:color="auto"/>
      </w:divBdr>
    </w:div>
    <w:div w:id="646206284">
      <w:bodyDiv w:val="1"/>
      <w:marLeft w:val="0"/>
      <w:marRight w:val="0"/>
      <w:marTop w:val="0"/>
      <w:marBottom w:val="0"/>
      <w:divBdr>
        <w:top w:val="none" w:sz="0" w:space="0" w:color="auto"/>
        <w:left w:val="none" w:sz="0" w:space="0" w:color="auto"/>
        <w:bottom w:val="none" w:sz="0" w:space="0" w:color="auto"/>
        <w:right w:val="none" w:sz="0" w:space="0" w:color="auto"/>
      </w:divBdr>
    </w:div>
    <w:div w:id="657343765">
      <w:bodyDiv w:val="1"/>
      <w:marLeft w:val="0"/>
      <w:marRight w:val="0"/>
      <w:marTop w:val="0"/>
      <w:marBottom w:val="0"/>
      <w:divBdr>
        <w:top w:val="none" w:sz="0" w:space="0" w:color="auto"/>
        <w:left w:val="none" w:sz="0" w:space="0" w:color="auto"/>
        <w:bottom w:val="none" w:sz="0" w:space="0" w:color="auto"/>
        <w:right w:val="none" w:sz="0" w:space="0" w:color="auto"/>
      </w:divBdr>
    </w:div>
    <w:div w:id="659893511">
      <w:bodyDiv w:val="1"/>
      <w:marLeft w:val="0"/>
      <w:marRight w:val="0"/>
      <w:marTop w:val="0"/>
      <w:marBottom w:val="0"/>
      <w:divBdr>
        <w:top w:val="none" w:sz="0" w:space="0" w:color="auto"/>
        <w:left w:val="none" w:sz="0" w:space="0" w:color="auto"/>
        <w:bottom w:val="none" w:sz="0" w:space="0" w:color="auto"/>
        <w:right w:val="none" w:sz="0" w:space="0" w:color="auto"/>
      </w:divBdr>
    </w:div>
    <w:div w:id="1377192780">
      <w:bodyDiv w:val="1"/>
      <w:marLeft w:val="0"/>
      <w:marRight w:val="0"/>
      <w:marTop w:val="0"/>
      <w:marBottom w:val="0"/>
      <w:divBdr>
        <w:top w:val="none" w:sz="0" w:space="0" w:color="auto"/>
        <w:left w:val="none" w:sz="0" w:space="0" w:color="auto"/>
        <w:bottom w:val="none" w:sz="0" w:space="0" w:color="auto"/>
        <w:right w:val="none" w:sz="0" w:space="0" w:color="auto"/>
      </w:divBdr>
    </w:div>
    <w:div w:id="1565799292">
      <w:bodyDiv w:val="1"/>
      <w:marLeft w:val="0"/>
      <w:marRight w:val="0"/>
      <w:marTop w:val="0"/>
      <w:marBottom w:val="0"/>
      <w:divBdr>
        <w:top w:val="none" w:sz="0" w:space="0" w:color="auto"/>
        <w:left w:val="none" w:sz="0" w:space="0" w:color="auto"/>
        <w:bottom w:val="none" w:sz="0" w:space="0" w:color="auto"/>
        <w:right w:val="none" w:sz="0" w:space="0" w:color="auto"/>
      </w:divBdr>
    </w:div>
    <w:div w:id="1669484330">
      <w:bodyDiv w:val="1"/>
      <w:marLeft w:val="0"/>
      <w:marRight w:val="0"/>
      <w:marTop w:val="0"/>
      <w:marBottom w:val="0"/>
      <w:divBdr>
        <w:top w:val="none" w:sz="0" w:space="0" w:color="auto"/>
        <w:left w:val="none" w:sz="0" w:space="0" w:color="auto"/>
        <w:bottom w:val="none" w:sz="0" w:space="0" w:color="auto"/>
        <w:right w:val="none" w:sz="0" w:space="0" w:color="auto"/>
      </w:divBdr>
    </w:div>
    <w:div w:id="171738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image" Target="media/image2.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oleObject" Target="embeddings/oleObject1.bin"/><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image" Target="media/image8.png"/><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image" Target="media/image7.png"/><Relationship Id="rId28"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image" Target="media/image6.emf"/><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Neue Condensed">
    <w:altName w:val="Arial"/>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33E"/>
    <w:rsid w:val="006523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D8831256BF47E293FBA71C28A1B87A">
    <w:name w:val="A3D8831256BF47E293FBA71C28A1B87A"/>
    <w:rsid w:val="006523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D8831256BF47E293FBA71C28A1B87A">
    <w:name w:val="A3D8831256BF47E293FBA71C28A1B87A"/>
    <w:rsid w:val="006523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A46C2-2FBE-48D3-9877-E46A0E868AE7}">
  <ds:schemaRefs>
    <ds:schemaRef ds:uri="http://schemas.openxmlformats.org/officeDocument/2006/bibliography"/>
  </ds:schemaRefs>
</ds:datastoreItem>
</file>

<file path=customXml/itemProps2.xml><?xml version="1.0" encoding="utf-8"?>
<ds:datastoreItem xmlns:ds="http://schemas.openxmlformats.org/officeDocument/2006/customXml" ds:itemID="{5FB95A90-5AE3-4E3A-AC32-10064CDB6EBD}">
  <ds:schemaRefs>
    <ds:schemaRef ds:uri="http://schemas.openxmlformats.org/officeDocument/2006/bibliography"/>
  </ds:schemaRefs>
</ds:datastoreItem>
</file>

<file path=customXml/itemProps3.xml><?xml version="1.0" encoding="utf-8"?>
<ds:datastoreItem xmlns:ds="http://schemas.openxmlformats.org/officeDocument/2006/customXml" ds:itemID="{A5C696E0-61F2-486E-BD61-4414914BF5FD}">
  <ds:schemaRefs>
    <ds:schemaRef ds:uri="http://schemas.openxmlformats.org/officeDocument/2006/bibliography"/>
  </ds:schemaRefs>
</ds:datastoreItem>
</file>

<file path=customXml/itemProps4.xml><?xml version="1.0" encoding="utf-8"?>
<ds:datastoreItem xmlns:ds="http://schemas.openxmlformats.org/officeDocument/2006/customXml" ds:itemID="{83D797BB-DA8F-453B-BDF6-89EC19DEBBFC}">
  <ds:schemaRefs>
    <ds:schemaRef ds:uri="http://schemas.openxmlformats.org/officeDocument/2006/bibliography"/>
  </ds:schemaRefs>
</ds:datastoreItem>
</file>

<file path=customXml/itemProps5.xml><?xml version="1.0" encoding="utf-8"?>
<ds:datastoreItem xmlns:ds="http://schemas.openxmlformats.org/officeDocument/2006/customXml" ds:itemID="{2846B56C-C414-4933-AD43-50D0CA2E3F07}">
  <ds:schemaRefs>
    <ds:schemaRef ds:uri="http://schemas.openxmlformats.org/officeDocument/2006/bibliography"/>
  </ds:schemaRefs>
</ds:datastoreItem>
</file>

<file path=customXml/itemProps6.xml><?xml version="1.0" encoding="utf-8"?>
<ds:datastoreItem xmlns:ds="http://schemas.openxmlformats.org/officeDocument/2006/customXml" ds:itemID="{0DC4F695-5ED0-484A-ABA2-AF94A732EA16}">
  <ds:schemaRefs>
    <ds:schemaRef ds:uri="http://schemas.openxmlformats.org/officeDocument/2006/bibliography"/>
  </ds:schemaRefs>
</ds:datastoreItem>
</file>

<file path=customXml/itemProps7.xml><?xml version="1.0" encoding="utf-8"?>
<ds:datastoreItem xmlns:ds="http://schemas.openxmlformats.org/officeDocument/2006/customXml" ds:itemID="{3A1E2503-0913-4069-A222-D0FC2267EFDE}">
  <ds:schemaRefs>
    <ds:schemaRef ds:uri="http://schemas.openxmlformats.org/officeDocument/2006/bibliography"/>
  </ds:schemaRefs>
</ds:datastoreItem>
</file>

<file path=customXml/itemProps8.xml><?xml version="1.0" encoding="utf-8"?>
<ds:datastoreItem xmlns:ds="http://schemas.openxmlformats.org/officeDocument/2006/customXml" ds:itemID="{B1406718-A574-44E0-B07B-3DEBBDBC7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25</Pages>
  <Words>6864</Words>
  <Characters>37871</Characters>
  <Application>Microsoft Office Word</Application>
  <DocSecurity>0</DocSecurity>
  <Lines>315</Lines>
  <Paragraphs>89</Paragraphs>
  <ScaleCrop>false</ScaleCrop>
  <HeadingPairs>
    <vt:vector size="2" baseType="variant">
      <vt:variant>
        <vt:lpstr>Title</vt:lpstr>
      </vt:variant>
      <vt:variant>
        <vt:i4>1</vt:i4>
      </vt:variant>
    </vt:vector>
  </HeadingPairs>
  <TitlesOfParts>
    <vt:vector size="1" baseType="lpstr">
      <vt:lpstr>PRODUCT INFORMATION</vt:lpstr>
    </vt:vector>
  </TitlesOfParts>
  <Company>Biogen Idec</Company>
  <LinksUpToDate>false</LinksUpToDate>
  <CharactersWithSpaces>44646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Nusinersen (as heptadecasodium)</dc:title>
  <dc:subject>prescription medicines</dc:subject>
  <dc:creator>Scott Pilarski</dc:creator>
  <cp:keywords>AusPARs</cp:keywords>
  <cp:lastModifiedBy>LACK, Janet</cp:lastModifiedBy>
  <cp:revision>3</cp:revision>
  <cp:lastPrinted>2017-11-01T02:15:00Z</cp:lastPrinted>
  <dcterms:created xsi:type="dcterms:W3CDTF">2018-08-28T23:21:00Z</dcterms:created>
  <dcterms:modified xsi:type="dcterms:W3CDTF">2018-08-28T23:38:00Z</dcterms:modified>
</cp:coreProperties>
</file>