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7FDFB7CA" w14:textId="77777777" w:rsidTr="00BF1190">
        <w:trPr>
          <w:trHeight w:val="1863"/>
        </w:trPr>
        <w:tc>
          <w:tcPr>
            <w:tcW w:w="3652" w:type="dxa"/>
            <w:tcBorders>
              <w:top w:val="nil"/>
              <w:left w:val="nil"/>
              <w:bottom w:val="nil"/>
              <w:right w:val="nil"/>
            </w:tcBorders>
          </w:tcPr>
          <w:p w14:paraId="1385677C" w14:textId="715C4676" w:rsidR="008E7846" w:rsidRPr="00096AA7" w:rsidRDefault="0048236C" w:rsidP="00096AA7">
            <w:pPr>
              <w:rPr>
                <w:rFonts w:ascii="Arial" w:hAnsi="Arial" w:cs="Arial"/>
                <w:b/>
                <w:color w:val="002C47"/>
                <w:sz w:val="36"/>
                <w:szCs w:val="36"/>
              </w:rPr>
            </w:pPr>
            <w:r>
              <w:rPr>
                <w:rFonts w:ascii="Arial" w:hAnsi="Arial" w:cs="Arial"/>
                <w:b/>
                <w:color w:val="002C47"/>
                <w:sz w:val="36"/>
                <w:szCs w:val="36"/>
              </w:rPr>
              <w:t xml:space="preserve">November </w:t>
            </w:r>
            <w:r w:rsidR="003132CB">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0AA02EF" w14:textId="77777777" w:rsidTr="0032583B">
        <w:trPr>
          <w:trHeight w:val="868"/>
        </w:trPr>
        <w:tc>
          <w:tcPr>
            <w:tcW w:w="9079" w:type="dxa"/>
          </w:tcPr>
          <w:p w14:paraId="449AC5FB" w14:textId="77777777" w:rsidR="0032583B" w:rsidRPr="00A964D1" w:rsidRDefault="0032583B" w:rsidP="007233A7">
            <w:pPr>
              <w:pStyle w:val="Title"/>
              <w:rPr>
                <w:color w:val="FFFFFF" w:themeColor="background1"/>
              </w:rPr>
            </w:pPr>
            <w:r w:rsidRPr="00A964D1">
              <w:rPr>
                <w:color w:val="FFFFFF" w:themeColor="background1"/>
              </w:rPr>
              <w:t>Australia</w:t>
            </w:r>
            <w:r w:rsidR="003E35D2">
              <w:rPr>
                <w:color w:val="FFFFFF" w:themeColor="background1"/>
              </w:rPr>
              <w:t xml:space="preserve">n Public Assessment Report for Normal </w:t>
            </w:r>
            <w:r w:rsidR="007233A7">
              <w:rPr>
                <w:color w:val="FFFFFF" w:themeColor="background1"/>
              </w:rPr>
              <w:t>immunoglobulin</w:t>
            </w:r>
            <w:r w:rsidR="003E35D2">
              <w:rPr>
                <w:color w:val="FFFFFF" w:themeColor="background1"/>
              </w:rPr>
              <w:t xml:space="preserve"> (human)</w:t>
            </w:r>
          </w:p>
        </w:tc>
      </w:tr>
      <w:tr w:rsidR="0032583B" w:rsidRPr="00B64760" w14:paraId="33072706" w14:textId="77777777" w:rsidTr="0032583B">
        <w:tc>
          <w:tcPr>
            <w:tcW w:w="9079" w:type="dxa"/>
          </w:tcPr>
          <w:p w14:paraId="153F28A6" w14:textId="77777777" w:rsidR="0032583B" w:rsidRPr="008E7846" w:rsidRDefault="003E35D2" w:rsidP="00460036">
            <w:pPr>
              <w:pStyle w:val="Subtitle"/>
              <w:rPr>
                <w:color w:val="FFFFFF" w:themeColor="background1"/>
              </w:rPr>
            </w:pPr>
            <w:r>
              <w:rPr>
                <w:color w:val="FFFFFF" w:themeColor="background1"/>
              </w:rPr>
              <w:t xml:space="preserve">Proprietary Product Name: </w:t>
            </w:r>
            <w:proofErr w:type="spellStart"/>
            <w:r>
              <w:rPr>
                <w:color w:val="FFFFFF" w:themeColor="background1"/>
              </w:rPr>
              <w:t>Kiovig</w:t>
            </w:r>
            <w:proofErr w:type="spellEnd"/>
          </w:p>
        </w:tc>
      </w:tr>
      <w:tr w:rsidR="0032583B" w:rsidRPr="00B64760" w14:paraId="671F4CA7" w14:textId="77777777" w:rsidTr="0032583B">
        <w:trPr>
          <w:trHeight w:val="486"/>
        </w:trPr>
        <w:tc>
          <w:tcPr>
            <w:tcW w:w="9079" w:type="dxa"/>
          </w:tcPr>
          <w:p w14:paraId="3470D16F" w14:textId="77777777" w:rsidR="0032583B" w:rsidRPr="008E7846" w:rsidRDefault="003E35D2" w:rsidP="00330668">
            <w:pPr>
              <w:pStyle w:val="Subtitle"/>
              <w:rPr>
                <w:color w:val="FFFFFF" w:themeColor="background1"/>
              </w:rPr>
            </w:pPr>
            <w:r>
              <w:rPr>
                <w:color w:val="FFFFFF" w:themeColor="background1"/>
              </w:rPr>
              <w:t xml:space="preserve">Sponsor: </w:t>
            </w:r>
            <w:r w:rsidR="00330668">
              <w:rPr>
                <w:color w:val="FFFFFF" w:themeColor="background1"/>
              </w:rPr>
              <w:t>Takeda Pharmaceuticals Australia Pty Ltd</w:t>
            </w:r>
          </w:p>
        </w:tc>
      </w:tr>
    </w:tbl>
    <w:p w14:paraId="36CC8324" w14:textId="77777777" w:rsidR="008E7846" w:rsidRPr="0085156D" w:rsidRDefault="008E7846" w:rsidP="0085156D">
      <w:r w:rsidRPr="0085156D">
        <w:br w:type="page"/>
      </w:r>
    </w:p>
    <w:p w14:paraId="5ECFBD6A" w14:textId="77777777" w:rsidR="008E7846" w:rsidRPr="001F6CBA" w:rsidRDefault="008E7846" w:rsidP="008E7846">
      <w:pPr>
        <w:pStyle w:val="NonTOCHeading2"/>
      </w:pPr>
      <w:r w:rsidRPr="001F6CBA">
        <w:lastRenderedPageBreak/>
        <w:t>About the Therapeutic Goods Administration (TGA)</w:t>
      </w:r>
    </w:p>
    <w:p w14:paraId="62A27455" w14:textId="77777777" w:rsidR="008E7846" w:rsidRDefault="008E7846" w:rsidP="00FE6FD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D55BF24" w14:textId="77777777" w:rsidR="008E7846" w:rsidRDefault="00C80137" w:rsidP="00FE6FD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2D928EE3" w14:textId="77777777" w:rsidR="008E7846" w:rsidRDefault="008E7846" w:rsidP="00FE6FD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6A8066E4" w14:textId="77777777" w:rsidR="008E7846" w:rsidRDefault="008E7846" w:rsidP="00FE6FD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5AF81D28" w14:textId="7FBCF035" w:rsidR="00441C3F" w:rsidRDefault="008E7846" w:rsidP="00FE6FD8">
      <w:pPr>
        <w:pStyle w:val="ListBullet"/>
        <w:numPr>
          <w:ilvl w:val="0"/>
          <w:numId w:val="1"/>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7B8369AF" w14:textId="77777777" w:rsidR="008E7846" w:rsidRDefault="008E7846" w:rsidP="00875A6B">
      <w:pPr>
        <w:pStyle w:val="NonTOCHeading2"/>
      </w:pPr>
      <w:r>
        <w:t xml:space="preserve">About </w:t>
      </w:r>
      <w:proofErr w:type="spellStart"/>
      <w:r>
        <w:t>AusPARs</w:t>
      </w:r>
      <w:proofErr w:type="spellEnd"/>
    </w:p>
    <w:p w14:paraId="7B7A5CD3" w14:textId="77777777" w:rsidR="008E7846" w:rsidRDefault="008E7846" w:rsidP="00FE6FD8">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0480D68" w14:textId="77777777" w:rsidR="008E7846" w:rsidRDefault="008E7846" w:rsidP="00FE6FD8">
      <w:pPr>
        <w:pStyle w:val="ListBullet"/>
        <w:numPr>
          <w:ilvl w:val="0"/>
          <w:numId w:val="1"/>
        </w:numPr>
        <w:ind w:left="357" w:hanging="357"/>
      </w:pPr>
      <w:proofErr w:type="spellStart"/>
      <w:r>
        <w:t>AusPARs</w:t>
      </w:r>
      <w:proofErr w:type="spellEnd"/>
      <w:r>
        <w:t xml:space="preserve"> are prepared and published by the TGA.</w:t>
      </w:r>
    </w:p>
    <w:p w14:paraId="073700E9" w14:textId="77777777" w:rsidR="008E7846" w:rsidRDefault="008E7846" w:rsidP="00FE6FD8">
      <w:pPr>
        <w:pStyle w:val="ListBullet"/>
        <w:numPr>
          <w:ilvl w:val="0"/>
          <w:numId w:val="1"/>
        </w:numPr>
        <w:ind w:left="357" w:hanging="357"/>
      </w:pPr>
      <w:r>
        <w:t xml:space="preserve">An AusPAR is prepared for submissions that relate to new chemical entities, generic medicines, major </w:t>
      </w:r>
      <w:proofErr w:type="gramStart"/>
      <w:r>
        <w:t>variations</w:t>
      </w:r>
      <w:proofErr w:type="gramEnd"/>
      <w:r>
        <w:t xml:space="preserve"> and extensions of indications.</w:t>
      </w:r>
    </w:p>
    <w:p w14:paraId="642AB1F9" w14:textId="77777777" w:rsidR="008E7846" w:rsidRDefault="008E7846" w:rsidP="00FE6FD8">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54FA9AA9" w14:textId="77777777" w:rsidR="00B452CE" w:rsidRDefault="008E7846" w:rsidP="00FE6FD8">
      <w:pPr>
        <w:pStyle w:val="ListBullet"/>
        <w:numPr>
          <w:ilvl w:val="0"/>
          <w:numId w:val="1"/>
        </w:numPr>
        <w:ind w:left="357" w:hanging="357"/>
      </w:pPr>
      <w:r>
        <w:t>A new AusPAR will be developed to reflect changes to indications and/or major variations to a prescription medicine subject to evaluation by the TGA.</w:t>
      </w:r>
    </w:p>
    <w:p w14:paraId="2D0C333E" w14:textId="77777777" w:rsidR="00924482" w:rsidRPr="00DF1D7F" w:rsidRDefault="00924482" w:rsidP="00F54B65">
      <w:pPr>
        <w:pStyle w:val="LegalSubheading"/>
        <w:spacing w:before="3120"/>
      </w:pPr>
      <w:r w:rsidRPr="00DF1D7F">
        <w:t>Copyright</w:t>
      </w:r>
    </w:p>
    <w:p w14:paraId="48168FF0" w14:textId="0E582A9A"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249CCFCB"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EDC5DE9" w14:textId="77777777" w:rsidR="0089635C" w:rsidRPr="0089635C" w:rsidRDefault="0089635C" w:rsidP="0010788A">
          <w:pPr>
            <w:pStyle w:val="Contents"/>
          </w:pPr>
          <w:r w:rsidRPr="0010788A">
            <w:t>Contents</w:t>
          </w:r>
        </w:p>
        <w:p w14:paraId="2C1EE6F7" w14:textId="7DA765C7" w:rsidR="00122C90"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89339092" w:history="1">
            <w:r w:rsidR="00122C90" w:rsidRPr="00F04107">
              <w:rPr>
                <w:rStyle w:val="Hyperlink"/>
                <w:noProof/>
              </w:rPr>
              <w:t>List of abbreviations</w:t>
            </w:r>
            <w:r w:rsidR="00122C90">
              <w:rPr>
                <w:noProof/>
                <w:webHidden/>
              </w:rPr>
              <w:tab/>
            </w:r>
            <w:r w:rsidR="00122C90">
              <w:rPr>
                <w:noProof/>
                <w:webHidden/>
              </w:rPr>
              <w:fldChar w:fldCharType="begin"/>
            </w:r>
            <w:r w:rsidR="00122C90">
              <w:rPr>
                <w:noProof/>
                <w:webHidden/>
              </w:rPr>
              <w:instrText xml:space="preserve"> PAGEREF _Toc89339092 \h </w:instrText>
            </w:r>
            <w:r w:rsidR="00122C90">
              <w:rPr>
                <w:noProof/>
                <w:webHidden/>
              </w:rPr>
            </w:r>
            <w:r w:rsidR="00122C90">
              <w:rPr>
                <w:noProof/>
                <w:webHidden/>
              </w:rPr>
              <w:fldChar w:fldCharType="separate"/>
            </w:r>
            <w:r w:rsidR="00122C90">
              <w:rPr>
                <w:noProof/>
                <w:webHidden/>
              </w:rPr>
              <w:t>4</w:t>
            </w:r>
            <w:r w:rsidR="00122C90">
              <w:rPr>
                <w:noProof/>
                <w:webHidden/>
              </w:rPr>
              <w:fldChar w:fldCharType="end"/>
            </w:r>
          </w:hyperlink>
        </w:p>
        <w:p w14:paraId="388F69B2" w14:textId="2A54E973" w:rsidR="00122C90" w:rsidRDefault="005137AB">
          <w:pPr>
            <w:pStyle w:val="TOC1"/>
            <w:rPr>
              <w:rFonts w:asciiTheme="minorHAnsi" w:eastAsiaTheme="minorEastAsia" w:hAnsiTheme="minorHAnsi" w:cstheme="minorBidi"/>
              <w:b w:val="0"/>
              <w:noProof/>
              <w:sz w:val="22"/>
              <w:lang w:eastAsia="en-AU"/>
            </w:rPr>
          </w:pPr>
          <w:hyperlink w:anchor="_Toc89339093" w:history="1">
            <w:r w:rsidR="00122C90" w:rsidRPr="00F04107">
              <w:rPr>
                <w:rStyle w:val="Hyperlink"/>
                <w:noProof/>
              </w:rPr>
              <w:t>I. Introduction to product submission</w:t>
            </w:r>
            <w:r w:rsidR="00122C90">
              <w:rPr>
                <w:noProof/>
                <w:webHidden/>
              </w:rPr>
              <w:tab/>
            </w:r>
            <w:r w:rsidR="00122C90">
              <w:rPr>
                <w:noProof/>
                <w:webHidden/>
              </w:rPr>
              <w:fldChar w:fldCharType="begin"/>
            </w:r>
            <w:r w:rsidR="00122C90">
              <w:rPr>
                <w:noProof/>
                <w:webHidden/>
              </w:rPr>
              <w:instrText xml:space="preserve"> PAGEREF _Toc89339093 \h </w:instrText>
            </w:r>
            <w:r w:rsidR="00122C90">
              <w:rPr>
                <w:noProof/>
                <w:webHidden/>
              </w:rPr>
            </w:r>
            <w:r w:rsidR="00122C90">
              <w:rPr>
                <w:noProof/>
                <w:webHidden/>
              </w:rPr>
              <w:fldChar w:fldCharType="separate"/>
            </w:r>
            <w:r w:rsidR="00122C90">
              <w:rPr>
                <w:noProof/>
                <w:webHidden/>
              </w:rPr>
              <w:t>6</w:t>
            </w:r>
            <w:r w:rsidR="00122C90">
              <w:rPr>
                <w:noProof/>
                <w:webHidden/>
              </w:rPr>
              <w:fldChar w:fldCharType="end"/>
            </w:r>
          </w:hyperlink>
        </w:p>
        <w:p w14:paraId="70D6B4F1" w14:textId="41101A4C" w:rsidR="00122C90" w:rsidRDefault="005137AB">
          <w:pPr>
            <w:pStyle w:val="TOC2"/>
            <w:rPr>
              <w:rFonts w:asciiTheme="minorHAnsi" w:eastAsiaTheme="minorEastAsia" w:hAnsiTheme="minorHAnsi" w:cstheme="minorBidi"/>
              <w:b w:val="0"/>
              <w:noProof/>
              <w:sz w:val="22"/>
              <w:lang w:eastAsia="en-AU"/>
            </w:rPr>
          </w:pPr>
          <w:hyperlink w:anchor="_Toc89339094" w:history="1">
            <w:r w:rsidR="00122C90" w:rsidRPr="00F04107">
              <w:rPr>
                <w:rStyle w:val="Hyperlink"/>
                <w:noProof/>
                <w:lang w:eastAsia="en-AU"/>
              </w:rPr>
              <w:t>Submission details</w:t>
            </w:r>
            <w:r w:rsidR="00122C90">
              <w:rPr>
                <w:noProof/>
                <w:webHidden/>
              </w:rPr>
              <w:tab/>
            </w:r>
            <w:r w:rsidR="00122C90">
              <w:rPr>
                <w:noProof/>
                <w:webHidden/>
              </w:rPr>
              <w:fldChar w:fldCharType="begin"/>
            </w:r>
            <w:r w:rsidR="00122C90">
              <w:rPr>
                <w:noProof/>
                <w:webHidden/>
              </w:rPr>
              <w:instrText xml:space="preserve"> PAGEREF _Toc89339094 \h </w:instrText>
            </w:r>
            <w:r w:rsidR="00122C90">
              <w:rPr>
                <w:noProof/>
                <w:webHidden/>
              </w:rPr>
            </w:r>
            <w:r w:rsidR="00122C90">
              <w:rPr>
                <w:noProof/>
                <w:webHidden/>
              </w:rPr>
              <w:fldChar w:fldCharType="separate"/>
            </w:r>
            <w:r w:rsidR="00122C90">
              <w:rPr>
                <w:noProof/>
                <w:webHidden/>
              </w:rPr>
              <w:t>6</w:t>
            </w:r>
            <w:r w:rsidR="00122C90">
              <w:rPr>
                <w:noProof/>
                <w:webHidden/>
              </w:rPr>
              <w:fldChar w:fldCharType="end"/>
            </w:r>
          </w:hyperlink>
        </w:p>
        <w:p w14:paraId="77E8753D" w14:textId="40E88033" w:rsidR="00122C90" w:rsidRDefault="005137AB">
          <w:pPr>
            <w:pStyle w:val="TOC2"/>
            <w:rPr>
              <w:rFonts w:asciiTheme="minorHAnsi" w:eastAsiaTheme="minorEastAsia" w:hAnsiTheme="minorHAnsi" w:cstheme="minorBidi"/>
              <w:b w:val="0"/>
              <w:noProof/>
              <w:sz w:val="22"/>
              <w:lang w:eastAsia="en-AU"/>
            </w:rPr>
          </w:pPr>
          <w:hyperlink w:anchor="_Toc89339095" w:history="1">
            <w:r w:rsidR="00122C90" w:rsidRPr="00F04107">
              <w:rPr>
                <w:rStyle w:val="Hyperlink"/>
                <w:noProof/>
              </w:rPr>
              <w:t>Product background</w:t>
            </w:r>
            <w:r w:rsidR="00122C90">
              <w:rPr>
                <w:noProof/>
                <w:webHidden/>
              </w:rPr>
              <w:tab/>
            </w:r>
            <w:r w:rsidR="00122C90">
              <w:rPr>
                <w:noProof/>
                <w:webHidden/>
              </w:rPr>
              <w:fldChar w:fldCharType="begin"/>
            </w:r>
            <w:r w:rsidR="00122C90">
              <w:rPr>
                <w:noProof/>
                <w:webHidden/>
              </w:rPr>
              <w:instrText xml:space="preserve"> PAGEREF _Toc89339095 \h </w:instrText>
            </w:r>
            <w:r w:rsidR="00122C90">
              <w:rPr>
                <w:noProof/>
                <w:webHidden/>
              </w:rPr>
            </w:r>
            <w:r w:rsidR="00122C90">
              <w:rPr>
                <w:noProof/>
                <w:webHidden/>
              </w:rPr>
              <w:fldChar w:fldCharType="separate"/>
            </w:r>
            <w:r w:rsidR="00122C90">
              <w:rPr>
                <w:noProof/>
                <w:webHidden/>
              </w:rPr>
              <w:t>8</w:t>
            </w:r>
            <w:r w:rsidR="00122C90">
              <w:rPr>
                <w:noProof/>
                <w:webHidden/>
              </w:rPr>
              <w:fldChar w:fldCharType="end"/>
            </w:r>
          </w:hyperlink>
        </w:p>
        <w:p w14:paraId="2BE69062" w14:textId="1BA36D3A" w:rsidR="00122C90" w:rsidRDefault="005137AB">
          <w:pPr>
            <w:pStyle w:val="TOC2"/>
            <w:rPr>
              <w:rFonts w:asciiTheme="minorHAnsi" w:eastAsiaTheme="minorEastAsia" w:hAnsiTheme="minorHAnsi" w:cstheme="minorBidi"/>
              <w:b w:val="0"/>
              <w:noProof/>
              <w:sz w:val="22"/>
              <w:lang w:eastAsia="en-AU"/>
            </w:rPr>
          </w:pPr>
          <w:hyperlink w:anchor="_Toc89339096" w:history="1">
            <w:r w:rsidR="00122C90" w:rsidRPr="00F04107">
              <w:rPr>
                <w:rStyle w:val="Hyperlink"/>
                <w:noProof/>
              </w:rPr>
              <w:t>Regulatory status</w:t>
            </w:r>
            <w:r w:rsidR="00122C90">
              <w:rPr>
                <w:noProof/>
                <w:webHidden/>
              </w:rPr>
              <w:tab/>
            </w:r>
            <w:r w:rsidR="00122C90">
              <w:rPr>
                <w:noProof/>
                <w:webHidden/>
              </w:rPr>
              <w:fldChar w:fldCharType="begin"/>
            </w:r>
            <w:r w:rsidR="00122C90">
              <w:rPr>
                <w:noProof/>
                <w:webHidden/>
              </w:rPr>
              <w:instrText xml:space="preserve"> PAGEREF _Toc89339096 \h </w:instrText>
            </w:r>
            <w:r w:rsidR="00122C90">
              <w:rPr>
                <w:noProof/>
                <w:webHidden/>
              </w:rPr>
            </w:r>
            <w:r w:rsidR="00122C90">
              <w:rPr>
                <w:noProof/>
                <w:webHidden/>
              </w:rPr>
              <w:fldChar w:fldCharType="separate"/>
            </w:r>
            <w:r w:rsidR="00122C90">
              <w:rPr>
                <w:noProof/>
                <w:webHidden/>
              </w:rPr>
              <w:t>10</w:t>
            </w:r>
            <w:r w:rsidR="00122C90">
              <w:rPr>
                <w:noProof/>
                <w:webHidden/>
              </w:rPr>
              <w:fldChar w:fldCharType="end"/>
            </w:r>
          </w:hyperlink>
        </w:p>
        <w:p w14:paraId="473DD6BE" w14:textId="0A1ADF90" w:rsidR="00122C90" w:rsidRDefault="005137AB">
          <w:pPr>
            <w:pStyle w:val="TOC2"/>
            <w:rPr>
              <w:rFonts w:asciiTheme="minorHAnsi" w:eastAsiaTheme="minorEastAsia" w:hAnsiTheme="minorHAnsi" w:cstheme="minorBidi"/>
              <w:b w:val="0"/>
              <w:noProof/>
              <w:sz w:val="22"/>
              <w:lang w:eastAsia="en-AU"/>
            </w:rPr>
          </w:pPr>
          <w:hyperlink w:anchor="_Toc89339097" w:history="1">
            <w:r w:rsidR="00122C90" w:rsidRPr="00F04107">
              <w:rPr>
                <w:rStyle w:val="Hyperlink"/>
                <w:noProof/>
              </w:rPr>
              <w:t>Product Information</w:t>
            </w:r>
            <w:r w:rsidR="00122C90">
              <w:rPr>
                <w:noProof/>
                <w:webHidden/>
              </w:rPr>
              <w:tab/>
            </w:r>
            <w:r w:rsidR="00122C90">
              <w:rPr>
                <w:noProof/>
                <w:webHidden/>
              </w:rPr>
              <w:fldChar w:fldCharType="begin"/>
            </w:r>
            <w:r w:rsidR="00122C90">
              <w:rPr>
                <w:noProof/>
                <w:webHidden/>
              </w:rPr>
              <w:instrText xml:space="preserve"> PAGEREF _Toc89339097 \h </w:instrText>
            </w:r>
            <w:r w:rsidR="00122C90">
              <w:rPr>
                <w:noProof/>
                <w:webHidden/>
              </w:rPr>
            </w:r>
            <w:r w:rsidR="00122C90">
              <w:rPr>
                <w:noProof/>
                <w:webHidden/>
              </w:rPr>
              <w:fldChar w:fldCharType="separate"/>
            </w:r>
            <w:r w:rsidR="00122C90">
              <w:rPr>
                <w:noProof/>
                <w:webHidden/>
              </w:rPr>
              <w:t>11</w:t>
            </w:r>
            <w:r w:rsidR="00122C90">
              <w:rPr>
                <w:noProof/>
                <w:webHidden/>
              </w:rPr>
              <w:fldChar w:fldCharType="end"/>
            </w:r>
          </w:hyperlink>
        </w:p>
        <w:p w14:paraId="2A641A61" w14:textId="1157B392" w:rsidR="00122C90" w:rsidRDefault="005137AB">
          <w:pPr>
            <w:pStyle w:val="TOC1"/>
            <w:rPr>
              <w:rFonts w:asciiTheme="minorHAnsi" w:eastAsiaTheme="minorEastAsia" w:hAnsiTheme="minorHAnsi" w:cstheme="minorBidi"/>
              <w:b w:val="0"/>
              <w:noProof/>
              <w:sz w:val="22"/>
              <w:lang w:eastAsia="en-AU"/>
            </w:rPr>
          </w:pPr>
          <w:hyperlink w:anchor="_Toc89339098" w:history="1">
            <w:r w:rsidR="00122C90" w:rsidRPr="00F04107">
              <w:rPr>
                <w:rStyle w:val="Hyperlink"/>
                <w:noProof/>
              </w:rPr>
              <w:t>II. Registration timeline</w:t>
            </w:r>
            <w:r w:rsidR="00122C90">
              <w:rPr>
                <w:noProof/>
                <w:webHidden/>
              </w:rPr>
              <w:tab/>
            </w:r>
            <w:r w:rsidR="00122C90">
              <w:rPr>
                <w:noProof/>
                <w:webHidden/>
              </w:rPr>
              <w:fldChar w:fldCharType="begin"/>
            </w:r>
            <w:r w:rsidR="00122C90">
              <w:rPr>
                <w:noProof/>
                <w:webHidden/>
              </w:rPr>
              <w:instrText xml:space="preserve"> PAGEREF _Toc89339098 \h </w:instrText>
            </w:r>
            <w:r w:rsidR="00122C90">
              <w:rPr>
                <w:noProof/>
                <w:webHidden/>
              </w:rPr>
            </w:r>
            <w:r w:rsidR="00122C90">
              <w:rPr>
                <w:noProof/>
                <w:webHidden/>
              </w:rPr>
              <w:fldChar w:fldCharType="separate"/>
            </w:r>
            <w:r w:rsidR="00122C90">
              <w:rPr>
                <w:noProof/>
                <w:webHidden/>
              </w:rPr>
              <w:t>11</w:t>
            </w:r>
            <w:r w:rsidR="00122C90">
              <w:rPr>
                <w:noProof/>
                <w:webHidden/>
              </w:rPr>
              <w:fldChar w:fldCharType="end"/>
            </w:r>
          </w:hyperlink>
        </w:p>
        <w:p w14:paraId="5D54CF88" w14:textId="07617F12" w:rsidR="00122C90" w:rsidRDefault="005137AB">
          <w:pPr>
            <w:pStyle w:val="TOC1"/>
            <w:rPr>
              <w:rFonts w:asciiTheme="minorHAnsi" w:eastAsiaTheme="minorEastAsia" w:hAnsiTheme="minorHAnsi" w:cstheme="minorBidi"/>
              <w:b w:val="0"/>
              <w:noProof/>
              <w:sz w:val="22"/>
              <w:lang w:eastAsia="en-AU"/>
            </w:rPr>
          </w:pPr>
          <w:hyperlink w:anchor="_Toc89339099" w:history="1">
            <w:r w:rsidR="00122C90" w:rsidRPr="00F04107">
              <w:rPr>
                <w:rStyle w:val="Hyperlink"/>
                <w:noProof/>
              </w:rPr>
              <w:t>III. Submission overview and risk/benefit assessment</w:t>
            </w:r>
            <w:r w:rsidR="00122C90">
              <w:rPr>
                <w:noProof/>
                <w:webHidden/>
              </w:rPr>
              <w:tab/>
            </w:r>
            <w:r w:rsidR="00122C90">
              <w:rPr>
                <w:noProof/>
                <w:webHidden/>
              </w:rPr>
              <w:fldChar w:fldCharType="begin"/>
            </w:r>
            <w:r w:rsidR="00122C90">
              <w:rPr>
                <w:noProof/>
                <w:webHidden/>
              </w:rPr>
              <w:instrText xml:space="preserve"> PAGEREF _Toc89339099 \h </w:instrText>
            </w:r>
            <w:r w:rsidR="00122C90">
              <w:rPr>
                <w:noProof/>
                <w:webHidden/>
              </w:rPr>
            </w:r>
            <w:r w:rsidR="00122C90">
              <w:rPr>
                <w:noProof/>
                <w:webHidden/>
              </w:rPr>
              <w:fldChar w:fldCharType="separate"/>
            </w:r>
            <w:r w:rsidR="00122C90">
              <w:rPr>
                <w:noProof/>
                <w:webHidden/>
              </w:rPr>
              <w:t>12</w:t>
            </w:r>
            <w:r w:rsidR="00122C90">
              <w:rPr>
                <w:noProof/>
                <w:webHidden/>
              </w:rPr>
              <w:fldChar w:fldCharType="end"/>
            </w:r>
          </w:hyperlink>
        </w:p>
        <w:p w14:paraId="19AA7B83" w14:textId="789104D8" w:rsidR="00122C90" w:rsidRDefault="005137AB">
          <w:pPr>
            <w:pStyle w:val="TOC2"/>
            <w:rPr>
              <w:rFonts w:asciiTheme="minorHAnsi" w:eastAsiaTheme="minorEastAsia" w:hAnsiTheme="minorHAnsi" w:cstheme="minorBidi"/>
              <w:b w:val="0"/>
              <w:noProof/>
              <w:sz w:val="22"/>
              <w:lang w:eastAsia="en-AU"/>
            </w:rPr>
          </w:pPr>
          <w:hyperlink w:anchor="_Toc89339100" w:history="1">
            <w:r w:rsidR="00122C90" w:rsidRPr="00F04107">
              <w:rPr>
                <w:rStyle w:val="Hyperlink"/>
                <w:noProof/>
              </w:rPr>
              <w:t>Contents of the clinical dossier</w:t>
            </w:r>
            <w:r w:rsidR="00122C90">
              <w:rPr>
                <w:noProof/>
                <w:webHidden/>
              </w:rPr>
              <w:tab/>
            </w:r>
            <w:r w:rsidR="00122C90">
              <w:rPr>
                <w:noProof/>
                <w:webHidden/>
              </w:rPr>
              <w:fldChar w:fldCharType="begin"/>
            </w:r>
            <w:r w:rsidR="00122C90">
              <w:rPr>
                <w:noProof/>
                <w:webHidden/>
              </w:rPr>
              <w:instrText xml:space="preserve"> PAGEREF _Toc89339100 \h </w:instrText>
            </w:r>
            <w:r w:rsidR="00122C90">
              <w:rPr>
                <w:noProof/>
                <w:webHidden/>
              </w:rPr>
            </w:r>
            <w:r w:rsidR="00122C90">
              <w:rPr>
                <w:noProof/>
                <w:webHidden/>
              </w:rPr>
              <w:fldChar w:fldCharType="separate"/>
            </w:r>
            <w:r w:rsidR="00122C90">
              <w:rPr>
                <w:noProof/>
                <w:webHidden/>
              </w:rPr>
              <w:t>12</w:t>
            </w:r>
            <w:r w:rsidR="00122C90">
              <w:rPr>
                <w:noProof/>
                <w:webHidden/>
              </w:rPr>
              <w:fldChar w:fldCharType="end"/>
            </w:r>
          </w:hyperlink>
        </w:p>
        <w:p w14:paraId="3C5101AB" w14:textId="373BB4D1" w:rsidR="00122C90" w:rsidRDefault="005137AB">
          <w:pPr>
            <w:pStyle w:val="TOC2"/>
            <w:rPr>
              <w:rFonts w:asciiTheme="minorHAnsi" w:eastAsiaTheme="minorEastAsia" w:hAnsiTheme="minorHAnsi" w:cstheme="minorBidi"/>
              <w:b w:val="0"/>
              <w:noProof/>
              <w:sz w:val="22"/>
              <w:lang w:eastAsia="en-AU"/>
            </w:rPr>
          </w:pPr>
          <w:hyperlink w:anchor="_Toc89339101" w:history="1">
            <w:r w:rsidR="00122C90" w:rsidRPr="00F04107">
              <w:rPr>
                <w:rStyle w:val="Hyperlink"/>
                <w:noProof/>
              </w:rPr>
              <w:t>Quality</w:t>
            </w:r>
            <w:r w:rsidR="00122C90">
              <w:rPr>
                <w:noProof/>
                <w:webHidden/>
              </w:rPr>
              <w:tab/>
            </w:r>
            <w:r w:rsidR="00122C90">
              <w:rPr>
                <w:noProof/>
                <w:webHidden/>
              </w:rPr>
              <w:fldChar w:fldCharType="begin"/>
            </w:r>
            <w:r w:rsidR="00122C90">
              <w:rPr>
                <w:noProof/>
                <w:webHidden/>
              </w:rPr>
              <w:instrText xml:space="preserve"> PAGEREF _Toc89339101 \h </w:instrText>
            </w:r>
            <w:r w:rsidR="00122C90">
              <w:rPr>
                <w:noProof/>
                <w:webHidden/>
              </w:rPr>
            </w:r>
            <w:r w:rsidR="00122C90">
              <w:rPr>
                <w:noProof/>
                <w:webHidden/>
              </w:rPr>
              <w:fldChar w:fldCharType="separate"/>
            </w:r>
            <w:r w:rsidR="00122C90">
              <w:rPr>
                <w:noProof/>
                <w:webHidden/>
              </w:rPr>
              <w:t>13</w:t>
            </w:r>
            <w:r w:rsidR="00122C90">
              <w:rPr>
                <w:noProof/>
                <w:webHidden/>
              </w:rPr>
              <w:fldChar w:fldCharType="end"/>
            </w:r>
          </w:hyperlink>
        </w:p>
        <w:p w14:paraId="0AB9D5FD" w14:textId="11049E67" w:rsidR="00122C90" w:rsidRDefault="005137AB">
          <w:pPr>
            <w:pStyle w:val="TOC2"/>
            <w:rPr>
              <w:rFonts w:asciiTheme="minorHAnsi" w:eastAsiaTheme="minorEastAsia" w:hAnsiTheme="minorHAnsi" w:cstheme="minorBidi"/>
              <w:b w:val="0"/>
              <w:noProof/>
              <w:sz w:val="22"/>
              <w:lang w:eastAsia="en-AU"/>
            </w:rPr>
          </w:pPr>
          <w:hyperlink w:anchor="_Toc89339102" w:history="1">
            <w:r w:rsidR="00122C90" w:rsidRPr="00F04107">
              <w:rPr>
                <w:rStyle w:val="Hyperlink"/>
                <w:noProof/>
              </w:rPr>
              <w:t>Nonclinical</w:t>
            </w:r>
            <w:r w:rsidR="00122C90">
              <w:rPr>
                <w:noProof/>
                <w:webHidden/>
              </w:rPr>
              <w:tab/>
            </w:r>
            <w:r w:rsidR="00122C90">
              <w:rPr>
                <w:noProof/>
                <w:webHidden/>
              </w:rPr>
              <w:fldChar w:fldCharType="begin"/>
            </w:r>
            <w:r w:rsidR="00122C90">
              <w:rPr>
                <w:noProof/>
                <w:webHidden/>
              </w:rPr>
              <w:instrText xml:space="preserve"> PAGEREF _Toc89339102 \h </w:instrText>
            </w:r>
            <w:r w:rsidR="00122C90">
              <w:rPr>
                <w:noProof/>
                <w:webHidden/>
              </w:rPr>
            </w:r>
            <w:r w:rsidR="00122C90">
              <w:rPr>
                <w:noProof/>
                <w:webHidden/>
              </w:rPr>
              <w:fldChar w:fldCharType="separate"/>
            </w:r>
            <w:r w:rsidR="00122C90">
              <w:rPr>
                <w:noProof/>
                <w:webHidden/>
              </w:rPr>
              <w:t>13</w:t>
            </w:r>
            <w:r w:rsidR="00122C90">
              <w:rPr>
                <w:noProof/>
                <w:webHidden/>
              </w:rPr>
              <w:fldChar w:fldCharType="end"/>
            </w:r>
          </w:hyperlink>
        </w:p>
        <w:p w14:paraId="16530EB9" w14:textId="69C6D36F" w:rsidR="00122C90" w:rsidRDefault="005137AB">
          <w:pPr>
            <w:pStyle w:val="TOC2"/>
            <w:rPr>
              <w:rFonts w:asciiTheme="minorHAnsi" w:eastAsiaTheme="minorEastAsia" w:hAnsiTheme="minorHAnsi" w:cstheme="minorBidi"/>
              <w:b w:val="0"/>
              <w:noProof/>
              <w:sz w:val="22"/>
              <w:lang w:eastAsia="en-AU"/>
            </w:rPr>
          </w:pPr>
          <w:hyperlink w:anchor="_Toc89339103" w:history="1">
            <w:r w:rsidR="00122C90" w:rsidRPr="00F04107">
              <w:rPr>
                <w:rStyle w:val="Hyperlink"/>
                <w:noProof/>
              </w:rPr>
              <w:t>Clinical</w:t>
            </w:r>
            <w:r w:rsidR="00122C90">
              <w:rPr>
                <w:noProof/>
                <w:webHidden/>
              </w:rPr>
              <w:tab/>
            </w:r>
            <w:r w:rsidR="00122C90">
              <w:rPr>
                <w:noProof/>
                <w:webHidden/>
              </w:rPr>
              <w:fldChar w:fldCharType="begin"/>
            </w:r>
            <w:r w:rsidR="00122C90">
              <w:rPr>
                <w:noProof/>
                <w:webHidden/>
              </w:rPr>
              <w:instrText xml:space="preserve"> PAGEREF _Toc89339103 \h </w:instrText>
            </w:r>
            <w:r w:rsidR="00122C90">
              <w:rPr>
                <w:noProof/>
                <w:webHidden/>
              </w:rPr>
            </w:r>
            <w:r w:rsidR="00122C90">
              <w:rPr>
                <w:noProof/>
                <w:webHidden/>
              </w:rPr>
              <w:fldChar w:fldCharType="separate"/>
            </w:r>
            <w:r w:rsidR="00122C90">
              <w:rPr>
                <w:noProof/>
                <w:webHidden/>
              </w:rPr>
              <w:t>13</w:t>
            </w:r>
            <w:r w:rsidR="00122C90">
              <w:rPr>
                <w:noProof/>
                <w:webHidden/>
              </w:rPr>
              <w:fldChar w:fldCharType="end"/>
            </w:r>
          </w:hyperlink>
        </w:p>
        <w:p w14:paraId="0B689172" w14:textId="62017193" w:rsidR="00122C90" w:rsidRDefault="005137AB">
          <w:pPr>
            <w:pStyle w:val="TOC2"/>
            <w:rPr>
              <w:rFonts w:asciiTheme="minorHAnsi" w:eastAsiaTheme="minorEastAsia" w:hAnsiTheme="minorHAnsi" w:cstheme="minorBidi"/>
              <w:b w:val="0"/>
              <w:noProof/>
              <w:sz w:val="22"/>
              <w:lang w:eastAsia="en-AU"/>
            </w:rPr>
          </w:pPr>
          <w:hyperlink w:anchor="_Toc89339104" w:history="1">
            <w:r w:rsidR="00122C90" w:rsidRPr="00F04107">
              <w:rPr>
                <w:rStyle w:val="Hyperlink"/>
                <w:noProof/>
                <w:lang w:eastAsia="en-AU"/>
              </w:rPr>
              <w:t>Risk management plan</w:t>
            </w:r>
            <w:r w:rsidR="00122C90">
              <w:rPr>
                <w:noProof/>
                <w:webHidden/>
              </w:rPr>
              <w:tab/>
            </w:r>
            <w:r w:rsidR="00122C90">
              <w:rPr>
                <w:noProof/>
                <w:webHidden/>
              </w:rPr>
              <w:fldChar w:fldCharType="begin"/>
            </w:r>
            <w:r w:rsidR="00122C90">
              <w:rPr>
                <w:noProof/>
                <w:webHidden/>
              </w:rPr>
              <w:instrText xml:space="preserve"> PAGEREF _Toc89339104 \h </w:instrText>
            </w:r>
            <w:r w:rsidR="00122C90">
              <w:rPr>
                <w:noProof/>
                <w:webHidden/>
              </w:rPr>
            </w:r>
            <w:r w:rsidR="00122C90">
              <w:rPr>
                <w:noProof/>
                <w:webHidden/>
              </w:rPr>
              <w:fldChar w:fldCharType="separate"/>
            </w:r>
            <w:r w:rsidR="00122C90">
              <w:rPr>
                <w:noProof/>
                <w:webHidden/>
              </w:rPr>
              <w:t>40</w:t>
            </w:r>
            <w:r w:rsidR="00122C90">
              <w:rPr>
                <w:noProof/>
                <w:webHidden/>
              </w:rPr>
              <w:fldChar w:fldCharType="end"/>
            </w:r>
          </w:hyperlink>
        </w:p>
        <w:p w14:paraId="45A08BC5" w14:textId="5C0F74F7" w:rsidR="00122C90" w:rsidRDefault="005137AB">
          <w:pPr>
            <w:pStyle w:val="TOC2"/>
            <w:rPr>
              <w:rFonts w:asciiTheme="minorHAnsi" w:eastAsiaTheme="minorEastAsia" w:hAnsiTheme="minorHAnsi" w:cstheme="minorBidi"/>
              <w:b w:val="0"/>
              <w:noProof/>
              <w:sz w:val="22"/>
              <w:lang w:eastAsia="en-AU"/>
            </w:rPr>
          </w:pPr>
          <w:hyperlink w:anchor="_Toc89339105" w:history="1">
            <w:r w:rsidR="00122C90" w:rsidRPr="00F04107">
              <w:rPr>
                <w:rStyle w:val="Hyperlink"/>
                <w:noProof/>
              </w:rPr>
              <w:t>Risk-benefit analysis</w:t>
            </w:r>
            <w:r w:rsidR="00122C90">
              <w:rPr>
                <w:noProof/>
                <w:webHidden/>
              </w:rPr>
              <w:tab/>
            </w:r>
            <w:r w:rsidR="00122C90">
              <w:rPr>
                <w:noProof/>
                <w:webHidden/>
              </w:rPr>
              <w:fldChar w:fldCharType="begin"/>
            </w:r>
            <w:r w:rsidR="00122C90">
              <w:rPr>
                <w:noProof/>
                <w:webHidden/>
              </w:rPr>
              <w:instrText xml:space="preserve"> PAGEREF _Toc89339105 \h </w:instrText>
            </w:r>
            <w:r w:rsidR="00122C90">
              <w:rPr>
                <w:noProof/>
                <w:webHidden/>
              </w:rPr>
            </w:r>
            <w:r w:rsidR="00122C90">
              <w:rPr>
                <w:noProof/>
                <w:webHidden/>
              </w:rPr>
              <w:fldChar w:fldCharType="separate"/>
            </w:r>
            <w:r w:rsidR="00122C90">
              <w:rPr>
                <w:noProof/>
                <w:webHidden/>
              </w:rPr>
              <w:t>40</w:t>
            </w:r>
            <w:r w:rsidR="00122C90">
              <w:rPr>
                <w:noProof/>
                <w:webHidden/>
              </w:rPr>
              <w:fldChar w:fldCharType="end"/>
            </w:r>
          </w:hyperlink>
        </w:p>
        <w:p w14:paraId="3B1ED7BD" w14:textId="481B92F3" w:rsidR="00122C90" w:rsidRDefault="005137AB">
          <w:pPr>
            <w:pStyle w:val="TOC2"/>
            <w:rPr>
              <w:rFonts w:asciiTheme="minorHAnsi" w:eastAsiaTheme="minorEastAsia" w:hAnsiTheme="minorHAnsi" w:cstheme="minorBidi"/>
              <w:b w:val="0"/>
              <w:noProof/>
              <w:sz w:val="22"/>
              <w:lang w:eastAsia="en-AU"/>
            </w:rPr>
          </w:pPr>
          <w:hyperlink w:anchor="_Toc89339106" w:history="1">
            <w:r w:rsidR="00122C90" w:rsidRPr="00F04107">
              <w:rPr>
                <w:rStyle w:val="Hyperlink"/>
                <w:noProof/>
              </w:rPr>
              <w:t>Outcome</w:t>
            </w:r>
            <w:r w:rsidR="00122C90">
              <w:rPr>
                <w:noProof/>
                <w:webHidden/>
              </w:rPr>
              <w:tab/>
            </w:r>
            <w:r w:rsidR="00122C90">
              <w:rPr>
                <w:noProof/>
                <w:webHidden/>
              </w:rPr>
              <w:fldChar w:fldCharType="begin"/>
            </w:r>
            <w:r w:rsidR="00122C90">
              <w:rPr>
                <w:noProof/>
                <w:webHidden/>
              </w:rPr>
              <w:instrText xml:space="preserve"> PAGEREF _Toc89339106 \h </w:instrText>
            </w:r>
            <w:r w:rsidR="00122C90">
              <w:rPr>
                <w:noProof/>
                <w:webHidden/>
              </w:rPr>
            </w:r>
            <w:r w:rsidR="00122C90">
              <w:rPr>
                <w:noProof/>
                <w:webHidden/>
              </w:rPr>
              <w:fldChar w:fldCharType="separate"/>
            </w:r>
            <w:r w:rsidR="00122C90">
              <w:rPr>
                <w:noProof/>
                <w:webHidden/>
              </w:rPr>
              <w:t>53</w:t>
            </w:r>
            <w:r w:rsidR="00122C90">
              <w:rPr>
                <w:noProof/>
                <w:webHidden/>
              </w:rPr>
              <w:fldChar w:fldCharType="end"/>
            </w:r>
          </w:hyperlink>
        </w:p>
        <w:p w14:paraId="294738F7" w14:textId="135E0709" w:rsidR="00122C90" w:rsidRDefault="005137AB">
          <w:pPr>
            <w:pStyle w:val="TOC1"/>
            <w:rPr>
              <w:rFonts w:asciiTheme="minorHAnsi" w:eastAsiaTheme="minorEastAsia" w:hAnsiTheme="minorHAnsi" w:cstheme="minorBidi"/>
              <w:b w:val="0"/>
              <w:noProof/>
              <w:sz w:val="22"/>
              <w:lang w:eastAsia="en-AU"/>
            </w:rPr>
          </w:pPr>
          <w:hyperlink w:anchor="_Toc89339107" w:history="1">
            <w:r w:rsidR="00122C90" w:rsidRPr="00F04107">
              <w:rPr>
                <w:rStyle w:val="Hyperlink"/>
                <w:noProof/>
              </w:rPr>
              <w:t>Attachment 1. Product Information</w:t>
            </w:r>
            <w:r w:rsidR="00122C90">
              <w:rPr>
                <w:noProof/>
                <w:webHidden/>
              </w:rPr>
              <w:tab/>
            </w:r>
            <w:r w:rsidR="00122C90">
              <w:rPr>
                <w:noProof/>
                <w:webHidden/>
              </w:rPr>
              <w:fldChar w:fldCharType="begin"/>
            </w:r>
            <w:r w:rsidR="00122C90">
              <w:rPr>
                <w:noProof/>
                <w:webHidden/>
              </w:rPr>
              <w:instrText xml:space="preserve"> PAGEREF _Toc89339107 \h </w:instrText>
            </w:r>
            <w:r w:rsidR="00122C90">
              <w:rPr>
                <w:noProof/>
                <w:webHidden/>
              </w:rPr>
            </w:r>
            <w:r w:rsidR="00122C90">
              <w:rPr>
                <w:noProof/>
                <w:webHidden/>
              </w:rPr>
              <w:fldChar w:fldCharType="separate"/>
            </w:r>
            <w:r w:rsidR="00122C90">
              <w:rPr>
                <w:noProof/>
                <w:webHidden/>
              </w:rPr>
              <w:t>54</w:t>
            </w:r>
            <w:r w:rsidR="00122C90">
              <w:rPr>
                <w:noProof/>
                <w:webHidden/>
              </w:rPr>
              <w:fldChar w:fldCharType="end"/>
            </w:r>
          </w:hyperlink>
        </w:p>
        <w:p w14:paraId="60B1035E" w14:textId="2C612443" w:rsidR="003A7F6C" w:rsidRPr="00B811C6" w:rsidRDefault="00C525A2" w:rsidP="00B811C6">
          <w:pPr>
            <w:pStyle w:val="TOC2"/>
          </w:pPr>
          <w:r>
            <w:fldChar w:fldCharType="end"/>
          </w:r>
        </w:p>
      </w:sdtContent>
    </w:sdt>
    <w:bookmarkStart w:id="2" w:name="_Toc314842482" w:displacedByCustomXml="prev"/>
    <w:p w14:paraId="01DB1108" w14:textId="77777777" w:rsidR="00FD119B" w:rsidRDefault="00FD119B">
      <w:pPr>
        <w:spacing w:before="0" w:after="200" w:line="0" w:lineRule="auto"/>
      </w:pPr>
      <w:r>
        <w:br w:type="page"/>
      </w:r>
    </w:p>
    <w:p w14:paraId="4C291840" w14:textId="77777777" w:rsidR="00C52E24" w:rsidRPr="00C52E24" w:rsidRDefault="00324E45" w:rsidP="003132CB">
      <w:pPr>
        <w:pStyle w:val="Heading2"/>
      </w:pPr>
      <w:bookmarkStart w:id="3" w:name="_Toc351716269"/>
      <w:bookmarkStart w:id="4" w:name="_Toc351718881"/>
      <w:bookmarkStart w:id="5" w:name="_Toc355338616"/>
      <w:bookmarkStart w:id="6" w:name="_Toc356306144"/>
      <w:bookmarkStart w:id="7" w:name="_Toc89339092"/>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830"/>
      </w:tblGrid>
      <w:tr w:rsidR="00E87A72" w:rsidRPr="00E87A72" w14:paraId="55B801FD" w14:textId="77777777" w:rsidTr="00CF5DAD">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5F943FDE" w14:textId="77777777" w:rsidR="00E87A72" w:rsidRPr="00E87A72" w:rsidRDefault="00E87A72" w:rsidP="00E87A72">
            <w:r w:rsidRPr="00E87A72">
              <w:t>Abbreviation</w:t>
            </w:r>
          </w:p>
        </w:tc>
        <w:tc>
          <w:tcPr>
            <w:tcW w:w="6911" w:type="dxa"/>
            <w:tcBorders>
              <w:top w:val="single" w:sz="4" w:space="0" w:color="auto"/>
              <w:left w:val="single" w:sz="4" w:space="0" w:color="auto"/>
              <w:bottom w:val="single" w:sz="4" w:space="0" w:color="auto"/>
              <w:right w:val="single" w:sz="4" w:space="0" w:color="auto"/>
            </w:tcBorders>
          </w:tcPr>
          <w:p w14:paraId="556318B7" w14:textId="77777777" w:rsidR="00E87A72" w:rsidRPr="00E87A72" w:rsidRDefault="00E87A72" w:rsidP="00E87A72">
            <w:r w:rsidRPr="00E87A72">
              <w:t>Meaning</w:t>
            </w:r>
          </w:p>
        </w:tc>
      </w:tr>
      <w:tr w:rsidR="00E87A72" w:rsidRPr="00E87A72" w14:paraId="58A69D23" w14:textId="77777777" w:rsidTr="00CF5DAD">
        <w:tc>
          <w:tcPr>
            <w:tcW w:w="1809" w:type="dxa"/>
            <w:tcBorders>
              <w:top w:val="single" w:sz="4" w:space="0" w:color="auto"/>
            </w:tcBorders>
          </w:tcPr>
          <w:p w14:paraId="0F313B21" w14:textId="77777777" w:rsidR="00E87A72" w:rsidRPr="00E87A72" w:rsidRDefault="00E87A72" w:rsidP="00E87A72">
            <w:r w:rsidRPr="00E87A72">
              <w:t>ACM</w:t>
            </w:r>
          </w:p>
        </w:tc>
        <w:tc>
          <w:tcPr>
            <w:tcW w:w="6911" w:type="dxa"/>
            <w:tcBorders>
              <w:top w:val="single" w:sz="4" w:space="0" w:color="auto"/>
            </w:tcBorders>
          </w:tcPr>
          <w:p w14:paraId="6EB609E6" w14:textId="77777777" w:rsidR="00E87A72" w:rsidRPr="00E87A72" w:rsidRDefault="00E87A72" w:rsidP="00E87A72">
            <w:r w:rsidRPr="00E87A72">
              <w:t>Advisory Committee on Medicines</w:t>
            </w:r>
          </w:p>
        </w:tc>
      </w:tr>
      <w:tr w:rsidR="00E87A72" w:rsidRPr="00E87A72" w14:paraId="7F46AFB5" w14:textId="77777777" w:rsidTr="00FD119B">
        <w:tc>
          <w:tcPr>
            <w:tcW w:w="1809" w:type="dxa"/>
          </w:tcPr>
          <w:p w14:paraId="0AE726CD" w14:textId="77777777" w:rsidR="00E87A72" w:rsidRPr="00E87A72" w:rsidRDefault="00E87A72" w:rsidP="00E87A72">
            <w:r w:rsidRPr="00E87A72">
              <w:t>ANOVA</w:t>
            </w:r>
          </w:p>
        </w:tc>
        <w:tc>
          <w:tcPr>
            <w:tcW w:w="6911" w:type="dxa"/>
          </w:tcPr>
          <w:p w14:paraId="60C84D34" w14:textId="77777777" w:rsidR="00E87A72" w:rsidRPr="00E87A72" w:rsidRDefault="00E87A72" w:rsidP="00E87A72">
            <w:r w:rsidRPr="00E87A72">
              <w:t>Analysis of variance</w:t>
            </w:r>
          </w:p>
        </w:tc>
      </w:tr>
      <w:tr w:rsidR="00E87A72" w:rsidRPr="00E87A72" w14:paraId="5A7A58A8" w14:textId="77777777" w:rsidTr="00FD119B">
        <w:tc>
          <w:tcPr>
            <w:tcW w:w="1809" w:type="dxa"/>
          </w:tcPr>
          <w:p w14:paraId="55CFC191" w14:textId="77777777" w:rsidR="00E87A72" w:rsidRPr="00E87A72" w:rsidRDefault="00E87A72" w:rsidP="00E87A72">
            <w:r w:rsidRPr="00E87A72">
              <w:t>ARTG</w:t>
            </w:r>
          </w:p>
        </w:tc>
        <w:tc>
          <w:tcPr>
            <w:tcW w:w="6911" w:type="dxa"/>
          </w:tcPr>
          <w:p w14:paraId="1E41B99C" w14:textId="77777777" w:rsidR="00E87A72" w:rsidRPr="00E87A72" w:rsidRDefault="00E87A72" w:rsidP="00E87A72">
            <w:r w:rsidRPr="00E87A72">
              <w:t>Australian Register of Therapeutic Goods</w:t>
            </w:r>
          </w:p>
        </w:tc>
      </w:tr>
      <w:tr w:rsidR="00E87A72" w:rsidRPr="00E87A72" w14:paraId="60BD3350" w14:textId="77777777" w:rsidTr="00FD119B">
        <w:tc>
          <w:tcPr>
            <w:tcW w:w="1809" w:type="dxa"/>
          </w:tcPr>
          <w:p w14:paraId="22A80DB5" w14:textId="77777777" w:rsidR="00E87A72" w:rsidRPr="00E87A72" w:rsidRDefault="00E87A72" w:rsidP="00E87A72">
            <w:r w:rsidRPr="00E87A72">
              <w:t>CI</w:t>
            </w:r>
          </w:p>
        </w:tc>
        <w:tc>
          <w:tcPr>
            <w:tcW w:w="6911" w:type="dxa"/>
          </w:tcPr>
          <w:p w14:paraId="2422A914" w14:textId="77777777" w:rsidR="00E87A72" w:rsidRPr="00E87A72" w:rsidRDefault="00E87A72" w:rsidP="00E87A72">
            <w:r w:rsidRPr="00E87A72">
              <w:t>Confidence interval</w:t>
            </w:r>
          </w:p>
        </w:tc>
      </w:tr>
      <w:tr w:rsidR="00E87A72" w:rsidRPr="00E87A72" w14:paraId="2BB86CEE" w14:textId="77777777" w:rsidTr="00FD119B">
        <w:tc>
          <w:tcPr>
            <w:tcW w:w="1809" w:type="dxa"/>
          </w:tcPr>
          <w:p w14:paraId="5566761A" w14:textId="77777777" w:rsidR="00E87A72" w:rsidRPr="00E87A72" w:rsidRDefault="00E87A72" w:rsidP="00E87A72">
            <w:r w:rsidRPr="00E87A72">
              <w:t>CIDP</w:t>
            </w:r>
          </w:p>
        </w:tc>
        <w:tc>
          <w:tcPr>
            <w:tcW w:w="6911" w:type="dxa"/>
          </w:tcPr>
          <w:p w14:paraId="56CDAED1" w14:textId="77777777" w:rsidR="00E87A72" w:rsidRPr="00E87A72" w:rsidRDefault="00E87A72" w:rsidP="00E87A72">
            <w:r w:rsidRPr="00E87A72">
              <w:t>Chronic inflammatory demyelinating polyradiculoneuropathy</w:t>
            </w:r>
          </w:p>
        </w:tc>
      </w:tr>
      <w:tr w:rsidR="007C0E39" w:rsidRPr="00E87A72" w14:paraId="10CAA3F1" w14:textId="77777777" w:rsidTr="00FD119B">
        <w:tc>
          <w:tcPr>
            <w:tcW w:w="1809" w:type="dxa"/>
          </w:tcPr>
          <w:p w14:paraId="6D7B049A" w14:textId="06D94C49" w:rsidR="007C0E39" w:rsidRPr="00E87A72" w:rsidRDefault="007C0E39" w:rsidP="00E87A72">
            <w:r>
              <w:t>EMA</w:t>
            </w:r>
          </w:p>
        </w:tc>
        <w:tc>
          <w:tcPr>
            <w:tcW w:w="6911" w:type="dxa"/>
          </w:tcPr>
          <w:p w14:paraId="236C677B" w14:textId="7FEE24CA" w:rsidR="007C0E39" w:rsidRPr="00E87A72" w:rsidRDefault="007C0E39" w:rsidP="00E87A72">
            <w:r>
              <w:t>European Medicines Agency (European Union)</w:t>
            </w:r>
          </w:p>
        </w:tc>
      </w:tr>
      <w:tr w:rsidR="00E87A72" w:rsidRPr="00E87A72" w14:paraId="6D1EF2A3" w14:textId="77777777" w:rsidTr="00FD119B">
        <w:tc>
          <w:tcPr>
            <w:tcW w:w="1809" w:type="dxa"/>
          </w:tcPr>
          <w:p w14:paraId="5D37BA9B" w14:textId="77777777" w:rsidR="00E87A72" w:rsidRPr="00E87A72" w:rsidRDefault="00E87A72" w:rsidP="00E87A72">
            <w:r w:rsidRPr="00E87A72">
              <w:t>EU</w:t>
            </w:r>
          </w:p>
        </w:tc>
        <w:tc>
          <w:tcPr>
            <w:tcW w:w="6911" w:type="dxa"/>
          </w:tcPr>
          <w:p w14:paraId="3DFEA579" w14:textId="77777777" w:rsidR="00E87A72" w:rsidRPr="00E87A72" w:rsidRDefault="00E87A72" w:rsidP="00E87A72">
            <w:r w:rsidRPr="00E87A72">
              <w:t>European Union</w:t>
            </w:r>
          </w:p>
        </w:tc>
      </w:tr>
      <w:tr w:rsidR="00E87A72" w:rsidRPr="00E87A72" w14:paraId="5E2BAB66" w14:textId="77777777" w:rsidTr="00FD119B">
        <w:tc>
          <w:tcPr>
            <w:tcW w:w="1809" w:type="dxa"/>
          </w:tcPr>
          <w:p w14:paraId="574F55B1" w14:textId="77777777" w:rsidR="00E87A72" w:rsidRPr="00E87A72" w:rsidRDefault="00E87A72" w:rsidP="00E87A72">
            <w:r w:rsidRPr="00E87A72">
              <w:t>FAS</w:t>
            </w:r>
          </w:p>
        </w:tc>
        <w:tc>
          <w:tcPr>
            <w:tcW w:w="6911" w:type="dxa"/>
          </w:tcPr>
          <w:p w14:paraId="19975885" w14:textId="77777777" w:rsidR="00E87A72" w:rsidRPr="00E87A72" w:rsidRDefault="00E87A72" w:rsidP="00E87A72">
            <w:r w:rsidRPr="00E87A72">
              <w:t>Full analysis set</w:t>
            </w:r>
          </w:p>
        </w:tc>
      </w:tr>
      <w:tr w:rsidR="00E87A72" w:rsidRPr="00E87A72" w14:paraId="0A8C7438" w14:textId="77777777" w:rsidTr="00FD119B">
        <w:tc>
          <w:tcPr>
            <w:tcW w:w="1809" w:type="dxa"/>
          </w:tcPr>
          <w:p w14:paraId="4C5B5407" w14:textId="77777777" w:rsidR="00E87A72" w:rsidRPr="00E87A72" w:rsidRDefault="00E87A72" w:rsidP="00E87A72">
            <w:r w:rsidRPr="00E87A72">
              <w:t>GBS</w:t>
            </w:r>
          </w:p>
        </w:tc>
        <w:tc>
          <w:tcPr>
            <w:tcW w:w="6911" w:type="dxa"/>
          </w:tcPr>
          <w:p w14:paraId="66B36090" w14:textId="77777777" w:rsidR="00E87A72" w:rsidRPr="00E87A72" w:rsidRDefault="00E87A72" w:rsidP="00E87A72">
            <w:r w:rsidRPr="00E87A72">
              <w:t>Guillain Barré syndrome</w:t>
            </w:r>
          </w:p>
        </w:tc>
      </w:tr>
      <w:tr w:rsidR="00E87A72" w:rsidRPr="00E87A72" w14:paraId="718D615D" w14:textId="77777777" w:rsidTr="00FD119B">
        <w:tc>
          <w:tcPr>
            <w:tcW w:w="1809" w:type="dxa"/>
          </w:tcPr>
          <w:p w14:paraId="49533E24" w14:textId="77777777" w:rsidR="00E87A72" w:rsidRPr="00E87A72" w:rsidRDefault="00E87A72" w:rsidP="00E87A72">
            <w:r w:rsidRPr="00E87A72">
              <w:t>GCP</w:t>
            </w:r>
          </w:p>
        </w:tc>
        <w:tc>
          <w:tcPr>
            <w:tcW w:w="6911" w:type="dxa"/>
          </w:tcPr>
          <w:p w14:paraId="1983D4F4" w14:textId="77777777" w:rsidR="00E87A72" w:rsidRPr="00E87A72" w:rsidRDefault="00E87A72" w:rsidP="00E87A72">
            <w:r w:rsidRPr="00E87A72">
              <w:t>Good Clinical Practice</w:t>
            </w:r>
          </w:p>
        </w:tc>
      </w:tr>
      <w:tr w:rsidR="00E87A72" w:rsidRPr="00E87A72" w14:paraId="1E798864" w14:textId="77777777" w:rsidTr="00FD119B">
        <w:tc>
          <w:tcPr>
            <w:tcW w:w="1809" w:type="dxa"/>
          </w:tcPr>
          <w:p w14:paraId="57DD2CFD" w14:textId="77777777" w:rsidR="00E87A72" w:rsidRPr="00E87A72" w:rsidRDefault="00E87A72" w:rsidP="00E87A72">
            <w:r w:rsidRPr="00E87A72">
              <w:t>GS</w:t>
            </w:r>
          </w:p>
        </w:tc>
        <w:tc>
          <w:tcPr>
            <w:tcW w:w="6911" w:type="dxa"/>
          </w:tcPr>
          <w:p w14:paraId="5B13B7A8" w14:textId="77777777" w:rsidR="00E87A72" w:rsidRPr="00E87A72" w:rsidRDefault="00E87A72" w:rsidP="00E87A72">
            <w:r w:rsidRPr="00E87A72">
              <w:t>Grip strength</w:t>
            </w:r>
          </w:p>
        </w:tc>
      </w:tr>
      <w:tr w:rsidR="00E87A72" w:rsidRPr="00E87A72" w14:paraId="79BF3E98" w14:textId="77777777" w:rsidTr="00FD119B">
        <w:tc>
          <w:tcPr>
            <w:tcW w:w="1809" w:type="dxa"/>
          </w:tcPr>
          <w:p w14:paraId="37722E6F" w14:textId="77777777" w:rsidR="00E87A72" w:rsidRPr="00E87A72" w:rsidRDefault="00E87A72" w:rsidP="00E87A72">
            <w:r w:rsidRPr="00E87A72">
              <w:t>IgG</w:t>
            </w:r>
          </w:p>
        </w:tc>
        <w:tc>
          <w:tcPr>
            <w:tcW w:w="6911" w:type="dxa"/>
          </w:tcPr>
          <w:p w14:paraId="326C2474" w14:textId="77777777" w:rsidR="00E87A72" w:rsidRPr="00E87A72" w:rsidRDefault="00E87A72" w:rsidP="00E87A72">
            <w:r w:rsidRPr="00E87A72">
              <w:t>Immunoglobulin G</w:t>
            </w:r>
          </w:p>
        </w:tc>
      </w:tr>
      <w:tr w:rsidR="00E87A72" w:rsidRPr="00E87A72" w14:paraId="6023F433" w14:textId="77777777" w:rsidTr="00FD119B">
        <w:tc>
          <w:tcPr>
            <w:tcW w:w="1809" w:type="dxa"/>
          </w:tcPr>
          <w:p w14:paraId="38D13FDC" w14:textId="77777777" w:rsidR="00E87A72" w:rsidRPr="00E87A72" w:rsidRDefault="00E87A72" w:rsidP="00E87A72">
            <w:r w:rsidRPr="00E87A72">
              <w:t>INCAT</w:t>
            </w:r>
          </w:p>
        </w:tc>
        <w:tc>
          <w:tcPr>
            <w:tcW w:w="6911" w:type="dxa"/>
          </w:tcPr>
          <w:p w14:paraId="4E8BB177" w14:textId="20B5C394" w:rsidR="00E87A72" w:rsidRPr="00E87A72" w:rsidRDefault="00E87A72" w:rsidP="001279A9">
            <w:r w:rsidRPr="00E87A72">
              <w:t>Improvement in inflammatory neuropathy case and treatment (</w:t>
            </w:r>
            <w:r w:rsidR="001279A9">
              <w:t>Disability score)</w:t>
            </w:r>
          </w:p>
        </w:tc>
      </w:tr>
      <w:tr w:rsidR="00E87A72" w:rsidRPr="00E87A72" w14:paraId="145852AA" w14:textId="77777777" w:rsidTr="00FD119B">
        <w:tc>
          <w:tcPr>
            <w:tcW w:w="1809" w:type="dxa"/>
          </w:tcPr>
          <w:p w14:paraId="5E5C3DCA" w14:textId="77777777" w:rsidR="00E87A72" w:rsidRPr="00E87A72" w:rsidRDefault="00E87A72" w:rsidP="00E87A72">
            <w:r w:rsidRPr="00E87A72">
              <w:t>ITP</w:t>
            </w:r>
          </w:p>
        </w:tc>
        <w:tc>
          <w:tcPr>
            <w:tcW w:w="6911" w:type="dxa"/>
          </w:tcPr>
          <w:p w14:paraId="13BB527D" w14:textId="77777777" w:rsidR="00E87A72" w:rsidRPr="00E87A72" w:rsidRDefault="00E87A72" w:rsidP="00E87A72">
            <w:r w:rsidRPr="00E87A72">
              <w:t>Idiopathic thrombocytopenia</w:t>
            </w:r>
          </w:p>
        </w:tc>
      </w:tr>
      <w:tr w:rsidR="00E87A72" w:rsidRPr="00E87A72" w14:paraId="1DFC75CA" w14:textId="77777777" w:rsidTr="00FD119B">
        <w:tc>
          <w:tcPr>
            <w:tcW w:w="1809" w:type="dxa"/>
          </w:tcPr>
          <w:p w14:paraId="1B6801A7" w14:textId="77777777" w:rsidR="00E87A72" w:rsidRPr="00E87A72" w:rsidRDefault="00E87A72" w:rsidP="00E87A72">
            <w:r w:rsidRPr="00E87A72">
              <w:t>ITT</w:t>
            </w:r>
          </w:p>
        </w:tc>
        <w:tc>
          <w:tcPr>
            <w:tcW w:w="6911" w:type="dxa"/>
          </w:tcPr>
          <w:p w14:paraId="0014187F" w14:textId="77777777" w:rsidR="00E87A72" w:rsidRPr="00E87A72" w:rsidRDefault="00E87A72" w:rsidP="00E87A72">
            <w:r w:rsidRPr="00E87A72">
              <w:t>Intent-to-treat</w:t>
            </w:r>
          </w:p>
        </w:tc>
      </w:tr>
      <w:tr w:rsidR="00E87A72" w:rsidRPr="00E87A72" w14:paraId="2E856403" w14:textId="77777777" w:rsidTr="00FD119B">
        <w:tc>
          <w:tcPr>
            <w:tcW w:w="1809" w:type="dxa"/>
          </w:tcPr>
          <w:p w14:paraId="793F7BF4" w14:textId="77777777" w:rsidR="00E87A72" w:rsidRPr="00E87A72" w:rsidRDefault="00E87A72" w:rsidP="00E87A72">
            <w:r w:rsidRPr="00E87A72">
              <w:t>IV</w:t>
            </w:r>
          </w:p>
        </w:tc>
        <w:tc>
          <w:tcPr>
            <w:tcW w:w="6911" w:type="dxa"/>
          </w:tcPr>
          <w:p w14:paraId="1383489D" w14:textId="77777777" w:rsidR="00E87A72" w:rsidRPr="00E87A72" w:rsidRDefault="00E87A72" w:rsidP="00E87A72">
            <w:r w:rsidRPr="00E87A72">
              <w:t>Intravenous</w:t>
            </w:r>
          </w:p>
        </w:tc>
      </w:tr>
      <w:tr w:rsidR="00E87A72" w:rsidRPr="00E87A72" w14:paraId="0BADC438" w14:textId="77777777" w:rsidTr="00FD119B">
        <w:tc>
          <w:tcPr>
            <w:tcW w:w="1809" w:type="dxa"/>
          </w:tcPr>
          <w:p w14:paraId="4E5A8AAD" w14:textId="77777777" w:rsidR="00E87A72" w:rsidRPr="00E87A72" w:rsidRDefault="00E87A72" w:rsidP="00E87A72">
            <w:r w:rsidRPr="00E87A72">
              <w:t>IVIg</w:t>
            </w:r>
          </w:p>
        </w:tc>
        <w:tc>
          <w:tcPr>
            <w:tcW w:w="6911" w:type="dxa"/>
          </w:tcPr>
          <w:p w14:paraId="0286E28C" w14:textId="77777777" w:rsidR="00E87A72" w:rsidRPr="00E87A72" w:rsidRDefault="00E87A72" w:rsidP="00E87A72">
            <w:r w:rsidRPr="00E87A72">
              <w:t>Intravenous immunoglobulin</w:t>
            </w:r>
          </w:p>
        </w:tc>
      </w:tr>
      <w:tr w:rsidR="00E87A72" w:rsidRPr="00E87A72" w14:paraId="4A043673" w14:textId="77777777" w:rsidTr="00FD119B">
        <w:tc>
          <w:tcPr>
            <w:tcW w:w="1809" w:type="dxa"/>
          </w:tcPr>
          <w:p w14:paraId="244D4408" w14:textId="77777777" w:rsidR="00E87A72" w:rsidRPr="00E87A72" w:rsidRDefault="00E87A72" w:rsidP="00E87A72">
            <w:r w:rsidRPr="00E87A72">
              <w:t>MNM</w:t>
            </w:r>
          </w:p>
        </w:tc>
        <w:tc>
          <w:tcPr>
            <w:tcW w:w="6911" w:type="dxa"/>
          </w:tcPr>
          <w:p w14:paraId="4337AD68" w14:textId="77777777" w:rsidR="00E87A72" w:rsidRPr="00E87A72" w:rsidRDefault="00E87A72" w:rsidP="00E87A72">
            <w:r w:rsidRPr="00E87A72">
              <w:t>Multifocal motor neuropathy</w:t>
            </w:r>
          </w:p>
        </w:tc>
      </w:tr>
      <w:tr w:rsidR="00E87A72" w:rsidRPr="00E87A72" w14:paraId="47651A7B" w14:textId="77777777" w:rsidTr="00FD119B">
        <w:tc>
          <w:tcPr>
            <w:tcW w:w="1809" w:type="dxa"/>
          </w:tcPr>
          <w:p w14:paraId="1EA9BCD6" w14:textId="77777777" w:rsidR="00E87A72" w:rsidRPr="00E87A72" w:rsidRDefault="00E87A72" w:rsidP="00E87A72">
            <w:r w:rsidRPr="00E87A72">
              <w:t>MRC</w:t>
            </w:r>
          </w:p>
        </w:tc>
        <w:tc>
          <w:tcPr>
            <w:tcW w:w="6911" w:type="dxa"/>
          </w:tcPr>
          <w:p w14:paraId="70BE1629" w14:textId="610213C6" w:rsidR="00E87A72" w:rsidRPr="00E87A72" w:rsidRDefault="00E87A72" w:rsidP="00E87A72">
            <w:r w:rsidRPr="00E87A72">
              <w:t>Medical Research Council</w:t>
            </w:r>
            <w:r w:rsidR="001279A9">
              <w:t xml:space="preserve"> (United Kingdom)</w:t>
            </w:r>
          </w:p>
        </w:tc>
      </w:tr>
      <w:tr w:rsidR="00E87A72" w:rsidRPr="00E87A72" w14:paraId="5CE56BC5" w14:textId="77777777" w:rsidTr="00FD119B">
        <w:tc>
          <w:tcPr>
            <w:tcW w:w="1809" w:type="dxa"/>
          </w:tcPr>
          <w:p w14:paraId="0CB5B6A1" w14:textId="77777777" w:rsidR="00E87A72" w:rsidRPr="00E87A72" w:rsidRDefault="00E87A72" w:rsidP="00E87A72">
            <w:r w:rsidRPr="00E87A72">
              <w:t>MRI</w:t>
            </w:r>
          </w:p>
        </w:tc>
        <w:tc>
          <w:tcPr>
            <w:tcW w:w="6911" w:type="dxa"/>
          </w:tcPr>
          <w:p w14:paraId="322BFF14" w14:textId="77777777" w:rsidR="00E87A72" w:rsidRPr="00E87A72" w:rsidRDefault="00E87A72" w:rsidP="00E87A72">
            <w:r w:rsidRPr="00E87A72">
              <w:t>Magnetic resonance imaging</w:t>
            </w:r>
          </w:p>
        </w:tc>
      </w:tr>
      <w:tr w:rsidR="00E87A72" w:rsidRPr="00E87A72" w14:paraId="2EE273ED" w14:textId="77777777" w:rsidTr="00FD119B">
        <w:tc>
          <w:tcPr>
            <w:tcW w:w="1809" w:type="dxa"/>
          </w:tcPr>
          <w:p w14:paraId="686445AC" w14:textId="77777777" w:rsidR="00E87A72" w:rsidRPr="00E87A72" w:rsidRDefault="00E87A72" w:rsidP="00E87A72">
            <w:r w:rsidRPr="00E87A72">
              <w:t>NDS</w:t>
            </w:r>
          </w:p>
        </w:tc>
        <w:tc>
          <w:tcPr>
            <w:tcW w:w="6911" w:type="dxa"/>
          </w:tcPr>
          <w:p w14:paraId="69D1C0E8" w14:textId="77777777" w:rsidR="00E87A72" w:rsidRPr="00E87A72" w:rsidRDefault="00E87A72" w:rsidP="00E87A72">
            <w:r w:rsidRPr="00E87A72">
              <w:t>Neurological Disability Scale</w:t>
            </w:r>
          </w:p>
        </w:tc>
      </w:tr>
      <w:tr w:rsidR="00E87A72" w:rsidRPr="00E87A72" w14:paraId="616D7535" w14:textId="77777777" w:rsidTr="00FD119B">
        <w:tc>
          <w:tcPr>
            <w:tcW w:w="1809" w:type="dxa"/>
          </w:tcPr>
          <w:p w14:paraId="4086174D" w14:textId="77777777" w:rsidR="00E87A72" w:rsidRPr="00E87A72" w:rsidRDefault="00E87A72" w:rsidP="00E87A72">
            <w:r w:rsidRPr="00E87A72">
              <w:t>NNT</w:t>
            </w:r>
          </w:p>
        </w:tc>
        <w:tc>
          <w:tcPr>
            <w:tcW w:w="6911" w:type="dxa"/>
          </w:tcPr>
          <w:p w14:paraId="7338B465" w14:textId="77777777" w:rsidR="00E87A72" w:rsidRPr="00E87A72" w:rsidRDefault="00E87A72" w:rsidP="00E87A72">
            <w:r w:rsidRPr="00E87A72">
              <w:t>Number needed to treat</w:t>
            </w:r>
          </w:p>
        </w:tc>
      </w:tr>
      <w:tr w:rsidR="00E87A72" w:rsidRPr="00E87A72" w14:paraId="1D5F401D" w14:textId="77777777" w:rsidTr="00FD119B">
        <w:tc>
          <w:tcPr>
            <w:tcW w:w="1809" w:type="dxa"/>
          </w:tcPr>
          <w:p w14:paraId="3F366F76" w14:textId="77777777" w:rsidR="00E87A72" w:rsidRPr="00E87A72" w:rsidRDefault="00E87A72" w:rsidP="00E87A72">
            <w:r w:rsidRPr="00E87A72">
              <w:t>ODSS</w:t>
            </w:r>
          </w:p>
        </w:tc>
        <w:tc>
          <w:tcPr>
            <w:tcW w:w="6911" w:type="dxa"/>
          </w:tcPr>
          <w:p w14:paraId="265EC95A" w14:textId="77777777" w:rsidR="00E87A72" w:rsidRPr="00E87A72" w:rsidRDefault="00E87A72" w:rsidP="00E87A72">
            <w:r w:rsidRPr="00E87A72">
              <w:t>Overall disability sum score</w:t>
            </w:r>
          </w:p>
        </w:tc>
      </w:tr>
      <w:tr w:rsidR="00E87A72" w:rsidRPr="00E87A72" w14:paraId="0F5D6311" w14:textId="77777777" w:rsidTr="00FD119B">
        <w:tc>
          <w:tcPr>
            <w:tcW w:w="1809" w:type="dxa"/>
          </w:tcPr>
          <w:p w14:paraId="6A2B57C6" w14:textId="77777777" w:rsidR="00E87A72" w:rsidRPr="00E87A72" w:rsidRDefault="00E87A72" w:rsidP="00E87A72">
            <w:r w:rsidRPr="00E87A72">
              <w:t>PID</w:t>
            </w:r>
          </w:p>
        </w:tc>
        <w:tc>
          <w:tcPr>
            <w:tcW w:w="6911" w:type="dxa"/>
          </w:tcPr>
          <w:p w14:paraId="1BD32C76" w14:textId="77777777" w:rsidR="00E87A72" w:rsidRPr="00E87A72" w:rsidRDefault="00E87A72" w:rsidP="00E87A72">
            <w:r w:rsidRPr="00E87A72">
              <w:t>Primary immunodeficiency disorder</w:t>
            </w:r>
          </w:p>
        </w:tc>
      </w:tr>
      <w:tr w:rsidR="00E87A72" w:rsidRPr="00E87A72" w14:paraId="47049018" w14:textId="77777777" w:rsidTr="00FD119B">
        <w:tc>
          <w:tcPr>
            <w:tcW w:w="1809" w:type="dxa"/>
          </w:tcPr>
          <w:p w14:paraId="0CAE3F7F" w14:textId="77777777" w:rsidR="00E87A72" w:rsidRPr="00E87A72" w:rsidRDefault="00E87A72" w:rsidP="00E87A72">
            <w:r w:rsidRPr="00E87A72">
              <w:lastRenderedPageBreak/>
              <w:t>SD</w:t>
            </w:r>
          </w:p>
        </w:tc>
        <w:tc>
          <w:tcPr>
            <w:tcW w:w="6911" w:type="dxa"/>
          </w:tcPr>
          <w:p w14:paraId="13C6A715" w14:textId="77777777" w:rsidR="00E87A72" w:rsidRPr="00E87A72" w:rsidRDefault="00E87A72" w:rsidP="00E87A72">
            <w:r w:rsidRPr="00E87A72">
              <w:t>Standard deviation</w:t>
            </w:r>
          </w:p>
        </w:tc>
      </w:tr>
      <w:tr w:rsidR="00E87A72" w:rsidRPr="00E87A72" w14:paraId="766C0891" w14:textId="77777777" w:rsidTr="00FD119B">
        <w:tc>
          <w:tcPr>
            <w:tcW w:w="1809" w:type="dxa"/>
          </w:tcPr>
          <w:p w14:paraId="1518BCCB" w14:textId="77777777" w:rsidR="00E87A72" w:rsidRPr="00E87A72" w:rsidRDefault="00E87A72" w:rsidP="00E87A72">
            <w:r w:rsidRPr="00E87A72">
              <w:t>SmPC</w:t>
            </w:r>
          </w:p>
        </w:tc>
        <w:tc>
          <w:tcPr>
            <w:tcW w:w="6911" w:type="dxa"/>
          </w:tcPr>
          <w:p w14:paraId="710F6394" w14:textId="77777777" w:rsidR="00E87A72" w:rsidRPr="00E87A72" w:rsidRDefault="00E87A72" w:rsidP="00E87A72">
            <w:r w:rsidRPr="00E87A72">
              <w:t>Summary of Product Characteristics (European Union)</w:t>
            </w:r>
          </w:p>
        </w:tc>
      </w:tr>
      <w:tr w:rsidR="00E87A72" w:rsidRPr="00E87A72" w14:paraId="599BD777" w14:textId="77777777" w:rsidTr="00FD119B">
        <w:tc>
          <w:tcPr>
            <w:tcW w:w="1809" w:type="dxa"/>
          </w:tcPr>
          <w:p w14:paraId="2991A0C8" w14:textId="77777777" w:rsidR="00E87A72" w:rsidRPr="00E87A72" w:rsidRDefault="00E87A72" w:rsidP="00E87A72">
            <w:r w:rsidRPr="00E87A72">
              <w:t>US(A)</w:t>
            </w:r>
          </w:p>
        </w:tc>
        <w:tc>
          <w:tcPr>
            <w:tcW w:w="6911" w:type="dxa"/>
          </w:tcPr>
          <w:p w14:paraId="52D1E71B" w14:textId="77777777" w:rsidR="00E87A72" w:rsidRPr="00E87A72" w:rsidRDefault="00E87A72" w:rsidP="00E87A72">
            <w:r w:rsidRPr="00E87A72">
              <w:t>United States (of America)</w:t>
            </w:r>
          </w:p>
        </w:tc>
      </w:tr>
      <w:tr w:rsidR="00E87A72" w:rsidRPr="00E87A72" w14:paraId="3E2C814B" w14:textId="77777777" w:rsidTr="00FD119B">
        <w:tc>
          <w:tcPr>
            <w:tcW w:w="1809" w:type="dxa"/>
          </w:tcPr>
          <w:p w14:paraId="4AA5D635" w14:textId="77777777" w:rsidR="00E87A72" w:rsidRPr="00E87A72" w:rsidRDefault="00E87A72" w:rsidP="00E87A72">
            <w:r w:rsidRPr="00E87A72">
              <w:t>WHO</w:t>
            </w:r>
          </w:p>
        </w:tc>
        <w:tc>
          <w:tcPr>
            <w:tcW w:w="6911" w:type="dxa"/>
          </w:tcPr>
          <w:p w14:paraId="57179142" w14:textId="77777777" w:rsidR="00E87A72" w:rsidRPr="00E87A72" w:rsidRDefault="00E87A72" w:rsidP="00E87A72">
            <w:r w:rsidRPr="00E87A72">
              <w:t>World Health Organization</w:t>
            </w:r>
          </w:p>
        </w:tc>
      </w:tr>
    </w:tbl>
    <w:p w14:paraId="4C68FECD" w14:textId="77777777" w:rsidR="00FD119B" w:rsidRDefault="00FD119B" w:rsidP="00FD119B"/>
    <w:p w14:paraId="7303CF2B" w14:textId="77777777" w:rsidR="00FD119B" w:rsidRPr="00FD119B" w:rsidRDefault="00FD119B" w:rsidP="00FD119B">
      <w:pPr>
        <w:spacing w:before="0" w:after="200" w:line="0" w:lineRule="auto"/>
        <w:rPr>
          <w:b/>
          <w:i/>
          <w:sz w:val="24"/>
          <w:szCs w:val="24"/>
        </w:rPr>
      </w:pPr>
      <w:r w:rsidRPr="00FD119B">
        <w:rPr>
          <w:b/>
          <w:i/>
          <w:sz w:val="24"/>
          <w:szCs w:val="24"/>
        </w:rPr>
        <w:br w:type="page"/>
      </w:r>
    </w:p>
    <w:p w14:paraId="742F9682" w14:textId="77777777" w:rsidR="008E7846" w:rsidRDefault="00F53C07" w:rsidP="008E7846">
      <w:pPr>
        <w:pStyle w:val="Heading2"/>
      </w:pPr>
      <w:bookmarkStart w:id="8" w:name="_Toc89339093"/>
      <w:r>
        <w:lastRenderedPageBreak/>
        <w:t>I.</w:t>
      </w:r>
      <w:r w:rsidR="008E7846">
        <w:t xml:space="preserve"> Introduction to product submission</w:t>
      </w:r>
      <w:bookmarkEnd w:id="8"/>
      <w:bookmarkEnd w:id="0"/>
      <w:bookmarkEnd w:id="2"/>
    </w:p>
    <w:p w14:paraId="60ADFD06" w14:textId="77777777" w:rsidR="008E7846" w:rsidRDefault="008E7846" w:rsidP="008E7846">
      <w:pPr>
        <w:pStyle w:val="Heading3"/>
        <w:rPr>
          <w:lang w:eastAsia="en-AU"/>
        </w:rPr>
      </w:pPr>
      <w:bookmarkStart w:id="9" w:name="_Toc247691502"/>
      <w:bookmarkStart w:id="10" w:name="_Toc314842483"/>
      <w:bookmarkStart w:id="11" w:name="_Toc89339094"/>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6EB07E5F" w14:textId="77777777" w:rsidTr="003735BC">
        <w:tc>
          <w:tcPr>
            <w:tcW w:w="2907" w:type="dxa"/>
          </w:tcPr>
          <w:p w14:paraId="0DD0BC81"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1BDC54DE" w14:textId="77777777" w:rsidR="008E7846" w:rsidRPr="003D1E62" w:rsidRDefault="00E137CF" w:rsidP="001B5C90">
            <w:bookmarkStart w:id="12" w:name="_Hlk89336865"/>
            <w:r>
              <w:t>Extension of indications</w:t>
            </w:r>
            <w:bookmarkEnd w:id="12"/>
          </w:p>
        </w:tc>
      </w:tr>
      <w:tr w:rsidR="00460036" w:rsidRPr="003D1E62" w14:paraId="11EA0E50" w14:textId="77777777" w:rsidTr="003735BC">
        <w:tc>
          <w:tcPr>
            <w:tcW w:w="2907" w:type="dxa"/>
          </w:tcPr>
          <w:p w14:paraId="03ECE56C" w14:textId="77777777" w:rsidR="00460036" w:rsidRPr="003D1E62" w:rsidRDefault="00E137CF" w:rsidP="003D1E62">
            <w:pPr>
              <w:rPr>
                <w:i/>
              </w:rPr>
            </w:pPr>
            <w:r>
              <w:rPr>
                <w:i/>
              </w:rPr>
              <w:t>Product name</w:t>
            </w:r>
            <w:r w:rsidR="00460036" w:rsidRPr="00460036">
              <w:rPr>
                <w:i/>
              </w:rPr>
              <w:t>:</w:t>
            </w:r>
          </w:p>
        </w:tc>
        <w:tc>
          <w:tcPr>
            <w:tcW w:w="6307" w:type="dxa"/>
          </w:tcPr>
          <w:p w14:paraId="322A0AB8" w14:textId="77777777" w:rsidR="00460036" w:rsidRPr="003D1E62" w:rsidRDefault="00E137CF" w:rsidP="001B5C90">
            <w:proofErr w:type="spellStart"/>
            <w:r>
              <w:t>Kiovig</w:t>
            </w:r>
            <w:proofErr w:type="spellEnd"/>
          </w:p>
        </w:tc>
      </w:tr>
      <w:tr w:rsidR="00460036" w:rsidRPr="003D1E62" w14:paraId="48F7AC01" w14:textId="77777777" w:rsidTr="003735BC">
        <w:tc>
          <w:tcPr>
            <w:tcW w:w="2907" w:type="dxa"/>
          </w:tcPr>
          <w:p w14:paraId="5B33C1E4" w14:textId="77777777" w:rsidR="00460036" w:rsidRPr="003D1E62" w:rsidRDefault="00E137CF" w:rsidP="003D1E62">
            <w:pPr>
              <w:rPr>
                <w:i/>
              </w:rPr>
            </w:pPr>
            <w:r>
              <w:rPr>
                <w:i/>
              </w:rPr>
              <w:t>Active ingredient</w:t>
            </w:r>
            <w:r w:rsidR="00460036" w:rsidRPr="00460036">
              <w:rPr>
                <w:i/>
              </w:rPr>
              <w:t>:</w:t>
            </w:r>
          </w:p>
        </w:tc>
        <w:tc>
          <w:tcPr>
            <w:tcW w:w="6307" w:type="dxa"/>
          </w:tcPr>
          <w:p w14:paraId="6BA235D2" w14:textId="77777777" w:rsidR="00460036" w:rsidRPr="003D1E62" w:rsidRDefault="00E137CF" w:rsidP="00E137CF">
            <w:pPr>
              <w:pStyle w:val="Default"/>
            </w:pPr>
            <w:r>
              <w:rPr>
                <w:sz w:val="22"/>
                <w:szCs w:val="22"/>
              </w:rPr>
              <w:t>Normal immunoglobulin (human)</w:t>
            </w:r>
          </w:p>
        </w:tc>
      </w:tr>
      <w:tr w:rsidR="008E7846" w:rsidRPr="003D1E62" w14:paraId="33665074" w14:textId="77777777" w:rsidTr="003735BC">
        <w:tc>
          <w:tcPr>
            <w:tcW w:w="2907" w:type="dxa"/>
          </w:tcPr>
          <w:p w14:paraId="608E7FCC" w14:textId="77777777" w:rsidR="008E7846" w:rsidRPr="003D1E62" w:rsidRDefault="008E7846" w:rsidP="003D1E62">
            <w:r w:rsidRPr="003D1E62">
              <w:rPr>
                <w:i/>
              </w:rPr>
              <w:t>Decision</w:t>
            </w:r>
            <w:r w:rsidRPr="003D1E62">
              <w:t>:</w:t>
            </w:r>
          </w:p>
        </w:tc>
        <w:tc>
          <w:tcPr>
            <w:tcW w:w="6307" w:type="dxa"/>
          </w:tcPr>
          <w:p w14:paraId="55C9A25B" w14:textId="77777777" w:rsidR="008E7846" w:rsidRPr="003D1E62" w:rsidRDefault="00E137CF" w:rsidP="00E137CF">
            <w:r>
              <w:t>Approved</w:t>
            </w:r>
          </w:p>
        </w:tc>
      </w:tr>
      <w:tr w:rsidR="008E7846" w:rsidRPr="003D1E62" w14:paraId="16FFACBB" w14:textId="77777777" w:rsidTr="003735BC">
        <w:tc>
          <w:tcPr>
            <w:tcW w:w="2907" w:type="dxa"/>
          </w:tcPr>
          <w:p w14:paraId="77295258"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074902DE" w14:textId="77777777" w:rsidR="008E7846" w:rsidRPr="003D1E62" w:rsidRDefault="00AB7BD4" w:rsidP="00540FEB">
            <w:r>
              <w:t>20 July 2021</w:t>
            </w:r>
          </w:p>
        </w:tc>
      </w:tr>
      <w:tr w:rsidR="00ED2922" w:rsidRPr="003D1E62" w14:paraId="6F3E27A0" w14:textId="77777777" w:rsidTr="003735BC">
        <w:tc>
          <w:tcPr>
            <w:tcW w:w="2907" w:type="dxa"/>
          </w:tcPr>
          <w:p w14:paraId="6992509B" w14:textId="77777777" w:rsidR="00ED2922" w:rsidRPr="00441C3F" w:rsidRDefault="00ED2922" w:rsidP="001B5C90">
            <w:pPr>
              <w:rPr>
                <w:i/>
              </w:rPr>
            </w:pPr>
            <w:r w:rsidRPr="00441C3F">
              <w:rPr>
                <w:i/>
              </w:rPr>
              <w:t>Date of entry onto ARTG</w:t>
            </w:r>
            <w:r w:rsidR="00500337">
              <w:rPr>
                <w:i/>
              </w:rPr>
              <w:t>:</w:t>
            </w:r>
          </w:p>
        </w:tc>
        <w:tc>
          <w:tcPr>
            <w:tcW w:w="6307" w:type="dxa"/>
          </w:tcPr>
          <w:p w14:paraId="2D2B3FDF" w14:textId="77777777" w:rsidR="00ED2922" w:rsidRPr="00441C3F" w:rsidRDefault="00540FEB" w:rsidP="00D153D8">
            <w:pPr>
              <w:rPr>
                <w:i/>
              </w:rPr>
            </w:pPr>
            <w:r>
              <w:t>23 July 2021</w:t>
            </w:r>
          </w:p>
        </w:tc>
      </w:tr>
      <w:tr w:rsidR="00500337" w:rsidRPr="003D1E62" w14:paraId="18524220" w14:textId="77777777" w:rsidTr="003735BC">
        <w:tc>
          <w:tcPr>
            <w:tcW w:w="2907" w:type="dxa"/>
          </w:tcPr>
          <w:p w14:paraId="3E830841" w14:textId="77777777" w:rsidR="00500337" w:rsidRPr="00441C3F" w:rsidRDefault="00282D2E" w:rsidP="001B5C90">
            <w:pPr>
              <w:rPr>
                <w:i/>
              </w:rPr>
            </w:pPr>
            <w:r>
              <w:rPr>
                <w:i/>
              </w:rPr>
              <w:t>ARTG numbers</w:t>
            </w:r>
            <w:r w:rsidR="00500337">
              <w:rPr>
                <w:i/>
              </w:rPr>
              <w:t>:</w:t>
            </w:r>
          </w:p>
        </w:tc>
        <w:tc>
          <w:tcPr>
            <w:tcW w:w="6307" w:type="dxa"/>
          </w:tcPr>
          <w:p w14:paraId="43E08B71" w14:textId="77777777" w:rsidR="00500337" w:rsidRPr="00441C3F" w:rsidRDefault="00282D2E" w:rsidP="00EC463D">
            <w:r>
              <w:t>131953, 131966, 131968, 131969, 131973, and 198488</w:t>
            </w:r>
          </w:p>
        </w:tc>
      </w:tr>
      <w:tr w:rsidR="003735BC" w:rsidRPr="003D1E62" w14:paraId="0AEAA372" w14:textId="77777777" w:rsidTr="003735BC">
        <w:tc>
          <w:tcPr>
            <w:tcW w:w="2907" w:type="dxa"/>
          </w:tcPr>
          <w:p w14:paraId="26BF7176"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19707950" w14:textId="77777777" w:rsidR="003735BC" w:rsidRPr="00487162" w:rsidRDefault="00E87A72" w:rsidP="003735BC">
            <w:r>
              <w:t>No</w:t>
            </w:r>
          </w:p>
        </w:tc>
      </w:tr>
      <w:tr w:rsidR="008E7846" w:rsidRPr="00487162" w14:paraId="518E6DF4" w14:textId="77777777" w:rsidTr="00BF1190">
        <w:tc>
          <w:tcPr>
            <w:tcW w:w="2907" w:type="dxa"/>
          </w:tcPr>
          <w:p w14:paraId="4889D349"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6A7B819E" w14:textId="77777777" w:rsidR="00C34350" w:rsidRDefault="00C34350" w:rsidP="00C34350">
            <w:r>
              <w:t>Takeda Pharmaceuticals Australia Pty Ltd</w:t>
            </w:r>
          </w:p>
          <w:p w14:paraId="1F286C08" w14:textId="77777777" w:rsidR="00C34350" w:rsidRDefault="00C34350" w:rsidP="00C34350">
            <w:r>
              <w:t>Grosvenor Place, Level 39</w:t>
            </w:r>
          </w:p>
          <w:p w14:paraId="6CC53C61" w14:textId="77777777" w:rsidR="00C34350" w:rsidRDefault="00C34350" w:rsidP="00C34350">
            <w:r>
              <w:t>225 George Street</w:t>
            </w:r>
          </w:p>
          <w:p w14:paraId="65AA4E65" w14:textId="77777777" w:rsidR="008E7846" w:rsidRPr="00487162" w:rsidRDefault="00C34350" w:rsidP="00C34350">
            <w:r>
              <w:t>Sydney, NSW, 2000</w:t>
            </w:r>
          </w:p>
        </w:tc>
      </w:tr>
      <w:tr w:rsidR="008E7846" w:rsidRPr="00487162" w14:paraId="3BA1C278" w14:textId="77777777" w:rsidTr="00BF1190">
        <w:tc>
          <w:tcPr>
            <w:tcW w:w="2907" w:type="dxa"/>
          </w:tcPr>
          <w:p w14:paraId="601D0DBE" w14:textId="77777777" w:rsidR="008E7846" w:rsidRPr="00487162" w:rsidRDefault="00E137CF" w:rsidP="00E45619">
            <w:pPr>
              <w:rPr>
                <w:i/>
              </w:rPr>
            </w:pPr>
            <w:r>
              <w:rPr>
                <w:i/>
              </w:rPr>
              <w:t>Dose form</w:t>
            </w:r>
            <w:r w:rsidR="001B5C90">
              <w:rPr>
                <w:i/>
              </w:rPr>
              <w:t>:</w:t>
            </w:r>
          </w:p>
        </w:tc>
        <w:tc>
          <w:tcPr>
            <w:tcW w:w="6307" w:type="dxa"/>
          </w:tcPr>
          <w:p w14:paraId="55A525A3" w14:textId="77777777" w:rsidR="008E7846" w:rsidRPr="00487162" w:rsidRDefault="00E137CF" w:rsidP="00E45619">
            <w:r>
              <w:t>Solution for injection</w:t>
            </w:r>
          </w:p>
        </w:tc>
      </w:tr>
      <w:tr w:rsidR="008E7846" w:rsidRPr="00487162" w14:paraId="7E1A500E" w14:textId="77777777" w:rsidTr="00BF1190">
        <w:tc>
          <w:tcPr>
            <w:tcW w:w="2907" w:type="dxa"/>
          </w:tcPr>
          <w:p w14:paraId="47AE50C8" w14:textId="77777777" w:rsidR="008E7846" w:rsidRPr="00487162" w:rsidRDefault="00E137CF" w:rsidP="00E45619">
            <w:pPr>
              <w:rPr>
                <w:i/>
              </w:rPr>
            </w:pPr>
            <w:r>
              <w:rPr>
                <w:i/>
              </w:rPr>
              <w:t>Strengths</w:t>
            </w:r>
            <w:r w:rsidR="00324E45">
              <w:rPr>
                <w:i/>
              </w:rPr>
              <w:t>:</w:t>
            </w:r>
          </w:p>
        </w:tc>
        <w:tc>
          <w:tcPr>
            <w:tcW w:w="6307" w:type="dxa"/>
          </w:tcPr>
          <w:p w14:paraId="055DE4AC" w14:textId="0D17F4A7" w:rsidR="008E7846" w:rsidRPr="00E137CF" w:rsidRDefault="001279A9" w:rsidP="00E137CF">
            <w:r>
              <w:t xml:space="preserve">10% infusion; </w:t>
            </w:r>
            <w:r w:rsidR="00E137CF" w:rsidRPr="00E137CF">
              <w:t>1 g/10 mL; 2.5 g/25 mL; 5 g/50 mL; 10 g/100 mL; 20 g/200 mL; and 30 g/300 mL</w:t>
            </w:r>
          </w:p>
        </w:tc>
      </w:tr>
      <w:tr w:rsidR="008E7846" w:rsidRPr="00487162" w14:paraId="7FB976D2" w14:textId="77777777" w:rsidTr="00BF1190">
        <w:tc>
          <w:tcPr>
            <w:tcW w:w="2907" w:type="dxa"/>
          </w:tcPr>
          <w:p w14:paraId="527E246B" w14:textId="77777777" w:rsidR="008E7846" w:rsidRPr="00487162" w:rsidRDefault="00C34350" w:rsidP="00E45619">
            <w:pPr>
              <w:rPr>
                <w:i/>
              </w:rPr>
            </w:pPr>
            <w:r>
              <w:rPr>
                <w:i/>
              </w:rPr>
              <w:t>Container</w:t>
            </w:r>
            <w:r w:rsidR="008E7846" w:rsidRPr="00487162">
              <w:rPr>
                <w:i/>
              </w:rPr>
              <w:t>:</w:t>
            </w:r>
          </w:p>
        </w:tc>
        <w:tc>
          <w:tcPr>
            <w:tcW w:w="6307" w:type="dxa"/>
          </w:tcPr>
          <w:p w14:paraId="4C47F61C" w14:textId="77777777" w:rsidR="008E7846" w:rsidRPr="00487162" w:rsidRDefault="00C34350" w:rsidP="00E45619">
            <w:r>
              <w:t>Vial</w:t>
            </w:r>
          </w:p>
        </w:tc>
      </w:tr>
      <w:tr w:rsidR="008E7846" w:rsidRPr="00487162" w14:paraId="68141833" w14:textId="77777777" w:rsidTr="00BF1190">
        <w:tc>
          <w:tcPr>
            <w:tcW w:w="2907" w:type="dxa"/>
          </w:tcPr>
          <w:p w14:paraId="091050A7" w14:textId="77777777" w:rsidR="008E7846" w:rsidRPr="00487162" w:rsidRDefault="00C34350" w:rsidP="00E45619">
            <w:pPr>
              <w:rPr>
                <w:i/>
              </w:rPr>
            </w:pPr>
            <w:r>
              <w:rPr>
                <w:i/>
              </w:rPr>
              <w:t>Pack sizes</w:t>
            </w:r>
            <w:r w:rsidR="008E7846" w:rsidRPr="00487162">
              <w:rPr>
                <w:i/>
              </w:rPr>
              <w:t>:</w:t>
            </w:r>
          </w:p>
        </w:tc>
        <w:tc>
          <w:tcPr>
            <w:tcW w:w="6307" w:type="dxa"/>
          </w:tcPr>
          <w:p w14:paraId="51F2BB9B" w14:textId="77777777" w:rsidR="008E7846" w:rsidRPr="00487162" w:rsidRDefault="00C34350" w:rsidP="00E45619">
            <w:r>
              <w:t>Single vial (1 x 10 mL; 1 x 25 mL, 1 x 50 mL, 1 x 100 mL, 1 x 200 mL, and 1 x 300 mL)</w:t>
            </w:r>
          </w:p>
        </w:tc>
      </w:tr>
      <w:tr w:rsidR="008E7846" w:rsidRPr="00487162" w14:paraId="001D0453" w14:textId="77777777" w:rsidTr="00BF1190">
        <w:tc>
          <w:tcPr>
            <w:tcW w:w="2907" w:type="dxa"/>
          </w:tcPr>
          <w:p w14:paraId="65F15622"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6824EFC" w14:textId="77777777" w:rsidR="008E7846" w:rsidRPr="00C34350" w:rsidRDefault="00C34350" w:rsidP="00C34350">
            <w:pPr>
              <w:rPr>
                <w:i/>
              </w:rPr>
            </w:pPr>
            <w:proofErr w:type="spellStart"/>
            <w:r w:rsidRPr="00AB7BD4">
              <w:rPr>
                <w:i/>
              </w:rPr>
              <w:t>Kiovig</w:t>
            </w:r>
            <w:proofErr w:type="spellEnd"/>
            <w:r w:rsidRPr="00AB7BD4">
              <w:rPr>
                <w:i/>
              </w:rPr>
              <w:t xml:space="preserve"> administered intravenously is indicated for the treatment of Chronic inflammatory demyelinating polyradiculoneuropathy (CIDP) in adults</w:t>
            </w:r>
            <w:r>
              <w:rPr>
                <w:i/>
              </w:rPr>
              <w:t>.</w:t>
            </w:r>
          </w:p>
        </w:tc>
      </w:tr>
      <w:tr w:rsidR="008E7846" w:rsidRPr="00487162" w14:paraId="0B219AA4" w14:textId="77777777" w:rsidTr="00BF1190">
        <w:tc>
          <w:tcPr>
            <w:tcW w:w="2907" w:type="dxa"/>
          </w:tcPr>
          <w:p w14:paraId="743B917B" w14:textId="77777777" w:rsidR="008E7846" w:rsidRPr="00487162" w:rsidRDefault="00C34350" w:rsidP="00E45619">
            <w:pPr>
              <w:rPr>
                <w:i/>
              </w:rPr>
            </w:pPr>
            <w:r>
              <w:rPr>
                <w:i/>
              </w:rPr>
              <w:t>Route</w:t>
            </w:r>
            <w:r w:rsidR="008E7846" w:rsidRPr="00487162">
              <w:rPr>
                <w:i/>
              </w:rPr>
              <w:t xml:space="preserve"> of administration:</w:t>
            </w:r>
          </w:p>
        </w:tc>
        <w:tc>
          <w:tcPr>
            <w:tcW w:w="6307" w:type="dxa"/>
          </w:tcPr>
          <w:p w14:paraId="2C4917C5" w14:textId="77777777" w:rsidR="008E7846" w:rsidRPr="00487162" w:rsidRDefault="00C34350" w:rsidP="00E45619">
            <w:r>
              <w:t>Intravenous</w:t>
            </w:r>
          </w:p>
        </w:tc>
      </w:tr>
      <w:tr w:rsidR="008E7846" w:rsidRPr="00487162" w14:paraId="24E8BF45" w14:textId="77777777" w:rsidTr="00BF1190">
        <w:tc>
          <w:tcPr>
            <w:tcW w:w="2907" w:type="dxa"/>
          </w:tcPr>
          <w:p w14:paraId="2336304A" w14:textId="77777777" w:rsidR="008E7846" w:rsidRPr="00487162" w:rsidRDefault="008E7846" w:rsidP="00E45619">
            <w:pPr>
              <w:rPr>
                <w:i/>
              </w:rPr>
            </w:pPr>
            <w:r w:rsidRPr="00487162">
              <w:rPr>
                <w:i/>
              </w:rPr>
              <w:t>Dosage:</w:t>
            </w:r>
          </w:p>
        </w:tc>
        <w:tc>
          <w:tcPr>
            <w:tcW w:w="6307" w:type="dxa"/>
          </w:tcPr>
          <w:p w14:paraId="70E74EE3" w14:textId="77777777" w:rsidR="00B2766C" w:rsidRDefault="00B2766C" w:rsidP="00E45619">
            <w:proofErr w:type="spellStart"/>
            <w:r>
              <w:t>Kiovig</w:t>
            </w:r>
            <w:proofErr w:type="spellEnd"/>
            <w:r>
              <w:t xml:space="preserve"> should be at room temperature during administration. </w:t>
            </w:r>
            <w:proofErr w:type="spellStart"/>
            <w:r>
              <w:t>Kiovig</w:t>
            </w:r>
            <w:proofErr w:type="spellEnd"/>
            <w:r>
              <w:t xml:space="preserve"> should be inspected visually for particulate matter and discoloration prior to administration. Do not use if particulate matter and/or discoloration is observed. Only clear or slightly opalescent and colourless or </w:t>
            </w:r>
            <w:proofErr w:type="gramStart"/>
            <w:r>
              <w:t>pale yellow</w:t>
            </w:r>
            <w:proofErr w:type="gramEnd"/>
            <w:r>
              <w:t xml:space="preserve"> solutions are to be administered. </w:t>
            </w:r>
            <w:proofErr w:type="spellStart"/>
            <w:r>
              <w:t>Kiovig</w:t>
            </w:r>
            <w:proofErr w:type="spellEnd"/>
            <w:r>
              <w:t xml:space="preserve"> should only be administered intravenously </w:t>
            </w:r>
            <w:r>
              <w:lastRenderedPageBreak/>
              <w:t>or subcutaneously. Other routes of administration have not been evaluated. The use of an in-line filter is optional.</w:t>
            </w:r>
          </w:p>
          <w:p w14:paraId="74CA49A8" w14:textId="77777777" w:rsidR="008E7846" w:rsidRDefault="00C34350" w:rsidP="00E45619">
            <w:r>
              <w:t>The dose and dosage regimen are dependent on the indication. In replacement therapy the dosage may need to be individualised for each patient depending on the pharmacokinetic and clinical response. The dosage regimens are given as a guideline below.</w:t>
            </w:r>
          </w:p>
          <w:p w14:paraId="0F78A127" w14:textId="77777777" w:rsidR="00D91E8D" w:rsidRPr="00D91E8D" w:rsidRDefault="00D91E8D" w:rsidP="00E45619">
            <w:pPr>
              <w:rPr>
                <w:i/>
              </w:rPr>
            </w:pPr>
            <w:r w:rsidRPr="00D91E8D">
              <w:rPr>
                <w:i/>
              </w:rPr>
              <w:t>For the treatment of chronic inflammatory demyelinating polyradiculoneuropathy (CIDP) in adults:</w:t>
            </w:r>
          </w:p>
          <w:p w14:paraId="21CB1708" w14:textId="77777777" w:rsidR="00D91E8D" w:rsidRDefault="00D91E8D" w:rsidP="00E45619">
            <w:r>
              <w:t>Starting dose and frequency of injections:</w:t>
            </w:r>
          </w:p>
          <w:p w14:paraId="073F5AC9" w14:textId="77777777" w:rsidR="00D91E8D" w:rsidRDefault="00D91E8D" w:rsidP="00D91E8D">
            <w:pPr>
              <w:ind w:left="720"/>
            </w:pPr>
            <w:r>
              <w:t>2 g/kg bodyweight, in divided doses over 2 to 5 days.</w:t>
            </w:r>
          </w:p>
          <w:p w14:paraId="248A926F" w14:textId="77777777" w:rsidR="00D91E8D" w:rsidRDefault="00D91E8D" w:rsidP="00D91E8D">
            <w:r>
              <w:t>Maintenance dose and frequency of injections:</w:t>
            </w:r>
          </w:p>
          <w:p w14:paraId="732075C0" w14:textId="77777777" w:rsidR="00D91E8D" w:rsidRDefault="00D91E8D" w:rsidP="00D91E8D">
            <w:pPr>
              <w:ind w:left="720"/>
            </w:pPr>
            <w:r>
              <w:t>1 g/kg bodyweight, over 1 to 2 consecutive days over 3 weeks.</w:t>
            </w:r>
          </w:p>
          <w:p w14:paraId="3F524741" w14:textId="77777777" w:rsidR="00D91E8D" w:rsidRDefault="00D91E8D" w:rsidP="00D91E8D">
            <w:r>
              <w:t>The treatment effect should be evaluated after each cycle; if no treatment effect is seen after 6 months, the treatment should be discontinued.</w:t>
            </w:r>
          </w:p>
          <w:p w14:paraId="52844FDF" w14:textId="77777777" w:rsidR="00D91E8D" w:rsidRDefault="00D91E8D" w:rsidP="00D91E8D">
            <w:r>
              <w:t>If the treatment is effective, long-term treatment should be subject to the physician’s discretion based upon the patient response and maintenance response. The dosing and intervals may have to be adapted according to the individual course of the disease.</w:t>
            </w:r>
          </w:p>
          <w:p w14:paraId="38F8EDE3" w14:textId="77777777" w:rsidR="003132CB" w:rsidRDefault="00D91E8D" w:rsidP="00D91E8D">
            <w:r>
              <w:t xml:space="preserve">It is recommended that </w:t>
            </w:r>
            <w:proofErr w:type="spellStart"/>
            <w:r w:rsidR="00B2766C">
              <w:t>K</w:t>
            </w:r>
            <w:r>
              <w:t>iovig</w:t>
            </w:r>
            <w:proofErr w:type="spellEnd"/>
            <w:r>
              <w:t xml:space="preserve"> be infused at an initial rate of 0.5 mL/kg/h. If the infusion at this rate and concentration does not cause the patient to have distress, the administration rate may be gradually increased.</w:t>
            </w:r>
          </w:p>
          <w:p w14:paraId="40CAE911" w14:textId="77777777" w:rsidR="00B2766C" w:rsidRDefault="00B2766C" w:rsidP="00D91E8D">
            <w:r>
              <w:t xml:space="preserve">This </w:t>
            </w:r>
            <w:r w:rsidR="003132CB">
              <w:t xml:space="preserve">recommendation </w:t>
            </w:r>
            <w:r>
              <w:t xml:space="preserve">is based on the first infusion in a pivotal Phase III clinical study where </w:t>
            </w:r>
            <w:proofErr w:type="spellStart"/>
            <w:r>
              <w:t>Kiovig</w:t>
            </w:r>
            <w:proofErr w:type="spellEnd"/>
            <w:r>
              <w:t xml:space="preserve"> was infused at an initial rate of 0.5 mL/kg/h (0.8 mg/kg/min). The rate was gradually increased every 30 minute</w:t>
            </w:r>
            <w:r w:rsidR="003132CB">
              <w:t>s to a rate of 5.0 mL/kg/h (8.9 </w:t>
            </w:r>
            <w:r>
              <w:t>mg/kg/min) if it was well tolerated. However, some patients completed the infusion before the maximum rate could be obtained. During subsequent infusions the initial rate and the rate of escalation were based on their previous infusion history; however, the maximum rate attained during the first infusion was used throughout the remainder of the study. A maximum tolerable infusion rate of up to 4 mL/kg/h was attained in majority (78.7%) of the patients, with a small proportion (19.7%) of patients achieving &gt; 4 but &lt; 6 mL/kg/h.</w:t>
            </w:r>
          </w:p>
          <w:p w14:paraId="435C1594" w14:textId="77777777" w:rsidR="00B2766C" w:rsidRDefault="00B2766C" w:rsidP="00D91E8D">
            <w:r>
              <w:t xml:space="preserve">In general, it is recommended that patients beginning treatment with intravenous immunoglobulin or switching from one intravenous immunoglobulin brand to </w:t>
            </w:r>
            <w:proofErr w:type="spellStart"/>
            <w:r>
              <w:t>Kiovig</w:t>
            </w:r>
            <w:proofErr w:type="spellEnd"/>
            <w:r>
              <w:t xml:space="preserve"> be started at the lowest rate and then increased to the maximal rate if they have tolerated several infusions at intermediate rates of infusion. It is important to individualise rates for each patient.</w:t>
            </w:r>
          </w:p>
          <w:p w14:paraId="3EB4B7E4" w14:textId="77777777" w:rsidR="00B2766C" w:rsidRPr="00D91E8D" w:rsidRDefault="00B2766C" w:rsidP="00D91E8D">
            <w:r>
              <w:t xml:space="preserve">In patients at risk for acute renal failure or thromboembolic adverse reactions, </w:t>
            </w:r>
            <w:proofErr w:type="spellStart"/>
            <w:r>
              <w:t>Kiovig</w:t>
            </w:r>
            <w:proofErr w:type="spellEnd"/>
            <w:r>
              <w:t xml:space="preserve"> should not be infused rapidly.</w:t>
            </w:r>
          </w:p>
          <w:p w14:paraId="35FF7999" w14:textId="77777777" w:rsidR="00460036" w:rsidRPr="00487162" w:rsidRDefault="00460036" w:rsidP="00E45619">
            <w:r w:rsidRPr="00460036">
              <w:t xml:space="preserve">For further information regarding dosage, refer to the Product </w:t>
            </w:r>
            <w:r w:rsidRPr="00460036">
              <w:lastRenderedPageBreak/>
              <w:t>Information.</w:t>
            </w:r>
          </w:p>
        </w:tc>
      </w:tr>
      <w:tr w:rsidR="00460036" w:rsidRPr="00487162" w14:paraId="2FC7A36F" w14:textId="77777777" w:rsidTr="00BF1190">
        <w:tc>
          <w:tcPr>
            <w:tcW w:w="2907" w:type="dxa"/>
          </w:tcPr>
          <w:p w14:paraId="0FFE87FF" w14:textId="77777777" w:rsidR="00460036" w:rsidRPr="00487162" w:rsidRDefault="00460036" w:rsidP="00E45619">
            <w:pPr>
              <w:rPr>
                <w:i/>
              </w:rPr>
            </w:pPr>
            <w:r w:rsidRPr="00460036">
              <w:rPr>
                <w:i/>
              </w:rPr>
              <w:lastRenderedPageBreak/>
              <w:t>Pregnancy category</w:t>
            </w:r>
            <w:r>
              <w:rPr>
                <w:i/>
              </w:rPr>
              <w:t>:</w:t>
            </w:r>
          </w:p>
        </w:tc>
        <w:tc>
          <w:tcPr>
            <w:tcW w:w="6307" w:type="dxa"/>
          </w:tcPr>
          <w:p w14:paraId="32B3F184" w14:textId="77777777" w:rsidR="00B2766C" w:rsidRDefault="00B2766C" w:rsidP="00460036">
            <w:r>
              <w:t>B2</w:t>
            </w:r>
          </w:p>
          <w:p w14:paraId="3C45316A" w14:textId="77777777" w:rsidR="00B2766C" w:rsidRDefault="00B2766C" w:rsidP="00460036">
            <w:r w:rsidRPr="00B2766C">
              <w:t xml:space="preserve">Drugs which have been taken by only a limited number of pregnant women and women of childbearing age, without an increase in the frequency of malformation or other direct or indirect harmful effects on the human </w:t>
            </w:r>
            <w:proofErr w:type="spellStart"/>
            <w:r w:rsidRPr="00B2766C">
              <w:t>fetus</w:t>
            </w:r>
            <w:proofErr w:type="spellEnd"/>
            <w:r w:rsidRPr="00B2766C">
              <w:t xml:space="preserve"> having been observed.</w:t>
            </w:r>
          </w:p>
          <w:p w14:paraId="45858EE4" w14:textId="77777777"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B2766C">
              <w:t>ces in your State or Territory.</w:t>
            </w:r>
          </w:p>
        </w:tc>
      </w:tr>
    </w:tbl>
    <w:p w14:paraId="18D5B4AA" w14:textId="77777777" w:rsidR="008E7846" w:rsidRDefault="008E7846" w:rsidP="008E7846">
      <w:pPr>
        <w:pStyle w:val="Heading3"/>
      </w:pPr>
      <w:bookmarkStart w:id="13" w:name="_Toc247691503"/>
      <w:bookmarkStart w:id="14" w:name="_Toc314842484"/>
      <w:bookmarkStart w:id="15" w:name="_Toc89339095"/>
      <w:r>
        <w:t>Product background</w:t>
      </w:r>
      <w:bookmarkEnd w:id="13"/>
      <w:bookmarkEnd w:id="14"/>
      <w:bookmarkEnd w:id="15"/>
    </w:p>
    <w:p w14:paraId="5980A158" w14:textId="77777777" w:rsidR="008E7846" w:rsidRDefault="00250271" w:rsidP="00940A89">
      <w:r w:rsidRPr="00250271">
        <w:t xml:space="preserve">This AusPAR describes the application by </w:t>
      </w:r>
      <w:r w:rsidR="00540FEB">
        <w:t>Takeda</w:t>
      </w:r>
      <w:r w:rsidRPr="00250271">
        <w:t xml:space="preserve"> </w:t>
      </w:r>
      <w:r w:rsidR="00540FEB">
        <w:t xml:space="preserve">Pharmaceuticals Australia Pty Ltd </w:t>
      </w:r>
      <w:r w:rsidRPr="00250271">
        <w:t>(the sponsor)</w:t>
      </w:r>
      <w:r w:rsidR="00D616D6">
        <w:t>;</w:t>
      </w:r>
      <w:r w:rsidR="00D616D6">
        <w:rPr>
          <w:rStyle w:val="FootnoteReference"/>
        </w:rPr>
        <w:footnoteReference w:id="2"/>
      </w:r>
      <w:r w:rsidRPr="00250271">
        <w:t xml:space="preserve"> to register </w:t>
      </w:r>
      <w:proofErr w:type="spellStart"/>
      <w:r w:rsidR="00540FEB">
        <w:t>Kiovig</w:t>
      </w:r>
      <w:proofErr w:type="spellEnd"/>
      <w:r w:rsidR="00540FEB">
        <w:t xml:space="preserve"> (normal </w:t>
      </w:r>
      <w:r w:rsidR="00613524">
        <w:t>immunoglobulin</w:t>
      </w:r>
      <w:r w:rsidR="00540FEB">
        <w:t xml:space="preserve">, human) </w:t>
      </w:r>
      <w:r w:rsidR="00613524">
        <w:t xml:space="preserve">10% infusion </w:t>
      </w:r>
      <w:r w:rsidR="00540FEB">
        <w:t>1 g/10 mL, 2.5 g/25mL, 5 g/50 mL, 10 g/100 mL, 20 g/200 mL, and 30 g/300 mL solution for injection (vial)</w:t>
      </w:r>
      <w:r w:rsidRPr="00250271">
        <w:t xml:space="preserve"> for the following proposed extension of indications</w:t>
      </w:r>
      <w:r w:rsidR="00CF5DAD">
        <w:t>:</w:t>
      </w:r>
    </w:p>
    <w:p w14:paraId="36BA80AA" w14:textId="77777777" w:rsidR="00F33A7F" w:rsidRDefault="00F33A7F" w:rsidP="00613524">
      <w:pPr>
        <w:ind w:left="720"/>
        <w:rPr>
          <w:i/>
        </w:rPr>
      </w:pPr>
      <w:proofErr w:type="spellStart"/>
      <w:r w:rsidRPr="00F33A7F">
        <w:rPr>
          <w:i/>
        </w:rPr>
        <w:t>Kiovig</w:t>
      </w:r>
      <w:proofErr w:type="spellEnd"/>
      <w:r w:rsidRPr="00F33A7F">
        <w:rPr>
          <w:i/>
        </w:rPr>
        <w:t xml:space="preserve"> administered intravenously is indicated for the treatment of Chronic inflammatory demyelinating polyradiculoneuropathy (CIDP).</w:t>
      </w:r>
    </w:p>
    <w:p w14:paraId="2BE6CF7A" w14:textId="77777777" w:rsidR="009958FF" w:rsidRDefault="00FE4584" w:rsidP="00FE4584">
      <w:r w:rsidRPr="00FE4584">
        <w:t xml:space="preserve">Chronic inflammatory demyelinating polyradiculoneuropathy </w:t>
      </w:r>
      <w:r>
        <w:t>(</w:t>
      </w:r>
      <w:r w:rsidRPr="00FE4584">
        <w:t>CIDP</w:t>
      </w:r>
      <w:r>
        <w:t>)</w:t>
      </w:r>
      <w:r w:rsidRPr="00FE4584">
        <w:t xml:space="preserve"> is a rare, acquired immune-mediated neuropathy primarily affecting adults.</w:t>
      </w:r>
      <w:r w:rsidR="007B1693">
        <w:t xml:space="preserve"> </w:t>
      </w:r>
      <w:r w:rsidR="007B1693" w:rsidRPr="00FE4584">
        <w:t>Chronic inflammatory demyelinating polyradiculoneuropathy</w:t>
      </w:r>
      <w:r w:rsidR="007B1693" w:rsidRPr="007B1693">
        <w:t xml:space="preserve"> is a chronic sensory and motor neuropathy with a relapsing and remitting or progressive course of more than 2 months. </w:t>
      </w:r>
      <w:r w:rsidR="007B1693">
        <w:t>The neuropathy</w:t>
      </w:r>
      <w:r w:rsidR="007B1693" w:rsidRPr="007B1693">
        <w:t xml:space="preserve"> is characterised by proximal weakness</w:t>
      </w:r>
      <w:r w:rsidR="009958FF">
        <w:t xml:space="preserve"> (or weakness in the shoulders and hips)</w:t>
      </w:r>
      <w:r w:rsidR="007B1693" w:rsidRPr="007B1693">
        <w:t>, positive sensory symptoms</w:t>
      </w:r>
      <w:r w:rsidR="009958FF">
        <w:t xml:space="preserve"> (</w:t>
      </w:r>
      <w:r w:rsidR="009958FF" w:rsidRPr="009958FF">
        <w:t>incoordination, numbness, tingling, or prickling sensations</w:t>
      </w:r>
      <w:r w:rsidR="009958FF">
        <w:t>)</w:t>
      </w:r>
      <w:r w:rsidR="007B1693" w:rsidRPr="007B1693">
        <w:t xml:space="preserve">, areflexia </w:t>
      </w:r>
      <w:r w:rsidR="009958FF">
        <w:t>(absence of deep muscle tendon reflexes)</w:t>
      </w:r>
      <w:r w:rsidR="009958FF" w:rsidRPr="007B1693">
        <w:t xml:space="preserve"> </w:t>
      </w:r>
      <w:r w:rsidR="007B1693" w:rsidRPr="007B1693">
        <w:t>without wasting</w:t>
      </w:r>
      <w:r w:rsidR="009958FF">
        <w:t xml:space="preserve">, </w:t>
      </w:r>
      <w:r w:rsidR="007B1693" w:rsidRPr="007B1693">
        <w:t xml:space="preserve">and impaired sensation with a preferential loss of vibration or joint position sense. Muscle stretch reflexes are </w:t>
      </w:r>
      <w:proofErr w:type="gramStart"/>
      <w:r w:rsidR="007B1693" w:rsidRPr="007B1693">
        <w:t>depresse</w:t>
      </w:r>
      <w:r w:rsidR="009958FF">
        <w:t>d</w:t>
      </w:r>
      <w:proofErr w:type="gramEnd"/>
      <w:r w:rsidR="009958FF">
        <w:t xml:space="preserve"> and sensory loss is variable.</w:t>
      </w:r>
    </w:p>
    <w:p w14:paraId="50B24D5E" w14:textId="77777777" w:rsidR="00981E40" w:rsidRDefault="00981E40" w:rsidP="00981E40">
      <w:r>
        <w:t xml:space="preserve">The estimated prevalence of CIDP in populations from the United Kingdom, Australia, Italy, Japan, and the United States of America (USA) is 0.8 to 8.9 per 100,000 with worldwide estimates of an annual incidence of 0.15 to 1.6 per 100,000 population. </w:t>
      </w:r>
      <w:r w:rsidRPr="00FE4584">
        <w:t>Chronic inflammatory demyelinating polyradiculoneuropathy</w:t>
      </w:r>
      <w:r>
        <w:t xml:space="preserve"> is reported to occur more commonly in patients with diabetes mellitus, but this has not been rigorously tested, and CIDP can present in, and affect all ages, but is more common in older males. It is thought the disease is more likely to be progressive in the older age group and relapsing-remitting in younger patients. No specific predisposing factors for CIDP have been identified.</w:t>
      </w:r>
    </w:p>
    <w:p w14:paraId="634EE504" w14:textId="77777777" w:rsidR="009958FF" w:rsidRDefault="007B1693" w:rsidP="009958FF">
      <w:r w:rsidRPr="007B1693">
        <w:t>Patients may have mild to severe weakness and may require assi</w:t>
      </w:r>
      <w:r w:rsidR="00F73010">
        <w:t>sted ambulation or a wheelchair, however it is rare for</w:t>
      </w:r>
      <w:r w:rsidR="009958FF">
        <w:t xml:space="preserve"> patients </w:t>
      </w:r>
      <w:r w:rsidR="00F73010">
        <w:t xml:space="preserve">to </w:t>
      </w:r>
      <w:r w:rsidR="009958FF">
        <w:t>r</w:t>
      </w:r>
      <w:r w:rsidR="00F73010">
        <w:t>equire respiratory support. The </w:t>
      </w:r>
      <w:r w:rsidR="009958FF">
        <w:t>overwhelming majority of patients with CIDP will have electrodiagnostic evidence of primary demyelination, including</w:t>
      </w:r>
      <w:r w:rsidR="009958FF" w:rsidRPr="009958FF">
        <w:t xml:space="preserve"> nerve conduction testing and electromyography looking </w:t>
      </w:r>
      <w:r w:rsidR="009958FF" w:rsidRPr="009958FF">
        <w:lastRenderedPageBreak/>
        <w:t>for very slow nerve conduction velocities</w:t>
      </w:r>
      <w:r w:rsidR="009958FF">
        <w:t>, and magnetic resonance imaging (MRI)</w:t>
      </w:r>
      <w:r w:rsidR="009958FF" w:rsidRPr="009958FF">
        <w:t xml:space="preserve"> of the nerve roots looking for enlargement and signs of inflammation</w:t>
      </w:r>
      <w:r w:rsidR="00981E40">
        <w:t>.</w:t>
      </w:r>
    </w:p>
    <w:p w14:paraId="64B4AA6F" w14:textId="77777777" w:rsidR="00981E40" w:rsidRDefault="00981E40" w:rsidP="00D03DF0">
      <w:r w:rsidRPr="00981E40">
        <w:t>The precise pathophysio</w:t>
      </w:r>
      <w:r>
        <w:t>logy of CIDP remains uncertain, however,</w:t>
      </w:r>
      <w:r w:rsidRPr="00981E40">
        <w:t xml:space="preserve"> </w:t>
      </w:r>
      <w:r>
        <w:t>d</w:t>
      </w:r>
      <w:r w:rsidRPr="00981E40">
        <w:t xml:space="preserve">emyelination resulting from phagocytosis of myelin by macrophages has been proposed to play an important role in the pathogenesis of CIDP </w:t>
      </w:r>
      <w:r>
        <w:t xml:space="preserve">with both </w:t>
      </w:r>
      <w:r w:rsidRPr="00981E40">
        <w:t>B and T cell mechanisms are believed to be implicated.</w:t>
      </w:r>
      <w:r>
        <w:t xml:space="preserve"> </w:t>
      </w:r>
      <w:r w:rsidR="00FA49CA">
        <w:t xml:space="preserve">These mechanisms of immunopathogenesis are illustrated in Figure 1, below. </w:t>
      </w:r>
      <w:r w:rsidR="00D03DF0">
        <w:t>Cellular immunity involvement is supported by evidence of T cell activation, crossing of the blood-nerve barrier by activated T cells, and expression of cytokines, tumour necrosis factor, interferons, and interleukins. Humoral immunity</w:t>
      </w:r>
      <w:r w:rsidR="00FA49CA">
        <w:t xml:space="preserve"> (also known as antibody-mediated immunity)</w:t>
      </w:r>
      <w:r w:rsidR="00D03DF0">
        <w:t xml:space="preserve"> is </w:t>
      </w:r>
      <w:r w:rsidR="00FA49CA">
        <w:t>evidence</w:t>
      </w:r>
      <w:r w:rsidR="00D03DF0">
        <w:t xml:space="preserve"> by the demonstration of immunoglobulin and complement deposition on myelinated nerve fibres, and by passive transfer experiments that induce conduction block and demyelination by injecting serum or purified immunoglobulin from CIDP patients into rats.</w:t>
      </w:r>
    </w:p>
    <w:p w14:paraId="01FB5851" w14:textId="69BEC33D" w:rsidR="00981E40" w:rsidRDefault="00981E40" w:rsidP="00981E40">
      <w:pPr>
        <w:pStyle w:val="FigureTitle"/>
      </w:pPr>
      <w:r>
        <w:t xml:space="preserve">Figure </w:t>
      </w:r>
      <w:r w:rsidR="005137AB">
        <w:fldChar w:fldCharType="begin"/>
      </w:r>
      <w:r w:rsidR="005137AB">
        <w:instrText xml:space="preserve"> SEQ Figure \* ARABIC </w:instrText>
      </w:r>
      <w:r w:rsidR="005137AB">
        <w:fldChar w:fldCharType="separate"/>
      </w:r>
      <w:r w:rsidR="00F81787">
        <w:rPr>
          <w:noProof/>
        </w:rPr>
        <w:t>1</w:t>
      </w:r>
      <w:r w:rsidR="005137AB">
        <w:rPr>
          <w:noProof/>
        </w:rPr>
        <w:fldChar w:fldCharType="end"/>
      </w:r>
      <w:r>
        <w:t>: Illustration of the immunopathology of c</w:t>
      </w:r>
      <w:r w:rsidRPr="00FE4584">
        <w:t>hronic inflammatory demyelinating polyradiculoneuropathy</w:t>
      </w:r>
    </w:p>
    <w:p w14:paraId="2277D5CC" w14:textId="77777777" w:rsidR="00981E40" w:rsidRDefault="00981E40" w:rsidP="009958FF">
      <w:r>
        <w:rPr>
          <w:noProof/>
          <w:lang w:val="en-GB" w:eastAsia="en-GB"/>
        </w:rPr>
        <w:drawing>
          <wp:inline distT="0" distB="0" distL="0" distR="0" wp14:anchorId="35CD91B1" wp14:editId="5E9629FE">
            <wp:extent cx="4004043" cy="3207224"/>
            <wp:effectExtent l="0" t="0" r="0" b="0"/>
            <wp:docPr id="11" name="Picture 11" descr="Figure 1: Illustration of the immunopathology of chronic inflammatory demyelinating polyradiculoneuro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 Illustration of the immunopathology of chronic inflammatory demyelinating polyradiculoneuropath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543" cy="3234858"/>
                    </a:xfrm>
                    <a:prstGeom prst="rect">
                      <a:avLst/>
                    </a:prstGeom>
                    <a:noFill/>
                  </pic:spPr>
                </pic:pic>
              </a:graphicData>
            </a:graphic>
          </wp:inline>
        </w:drawing>
      </w:r>
    </w:p>
    <w:p w14:paraId="6A51B9B1" w14:textId="77777777" w:rsidR="00FE30AF" w:rsidRDefault="00FE30AF" w:rsidP="00FE30AF">
      <w:r w:rsidRPr="00FE4584">
        <w:t>Chronic inflammatory demyelinating polyradiculoneuropathy</w:t>
      </w:r>
      <w:r>
        <w:t xml:space="preserve"> requires long-term treatment to prevent further disability. First-line treatment options </w:t>
      </w:r>
      <w:proofErr w:type="gramStart"/>
      <w:r>
        <w:t>include:</w:t>
      </w:r>
      <w:proofErr w:type="gramEnd"/>
      <w:r>
        <w:t xml:space="preserve"> intravenous immunoglobulins (IVIg), corticost</w:t>
      </w:r>
      <w:r w:rsidR="0082330E">
        <w:t>eroids, and plasma exchange (</w:t>
      </w:r>
      <w:r w:rsidR="0082330E" w:rsidRPr="0082330E">
        <w:t>plasmapheresis</w:t>
      </w:r>
      <w:r w:rsidR="0082330E">
        <w:t xml:space="preserve">). </w:t>
      </w:r>
      <w:r w:rsidR="00FA49CA">
        <w:t xml:space="preserve">The mechanisms by which intravenous immunoglobulins affect the activity of autoimmune diseases such as CIDP are multiple and complex. Some of the potential mechanisms are summarised in Figure 2, below. </w:t>
      </w:r>
      <w:r w:rsidR="0082330E">
        <w:t>Second</w:t>
      </w:r>
      <w:r w:rsidR="0082330E">
        <w:noBreakHyphen/>
      </w:r>
      <w:r>
        <w:t>line treatments and indicated when first-line treatments are inadequate and may require the use of immunosuppressants or other immunomodulatory agents such as azathioprine, cyclophosphamide, ciclosporin and methotrexate.</w:t>
      </w:r>
    </w:p>
    <w:p w14:paraId="5C4DB030" w14:textId="77777777" w:rsidR="00FE30AF" w:rsidRPr="00FE4584" w:rsidRDefault="00FE30AF" w:rsidP="00FE30AF">
      <w:r>
        <w:t xml:space="preserve">At the time of this submission, four branded human normal immunoglobulin products were registered on the Australian Register of Therapeutic Goods (ARTG), indicated for the treatment of CIDP: </w:t>
      </w:r>
      <w:proofErr w:type="spellStart"/>
      <w:r>
        <w:t>Gamunex</w:t>
      </w:r>
      <w:proofErr w:type="spellEnd"/>
      <w:r>
        <w:t xml:space="preserve">, </w:t>
      </w:r>
      <w:proofErr w:type="spellStart"/>
      <w:r>
        <w:t>Intragam</w:t>
      </w:r>
      <w:proofErr w:type="spellEnd"/>
      <w:r>
        <w:t xml:space="preserve"> 10, </w:t>
      </w:r>
      <w:proofErr w:type="spellStart"/>
      <w:r>
        <w:t>Privigen</w:t>
      </w:r>
      <w:proofErr w:type="spellEnd"/>
      <w:r>
        <w:t xml:space="preserve"> and </w:t>
      </w:r>
      <w:proofErr w:type="spellStart"/>
      <w:r>
        <w:t>Hizentra</w:t>
      </w:r>
      <w:proofErr w:type="spellEnd"/>
      <w:r>
        <w:t>.</w:t>
      </w:r>
    </w:p>
    <w:p w14:paraId="2B6D0911" w14:textId="13EEEFF5" w:rsidR="00FE4584" w:rsidRDefault="00FE4584" w:rsidP="00FE4584">
      <w:pPr>
        <w:pStyle w:val="FigureTitle"/>
      </w:pPr>
      <w:r>
        <w:lastRenderedPageBreak/>
        <w:t xml:space="preserve">Figure </w:t>
      </w:r>
      <w:r w:rsidR="005137AB">
        <w:fldChar w:fldCharType="begin"/>
      </w:r>
      <w:r w:rsidR="005137AB">
        <w:instrText xml:space="preserve"> SEQ Figure \* ARABIC </w:instrText>
      </w:r>
      <w:r w:rsidR="005137AB">
        <w:fldChar w:fldCharType="separate"/>
      </w:r>
      <w:r w:rsidR="00F81787">
        <w:rPr>
          <w:noProof/>
        </w:rPr>
        <w:t>2</w:t>
      </w:r>
      <w:r w:rsidR="005137AB">
        <w:rPr>
          <w:noProof/>
        </w:rPr>
        <w:fldChar w:fldCharType="end"/>
      </w:r>
      <w:r>
        <w:t>: Potential mechanisms of intravenous immunoglobulin activity in the treatment of autoimmune diseases</w:t>
      </w:r>
    </w:p>
    <w:p w14:paraId="11018CAC" w14:textId="77777777" w:rsidR="00FE4584" w:rsidRPr="00FE4584" w:rsidRDefault="00FE4584" w:rsidP="00FE4584">
      <w:r>
        <w:rPr>
          <w:noProof/>
          <w:lang w:val="en-GB" w:eastAsia="en-GB"/>
        </w:rPr>
        <w:drawing>
          <wp:inline distT="0" distB="0" distL="0" distR="0" wp14:anchorId="00A9C00D" wp14:editId="7784E500">
            <wp:extent cx="4495637" cy="3875964"/>
            <wp:effectExtent l="0" t="0" r="635" b="0"/>
            <wp:docPr id="6" name="Picture 6" descr="Figure 2: Potential mechanisms of intravenous immunoglobulin activity in the treatment of autoimmune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 Potential mechanisms of intravenous immunoglobulin activity in the treatment of autoimmune diseases"/>
                    <pic:cNvPicPr>
                      <a:picLocks noChangeAspect="1" noChangeArrowheads="1"/>
                    </pic:cNvPicPr>
                  </pic:nvPicPr>
                  <pic:blipFill rotWithShape="1">
                    <a:blip r:embed="rId17">
                      <a:extLst>
                        <a:ext uri="{28A0092B-C50C-407E-A947-70E740481C1C}">
                          <a14:useLocalDpi xmlns:a14="http://schemas.microsoft.com/office/drawing/2010/main" val="0"/>
                        </a:ext>
                      </a:extLst>
                    </a:blip>
                    <a:srcRect r="27432" b="12887"/>
                    <a:stretch/>
                  </pic:blipFill>
                  <pic:spPr bwMode="auto">
                    <a:xfrm>
                      <a:off x="0" y="0"/>
                      <a:ext cx="4503752" cy="3882960"/>
                    </a:xfrm>
                    <a:prstGeom prst="rect">
                      <a:avLst/>
                    </a:prstGeom>
                    <a:noFill/>
                    <a:ln>
                      <a:noFill/>
                    </a:ln>
                    <a:extLst>
                      <a:ext uri="{53640926-AAD7-44D8-BBD7-CCE9431645EC}">
                        <a14:shadowObscured xmlns:a14="http://schemas.microsoft.com/office/drawing/2010/main"/>
                      </a:ext>
                    </a:extLst>
                  </pic:spPr>
                </pic:pic>
              </a:graphicData>
            </a:graphic>
          </wp:inline>
        </w:drawing>
      </w:r>
    </w:p>
    <w:p w14:paraId="037E5E82" w14:textId="77777777" w:rsidR="008E7846" w:rsidRPr="003F31A2" w:rsidRDefault="00386150" w:rsidP="008E7846">
      <w:pPr>
        <w:pStyle w:val="Heading3"/>
      </w:pPr>
      <w:bookmarkStart w:id="16" w:name="_Toc314842485"/>
      <w:bookmarkStart w:id="17" w:name="_Toc247691504"/>
      <w:bookmarkStart w:id="18" w:name="_Toc89339096"/>
      <w:r>
        <w:t>Regulatory s</w:t>
      </w:r>
      <w:r w:rsidR="008E7846">
        <w:t>tatus</w:t>
      </w:r>
      <w:bookmarkEnd w:id="16"/>
      <w:bookmarkEnd w:id="17"/>
      <w:bookmarkEnd w:id="18"/>
    </w:p>
    <w:p w14:paraId="21FC414C" w14:textId="77777777" w:rsidR="008F1BD9" w:rsidRDefault="00967C43" w:rsidP="00006FAB">
      <w:bookmarkStart w:id="19" w:name="_Toc247691505"/>
      <w:bookmarkStart w:id="20" w:name="_Toc314842486"/>
      <w:proofErr w:type="spellStart"/>
      <w:r>
        <w:t>Kiovig</w:t>
      </w:r>
      <w:proofErr w:type="spellEnd"/>
      <w:r w:rsidR="00FE30AF" w:rsidRPr="00FE30AF">
        <w:t xml:space="preserve"> </w:t>
      </w:r>
      <w:r>
        <w:t>received initial registration</w:t>
      </w:r>
      <w:r w:rsidR="00FE30AF" w:rsidRPr="00FE30AF">
        <w:t xml:space="preserve"> </w:t>
      </w:r>
      <w:r>
        <w:t>on the Australian Register of Therapeutic Goods (ARTG) on 11 </w:t>
      </w:r>
      <w:r w:rsidR="00FE30AF" w:rsidRPr="00FE30AF">
        <w:t xml:space="preserve">August 2008, </w:t>
      </w:r>
      <w:r w:rsidR="00F64706">
        <w:t>for intravenous</w:t>
      </w:r>
      <w:r w:rsidR="00FE30AF" w:rsidRPr="00FE30AF">
        <w:t xml:space="preserve"> </w:t>
      </w:r>
      <w:r w:rsidR="00F64706">
        <w:t>(IV) replacement therapy for patients with p</w:t>
      </w:r>
      <w:r w:rsidR="00F64706" w:rsidRPr="00F64706">
        <w:t xml:space="preserve">rimary immunodeficiency disorders </w:t>
      </w:r>
      <w:r w:rsidR="00F64706">
        <w:t>(</w:t>
      </w:r>
      <w:r w:rsidR="00FE30AF" w:rsidRPr="00FE30AF">
        <w:t>PID</w:t>
      </w:r>
      <w:r w:rsidR="00F64706">
        <w:t xml:space="preserve">), and patients with </w:t>
      </w:r>
      <w:r w:rsidR="00FE30AF" w:rsidRPr="00FE30AF">
        <w:t xml:space="preserve">symptomatic </w:t>
      </w:r>
      <w:proofErr w:type="spellStart"/>
      <w:r w:rsidR="00FE30AF" w:rsidRPr="00FE30AF">
        <w:t>hypogammaglobulinaemia</w:t>
      </w:r>
      <w:proofErr w:type="spellEnd"/>
      <w:r w:rsidR="00FE30AF" w:rsidRPr="00FE30AF">
        <w:t xml:space="preserve"> secondary to underlying disease or tr</w:t>
      </w:r>
      <w:r w:rsidR="00F64706">
        <w:t>eatment.</w:t>
      </w:r>
      <w:r w:rsidR="00FE30AF" w:rsidRPr="00FE30AF">
        <w:t xml:space="preserve"> </w:t>
      </w:r>
      <w:proofErr w:type="spellStart"/>
      <w:r w:rsidR="00F64706">
        <w:t>Kiovig</w:t>
      </w:r>
      <w:proofErr w:type="spellEnd"/>
      <w:r w:rsidR="00F64706">
        <w:t xml:space="preserve"> </w:t>
      </w:r>
      <w:r w:rsidR="00737DD3">
        <w:t>was also registered at the same</w:t>
      </w:r>
      <w:r w:rsidR="008F1BD9">
        <w:t xml:space="preserve"> time, </w:t>
      </w:r>
      <w:r w:rsidR="00FE30AF" w:rsidRPr="00FE30AF">
        <w:t xml:space="preserve">for immune modulation in </w:t>
      </w:r>
      <w:r w:rsidR="00F64706">
        <w:t>i</w:t>
      </w:r>
      <w:r w:rsidR="00F64706" w:rsidRPr="00F64706">
        <w:t xml:space="preserve">diopathic thrombocytopenia purpura </w:t>
      </w:r>
      <w:r w:rsidR="008F1BD9">
        <w:t>(</w:t>
      </w:r>
      <w:r w:rsidR="00FE30AF" w:rsidRPr="00FE30AF">
        <w:t>ITP</w:t>
      </w:r>
      <w:r w:rsidR="008F1BD9">
        <w:t>)</w:t>
      </w:r>
      <w:r w:rsidR="00FE30AF" w:rsidRPr="00FE30AF">
        <w:t>, Guillain Barré syndr</w:t>
      </w:r>
      <w:r w:rsidR="008F1BD9">
        <w:t>ome (GBS) and Kawasaki disease.</w:t>
      </w:r>
    </w:p>
    <w:p w14:paraId="6561D08E" w14:textId="77777777" w:rsidR="00737DD3" w:rsidRDefault="008F1BD9" w:rsidP="00006FAB">
      <w:r>
        <w:t xml:space="preserve">On </w:t>
      </w:r>
      <w:r w:rsidR="00967C43">
        <w:t xml:space="preserve">8 January 2014, </w:t>
      </w:r>
      <w:proofErr w:type="spellStart"/>
      <w:r w:rsidR="00967C43">
        <w:t>Kiovig</w:t>
      </w:r>
      <w:proofErr w:type="spellEnd"/>
      <w:r w:rsidR="00967C43">
        <w:t xml:space="preserve"> </w:t>
      </w:r>
      <w:r w:rsidR="00FE30AF" w:rsidRPr="00FE30AF">
        <w:t xml:space="preserve">was licensed in Australia for the treatment of </w:t>
      </w:r>
      <w:r w:rsidR="00967C43">
        <w:t>multifocal motor n</w:t>
      </w:r>
      <w:r w:rsidR="00737DD3">
        <w:t>europathy (MMN).</w:t>
      </w:r>
    </w:p>
    <w:p w14:paraId="748AD084" w14:textId="77777777" w:rsidR="00FE30AF" w:rsidRDefault="00FE30AF" w:rsidP="00006FAB">
      <w:r w:rsidRPr="00FE30AF">
        <w:t xml:space="preserve">The </w:t>
      </w:r>
      <w:r w:rsidR="00967C43">
        <w:t xml:space="preserve">subcutaneous </w:t>
      </w:r>
      <w:r w:rsidRPr="00FE30AF">
        <w:t xml:space="preserve">route of administration for </w:t>
      </w:r>
      <w:r w:rsidR="00737DD3">
        <w:t xml:space="preserve">the treatment of </w:t>
      </w:r>
      <w:r w:rsidRPr="00FE30AF">
        <w:t>PID was approved i</w:t>
      </w:r>
      <w:r w:rsidR="00967C43">
        <w:t>n Australia on 30 November 2011.</w:t>
      </w:r>
      <w:r w:rsidR="00737DD3">
        <w:t xml:space="preserve"> Note, this current submission proposes the use of </w:t>
      </w:r>
      <w:proofErr w:type="spellStart"/>
      <w:r w:rsidR="00737DD3">
        <w:t>Kiovig</w:t>
      </w:r>
      <w:proofErr w:type="spellEnd"/>
      <w:r w:rsidR="00737DD3">
        <w:t xml:space="preserve"> in the treatment of CIDP via the IV route only.</w:t>
      </w:r>
    </w:p>
    <w:p w14:paraId="0C6E5E9A" w14:textId="3DC14BB4" w:rsidR="00967C43" w:rsidRDefault="00737DD3" w:rsidP="00006FAB">
      <w:r>
        <w:fldChar w:fldCharType="begin"/>
      </w:r>
      <w:r>
        <w:instrText xml:space="preserve"> REF _Ref84551901 \h </w:instrText>
      </w:r>
      <w:r>
        <w:fldChar w:fldCharType="separate"/>
      </w:r>
      <w:r w:rsidR="00F81787">
        <w:t xml:space="preserve">Table </w:t>
      </w:r>
      <w:r w:rsidR="00F81787">
        <w:rPr>
          <w:noProof/>
        </w:rPr>
        <w:t>1</w:t>
      </w:r>
      <w:r w:rsidR="00F81787">
        <w:t xml:space="preserve">: International regulatory </w:t>
      </w:r>
      <w:proofErr w:type="spellStart"/>
      <w:r w:rsidR="00F81787">
        <w:t>status</w:t>
      </w:r>
      <w:r>
        <w:fldChar w:fldCharType="end"/>
      </w:r>
      <w:r w:rsidR="00967C43">
        <w:t>shown</w:t>
      </w:r>
      <w:proofErr w:type="spellEnd"/>
      <w:r w:rsidR="00967C43">
        <w:t xml:space="preserve"> below, outlines similar applications overseas along with their approved indications.</w:t>
      </w:r>
    </w:p>
    <w:p w14:paraId="012FFD29" w14:textId="080E7A1A" w:rsidR="00324E45" w:rsidRPr="00F0146F" w:rsidRDefault="00324E45" w:rsidP="00324E45">
      <w:pPr>
        <w:pStyle w:val="TableTitle"/>
      </w:pPr>
      <w:bookmarkStart w:id="21" w:name="_Ref84551901"/>
      <w:r>
        <w:lastRenderedPageBreak/>
        <w:t xml:space="preserve">Table </w:t>
      </w:r>
      <w:r w:rsidR="005137AB">
        <w:fldChar w:fldCharType="begin"/>
      </w:r>
      <w:r w:rsidR="005137AB">
        <w:instrText xml:space="preserve"> SEQ Table \* ARABIC </w:instrText>
      </w:r>
      <w:r w:rsidR="005137AB">
        <w:fldChar w:fldCharType="separate"/>
      </w:r>
      <w:r w:rsidR="00F81787">
        <w:rPr>
          <w:noProof/>
        </w:rPr>
        <w:t>1</w:t>
      </w:r>
      <w:r w:rsidR="005137AB">
        <w:rPr>
          <w:noProof/>
        </w:rPr>
        <w:fldChar w:fldCharType="end"/>
      </w:r>
      <w:r>
        <w:t>: International regulatory status</w:t>
      </w:r>
      <w:bookmarkEnd w:id="21"/>
    </w:p>
    <w:tbl>
      <w:tblPr>
        <w:tblStyle w:val="TableTGAblue"/>
        <w:tblW w:w="0" w:type="auto"/>
        <w:tblLook w:val="04A0" w:firstRow="1" w:lastRow="0" w:firstColumn="1" w:lastColumn="0" w:noHBand="0" w:noVBand="1"/>
      </w:tblPr>
      <w:tblGrid>
        <w:gridCol w:w="2048"/>
        <w:gridCol w:w="2290"/>
        <w:gridCol w:w="1782"/>
        <w:gridCol w:w="2600"/>
      </w:tblGrid>
      <w:tr w:rsidR="00006FAB" w14:paraId="7798029F" w14:textId="77777777" w:rsidTr="00AF711F">
        <w:trPr>
          <w:cnfStyle w:val="100000000000" w:firstRow="1" w:lastRow="0" w:firstColumn="0" w:lastColumn="0" w:oddVBand="0" w:evenVBand="0" w:oddHBand="0" w:evenHBand="0" w:firstRowFirstColumn="0" w:firstRowLastColumn="0" w:lastRowFirstColumn="0" w:lastRowLastColumn="0"/>
        </w:trPr>
        <w:tc>
          <w:tcPr>
            <w:tcW w:w="2048" w:type="dxa"/>
            <w:tcBorders>
              <w:top w:val="single" w:sz="4" w:space="0" w:color="auto"/>
              <w:left w:val="single" w:sz="4" w:space="0" w:color="auto"/>
              <w:bottom w:val="single" w:sz="4" w:space="0" w:color="auto"/>
              <w:right w:val="single" w:sz="4" w:space="0" w:color="auto"/>
            </w:tcBorders>
          </w:tcPr>
          <w:p w14:paraId="290FBEC0" w14:textId="77777777" w:rsidR="00006FAB" w:rsidRDefault="00006FAB" w:rsidP="00006FAB">
            <w:pPr>
              <w:ind w:left="0" w:right="0"/>
            </w:pPr>
            <w:r>
              <w:t>Region</w:t>
            </w:r>
          </w:p>
        </w:tc>
        <w:tc>
          <w:tcPr>
            <w:tcW w:w="2290" w:type="dxa"/>
            <w:tcBorders>
              <w:top w:val="single" w:sz="4" w:space="0" w:color="auto"/>
              <w:left w:val="single" w:sz="4" w:space="0" w:color="auto"/>
              <w:bottom w:val="single" w:sz="4" w:space="0" w:color="auto"/>
              <w:right w:val="single" w:sz="4" w:space="0" w:color="auto"/>
            </w:tcBorders>
          </w:tcPr>
          <w:p w14:paraId="5C158FB6" w14:textId="77777777" w:rsidR="00006FAB" w:rsidRDefault="00006FAB" w:rsidP="00006FAB">
            <w:pPr>
              <w:ind w:left="0" w:right="0"/>
            </w:pPr>
            <w:r>
              <w:t>Submission date</w:t>
            </w:r>
          </w:p>
        </w:tc>
        <w:tc>
          <w:tcPr>
            <w:tcW w:w="1782" w:type="dxa"/>
            <w:tcBorders>
              <w:top w:val="single" w:sz="4" w:space="0" w:color="auto"/>
              <w:left w:val="single" w:sz="4" w:space="0" w:color="auto"/>
              <w:bottom w:val="single" w:sz="4" w:space="0" w:color="auto"/>
              <w:right w:val="single" w:sz="4" w:space="0" w:color="auto"/>
            </w:tcBorders>
          </w:tcPr>
          <w:p w14:paraId="423714CB" w14:textId="77777777" w:rsidR="00006FAB" w:rsidRDefault="00006FAB" w:rsidP="00006FAB">
            <w:pPr>
              <w:ind w:left="0" w:right="0"/>
            </w:pPr>
            <w:r>
              <w:t>Status</w:t>
            </w:r>
          </w:p>
        </w:tc>
        <w:tc>
          <w:tcPr>
            <w:tcW w:w="2600" w:type="dxa"/>
            <w:tcBorders>
              <w:top w:val="single" w:sz="4" w:space="0" w:color="auto"/>
              <w:left w:val="single" w:sz="4" w:space="0" w:color="auto"/>
              <w:bottom w:val="single" w:sz="4" w:space="0" w:color="auto"/>
              <w:right w:val="single" w:sz="4" w:space="0" w:color="auto"/>
            </w:tcBorders>
          </w:tcPr>
          <w:p w14:paraId="56257F78" w14:textId="77777777" w:rsidR="00006FAB" w:rsidRDefault="00006FAB" w:rsidP="00006FAB">
            <w:pPr>
              <w:ind w:left="0" w:right="0"/>
            </w:pPr>
            <w:r>
              <w:t>Approved indications</w:t>
            </w:r>
          </w:p>
        </w:tc>
      </w:tr>
      <w:tr w:rsidR="00AF711F" w14:paraId="36DCA373" w14:textId="77777777" w:rsidTr="00967C43">
        <w:trPr>
          <w:cantSplit/>
        </w:trPr>
        <w:tc>
          <w:tcPr>
            <w:tcW w:w="2048" w:type="dxa"/>
            <w:tcBorders>
              <w:top w:val="single" w:sz="4" w:space="0" w:color="auto"/>
            </w:tcBorders>
          </w:tcPr>
          <w:p w14:paraId="1DA97A69" w14:textId="77777777" w:rsidR="00AF711F" w:rsidRDefault="00AF711F" w:rsidP="00AF711F">
            <w:pPr>
              <w:ind w:left="0" w:right="0"/>
            </w:pPr>
            <w:r>
              <w:t>European Union</w:t>
            </w:r>
          </w:p>
        </w:tc>
        <w:tc>
          <w:tcPr>
            <w:tcW w:w="2290" w:type="dxa"/>
            <w:tcBorders>
              <w:top w:val="single" w:sz="4" w:space="0" w:color="auto"/>
            </w:tcBorders>
          </w:tcPr>
          <w:p w14:paraId="09C9D04F" w14:textId="77777777" w:rsidR="00AF711F" w:rsidRPr="00AF711F" w:rsidRDefault="00AF711F" w:rsidP="00AF711F">
            <w:pPr>
              <w:ind w:left="0"/>
            </w:pPr>
            <w:r>
              <w:t>November 2018</w:t>
            </w:r>
          </w:p>
        </w:tc>
        <w:tc>
          <w:tcPr>
            <w:tcW w:w="1782" w:type="dxa"/>
            <w:tcBorders>
              <w:top w:val="single" w:sz="4" w:space="0" w:color="auto"/>
            </w:tcBorders>
          </w:tcPr>
          <w:p w14:paraId="1E492917" w14:textId="77777777" w:rsidR="00AF711F" w:rsidRPr="00AF711F" w:rsidRDefault="00AF711F" w:rsidP="00AF711F">
            <w:pPr>
              <w:ind w:left="0"/>
            </w:pPr>
            <w:r w:rsidRPr="00AF711F">
              <w:t>Approved</w:t>
            </w:r>
            <w:r>
              <w:t>; May 2019</w:t>
            </w:r>
          </w:p>
        </w:tc>
        <w:tc>
          <w:tcPr>
            <w:tcW w:w="2600" w:type="dxa"/>
            <w:tcBorders>
              <w:top w:val="single" w:sz="4" w:space="0" w:color="auto"/>
            </w:tcBorders>
          </w:tcPr>
          <w:p w14:paraId="77BA0848" w14:textId="77777777" w:rsidR="00AF711F" w:rsidRPr="00AF711F" w:rsidRDefault="00AF711F" w:rsidP="00AF711F">
            <w:pPr>
              <w:ind w:left="0" w:right="0"/>
              <w:rPr>
                <w:i/>
              </w:rPr>
            </w:pPr>
            <w:r w:rsidRPr="00AF711F">
              <w:rPr>
                <w:i/>
              </w:rPr>
              <w:t>Immunomodulation in adults, and children and adolescents (0-18 years) in Chronic inflammatory demyelinating polyradiculoneuropathy (CIDP).</w:t>
            </w:r>
          </w:p>
        </w:tc>
      </w:tr>
      <w:tr w:rsidR="00AF711F" w14:paraId="09B581AB" w14:textId="77777777" w:rsidTr="00AF711F">
        <w:tc>
          <w:tcPr>
            <w:tcW w:w="2048" w:type="dxa"/>
          </w:tcPr>
          <w:p w14:paraId="49773ED4" w14:textId="77777777" w:rsidR="00AF711F" w:rsidRDefault="00AF711F" w:rsidP="00AF711F">
            <w:pPr>
              <w:ind w:left="0" w:right="0"/>
            </w:pPr>
            <w:r>
              <w:t>Switzerland</w:t>
            </w:r>
          </w:p>
        </w:tc>
        <w:tc>
          <w:tcPr>
            <w:tcW w:w="2290" w:type="dxa"/>
          </w:tcPr>
          <w:p w14:paraId="7EB232DD" w14:textId="77777777" w:rsidR="00AF711F" w:rsidRPr="00AF711F" w:rsidRDefault="00AF711F" w:rsidP="00AF711F">
            <w:pPr>
              <w:ind w:left="0"/>
            </w:pPr>
            <w:r>
              <w:t>March 2019</w:t>
            </w:r>
          </w:p>
        </w:tc>
        <w:tc>
          <w:tcPr>
            <w:tcW w:w="1782" w:type="dxa"/>
          </w:tcPr>
          <w:p w14:paraId="15563F0D" w14:textId="77777777" w:rsidR="00AF711F" w:rsidRPr="00AF711F" w:rsidRDefault="00737DD3" w:rsidP="00AF711F">
            <w:pPr>
              <w:ind w:left="0"/>
            </w:pPr>
            <w:r>
              <w:t xml:space="preserve">Approved; </w:t>
            </w:r>
            <w:r w:rsidR="00AF711F">
              <w:t xml:space="preserve">August </w:t>
            </w:r>
            <w:r w:rsidR="00AF711F" w:rsidRPr="00AF711F">
              <w:t>2019</w:t>
            </w:r>
          </w:p>
        </w:tc>
        <w:tc>
          <w:tcPr>
            <w:tcW w:w="2600" w:type="dxa"/>
          </w:tcPr>
          <w:p w14:paraId="28BD8574" w14:textId="77777777" w:rsidR="00AF711F" w:rsidRPr="00AF711F" w:rsidRDefault="00AF711F" w:rsidP="00AF711F">
            <w:pPr>
              <w:ind w:left="0"/>
              <w:rPr>
                <w:i/>
              </w:rPr>
            </w:pPr>
            <w:proofErr w:type="spellStart"/>
            <w:r>
              <w:rPr>
                <w:i/>
              </w:rPr>
              <w:t>Immunmodulation</w:t>
            </w:r>
            <w:proofErr w:type="spellEnd"/>
            <w:r>
              <w:rPr>
                <w:i/>
              </w:rPr>
              <w:t xml:space="preserve"> in </w:t>
            </w:r>
            <w:r w:rsidRPr="00AF711F">
              <w:rPr>
                <w:i/>
              </w:rPr>
              <w:t>Chr</w:t>
            </w:r>
            <w:r>
              <w:rPr>
                <w:i/>
              </w:rPr>
              <w:t xml:space="preserve">onic inflammatory demyelinating </w:t>
            </w:r>
            <w:r w:rsidRPr="00AF711F">
              <w:rPr>
                <w:i/>
              </w:rPr>
              <w:t>polyradiculoneuropathy (CIDP).</w:t>
            </w:r>
          </w:p>
        </w:tc>
      </w:tr>
    </w:tbl>
    <w:p w14:paraId="133C3E63" w14:textId="77777777" w:rsidR="008E7846" w:rsidRDefault="008E7846" w:rsidP="00940A89">
      <w:pPr>
        <w:pStyle w:val="Heading3"/>
      </w:pPr>
      <w:bookmarkStart w:id="22" w:name="_Toc89339097"/>
      <w:r>
        <w:t>Product Information</w:t>
      </w:r>
      <w:bookmarkEnd w:id="19"/>
      <w:bookmarkEnd w:id="20"/>
      <w:bookmarkEnd w:id="22"/>
    </w:p>
    <w:p w14:paraId="09321776" w14:textId="0485ECCA"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8" w:history="1">
        <w:r w:rsidR="00441C3F" w:rsidRPr="00441C3F">
          <w:rPr>
            <w:rStyle w:val="Hyperlink"/>
          </w:rPr>
          <w:t>https://www.tga.gov.au/product-information-pi</w:t>
        </w:r>
      </w:hyperlink>
      <w:r w:rsidR="00441C3F">
        <w:t>&gt;</w:t>
      </w:r>
      <w:r w:rsidR="00940A89" w:rsidRPr="00940A89">
        <w:t>.</w:t>
      </w:r>
    </w:p>
    <w:p w14:paraId="61BAC5E2" w14:textId="77777777" w:rsidR="00500337" w:rsidRDefault="00500337" w:rsidP="00500337">
      <w:pPr>
        <w:pStyle w:val="Heading2"/>
      </w:pPr>
      <w:bookmarkStart w:id="25" w:name="_Toc504480011"/>
      <w:bookmarkStart w:id="26" w:name="_Toc89339098"/>
      <w:r>
        <w:t>II. Registration timeline</w:t>
      </w:r>
      <w:bookmarkEnd w:id="25"/>
      <w:bookmarkEnd w:id="26"/>
    </w:p>
    <w:p w14:paraId="55465BE5" w14:textId="77777777" w:rsidR="00500337" w:rsidRDefault="00500337" w:rsidP="00500337">
      <w:r>
        <w:t xml:space="preserve">The following table captures the key steps and dates for this </w:t>
      </w:r>
      <w:proofErr w:type="gramStart"/>
      <w:r>
        <w:t>application</w:t>
      </w:r>
      <w:proofErr w:type="gramEnd"/>
      <w:r>
        <w:t xml:space="preserve"> and which are detailed and discussed in this AusPAR.</w:t>
      </w:r>
    </w:p>
    <w:p w14:paraId="07405682" w14:textId="1D5BB200" w:rsidR="00967C43" w:rsidRDefault="00967C43" w:rsidP="00967C43">
      <w:pPr>
        <w:pStyle w:val="TableTitle"/>
      </w:pPr>
      <w:r>
        <w:t xml:space="preserve">Table </w:t>
      </w:r>
      <w:r w:rsidR="005137AB">
        <w:fldChar w:fldCharType="begin"/>
      </w:r>
      <w:r w:rsidR="005137AB">
        <w:instrText xml:space="preserve"> SEQ Table \* ARABIC </w:instrText>
      </w:r>
      <w:r w:rsidR="005137AB">
        <w:fldChar w:fldCharType="separate"/>
      </w:r>
      <w:r w:rsidR="00F81787">
        <w:rPr>
          <w:noProof/>
        </w:rPr>
        <w:t>2</w:t>
      </w:r>
      <w:r w:rsidR="005137AB">
        <w:rPr>
          <w:noProof/>
        </w:rPr>
        <w:fldChar w:fldCharType="end"/>
      </w:r>
      <w:r>
        <w:t>: Timeline for Submission PM-2020-02469-1-1</w:t>
      </w:r>
    </w:p>
    <w:tbl>
      <w:tblPr>
        <w:tblStyle w:val="TableTGAblue"/>
        <w:tblW w:w="0" w:type="auto"/>
        <w:tblLook w:val="04A0" w:firstRow="1" w:lastRow="0" w:firstColumn="1" w:lastColumn="0" w:noHBand="0" w:noVBand="1"/>
      </w:tblPr>
      <w:tblGrid>
        <w:gridCol w:w="6204"/>
        <w:gridCol w:w="2516"/>
      </w:tblGrid>
      <w:tr w:rsidR="00500337" w14:paraId="41A3AACF" w14:textId="77777777" w:rsidTr="00F53A98">
        <w:trPr>
          <w:cnfStyle w:val="100000000000" w:firstRow="1" w:lastRow="0" w:firstColumn="0" w:lastColumn="0" w:oddVBand="0" w:evenVBand="0" w:oddHBand="0" w:evenHBand="0" w:firstRowFirstColumn="0" w:firstRowLastColumn="0" w:lastRowFirstColumn="0" w:lastRowLastColumn="0"/>
          <w:cantSplit/>
        </w:trPr>
        <w:tc>
          <w:tcPr>
            <w:tcW w:w="6204" w:type="dxa"/>
            <w:tcBorders>
              <w:top w:val="single" w:sz="4" w:space="0" w:color="auto"/>
              <w:left w:val="single" w:sz="4" w:space="0" w:color="auto"/>
              <w:bottom w:val="single" w:sz="4" w:space="0" w:color="auto"/>
              <w:right w:val="single" w:sz="4" w:space="0" w:color="auto"/>
            </w:tcBorders>
          </w:tcPr>
          <w:p w14:paraId="4A43656F" w14:textId="77777777" w:rsidR="00500337" w:rsidRDefault="00500337" w:rsidP="00500337">
            <w:pPr>
              <w:ind w:left="0" w:right="0"/>
            </w:pPr>
            <w:r>
              <w:t>Description</w:t>
            </w:r>
          </w:p>
        </w:tc>
        <w:tc>
          <w:tcPr>
            <w:tcW w:w="2516" w:type="dxa"/>
            <w:tcBorders>
              <w:top w:val="single" w:sz="4" w:space="0" w:color="auto"/>
              <w:left w:val="single" w:sz="4" w:space="0" w:color="auto"/>
              <w:bottom w:val="single" w:sz="4" w:space="0" w:color="auto"/>
              <w:right w:val="single" w:sz="4" w:space="0" w:color="auto"/>
            </w:tcBorders>
          </w:tcPr>
          <w:p w14:paraId="1697339C" w14:textId="77777777" w:rsidR="00500337" w:rsidRDefault="00500337" w:rsidP="00500337">
            <w:pPr>
              <w:ind w:left="0" w:right="0"/>
            </w:pPr>
            <w:r>
              <w:t>Date</w:t>
            </w:r>
          </w:p>
        </w:tc>
      </w:tr>
      <w:tr w:rsidR="00500337" w14:paraId="49346DB8" w14:textId="77777777" w:rsidTr="00F53A98">
        <w:tc>
          <w:tcPr>
            <w:tcW w:w="6204" w:type="dxa"/>
            <w:tcBorders>
              <w:top w:val="single" w:sz="4" w:space="0" w:color="auto"/>
            </w:tcBorders>
          </w:tcPr>
          <w:p w14:paraId="3EDC9773" w14:textId="77777777" w:rsidR="00500337" w:rsidRDefault="00500337" w:rsidP="00500337">
            <w:pPr>
              <w:ind w:left="0" w:right="0"/>
            </w:pPr>
            <w:r>
              <w:t>Submission dossier accepted and first round evaluation commenced</w:t>
            </w:r>
          </w:p>
        </w:tc>
        <w:tc>
          <w:tcPr>
            <w:tcW w:w="2516" w:type="dxa"/>
            <w:tcBorders>
              <w:top w:val="single" w:sz="4" w:space="0" w:color="auto"/>
            </w:tcBorders>
          </w:tcPr>
          <w:p w14:paraId="2FAADEDC" w14:textId="77777777" w:rsidR="00500337" w:rsidRDefault="00455CA4" w:rsidP="00500337">
            <w:pPr>
              <w:ind w:left="0" w:right="0"/>
            </w:pPr>
            <w:r>
              <w:t>30 June 2020</w:t>
            </w:r>
          </w:p>
        </w:tc>
      </w:tr>
      <w:tr w:rsidR="00500337" w14:paraId="618AEF50" w14:textId="77777777" w:rsidTr="00F53A98">
        <w:tc>
          <w:tcPr>
            <w:tcW w:w="6204" w:type="dxa"/>
          </w:tcPr>
          <w:p w14:paraId="7B6216D7" w14:textId="77777777" w:rsidR="00500337" w:rsidRDefault="00500337" w:rsidP="00500337">
            <w:pPr>
              <w:ind w:left="0" w:right="0"/>
            </w:pPr>
            <w:r>
              <w:t>First round evaluation completed</w:t>
            </w:r>
          </w:p>
        </w:tc>
        <w:tc>
          <w:tcPr>
            <w:tcW w:w="2516" w:type="dxa"/>
          </w:tcPr>
          <w:p w14:paraId="7D131EA1" w14:textId="77777777" w:rsidR="00500337" w:rsidRDefault="00455CA4" w:rsidP="00500337">
            <w:pPr>
              <w:ind w:left="0" w:right="0"/>
            </w:pPr>
            <w:r>
              <w:t>7 December 2020</w:t>
            </w:r>
          </w:p>
        </w:tc>
      </w:tr>
      <w:tr w:rsidR="00500337" w14:paraId="14464FB0" w14:textId="77777777" w:rsidTr="00F53A98">
        <w:tc>
          <w:tcPr>
            <w:tcW w:w="6204" w:type="dxa"/>
          </w:tcPr>
          <w:p w14:paraId="2A0BAE66" w14:textId="77777777" w:rsidR="00500337" w:rsidRDefault="00500337" w:rsidP="00500337">
            <w:pPr>
              <w:ind w:left="0" w:right="0"/>
            </w:pPr>
            <w:r>
              <w:t>Sponsor provides responses on questions raised in first round evaluation</w:t>
            </w:r>
          </w:p>
        </w:tc>
        <w:tc>
          <w:tcPr>
            <w:tcW w:w="2516" w:type="dxa"/>
          </w:tcPr>
          <w:p w14:paraId="1D2E4CD5" w14:textId="77777777" w:rsidR="00500337" w:rsidRDefault="00455CA4" w:rsidP="00500337">
            <w:pPr>
              <w:ind w:left="0" w:right="0"/>
            </w:pPr>
            <w:r>
              <w:t>29 January 2021</w:t>
            </w:r>
          </w:p>
        </w:tc>
      </w:tr>
      <w:tr w:rsidR="00500337" w14:paraId="74E7923E" w14:textId="77777777" w:rsidTr="00F53A98">
        <w:tc>
          <w:tcPr>
            <w:tcW w:w="6204" w:type="dxa"/>
          </w:tcPr>
          <w:p w14:paraId="686BD147" w14:textId="77777777" w:rsidR="00500337" w:rsidRDefault="00500337" w:rsidP="00500337">
            <w:pPr>
              <w:ind w:left="0" w:right="0"/>
            </w:pPr>
            <w:r>
              <w:t>Second round evaluation completed</w:t>
            </w:r>
          </w:p>
        </w:tc>
        <w:tc>
          <w:tcPr>
            <w:tcW w:w="2516" w:type="dxa"/>
          </w:tcPr>
          <w:p w14:paraId="0B486F6E" w14:textId="77777777" w:rsidR="00500337" w:rsidRDefault="00455CA4" w:rsidP="00500337">
            <w:pPr>
              <w:ind w:left="0" w:right="0"/>
            </w:pPr>
            <w:r>
              <w:t>19 February 2021</w:t>
            </w:r>
          </w:p>
        </w:tc>
      </w:tr>
      <w:tr w:rsidR="00500337" w14:paraId="76D34284" w14:textId="77777777" w:rsidTr="00F53A98">
        <w:tc>
          <w:tcPr>
            <w:tcW w:w="6204" w:type="dxa"/>
          </w:tcPr>
          <w:p w14:paraId="72E25912" w14:textId="77777777" w:rsidR="00500337" w:rsidRDefault="00324E45" w:rsidP="00455CA4">
            <w:pPr>
              <w:ind w:left="0" w:right="0"/>
            </w:pPr>
            <w:r>
              <w:t>Delegate’s Overall benefit-</w:t>
            </w:r>
            <w:r w:rsidRPr="00455CA4">
              <w:rPr>
                <w:color w:val="auto"/>
              </w:rPr>
              <w:t>risk assessment and reques</w:t>
            </w:r>
            <w:r w:rsidR="00455CA4" w:rsidRPr="00455CA4">
              <w:rPr>
                <w:color w:val="auto"/>
              </w:rPr>
              <w:t>t for Advisory Committee advice</w:t>
            </w:r>
          </w:p>
        </w:tc>
        <w:tc>
          <w:tcPr>
            <w:tcW w:w="2516" w:type="dxa"/>
          </w:tcPr>
          <w:p w14:paraId="707FEDD0" w14:textId="77777777" w:rsidR="00500337" w:rsidRDefault="00455CA4" w:rsidP="00500337">
            <w:pPr>
              <w:ind w:left="0" w:right="0"/>
            </w:pPr>
            <w:r>
              <w:t>4 May 2021</w:t>
            </w:r>
          </w:p>
        </w:tc>
      </w:tr>
      <w:tr w:rsidR="00500337" w14:paraId="1EEA971C" w14:textId="77777777" w:rsidTr="00F53A98">
        <w:tc>
          <w:tcPr>
            <w:tcW w:w="6204" w:type="dxa"/>
          </w:tcPr>
          <w:p w14:paraId="21ABA8D5" w14:textId="77777777" w:rsidR="00500337" w:rsidRDefault="00500337" w:rsidP="00500337">
            <w:pPr>
              <w:ind w:left="0" w:right="0"/>
            </w:pPr>
            <w:r>
              <w:t>Sponsor’s pre-Advisory Committee response</w:t>
            </w:r>
          </w:p>
        </w:tc>
        <w:tc>
          <w:tcPr>
            <w:tcW w:w="2516" w:type="dxa"/>
          </w:tcPr>
          <w:p w14:paraId="5178B5FD" w14:textId="77777777" w:rsidR="00500337" w:rsidRDefault="00455CA4" w:rsidP="00500337">
            <w:pPr>
              <w:ind w:left="0" w:right="0"/>
            </w:pPr>
            <w:r>
              <w:t>18 May 2021</w:t>
            </w:r>
          </w:p>
        </w:tc>
      </w:tr>
      <w:tr w:rsidR="00500337" w14:paraId="3AC09507" w14:textId="77777777" w:rsidTr="00F53A98">
        <w:tc>
          <w:tcPr>
            <w:tcW w:w="6204" w:type="dxa"/>
          </w:tcPr>
          <w:p w14:paraId="28B3CBBD" w14:textId="77777777" w:rsidR="00500337" w:rsidRDefault="00500337" w:rsidP="00500337">
            <w:pPr>
              <w:ind w:left="0" w:right="0"/>
            </w:pPr>
            <w:r>
              <w:t>Advisory Committee meeting</w:t>
            </w:r>
          </w:p>
        </w:tc>
        <w:tc>
          <w:tcPr>
            <w:tcW w:w="2516" w:type="dxa"/>
          </w:tcPr>
          <w:p w14:paraId="149BDED7" w14:textId="77777777" w:rsidR="00500337" w:rsidRDefault="00455CA4" w:rsidP="00500337">
            <w:pPr>
              <w:ind w:left="0" w:right="0"/>
            </w:pPr>
            <w:r>
              <w:t>18 June 2021</w:t>
            </w:r>
          </w:p>
        </w:tc>
      </w:tr>
      <w:tr w:rsidR="00500337" w14:paraId="7F31E4D6" w14:textId="77777777" w:rsidTr="00F53A98">
        <w:tc>
          <w:tcPr>
            <w:tcW w:w="6204" w:type="dxa"/>
          </w:tcPr>
          <w:p w14:paraId="09220CDB" w14:textId="77777777" w:rsidR="00500337" w:rsidRDefault="00500337" w:rsidP="00500337">
            <w:pPr>
              <w:ind w:left="0" w:right="0"/>
            </w:pPr>
            <w:r>
              <w:t>Registration decision (Outcome)</w:t>
            </w:r>
          </w:p>
        </w:tc>
        <w:tc>
          <w:tcPr>
            <w:tcW w:w="2516" w:type="dxa"/>
          </w:tcPr>
          <w:p w14:paraId="7A53E2D4" w14:textId="77777777" w:rsidR="00500337" w:rsidRDefault="00455CA4" w:rsidP="00500337">
            <w:pPr>
              <w:ind w:left="0" w:right="0"/>
            </w:pPr>
            <w:r>
              <w:t>20 July 2021</w:t>
            </w:r>
          </w:p>
        </w:tc>
      </w:tr>
      <w:tr w:rsidR="00500337" w14:paraId="379D8A8E" w14:textId="77777777" w:rsidTr="00F53A98">
        <w:tc>
          <w:tcPr>
            <w:tcW w:w="6204" w:type="dxa"/>
          </w:tcPr>
          <w:p w14:paraId="3824CF78" w14:textId="77777777" w:rsidR="00500337" w:rsidRDefault="00500337" w:rsidP="00500337">
            <w:pPr>
              <w:ind w:left="0" w:right="0"/>
            </w:pPr>
            <w:r>
              <w:lastRenderedPageBreak/>
              <w:t xml:space="preserve">Completion of administrative activities and registration on </w:t>
            </w:r>
            <w:r w:rsidR="00006FAB">
              <w:t xml:space="preserve">the </w:t>
            </w:r>
            <w:r>
              <w:t>ARTG</w:t>
            </w:r>
          </w:p>
        </w:tc>
        <w:tc>
          <w:tcPr>
            <w:tcW w:w="2516" w:type="dxa"/>
          </w:tcPr>
          <w:p w14:paraId="7737ED75" w14:textId="77777777" w:rsidR="00500337" w:rsidRDefault="00455CA4" w:rsidP="00500337">
            <w:pPr>
              <w:ind w:left="0" w:right="0"/>
            </w:pPr>
            <w:r>
              <w:t>23 July 2021</w:t>
            </w:r>
          </w:p>
        </w:tc>
      </w:tr>
      <w:tr w:rsidR="00500337" w14:paraId="3835D143" w14:textId="77777777" w:rsidTr="00F53A98">
        <w:tc>
          <w:tcPr>
            <w:tcW w:w="6204" w:type="dxa"/>
          </w:tcPr>
          <w:p w14:paraId="31D9368A" w14:textId="77777777" w:rsidR="00500337" w:rsidRDefault="00500337" w:rsidP="00500337">
            <w:pPr>
              <w:ind w:left="0" w:right="0"/>
            </w:pPr>
            <w:r>
              <w:t>Number of working days from submission dossier acceptance to registration decision*</w:t>
            </w:r>
          </w:p>
        </w:tc>
        <w:tc>
          <w:tcPr>
            <w:tcW w:w="2516" w:type="dxa"/>
          </w:tcPr>
          <w:p w14:paraId="750E1483" w14:textId="77777777" w:rsidR="00500337" w:rsidRDefault="00455CA4" w:rsidP="00500337">
            <w:pPr>
              <w:ind w:left="0" w:right="0"/>
            </w:pPr>
            <w:r>
              <w:t>229</w:t>
            </w:r>
          </w:p>
        </w:tc>
      </w:tr>
    </w:tbl>
    <w:p w14:paraId="03A9D1EF"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24E76217" w14:textId="77777777" w:rsidR="008E7846" w:rsidRPr="00792A32" w:rsidRDefault="00456765" w:rsidP="008E7846">
      <w:pPr>
        <w:pStyle w:val="Heading2"/>
      </w:pPr>
      <w:bookmarkStart w:id="27" w:name="_Toc196046504"/>
      <w:bookmarkStart w:id="28" w:name="_Toc247691527"/>
      <w:bookmarkStart w:id="29" w:name="_Toc314842510"/>
      <w:bookmarkStart w:id="30" w:name="_Toc89339099"/>
      <w:bookmarkStart w:id="31" w:name="_Toc163441390"/>
      <w:bookmarkEnd w:id="23"/>
      <w:bookmarkEnd w:id="24"/>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7"/>
      <w:bookmarkEnd w:id="28"/>
      <w:bookmarkEnd w:id="29"/>
      <w:bookmarkEnd w:id="30"/>
    </w:p>
    <w:p w14:paraId="5BAAE2E5" w14:textId="77777777" w:rsidR="00006FAB" w:rsidRDefault="00006FAB" w:rsidP="00006FAB">
      <w:bookmarkStart w:id="32" w:name="_Toc247691528"/>
      <w:r>
        <w:t>The submission was summarised in the following Delegate’s overview and recommendations.</w:t>
      </w:r>
    </w:p>
    <w:p w14:paraId="45CF6387" w14:textId="77777777" w:rsidR="00371965" w:rsidRDefault="00371965" w:rsidP="00455CA4">
      <w:pPr>
        <w:pStyle w:val="Heading3"/>
      </w:pPr>
      <w:bookmarkStart w:id="33" w:name="_Toc89339100"/>
      <w:r>
        <w:t>Contents of the clinical dossier</w:t>
      </w:r>
      <w:bookmarkEnd w:id="33"/>
    </w:p>
    <w:p w14:paraId="402A00F1" w14:textId="77777777" w:rsidR="007D539A" w:rsidRDefault="007D539A" w:rsidP="00455CA4">
      <w:r>
        <w:t xml:space="preserve">This is a </w:t>
      </w:r>
      <w:proofErr w:type="gramStart"/>
      <w:r>
        <w:t>literature based</w:t>
      </w:r>
      <w:proofErr w:type="gramEnd"/>
      <w:r>
        <w:t xml:space="preserve"> submission.</w:t>
      </w:r>
    </w:p>
    <w:p w14:paraId="267301A8" w14:textId="77777777" w:rsidR="00455CA4" w:rsidRDefault="00455CA4" w:rsidP="00455CA4">
      <w:r>
        <w:t xml:space="preserve">The TGA approved the methodology and search strategies, that the sponsor undertook in support of this </w:t>
      </w:r>
      <w:proofErr w:type="gramStart"/>
      <w:r>
        <w:t>literature based</w:t>
      </w:r>
      <w:proofErr w:type="gramEnd"/>
      <w:r>
        <w:t xml:space="preserve"> submission on 10 January 2020 (provided the search was not limited by date). No pre-submission meetings were undertaken between the sponsor and representatives of the TGA.</w:t>
      </w:r>
    </w:p>
    <w:p w14:paraId="25135749" w14:textId="77777777" w:rsidR="007D539A" w:rsidRPr="007D539A" w:rsidRDefault="007D539A" w:rsidP="007D539A">
      <w:r w:rsidRPr="007D3D01">
        <w:rPr>
          <w:lang w:eastAsia="ja-JP"/>
        </w:rPr>
        <w:t xml:space="preserve">The </w:t>
      </w:r>
      <w:r>
        <w:rPr>
          <w:lang w:eastAsia="ja-JP"/>
        </w:rPr>
        <w:t xml:space="preserve">sponsor’s </w:t>
      </w:r>
      <w:r w:rsidRPr="007D3D01">
        <w:rPr>
          <w:lang w:eastAsia="ja-JP"/>
        </w:rPr>
        <w:t xml:space="preserve">overall search identified 149 studies. </w:t>
      </w:r>
      <w:r>
        <w:rPr>
          <w:lang w:eastAsia="ja-JP"/>
        </w:rPr>
        <w:t>Of these, 53 p</w:t>
      </w:r>
      <w:r w:rsidRPr="007D3D01">
        <w:rPr>
          <w:lang w:eastAsia="ja-JP"/>
        </w:rPr>
        <w:t xml:space="preserve">riority studies were identified by a primary and independent second researcher. </w:t>
      </w:r>
      <w:r w:rsidRPr="007D3D01">
        <w:rPr>
          <w:rFonts w:eastAsiaTheme="minorHAnsi" w:cs="Verdana"/>
        </w:rPr>
        <w:t>Prioritisation for data extraction included:</w:t>
      </w:r>
    </w:p>
    <w:p w14:paraId="72084968" w14:textId="77777777" w:rsidR="007D539A" w:rsidRPr="007D539A" w:rsidRDefault="007D539A" w:rsidP="007D539A">
      <w:pPr>
        <w:pStyle w:val="ListBullet"/>
      </w:pPr>
      <w:r w:rsidRPr="007D539A">
        <w:t xml:space="preserve">Studies investigating </w:t>
      </w:r>
      <w:proofErr w:type="spellStart"/>
      <w:r w:rsidRPr="007D539A">
        <w:t>Gammagard</w:t>
      </w:r>
      <w:proofErr w:type="spellEnd"/>
      <w:r w:rsidRPr="007D539A">
        <w:t>/</w:t>
      </w:r>
      <w:proofErr w:type="spellStart"/>
      <w:r w:rsidRPr="007D539A">
        <w:t>Kiovig</w:t>
      </w:r>
      <w:proofErr w:type="spellEnd"/>
      <w:r w:rsidRPr="007D539A">
        <w:t xml:space="preserve"> (including single-arm studies); or</w:t>
      </w:r>
    </w:p>
    <w:p w14:paraId="42F51C55" w14:textId="77777777" w:rsidR="007D539A" w:rsidRDefault="007D539A" w:rsidP="007D539A">
      <w:pPr>
        <w:pStyle w:val="ListBullet"/>
      </w:pPr>
      <w:r w:rsidRPr="007D539A">
        <w:t xml:space="preserve">Comparative studies looking at the effectiveness of other </w:t>
      </w:r>
      <w:r>
        <w:t>intravenous immunoglobulins</w:t>
      </w:r>
      <w:r w:rsidRPr="007D539A">
        <w:t xml:space="preserve"> which could be either placebo-controlled or compared </w:t>
      </w:r>
      <w:r>
        <w:t>intravenous immunoglobulins</w:t>
      </w:r>
      <w:r w:rsidRPr="007D539A">
        <w:t xml:space="preserve"> with other interventions (</w:t>
      </w:r>
      <w:r>
        <w:t xml:space="preserve">for example, </w:t>
      </w:r>
      <w:r w:rsidRPr="007D539A">
        <w:t>plasma exchange</w:t>
      </w:r>
      <w:r w:rsidR="007B62A8">
        <w:t xml:space="preserve">, subcutaneous </w:t>
      </w:r>
      <w:proofErr w:type="gramStart"/>
      <w:r w:rsidR="007B62A8">
        <w:t>immunoglobulins</w:t>
      </w:r>
      <w:proofErr w:type="gramEnd"/>
      <w:r w:rsidR="007B62A8">
        <w:t xml:space="preserve"> </w:t>
      </w:r>
      <w:r w:rsidRPr="007D539A">
        <w:t>or corticosteroids).</w:t>
      </w:r>
    </w:p>
    <w:p w14:paraId="504CC4F7" w14:textId="77777777" w:rsidR="007D539A" w:rsidRDefault="007D539A" w:rsidP="007D539A">
      <w:r>
        <w:t>For this submission, 29</w:t>
      </w:r>
      <w:r w:rsidR="007B62A8">
        <w:t xml:space="preserve"> </w:t>
      </w:r>
      <w:r w:rsidRPr="007D539A">
        <w:t>studies met the inclusion criteria for priority data extraction and were reported in 53 publications (some provided information on more than one study). The remaining 96 publications were considered lower or given no priority status.</w:t>
      </w:r>
    </w:p>
    <w:p w14:paraId="2C2D1AA3" w14:textId="77777777" w:rsidR="007B62A8" w:rsidRDefault="007B62A8" w:rsidP="007B62A8">
      <w:r w:rsidRPr="007B62A8">
        <w:t>For the evaluation of efficacy and safety</w:t>
      </w:r>
      <w:r>
        <w:t>, the following were submitted:</w:t>
      </w:r>
    </w:p>
    <w:p w14:paraId="5963B010" w14:textId="77777777" w:rsidR="007B62A8" w:rsidRDefault="007B62A8" w:rsidP="007B62A8">
      <w:pPr>
        <w:pStyle w:val="ListBullet"/>
      </w:pPr>
      <w:r w:rsidRPr="000D0F40">
        <w:t xml:space="preserve">2 systematic reviews of all relevant </w:t>
      </w:r>
      <w:r>
        <w:t>randomised controlled trials, meta-</w:t>
      </w:r>
      <w:proofErr w:type="gramStart"/>
      <w:r>
        <w:t>analyses;</w:t>
      </w:r>
      <w:proofErr w:type="gramEnd"/>
    </w:p>
    <w:p w14:paraId="60662F46" w14:textId="24096A22" w:rsidR="007B62A8" w:rsidRDefault="007B62A8" w:rsidP="007B62A8">
      <w:pPr>
        <w:pStyle w:val="ListBullet"/>
      </w:pPr>
      <w:r>
        <w:t>5 controlled studies: one</w:t>
      </w:r>
      <w:r w:rsidRPr="009E4528">
        <w:t xml:space="preserve"> </w:t>
      </w:r>
      <w:r>
        <w:t xml:space="preserve">main randomised control trial that assessed </w:t>
      </w:r>
      <w:proofErr w:type="spellStart"/>
      <w:r>
        <w:t>Kiovig</w:t>
      </w:r>
      <w:proofErr w:type="spellEnd"/>
      <w:r>
        <w:t xml:space="preserve"> and </w:t>
      </w:r>
      <w:r w:rsidR="001279A9">
        <w:t>4 </w:t>
      </w:r>
      <w:r w:rsidRPr="000D0F40">
        <w:t xml:space="preserve">main </w:t>
      </w:r>
      <w:r>
        <w:t>placebo-controlled randomised control trial</w:t>
      </w:r>
      <w:r w:rsidRPr="000D0F40">
        <w:t xml:space="preserve"> studies </w:t>
      </w:r>
      <w:r>
        <w:t>(non</w:t>
      </w:r>
      <w:r>
        <w:noBreakHyphen/>
        <w:t>specific to</w:t>
      </w:r>
      <w:r w:rsidRPr="000D0F40">
        <w:t xml:space="preserve"> </w:t>
      </w:r>
      <w:proofErr w:type="spellStart"/>
      <w:r w:rsidRPr="000D0F40">
        <w:t>Kiovig</w:t>
      </w:r>
      <w:proofErr w:type="spellEnd"/>
      <w:proofErr w:type="gramStart"/>
      <w:r>
        <w:t>);</w:t>
      </w:r>
      <w:proofErr w:type="gramEnd"/>
    </w:p>
    <w:p w14:paraId="4B308BFC" w14:textId="77777777" w:rsidR="007B62A8" w:rsidRPr="002F23E7" w:rsidRDefault="007B62A8" w:rsidP="007B62A8">
      <w:pPr>
        <w:pStyle w:val="ListBullet"/>
      </w:pPr>
      <w:r>
        <w:t xml:space="preserve">6 supportive studies in CIDP patients: 4 randomised control trials, and 2 uncontrolled clinical </w:t>
      </w:r>
      <w:proofErr w:type="gramStart"/>
      <w:r>
        <w:t>trials;</w:t>
      </w:r>
      <w:proofErr w:type="gramEnd"/>
    </w:p>
    <w:p w14:paraId="2077308B" w14:textId="77777777" w:rsidR="007B62A8" w:rsidRPr="007B62A8" w:rsidRDefault="007B62A8" w:rsidP="007B62A8">
      <w:pPr>
        <w:pStyle w:val="ListBullet"/>
      </w:pPr>
      <w:r w:rsidRPr="007B62A8">
        <w:t>5 retrospective studies</w:t>
      </w:r>
      <w:r>
        <w:t xml:space="preserve">, of which one was for safety </w:t>
      </w:r>
      <w:proofErr w:type="gramStart"/>
      <w:r>
        <w:t>only;</w:t>
      </w:r>
      <w:proofErr w:type="gramEnd"/>
    </w:p>
    <w:p w14:paraId="178E10DA" w14:textId="77777777" w:rsidR="007B62A8" w:rsidRPr="007B62A8" w:rsidRDefault="007B62A8" w:rsidP="007B62A8">
      <w:pPr>
        <w:pStyle w:val="ListBullet"/>
      </w:pPr>
      <w:r>
        <w:t>one</w:t>
      </w:r>
      <w:r w:rsidRPr="007B62A8">
        <w:t xml:space="preserve"> periodic safety update review (dated 22 July 2019)</w:t>
      </w:r>
      <w:r>
        <w:t>; and</w:t>
      </w:r>
    </w:p>
    <w:p w14:paraId="40293231" w14:textId="77777777" w:rsidR="007B62A8" w:rsidRPr="007B62A8" w:rsidRDefault="007B62A8" w:rsidP="007B62A8">
      <w:pPr>
        <w:pStyle w:val="ListBullet"/>
      </w:pPr>
      <w:r>
        <w:t>l</w:t>
      </w:r>
      <w:r w:rsidRPr="007B62A8">
        <w:t>iterature references</w:t>
      </w:r>
      <w:r>
        <w:t>.</w:t>
      </w:r>
    </w:p>
    <w:p w14:paraId="07776815" w14:textId="77777777" w:rsidR="007B62A8" w:rsidRPr="007D539A" w:rsidRDefault="007B62A8" w:rsidP="007D539A">
      <w:r w:rsidRPr="00E82B96">
        <w:t xml:space="preserve">No </w:t>
      </w:r>
      <w:r>
        <w:t>pivotal Phase III, or P</w:t>
      </w:r>
      <w:r w:rsidRPr="00E82B96">
        <w:t>hase II dose-finding</w:t>
      </w:r>
      <w:r>
        <w:t>,</w:t>
      </w:r>
      <w:r w:rsidRPr="00E82B96">
        <w:t xml:space="preserve"> studies were included in the clinical dossier.</w:t>
      </w:r>
    </w:p>
    <w:p w14:paraId="0AE09EC9" w14:textId="77777777" w:rsidR="00371965" w:rsidRPr="00371965" w:rsidRDefault="00371965" w:rsidP="00455CA4">
      <w:pPr>
        <w:pStyle w:val="Heading4"/>
      </w:pPr>
      <w:r w:rsidRPr="00455CA4">
        <w:lastRenderedPageBreak/>
        <w:t>Guidance</w:t>
      </w:r>
    </w:p>
    <w:p w14:paraId="66383E7D" w14:textId="77777777" w:rsidR="00371965" w:rsidRDefault="00371965" w:rsidP="00371965">
      <w:r>
        <w:t>The following TGA</w:t>
      </w:r>
      <w:r w:rsidR="00B44AE6">
        <w:t xml:space="preserve"> guideline and TGA</w:t>
      </w:r>
      <w:r>
        <w:t>-adopted EU guidelines are referred to in support of the clinical aspects of this application:</w:t>
      </w:r>
    </w:p>
    <w:p w14:paraId="16C22777" w14:textId="77777777" w:rsidR="00371965" w:rsidRDefault="00B44AE6" w:rsidP="00B44AE6">
      <w:pPr>
        <w:pStyle w:val="ListBullet"/>
      </w:pPr>
      <w:r w:rsidRPr="00B44AE6">
        <w:t>EMA/CHMP/BPWP/94033/2007 rev. 4</w:t>
      </w:r>
      <w:r>
        <w:t xml:space="preserve"> </w:t>
      </w:r>
      <w:r w:rsidR="00371965">
        <w:t>Guideline on the clinical investigation of human normal immunoglobulin for int</w:t>
      </w:r>
      <w:r>
        <w:t>ravenous administration (IVIg) (draft), 17 </w:t>
      </w:r>
      <w:r w:rsidRPr="00B44AE6">
        <w:t>September 2020</w:t>
      </w:r>
      <w:r>
        <w:t>;</w:t>
      </w:r>
      <w:bookmarkStart w:id="34" w:name="_Ref82138845"/>
      <w:r w:rsidR="00725847">
        <w:rPr>
          <w:rStyle w:val="FootnoteReference"/>
        </w:rPr>
        <w:footnoteReference w:id="3"/>
      </w:r>
      <w:bookmarkEnd w:id="34"/>
    </w:p>
    <w:p w14:paraId="3170C2D8" w14:textId="77777777" w:rsidR="00371965" w:rsidRDefault="00371965" w:rsidP="00371965">
      <w:pPr>
        <w:pStyle w:val="ListBullet"/>
      </w:pPr>
      <w:r>
        <w:t>Literature-based submissions, Therapeutic Goo</w:t>
      </w:r>
      <w:r w:rsidR="00B44AE6">
        <w:t>ds Administration, 27 May 2014;</w:t>
      </w:r>
      <w:bookmarkStart w:id="35" w:name="_Ref82146872"/>
      <w:r w:rsidR="001F4171">
        <w:rPr>
          <w:rStyle w:val="FootnoteReference"/>
        </w:rPr>
        <w:footnoteReference w:id="4"/>
      </w:r>
      <w:bookmarkEnd w:id="35"/>
    </w:p>
    <w:p w14:paraId="4DEF9E4D" w14:textId="77777777" w:rsidR="00371965" w:rsidRDefault="00B44AE6" w:rsidP="00B44AE6">
      <w:pPr>
        <w:pStyle w:val="ListBullet"/>
      </w:pPr>
      <w:r w:rsidRPr="00B44AE6">
        <w:t>CHMP/EWP/83561/2005</w:t>
      </w:r>
      <w:r>
        <w:t xml:space="preserve"> </w:t>
      </w:r>
      <w:r w:rsidR="00371965">
        <w:t>Guideline on clini</w:t>
      </w:r>
      <w:r>
        <w:t>cal trials in small populations, 27 July </w:t>
      </w:r>
      <w:r w:rsidRPr="00B44AE6">
        <w:t>2006</w:t>
      </w:r>
      <w:r>
        <w:t>;</w:t>
      </w:r>
      <w:bookmarkStart w:id="36" w:name="_Ref84561443"/>
      <w:r w:rsidR="00FE045D">
        <w:rPr>
          <w:rStyle w:val="FootnoteReference"/>
        </w:rPr>
        <w:footnoteReference w:id="5"/>
      </w:r>
      <w:bookmarkEnd w:id="36"/>
      <w:r w:rsidR="00371965">
        <w:t xml:space="preserve"> and</w:t>
      </w:r>
    </w:p>
    <w:p w14:paraId="7C98D4E6" w14:textId="77777777" w:rsidR="00371965" w:rsidRPr="00371965" w:rsidRDefault="00B44AE6" w:rsidP="00B44AE6">
      <w:pPr>
        <w:pStyle w:val="ListBullet"/>
      </w:pPr>
      <w:r w:rsidRPr="00B44AE6">
        <w:t>CPMP/EWP/2330/99</w:t>
      </w:r>
      <w:r>
        <w:t xml:space="preserve"> </w:t>
      </w:r>
      <w:r w:rsidR="00371965">
        <w:t>Points to consider on application</w:t>
      </w:r>
      <w:r>
        <w:t xml:space="preserve"> with (1) Meta-analyses and (2) </w:t>
      </w:r>
      <w:r w:rsidR="00371965">
        <w:t>One pivotal study</w:t>
      </w:r>
      <w:r>
        <w:t xml:space="preserve">, </w:t>
      </w:r>
      <w:r w:rsidRPr="00B44AE6">
        <w:t>31 May 2001</w:t>
      </w:r>
      <w:r>
        <w:t>.</w:t>
      </w:r>
      <w:bookmarkStart w:id="37" w:name="_Ref84392371"/>
      <w:r w:rsidR="00FE045D">
        <w:rPr>
          <w:rStyle w:val="FootnoteReference"/>
        </w:rPr>
        <w:footnoteReference w:id="6"/>
      </w:r>
      <w:bookmarkEnd w:id="37"/>
    </w:p>
    <w:p w14:paraId="0E2C6F19" w14:textId="77777777" w:rsidR="008E7846" w:rsidRDefault="008E7846" w:rsidP="008E7846">
      <w:pPr>
        <w:pStyle w:val="Heading3"/>
      </w:pPr>
      <w:bookmarkStart w:id="38" w:name="_Toc314842511"/>
      <w:bookmarkStart w:id="39" w:name="_Toc89339101"/>
      <w:r>
        <w:t>Quality</w:t>
      </w:r>
      <w:bookmarkEnd w:id="32"/>
      <w:bookmarkEnd w:id="38"/>
      <w:bookmarkEnd w:id="39"/>
    </w:p>
    <w:p w14:paraId="59AEC927" w14:textId="77777777" w:rsidR="00E45619" w:rsidRDefault="00006FAB" w:rsidP="00006FAB">
      <w:r>
        <w:t>There was no requirement for a quality evaluation in a submission of this type.</w:t>
      </w:r>
    </w:p>
    <w:p w14:paraId="2167CA6A" w14:textId="77777777" w:rsidR="008E7846" w:rsidRDefault="008E7846" w:rsidP="008E7846">
      <w:pPr>
        <w:pStyle w:val="Heading3"/>
      </w:pPr>
      <w:bookmarkStart w:id="40" w:name="_Toc314842512"/>
      <w:bookmarkStart w:id="41" w:name="_Toc89339102"/>
      <w:r>
        <w:t>Nonclinical</w:t>
      </w:r>
      <w:bookmarkEnd w:id="40"/>
      <w:bookmarkEnd w:id="41"/>
    </w:p>
    <w:p w14:paraId="25CD17E8" w14:textId="77777777" w:rsidR="008E7846" w:rsidRDefault="00006FAB" w:rsidP="00006FAB">
      <w:r>
        <w:t>There was no requirement for a nonclinical evaluation in a submission of this type.</w:t>
      </w:r>
    </w:p>
    <w:p w14:paraId="481AD920" w14:textId="77777777" w:rsidR="008E7846" w:rsidRDefault="008E7846" w:rsidP="008E7846">
      <w:pPr>
        <w:pStyle w:val="Heading3"/>
      </w:pPr>
      <w:bookmarkStart w:id="42" w:name="_Toc247691530"/>
      <w:bookmarkStart w:id="43" w:name="_Toc314842513"/>
      <w:bookmarkStart w:id="44" w:name="_Toc89339103"/>
      <w:r>
        <w:t>Clinical</w:t>
      </w:r>
      <w:bookmarkEnd w:id="42"/>
      <w:bookmarkEnd w:id="43"/>
      <w:bookmarkEnd w:id="44"/>
    </w:p>
    <w:p w14:paraId="49088328" w14:textId="77777777" w:rsidR="001F4171" w:rsidRPr="001F4171" w:rsidRDefault="001F4171" w:rsidP="001F4171">
      <w:pPr>
        <w:pStyle w:val="Heading4"/>
      </w:pPr>
      <w:r>
        <w:t>Pharmacology</w:t>
      </w:r>
    </w:p>
    <w:p w14:paraId="669C69E6" w14:textId="77777777" w:rsidR="001F4171" w:rsidRDefault="001F4171" w:rsidP="001F4171">
      <w:pPr>
        <w:pStyle w:val="Heading5"/>
      </w:pPr>
      <w:r>
        <w:t>Pharmacokinetics</w:t>
      </w:r>
    </w:p>
    <w:p w14:paraId="19978AA1" w14:textId="77777777" w:rsidR="001F4171" w:rsidRDefault="001F4171" w:rsidP="001F4171">
      <w:r>
        <w:t>No new pharmacokinetic (PK) data were provided in this application.</w:t>
      </w:r>
    </w:p>
    <w:p w14:paraId="65ADEF71" w14:textId="77777777" w:rsidR="001F4171" w:rsidRDefault="001F4171" w:rsidP="001F4171">
      <w:proofErr w:type="gramStart"/>
      <w:r>
        <w:t>With regard to</w:t>
      </w:r>
      <w:proofErr w:type="gramEnd"/>
      <w:r>
        <w:t xml:space="preserve"> the above, the approved PI reads:</w:t>
      </w:r>
    </w:p>
    <w:p w14:paraId="5CC7C1A7" w14:textId="77777777" w:rsidR="001F4171" w:rsidRDefault="001F4171" w:rsidP="001F4171">
      <w:pPr>
        <w:ind w:left="720"/>
        <w:rPr>
          <w:i/>
        </w:rPr>
      </w:pPr>
      <w:r w:rsidRPr="001F4171">
        <w:rPr>
          <w:i/>
        </w:rPr>
        <w:t xml:space="preserve">‘Normal immunoglobulin (human) is immediately and completely bioavailable in the recipient’s circulation after IV administration. It is rapidly and nearly evenly distributed between plasma and extravascular fluid. After approx. 3 to 5 days, equilibrium is reached between the intra- and extravascular compartments. </w:t>
      </w:r>
      <w:proofErr w:type="spellStart"/>
      <w:r w:rsidRPr="001F4171">
        <w:rPr>
          <w:i/>
        </w:rPr>
        <w:t>Kiovig</w:t>
      </w:r>
      <w:proofErr w:type="spellEnd"/>
      <w:r>
        <w:rPr>
          <w:i/>
        </w:rPr>
        <w:t> </w:t>
      </w:r>
      <w:r w:rsidRPr="001F4171">
        <w:rPr>
          <w:i/>
        </w:rPr>
        <w:t xml:space="preserve">has a median half-life of about 30 days in PID </w:t>
      </w:r>
      <w:r>
        <w:t xml:space="preserve">[primary immunodeficiency disorder] </w:t>
      </w:r>
      <w:r w:rsidRPr="001F4171">
        <w:rPr>
          <w:i/>
        </w:rPr>
        <w:t xml:space="preserve">patients. PK values are comparable to other human </w:t>
      </w:r>
      <w:proofErr w:type="gramStart"/>
      <w:r w:rsidRPr="001F4171">
        <w:rPr>
          <w:i/>
        </w:rPr>
        <w:t>immunoglobulins’</w:t>
      </w:r>
      <w:proofErr w:type="gramEnd"/>
      <w:r w:rsidRPr="001F4171">
        <w:rPr>
          <w:i/>
        </w:rPr>
        <w:t>.</w:t>
      </w:r>
    </w:p>
    <w:p w14:paraId="765D0A51" w14:textId="77777777" w:rsidR="003F59E5" w:rsidRPr="003F59E5" w:rsidRDefault="003F59E5" w:rsidP="003F59E5">
      <w:r>
        <w:rPr>
          <w:rFonts w:ascii="Times New Roman" w:hAnsi="Times New Roman"/>
        </w:rPr>
        <w:t xml:space="preserve">The Delegate stated that </w:t>
      </w:r>
      <w:r>
        <w:t>c</w:t>
      </w:r>
      <w:r w:rsidRPr="003F59E5">
        <w:t>omparable data sh</w:t>
      </w:r>
      <w:r>
        <w:t>ould have been provided by the s</w:t>
      </w:r>
      <w:r w:rsidRPr="003F59E5">
        <w:t xml:space="preserve">ponsor to support the stated claim of </w:t>
      </w:r>
      <w:proofErr w:type="spellStart"/>
      <w:r w:rsidRPr="003F59E5">
        <w:t>Kiovig</w:t>
      </w:r>
      <w:proofErr w:type="spellEnd"/>
      <w:r w:rsidRPr="003F59E5">
        <w:t xml:space="preserve"> having comparable PK values.</w:t>
      </w:r>
    </w:p>
    <w:p w14:paraId="6A61BFC8" w14:textId="77777777" w:rsidR="00DB1EF8" w:rsidRDefault="00DB1EF8" w:rsidP="001F4171">
      <w:pPr>
        <w:pStyle w:val="Heading5"/>
      </w:pPr>
      <w:r>
        <w:lastRenderedPageBreak/>
        <w:t>Pharmacodynamics</w:t>
      </w:r>
    </w:p>
    <w:p w14:paraId="43074D53" w14:textId="6D675422" w:rsidR="00DB1EF8" w:rsidRDefault="00DB1EF8" w:rsidP="00DB1EF8">
      <w:r>
        <w:t>No new pharmacodynamics (PD) data were provided in this application. The precise mechanisms of action of</w:t>
      </w:r>
      <w:r w:rsidR="001F4171">
        <w:t xml:space="preserve"> intravenous immunoglobulin in c</w:t>
      </w:r>
      <w:r w:rsidR="001F4171" w:rsidRPr="001F4171">
        <w:t>hronic inflammatory demyelinating polyradiculoneuropathy</w:t>
      </w:r>
      <w:r>
        <w:t xml:space="preserve"> are unknown, but the pleiotropic immune</w:t>
      </w:r>
      <w:r>
        <w:noBreakHyphen/>
        <w:t xml:space="preserve">modulating effects of </w:t>
      </w:r>
      <w:r w:rsidR="00E6140F">
        <w:t xml:space="preserve">immunoglobulin </w:t>
      </w:r>
      <w:r>
        <w:t>G</w:t>
      </w:r>
      <w:r w:rsidR="00E6140F">
        <w:t xml:space="preserve"> (IgG)</w:t>
      </w:r>
      <w:r>
        <w:t xml:space="preserve"> are assumed to be responsible for the therapeutic effect.</w:t>
      </w:r>
    </w:p>
    <w:p w14:paraId="0A2E31B0" w14:textId="77777777" w:rsidR="00DB1EF8" w:rsidRDefault="00DB1EF8" w:rsidP="00DB1EF8">
      <w:proofErr w:type="gramStart"/>
      <w:r w:rsidRPr="00DB1EF8">
        <w:t>With regard to</w:t>
      </w:r>
      <w:proofErr w:type="gramEnd"/>
      <w:r w:rsidRPr="00DB1EF8">
        <w:t xml:space="preserve"> the above, the approved PI reads:</w:t>
      </w:r>
    </w:p>
    <w:p w14:paraId="2934D9D2" w14:textId="77777777" w:rsidR="00DB1EF8" w:rsidRDefault="00DB1EF8" w:rsidP="00DB1EF8">
      <w:pPr>
        <w:ind w:left="720"/>
        <w:rPr>
          <w:i/>
        </w:rPr>
      </w:pPr>
      <w:r w:rsidRPr="00DB1EF8">
        <w:rPr>
          <w:i/>
        </w:rPr>
        <w:t xml:space="preserve">‘IgG antibodies are protein molecules that are capable of specific interaction with molecules that are part of the membranes of infectious agents, foreign or abnormal cells, or toxic materials (antigens). Antibodies are produced by B- lymphocytes, often with the help of T-lymphocytes, </w:t>
      </w:r>
      <w:proofErr w:type="gramStart"/>
      <w:r w:rsidRPr="00DB1EF8">
        <w:rPr>
          <w:i/>
        </w:rPr>
        <w:t>macrophages</w:t>
      </w:r>
      <w:proofErr w:type="gramEnd"/>
      <w:r w:rsidRPr="00DB1EF8">
        <w:rPr>
          <w:i/>
        </w:rPr>
        <w:t xml:space="preserve"> or dendritic cells. Following an initial interaction, some B-cells differentiate to memory cells, which upon encountering with the same infectious agent later in life, are capable of rapidly reproducing and producing increased quantities of the IgG antibodies specific to the same infectious agent. Thus, the mode of action of IVIg </w:t>
      </w:r>
      <w:r w:rsidR="001F4171" w:rsidRPr="001F4171">
        <w:t xml:space="preserve">[intravenous </w:t>
      </w:r>
      <w:r w:rsidR="001F4171">
        <w:t>immunoglobulin]</w:t>
      </w:r>
      <w:r w:rsidR="001F4171" w:rsidRPr="00DB1EF8">
        <w:rPr>
          <w:i/>
        </w:rPr>
        <w:t xml:space="preserve"> </w:t>
      </w:r>
      <w:r w:rsidRPr="00DB1EF8">
        <w:rPr>
          <w:i/>
        </w:rPr>
        <w:t xml:space="preserve">mimics the action of the normal plasma immunoglobulin in a healthy adult individual, having a broad spectrum of antibodies against infectious </w:t>
      </w:r>
      <w:proofErr w:type="gramStart"/>
      <w:r w:rsidRPr="00DB1EF8">
        <w:rPr>
          <w:i/>
        </w:rPr>
        <w:t>agents’</w:t>
      </w:r>
      <w:proofErr w:type="gramEnd"/>
      <w:r w:rsidRPr="00DB1EF8">
        <w:rPr>
          <w:i/>
        </w:rPr>
        <w:t>.</w:t>
      </w:r>
    </w:p>
    <w:p w14:paraId="6B951F8F" w14:textId="77777777" w:rsidR="003F59E5" w:rsidRDefault="003F59E5" w:rsidP="003F59E5">
      <w:pPr>
        <w:pStyle w:val="Heading4"/>
      </w:pPr>
      <w:r>
        <w:t>Dose finding studies</w:t>
      </w:r>
    </w:p>
    <w:p w14:paraId="52E89BB9" w14:textId="77777777" w:rsidR="003F59E5" w:rsidRDefault="003F59E5" w:rsidP="003F59E5">
      <w:r>
        <w:t xml:space="preserve">No studies were identified by the clinical evaluator as providing dosage selection information for the </w:t>
      </w:r>
      <w:proofErr w:type="gramStart"/>
      <w:r>
        <w:t>literature based</w:t>
      </w:r>
      <w:proofErr w:type="gramEnd"/>
      <w:r>
        <w:t xml:space="preserve"> submission studies in the dossier provided. The five main clinical studies reviewed in the appropriate </w:t>
      </w:r>
      <w:r w:rsidR="00725847">
        <w:t>section of the clinical evaluation report</w:t>
      </w:r>
      <w:r>
        <w:t xml:space="preserve">, did not include comparisons of </w:t>
      </w:r>
      <w:r w:rsidR="00725847">
        <w:t>intravenous immunoglobulin</w:t>
      </w:r>
      <w:r>
        <w:t xml:space="preserve"> administered for more than one dose-regimen in either the (a) initial phase of treatment</w:t>
      </w:r>
      <w:r w:rsidR="00725847">
        <w:t>;</w:t>
      </w:r>
      <w:r>
        <w:t xml:space="preserve"> or (b) maintenance phase of treatment.</w:t>
      </w:r>
    </w:p>
    <w:p w14:paraId="40AADBE7" w14:textId="77777777" w:rsidR="00725847" w:rsidRDefault="007B62A8" w:rsidP="003F59E5">
      <w:r>
        <w:t>The Delegate, t</w:t>
      </w:r>
      <w:r w:rsidR="00725847">
        <w:t>o reiterate the clinical evaluator’s</w:t>
      </w:r>
      <w:r w:rsidR="003F59E5">
        <w:t xml:space="preserve"> overall conclusions on dose finding for the </w:t>
      </w:r>
      <w:proofErr w:type="gramStart"/>
      <w:r w:rsidR="00725847">
        <w:t>literature based</w:t>
      </w:r>
      <w:proofErr w:type="gramEnd"/>
      <w:r w:rsidR="00725847">
        <w:t xml:space="preserve"> submission</w:t>
      </w:r>
      <w:r>
        <w:t>, drew attention to the following from the clinical evaluation report</w:t>
      </w:r>
      <w:r w:rsidR="00725847">
        <w:t>:</w:t>
      </w:r>
    </w:p>
    <w:p w14:paraId="75C302A2" w14:textId="5FA85821" w:rsidR="003F59E5" w:rsidRDefault="003F59E5" w:rsidP="003C29E6">
      <w:pPr>
        <w:ind w:left="720"/>
      </w:pPr>
      <w:r>
        <w:t>No formal dose finding studies were id</w:t>
      </w:r>
      <w:r w:rsidR="00725847">
        <w:t>entified; t</w:t>
      </w:r>
      <w:r>
        <w:t xml:space="preserve">he proposed starting and maintenance doses for use in CIDP in </w:t>
      </w:r>
      <w:r w:rsidR="00725847">
        <w:t xml:space="preserve">Australia are the same as those </w:t>
      </w:r>
      <w:r>
        <w:t>desc</w:t>
      </w:r>
      <w:r w:rsidR="00725847">
        <w:t>ribed in the European guideline;</w:t>
      </w:r>
      <w:r w:rsidR="003C29E6" w:rsidRPr="003C29E6">
        <w:rPr>
          <w:vertAlign w:val="superscript"/>
        </w:rPr>
        <w:fldChar w:fldCharType="begin"/>
      </w:r>
      <w:r w:rsidR="003C29E6" w:rsidRPr="003C29E6">
        <w:rPr>
          <w:vertAlign w:val="superscript"/>
        </w:rPr>
        <w:instrText xml:space="preserve"> NOTEREF _Ref82138845 \h </w:instrText>
      </w:r>
      <w:r w:rsidR="003C29E6">
        <w:rPr>
          <w:vertAlign w:val="superscript"/>
        </w:rPr>
        <w:instrText xml:space="preserve"> \* MERGEFORMAT </w:instrText>
      </w:r>
      <w:r w:rsidR="003C29E6" w:rsidRPr="003C29E6">
        <w:rPr>
          <w:vertAlign w:val="superscript"/>
        </w:rPr>
      </w:r>
      <w:r w:rsidR="003C29E6" w:rsidRPr="003C29E6">
        <w:rPr>
          <w:vertAlign w:val="superscript"/>
        </w:rPr>
        <w:fldChar w:fldCharType="separate"/>
      </w:r>
      <w:r w:rsidR="00F81787">
        <w:rPr>
          <w:vertAlign w:val="superscript"/>
        </w:rPr>
        <w:t>3</w:t>
      </w:r>
      <w:r w:rsidR="003C29E6" w:rsidRPr="003C29E6">
        <w:rPr>
          <w:vertAlign w:val="superscript"/>
        </w:rPr>
        <w:fldChar w:fldCharType="end"/>
      </w:r>
      <w:r>
        <w:t xml:space="preserve"> and the core EU </w:t>
      </w:r>
      <w:r w:rsidR="003C29E6">
        <w:t>Summary of Product Characteristics (</w:t>
      </w:r>
      <w:r>
        <w:t>SmPC</w:t>
      </w:r>
      <w:r w:rsidR="003C29E6">
        <w:t>)</w:t>
      </w:r>
      <w:r>
        <w:t xml:space="preserve"> for human normal immunoglobulin for IV administration. The posology in the guideline appears to be based on the I</w:t>
      </w:r>
      <w:r w:rsidR="003C29E6">
        <w:t>CE study by Hughes et al</w:t>
      </w:r>
      <w:r w:rsidR="007B62A8">
        <w:t>.</w:t>
      </w:r>
      <w:r w:rsidR="003C29E6">
        <w:t xml:space="preserve"> (2008);</w:t>
      </w:r>
      <w:bookmarkStart w:id="45" w:name="_Ref82155211"/>
      <w:r w:rsidR="003C29E6">
        <w:rPr>
          <w:rStyle w:val="FootnoteReference"/>
        </w:rPr>
        <w:footnoteReference w:id="7"/>
      </w:r>
      <w:bookmarkEnd w:id="45"/>
      <w:r>
        <w:t xml:space="preserve"> which is an acceptable approach since it was a g</w:t>
      </w:r>
      <w:r w:rsidR="003C29E6">
        <w:t>enerally well-designed, placebo</w:t>
      </w:r>
      <w:r w:rsidR="003C29E6">
        <w:noBreakHyphen/>
      </w:r>
      <w:r>
        <w:t xml:space="preserve">controlled, peer-reviewed </w:t>
      </w:r>
      <w:r w:rsidR="003C29E6">
        <w:t>randomised control trial</w:t>
      </w:r>
      <w:r>
        <w:t>, with the largest number of study subjects than any of the other submitted publications. It also incorporated a 3-weekly fixed-dose regimen in its assessment of IVIg as maintenance treatment. The brand of IV</w:t>
      </w:r>
      <w:r w:rsidR="003C29E6">
        <w:t>Ig used in the ICE study was neither</w:t>
      </w:r>
      <w:r>
        <w:t xml:space="preserve"> </w:t>
      </w:r>
      <w:proofErr w:type="spellStart"/>
      <w:r>
        <w:t>Kiovig</w:t>
      </w:r>
      <w:proofErr w:type="spellEnd"/>
      <w:r>
        <w:t xml:space="preserve"> </w:t>
      </w:r>
      <w:r w:rsidR="003C29E6">
        <w:t>n</w:t>
      </w:r>
      <w:r>
        <w:t xml:space="preserve">or </w:t>
      </w:r>
      <w:proofErr w:type="spellStart"/>
      <w:r>
        <w:t>Gammagard</w:t>
      </w:r>
      <w:proofErr w:type="spellEnd"/>
      <w:r>
        <w:t xml:space="preserve"> Liquid. If the brand had been </w:t>
      </w:r>
      <w:proofErr w:type="spellStart"/>
      <w:r>
        <w:t>Kiovig</w:t>
      </w:r>
      <w:proofErr w:type="spellEnd"/>
      <w:r>
        <w:t>, or an equivalent product, the Hughes et al</w:t>
      </w:r>
      <w:r w:rsidR="007B62A8">
        <w:t>.</w:t>
      </w:r>
      <w:r>
        <w:t xml:space="preserve"> (2008) study would ha</w:t>
      </w:r>
      <w:r w:rsidR="003C29E6">
        <w:t>ve been considered pivotal</w:t>
      </w:r>
      <w:r>
        <w:t xml:space="preserve"> in this </w:t>
      </w:r>
      <w:proofErr w:type="gramStart"/>
      <w:r w:rsidR="003C29E6">
        <w:t>literature based</w:t>
      </w:r>
      <w:proofErr w:type="gramEnd"/>
      <w:r w:rsidR="003C29E6">
        <w:t xml:space="preserve"> submission </w:t>
      </w:r>
      <w:r>
        <w:t>application.</w:t>
      </w:r>
    </w:p>
    <w:p w14:paraId="5548F943" w14:textId="77777777" w:rsidR="003F59E5" w:rsidRDefault="00FD2813" w:rsidP="00FD2813">
      <w:pPr>
        <w:pStyle w:val="Heading4"/>
      </w:pPr>
      <w:r>
        <w:lastRenderedPageBreak/>
        <w:t>Efficacy</w:t>
      </w:r>
    </w:p>
    <w:p w14:paraId="6B8F5548" w14:textId="77777777" w:rsidR="00FD2813" w:rsidRDefault="0023242C" w:rsidP="000739E2">
      <w:pPr>
        <w:pStyle w:val="Heading5"/>
      </w:pPr>
      <w:proofErr w:type="spellStart"/>
      <w:r>
        <w:t>Kuitwaard</w:t>
      </w:r>
      <w:proofErr w:type="spellEnd"/>
      <w:r>
        <w:t xml:space="preserve"> et al.</w:t>
      </w:r>
      <w:r w:rsidR="00FD2813">
        <w:t xml:space="preserve"> (2010)</w:t>
      </w:r>
      <w:bookmarkStart w:id="46" w:name="_Ref82804755"/>
      <w:r w:rsidR="00E137CF">
        <w:rPr>
          <w:rStyle w:val="FootnoteReference"/>
        </w:rPr>
        <w:footnoteReference w:id="8"/>
      </w:r>
      <w:bookmarkEnd w:id="46"/>
    </w:p>
    <w:p w14:paraId="74C7921B" w14:textId="77777777" w:rsidR="00FD2813" w:rsidRDefault="00FD2813" w:rsidP="00FD2813">
      <w:r>
        <w:t>This was the main randomised control trial (</w:t>
      </w:r>
      <w:proofErr w:type="spellStart"/>
      <w:r>
        <w:t>Kiovig</w:t>
      </w:r>
      <w:proofErr w:type="spellEnd"/>
      <w:r>
        <w:t>-specific; active-controlled; maintenance treatment only)</w:t>
      </w:r>
      <w:r w:rsidR="000739E2">
        <w:t>.</w:t>
      </w:r>
    </w:p>
    <w:p w14:paraId="273D05D4" w14:textId="77777777" w:rsidR="000739E2" w:rsidRDefault="00FD2813" w:rsidP="00FD2813">
      <w:r>
        <w:t xml:space="preserve">The results for serum IgG from this study were published in </w:t>
      </w:r>
      <w:proofErr w:type="spellStart"/>
      <w:r w:rsidR="000739E2">
        <w:t>Kuitwaard</w:t>
      </w:r>
      <w:proofErr w:type="spellEnd"/>
      <w:r w:rsidR="000739E2">
        <w:t xml:space="preserve"> et al 2013).</w:t>
      </w:r>
      <w:bookmarkStart w:id="47" w:name="_Ref84558327"/>
      <w:r w:rsidR="00390DF9">
        <w:rPr>
          <w:rStyle w:val="FootnoteReference"/>
        </w:rPr>
        <w:footnoteReference w:id="9"/>
      </w:r>
      <w:bookmarkEnd w:id="47"/>
    </w:p>
    <w:p w14:paraId="6B155EC5" w14:textId="77777777" w:rsidR="000739E2" w:rsidRDefault="000739E2" w:rsidP="000739E2">
      <w:pPr>
        <w:pStyle w:val="Heading6"/>
      </w:pPr>
      <w:r>
        <w:t>Study design</w:t>
      </w:r>
    </w:p>
    <w:p w14:paraId="2DE193B8" w14:textId="77777777" w:rsidR="00FD2813" w:rsidRDefault="00FD2813" w:rsidP="00FD2813">
      <w:r>
        <w:t>This was an investigator-initiated, multi</w:t>
      </w:r>
      <w:r w:rsidR="000739E2">
        <w:t xml:space="preserve">centre, Phase </w:t>
      </w:r>
      <w:proofErr w:type="spellStart"/>
      <w:r w:rsidR="000739E2">
        <w:t>lll</w:t>
      </w:r>
      <w:proofErr w:type="spellEnd"/>
      <w:r w:rsidR="000739E2">
        <w:t>, double-blind, randomised control trial</w:t>
      </w:r>
      <w:r>
        <w:t xml:space="preserve"> conducted at three university-affiliated neuromuscular disease centres in the Netherlands. The trial consisted of 10 infusions in three </w:t>
      </w:r>
      <w:r w:rsidR="000739E2">
        <w:t>stages:</w:t>
      </w:r>
    </w:p>
    <w:p w14:paraId="41ECBFE7" w14:textId="77777777" w:rsidR="00FD2813" w:rsidRDefault="004B5B87" w:rsidP="000739E2">
      <w:pPr>
        <w:pStyle w:val="Numberbullet0"/>
      </w:pPr>
      <w:r>
        <w:t>a 3-week open-label</w:t>
      </w:r>
      <w:r w:rsidR="000739E2">
        <w:t xml:space="preserve"> period with one</w:t>
      </w:r>
      <w:r w:rsidR="00FD2813">
        <w:t xml:space="preserve"> </w:t>
      </w:r>
      <w:proofErr w:type="spellStart"/>
      <w:r w:rsidR="00FD2813">
        <w:t>Gammagard</w:t>
      </w:r>
      <w:proofErr w:type="spellEnd"/>
      <w:r w:rsidR="00FD2813">
        <w:t xml:space="preserve"> S/D inf</w:t>
      </w:r>
      <w:r w:rsidR="000739E2">
        <w:t>usion (questionably 2 infusions rather than one</w:t>
      </w:r>
      <w:proofErr w:type="gramStart"/>
      <w:r w:rsidR="000739E2">
        <w:t>)</w:t>
      </w:r>
      <w:r w:rsidR="00FD2813">
        <w:t>;</w:t>
      </w:r>
      <w:proofErr w:type="gramEnd"/>
    </w:p>
    <w:p w14:paraId="328AD464" w14:textId="77777777" w:rsidR="00FD2813" w:rsidRDefault="000739E2" w:rsidP="000739E2">
      <w:pPr>
        <w:pStyle w:val="Numberbullet0"/>
      </w:pPr>
      <w:r>
        <w:t>a</w:t>
      </w:r>
      <w:r w:rsidR="00FD2813">
        <w:t>n individualised 6</w:t>
      </w:r>
      <w:r w:rsidR="003A2882">
        <w:t>-</w:t>
      </w:r>
      <w:r w:rsidR="00FD2813">
        <w:t xml:space="preserve"> to 16-week </w:t>
      </w:r>
      <w:r>
        <w:t>double blind</w:t>
      </w:r>
      <w:r w:rsidR="00FD2813">
        <w:t xml:space="preserve"> period with 4 blinded infusions of either </w:t>
      </w:r>
      <w:proofErr w:type="spellStart"/>
      <w:r w:rsidR="00FD2813">
        <w:t>Gammagard</w:t>
      </w:r>
      <w:proofErr w:type="spellEnd"/>
      <w:r w:rsidR="00FD2813">
        <w:t xml:space="preserve"> S/D or </w:t>
      </w:r>
      <w:proofErr w:type="spellStart"/>
      <w:r w:rsidR="00FD2813">
        <w:t>Kiovig</w:t>
      </w:r>
      <w:proofErr w:type="spellEnd"/>
      <w:r w:rsidR="00FD2813">
        <w:t xml:space="preserve"> infusions;</w:t>
      </w:r>
      <w:r>
        <w:t xml:space="preserve"> and</w:t>
      </w:r>
    </w:p>
    <w:p w14:paraId="1302C125" w14:textId="77777777" w:rsidR="000739E2" w:rsidRDefault="000739E2" w:rsidP="000739E2">
      <w:pPr>
        <w:pStyle w:val="Numberbullet0"/>
      </w:pPr>
      <w:r>
        <w:t xml:space="preserve">an open label extension period with five </w:t>
      </w:r>
      <w:proofErr w:type="spellStart"/>
      <w:r>
        <w:t>Kiovig</w:t>
      </w:r>
      <w:proofErr w:type="spellEnd"/>
      <w:r>
        <w:t xml:space="preserve"> infusions (questionably 4 infusions rather than five).</w:t>
      </w:r>
    </w:p>
    <w:p w14:paraId="6BB8607C" w14:textId="77777777" w:rsidR="00FD2813" w:rsidRDefault="00FD2813" w:rsidP="000739E2">
      <w:r>
        <w:t>Patients were treated either in h</w:t>
      </w:r>
      <w:r w:rsidR="000739E2">
        <w:t>ospital or at home as per pre-</w:t>
      </w:r>
      <w:r>
        <w:t>trial entry.</w:t>
      </w:r>
    </w:p>
    <w:p w14:paraId="1B5A7028" w14:textId="77777777" w:rsidR="000739E2" w:rsidRDefault="000739E2" w:rsidP="000739E2">
      <w:pPr>
        <w:pStyle w:val="Heading6"/>
      </w:pPr>
      <w:r>
        <w:t>Objectives</w:t>
      </w:r>
    </w:p>
    <w:p w14:paraId="778D72CA" w14:textId="77777777" w:rsidR="00FD2813" w:rsidRDefault="000739E2" w:rsidP="00FD2813">
      <w:r>
        <w:t>The primary objective was:</w:t>
      </w:r>
    </w:p>
    <w:p w14:paraId="08799B6F" w14:textId="77777777" w:rsidR="00FD2813" w:rsidRDefault="003B1AB1" w:rsidP="000739E2">
      <w:pPr>
        <w:ind w:left="720"/>
      </w:pPr>
      <w:r>
        <w:t>t</w:t>
      </w:r>
      <w:r w:rsidR="00FD2813">
        <w:t>o compare the efficacy of two different IVIg brands (</w:t>
      </w:r>
      <w:proofErr w:type="spellStart"/>
      <w:r w:rsidR="00FD2813">
        <w:t>Kiovig</w:t>
      </w:r>
      <w:proofErr w:type="spellEnd"/>
      <w:r w:rsidR="00CC797B">
        <w:t xml:space="preserve"> versus </w:t>
      </w:r>
      <w:proofErr w:type="spellStart"/>
      <w:r w:rsidR="00FD2813">
        <w:t>Gammagard</w:t>
      </w:r>
      <w:proofErr w:type="spellEnd"/>
      <w:r w:rsidR="00FD2813">
        <w:t xml:space="preserve"> S/D) in the treatment of CIDP.</w:t>
      </w:r>
    </w:p>
    <w:p w14:paraId="3C4CA21A" w14:textId="77777777" w:rsidR="00FD2813" w:rsidRDefault="00FD2813" w:rsidP="00FD2813">
      <w:r>
        <w:t>The secondary objective</w:t>
      </w:r>
      <w:r w:rsidR="000739E2">
        <w:t xml:space="preserve"> was</w:t>
      </w:r>
      <w:r>
        <w:t>:</w:t>
      </w:r>
    </w:p>
    <w:p w14:paraId="62F3A2CC" w14:textId="77777777" w:rsidR="00FD2813" w:rsidRDefault="003B1AB1" w:rsidP="003B1AB1">
      <w:pPr>
        <w:ind w:firstLine="720"/>
      </w:pPr>
      <w:r>
        <w:t>t</w:t>
      </w:r>
      <w:r w:rsidR="00FD2813">
        <w:t xml:space="preserve">o compare the safety of </w:t>
      </w:r>
      <w:proofErr w:type="spellStart"/>
      <w:r w:rsidR="00FD2813">
        <w:t>Kiovig</w:t>
      </w:r>
      <w:proofErr w:type="spellEnd"/>
      <w:r w:rsidR="00CC797B">
        <w:t xml:space="preserve"> versus </w:t>
      </w:r>
      <w:proofErr w:type="spellStart"/>
      <w:r w:rsidR="00FD2813">
        <w:t>Gammagard</w:t>
      </w:r>
      <w:proofErr w:type="spellEnd"/>
      <w:r w:rsidR="00FD2813">
        <w:t xml:space="preserve"> S/D.</w:t>
      </w:r>
    </w:p>
    <w:p w14:paraId="37B966C5" w14:textId="20B6B004" w:rsidR="00FD2813" w:rsidRDefault="00FD2813" w:rsidP="00FD2813">
      <w:r>
        <w:t xml:space="preserve">The objective in </w:t>
      </w:r>
      <w:proofErr w:type="spellStart"/>
      <w:r>
        <w:t>Kuitwaard</w:t>
      </w:r>
      <w:proofErr w:type="spellEnd"/>
      <w:r>
        <w:t xml:space="preserve"> et al</w:t>
      </w:r>
      <w:r w:rsidR="003B1AB1">
        <w:t>.,</w:t>
      </w:r>
      <w:r>
        <w:t xml:space="preserve"> (2013)</w:t>
      </w:r>
      <w:r w:rsidR="003A2882" w:rsidRPr="003A2882">
        <w:rPr>
          <w:vertAlign w:val="superscript"/>
        </w:rPr>
        <w:fldChar w:fldCharType="begin"/>
      </w:r>
      <w:r w:rsidR="003A2882" w:rsidRPr="003A2882">
        <w:rPr>
          <w:vertAlign w:val="superscript"/>
        </w:rPr>
        <w:instrText xml:space="preserve"> NOTEREF _Ref84558327 \h </w:instrText>
      </w:r>
      <w:r w:rsidR="003A2882">
        <w:rPr>
          <w:vertAlign w:val="superscript"/>
        </w:rPr>
        <w:instrText xml:space="preserve"> \* MERGEFORMAT </w:instrText>
      </w:r>
      <w:r w:rsidR="003A2882" w:rsidRPr="003A2882">
        <w:rPr>
          <w:vertAlign w:val="superscript"/>
        </w:rPr>
      </w:r>
      <w:r w:rsidR="003A2882" w:rsidRPr="003A2882">
        <w:rPr>
          <w:vertAlign w:val="superscript"/>
        </w:rPr>
        <w:fldChar w:fldCharType="separate"/>
      </w:r>
      <w:r w:rsidR="00F81787">
        <w:rPr>
          <w:vertAlign w:val="superscript"/>
        </w:rPr>
        <w:t>9</w:t>
      </w:r>
      <w:r w:rsidR="003A2882" w:rsidRPr="003A2882">
        <w:rPr>
          <w:vertAlign w:val="superscript"/>
        </w:rPr>
        <w:fldChar w:fldCharType="end"/>
      </w:r>
      <w:r>
        <w:t xml:space="preserve"> was to determine the inter- and intra-variability of serum IgG in clinically stable, IVIg-dependent CIDP patients receiving fixed-dose maintenance treatment of IVIg, with variable frequency of dosing (as a possible biomarker to monitor the effect of IVIg treatment).</w:t>
      </w:r>
    </w:p>
    <w:p w14:paraId="5EA8544E" w14:textId="77777777" w:rsidR="00FD2813" w:rsidRDefault="003B1AB1" w:rsidP="003B1AB1">
      <w:pPr>
        <w:pStyle w:val="Heading6"/>
      </w:pPr>
      <w:r>
        <w:t>Inclusion criteria</w:t>
      </w:r>
    </w:p>
    <w:p w14:paraId="7AB70BC6" w14:textId="77777777" w:rsidR="00FD2813" w:rsidRDefault="003B1AB1" w:rsidP="00FD2813">
      <w:r>
        <w:t>The m</w:t>
      </w:r>
      <w:r w:rsidR="00FD2813">
        <w:t>ain inclusion criteria</w:t>
      </w:r>
      <w:r>
        <w:t xml:space="preserve"> were:</w:t>
      </w:r>
    </w:p>
    <w:p w14:paraId="5B4BAA28" w14:textId="77777777" w:rsidR="00FD2813" w:rsidRPr="00080D41" w:rsidRDefault="00FD2813" w:rsidP="00080D41">
      <w:pPr>
        <w:pStyle w:val="ListBullet"/>
      </w:pPr>
      <w:r w:rsidRPr="00080D41">
        <w:t xml:space="preserve">Age ≥ 18 </w:t>
      </w:r>
      <w:proofErr w:type="gramStart"/>
      <w:r w:rsidRPr="00080D41">
        <w:t>years;</w:t>
      </w:r>
      <w:proofErr w:type="gramEnd"/>
    </w:p>
    <w:p w14:paraId="00CBAADC" w14:textId="77777777" w:rsidR="00FD2813" w:rsidRPr="00080D41" w:rsidRDefault="00FD2813" w:rsidP="00080D41">
      <w:pPr>
        <w:pStyle w:val="ListBullet"/>
      </w:pPr>
      <w:r w:rsidRPr="00080D41">
        <w:t xml:space="preserve">Diagnosis of CIDP made by a consultant neurologist and fulfilling the American Academy of Neurology (AAN) clinical research </w:t>
      </w:r>
      <w:proofErr w:type="gramStart"/>
      <w:r w:rsidRPr="00080D41">
        <w:t>criteria;</w:t>
      </w:r>
      <w:proofErr w:type="gramEnd"/>
    </w:p>
    <w:p w14:paraId="206663BC" w14:textId="77777777" w:rsidR="00FD2813" w:rsidRPr="00080D41" w:rsidRDefault="00FD2813" w:rsidP="00080D41">
      <w:pPr>
        <w:pStyle w:val="ListBullet"/>
      </w:pPr>
      <w:r w:rsidRPr="00080D41">
        <w:t>Initial chronically progressive, stepwise progressive or recurrent weakness of all extremities, developing over at least 2 months, with red</w:t>
      </w:r>
      <w:r w:rsidR="003B1AB1" w:rsidRPr="00080D41">
        <w:t xml:space="preserve">uced or absent tendon </w:t>
      </w:r>
      <w:proofErr w:type="gramStart"/>
      <w:r w:rsidR="003B1AB1" w:rsidRPr="00080D41">
        <w:t>reflexes;</w:t>
      </w:r>
      <w:proofErr w:type="gramEnd"/>
    </w:p>
    <w:p w14:paraId="130CE46A" w14:textId="77777777" w:rsidR="00FD2813" w:rsidRPr="00080D41" w:rsidRDefault="00FD2813" w:rsidP="00080D41">
      <w:pPr>
        <w:pStyle w:val="ListBullet"/>
      </w:pPr>
      <w:r w:rsidRPr="00080D41">
        <w:t xml:space="preserve">Observed and documented clear improvement of muscle function after the first use of </w:t>
      </w:r>
      <w:proofErr w:type="spellStart"/>
      <w:r w:rsidRPr="00080D41">
        <w:t>Gammagard</w:t>
      </w:r>
      <w:proofErr w:type="spellEnd"/>
      <w:r w:rsidRPr="00080D41">
        <w:t xml:space="preserve"> S/</w:t>
      </w:r>
      <w:proofErr w:type="gramStart"/>
      <w:r w:rsidRPr="00080D41">
        <w:t>D;</w:t>
      </w:r>
      <w:proofErr w:type="gramEnd"/>
    </w:p>
    <w:p w14:paraId="70A36F90" w14:textId="77777777" w:rsidR="00FD2813" w:rsidRPr="00080D41" w:rsidRDefault="00FD2813" w:rsidP="00080D41">
      <w:pPr>
        <w:pStyle w:val="ListBullet"/>
      </w:pPr>
      <w:r w:rsidRPr="00080D41">
        <w:t xml:space="preserve">Active CIDP defined by an overall disability sum score (ODSS) grade ≥ 2 and a Medical Research Council (MRC) grade ≤ 4 in at least one of the muscles assessed in the MRC </w:t>
      </w:r>
      <w:r w:rsidRPr="00080D41">
        <w:lastRenderedPageBreak/>
        <w:t>sum score before start of the trial or following a reduction of IVIg dose sometime within the last 12 months before start of the trial;</w:t>
      </w:r>
    </w:p>
    <w:p w14:paraId="48FBE095" w14:textId="77777777" w:rsidR="00FD2813" w:rsidRPr="00080D41" w:rsidRDefault="00FD2813" w:rsidP="00080D41">
      <w:pPr>
        <w:pStyle w:val="ListBullet"/>
      </w:pPr>
      <w:r w:rsidRPr="00080D41">
        <w:t>Ongoing intermittent treatment with IVIg (</w:t>
      </w:r>
      <w:proofErr w:type="spellStart"/>
      <w:r w:rsidRPr="00080D41">
        <w:t>Gammagard</w:t>
      </w:r>
      <w:proofErr w:type="spellEnd"/>
      <w:r w:rsidRPr="00080D41">
        <w:t xml:space="preserve"> S/D) leading to a stable condition. The individual dose must have been stable (within a 25% range of the total dose) for at least 8 weeks and unchanged within the last 4 weeks before start of the </w:t>
      </w:r>
      <w:proofErr w:type="gramStart"/>
      <w:r w:rsidRPr="00080D41">
        <w:t>trial;</w:t>
      </w:r>
      <w:proofErr w:type="gramEnd"/>
    </w:p>
    <w:p w14:paraId="01E3A0B4" w14:textId="77777777" w:rsidR="00FD2813" w:rsidRPr="00080D41" w:rsidRDefault="00FD2813" w:rsidP="00080D41">
      <w:pPr>
        <w:pStyle w:val="ListBullet"/>
      </w:pPr>
      <w:r w:rsidRPr="00080D41">
        <w:t>Electromyography findings compatible with CIDP at l</w:t>
      </w:r>
      <w:r w:rsidR="003B1AB1" w:rsidRPr="00080D41">
        <w:t>east once during their illness.</w:t>
      </w:r>
    </w:p>
    <w:p w14:paraId="1498D470" w14:textId="77777777" w:rsidR="003B1AB1" w:rsidRDefault="003B1AB1" w:rsidP="003B1AB1">
      <w:pPr>
        <w:pStyle w:val="Heading6"/>
      </w:pPr>
      <w:r>
        <w:t>Exclusion criteria</w:t>
      </w:r>
    </w:p>
    <w:p w14:paraId="461A8543" w14:textId="77777777" w:rsidR="00FD2813" w:rsidRDefault="00080D41" w:rsidP="00FD2813">
      <w:r>
        <w:t>The m</w:t>
      </w:r>
      <w:r w:rsidR="00FD2813">
        <w:t>ain exclusion criteria</w:t>
      </w:r>
      <w:r>
        <w:t xml:space="preserve"> were</w:t>
      </w:r>
      <w:r w:rsidR="00FD2813">
        <w:t>:</w:t>
      </w:r>
    </w:p>
    <w:p w14:paraId="02772B24" w14:textId="77777777" w:rsidR="00FD2813" w:rsidRDefault="00FD2813" w:rsidP="00080D41">
      <w:pPr>
        <w:pStyle w:val="ListBullet"/>
      </w:pPr>
      <w:r>
        <w:t xml:space="preserve">Known hereditary neuropathy or severe concomitant diseases such as human immunodeficiency virus (HIV) infection, Lyme disease, chronic active hepatitis, congestive heart failure, systemic lupus erythematosus, drug- or toxin-induced neuropathy, vasculitis and </w:t>
      </w:r>
      <w:proofErr w:type="gramStart"/>
      <w:r>
        <w:t>malignancies;</w:t>
      </w:r>
      <w:proofErr w:type="gramEnd"/>
    </w:p>
    <w:p w14:paraId="30BEC8B7" w14:textId="77777777" w:rsidR="00FD2813" w:rsidRDefault="00FD2813" w:rsidP="00080D41">
      <w:pPr>
        <w:pStyle w:val="ListBullet"/>
      </w:pPr>
      <w:r>
        <w:t xml:space="preserve">IgM paraprotein with anti-myelin-associated glycoprotein </w:t>
      </w:r>
      <w:proofErr w:type="gramStart"/>
      <w:r>
        <w:t>antibodies;</w:t>
      </w:r>
      <w:proofErr w:type="gramEnd"/>
    </w:p>
    <w:p w14:paraId="2226D6A6" w14:textId="77777777" w:rsidR="00FD2813" w:rsidRDefault="003A2882" w:rsidP="00080D41">
      <w:pPr>
        <w:pStyle w:val="ListBullet"/>
      </w:pPr>
      <w:r>
        <w:t>Multifocal motor n</w:t>
      </w:r>
      <w:r w:rsidRPr="00FE30AF">
        <w:t>europathy</w:t>
      </w:r>
      <w:r w:rsidR="00FD2813">
        <w:t xml:space="preserve">, fulfilling the European Federation of Neurological Societies/Peripheral Nerve Society (EFNS/PNS) </w:t>
      </w:r>
      <w:proofErr w:type="gramStart"/>
      <w:r w:rsidR="00FD2813">
        <w:t>criteria;</w:t>
      </w:r>
      <w:proofErr w:type="gramEnd"/>
    </w:p>
    <w:p w14:paraId="47055155" w14:textId="77777777" w:rsidR="00FD2813" w:rsidRDefault="00FD2813" w:rsidP="00080D41">
      <w:pPr>
        <w:pStyle w:val="ListBullet"/>
      </w:pPr>
      <w:r>
        <w:t xml:space="preserve">Atypical CIDP with pure sensory or persistent unifocal impairment or significant central nervous system </w:t>
      </w:r>
      <w:proofErr w:type="gramStart"/>
      <w:r>
        <w:t>involvement;</w:t>
      </w:r>
      <w:proofErr w:type="gramEnd"/>
    </w:p>
    <w:p w14:paraId="320DF81B" w14:textId="77777777" w:rsidR="00FD2813" w:rsidRDefault="00FD2813" w:rsidP="00080D41">
      <w:pPr>
        <w:pStyle w:val="ListBullet"/>
      </w:pPr>
      <w:r>
        <w:t xml:space="preserve">Treatment with an IVIg brand other than </w:t>
      </w:r>
      <w:proofErr w:type="spellStart"/>
      <w:r>
        <w:t>Gammagard</w:t>
      </w:r>
      <w:proofErr w:type="spellEnd"/>
      <w:r>
        <w:t xml:space="preserve"> S</w:t>
      </w:r>
      <w:r w:rsidR="003A2882">
        <w:t>/D during the previous 8 </w:t>
      </w:r>
      <w:r w:rsidR="00080D41">
        <w:t>weeks.</w:t>
      </w:r>
    </w:p>
    <w:p w14:paraId="5CF3EF8F" w14:textId="77777777" w:rsidR="00FD2813" w:rsidRDefault="00080D41" w:rsidP="00FD2813">
      <w:r>
        <w:t xml:space="preserve">The Delegate questioned if </w:t>
      </w:r>
      <w:r w:rsidR="00FD2813">
        <w:t xml:space="preserve">the requirement that prior treatment exposure to other IVIg products, except </w:t>
      </w:r>
      <w:proofErr w:type="spellStart"/>
      <w:r w:rsidR="00FD2813">
        <w:t>Gammagard</w:t>
      </w:r>
      <w:proofErr w:type="spellEnd"/>
      <w:r w:rsidR="00FD2813">
        <w:t xml:space="preserve"> S/D, be excluded in this comparative study indicates intrinsically, that IVIg products are not identical?</w:t>
      </w:r>
    </w:p>
    <w:p w14:paraId="153A334B" w14:textId="77777777" w:rsidR="00FD2813" w:rsidRDefault="00FD2813" w:rsidP="00080D41">
      <w:pPr>
        <w:pStyle w:val="Heading6"/>
      </w:pPr>
      <w:r>
        <w:t>Study treatments</w:t>
      </w:r>
    </w:p>
    <w:p w14:paraId="74CE7EC3" w14:textId="77777777" w:rsidR="00FD2813" w:rsidRDefault="00FD2813" w:rsidP="00FD2813">
      <w:r>
        <w:t>A group of active but stable CIDP patients being treated with a stable maintenance dosage of 5% freeze-dried IVIg (</w:t>
      </w:r>
      <w:proofErr w:type="spellStart"/>
      <w:r>
        <w:t>Gammagard</w:t>
      </w:r>
      <w:proofErr w:type="spellEnd"/>
      <w:r>
        <w:t xml:space="preserve"> S/D) at fixed frequency per individual, were randomised at an equivalent allocation ratio to receive either:</w:t>
      </w:r>
    </w:p>
    <w:p w14:paraId="30E1F9B9" w14:textId="77777777" w:rsidR="00FD2813" w:rsidRDefault="00FD2813" w:rsidP="00080D41">
      <w:pPr>
        <w:pStyle w:val="ListBullet"/>
      </w:pPr>
      <w:r>
        <w:t xml:space="preserve">4 infusions of the same product at the stable maintenance dosage </w:t>
      </w:r>
      <w:proofErr w:type="gramStart"/>
      <w:r>
        <w:t>or;</w:t>
      </w:r>
      <w:proofErr w:type="gramEnd"/>
    </w:p>
    <w:p w14:paraId="683603D9" w14:textId="77777777" w:rsidR="00FD2813" w:rsidRDefault="00FD2813" w:rsidP="00080D41">
      <w:pPr>
        <w:pStyle w:val="ListBullet"/>
      </w:pPr>
      <w:r>
        <w:t>an equivalent dosage of a more concentrated 10% liquid IVIg preparation (</w:t>
      </w:r>
      <w:proofErr w:type="spellStart"/>
      <w:r>
        <w:t>Kiovig</w:t>
      </w:r>
      <w:proofErr w:type="spellEnd"/>
      <w:r>
        <w:t>).</w:t>
      </w:r>
    </w:p>
    <w:p w14:paraId="7B3E8D45" w14:textId="77777777" w:rsidR="00FD2813" w:rsidRDefault="00FD2813" w:rsidP="00FD2813">
      <w:r>
        <w:t xml:space="preserve">The frequency of dosing for each patient, whether on </w:t>
      </w:r>
      <w:proofErr w:type="spellStart"/>
      <w:r>
        <w:t>Gammagard</w:t>
      </w:r>
      <w:proofErr w:type="spellEnd"/>
      <w:r>
        <w:t xml:space="preserve"> S/D or </w:t>
      </w:r>
      <w:proofErr w:type="spellStart"/>
      <w:r>
        <w:t>Kiovig</w:t>
      </w:r>
      <w:proofErr w:type="spellEnd"/>
      <w:r>
        <w:t>, was kept the same as per the treatment regimen prior to trial entry and remained constant throughout the whole trial, thus maintaining individually optimised fixed doses per patient.</w:t>
      </w:r>
    </w:p>
    <w:p w14:paraId="29BE906C" w14:textId="77777777" w:rsidR="00FD2813" w:rsidRDefault="00FD2813" w:rsidP="00FD2813">
      <w:r>
        <w:t>The IVIg was given at a standard safe infusion rate although as previously alluded to, the dose-frequency amongst patients varied.</w:t>
      </w:r>
    </w:p>
    <w:p w14:paraId="0EB7388F" w14:textId="77777777" w:rsidR="00080D41" w:rsidRDefault="00080D41" w:rsidP="00FD2813">
      <w:r>
        <w:t xml:space="preserve">The clinical evaluation report </w:t>
      </w:r>
      <w:r w:rsidR="003A2882">
        <w:t>states</w:t>
      </w:r>
      <w:r>
        <w:t xml:space="preserve"> that:</w:t>
      </w:r>
    </w:p>
    <w:p w14:paraId="260177B4" w14:textId="77777777" w:rsidR="00080D41" w:rsidRDefault="00080D41" w:rsidP="00FD2813">
      <w:pPr>
        <w:pStyle w:val="ListBullet"/>
      </w:pPr>
      <w:r>
        <w:t>[in order to]</w:t>
      </w:r>
      <w:r w:rsidR="00FD2813">
        <w:t xml:space="preserve"> establish the optimal regimen of IVIg, the dosage was increased to achieve maximal clinical response and the infusion frequency shortened when patients experienced end-of-dose symptoms and </w:t>
      </w:r>
      <w:proofErr w:type="gramStart"/>
      <w:r w:rsidR="00FD2813">
        <w:t>signs;</w:t>
      </w:r>
      <w:proofErr w:type="gramEnd"/>
    </w:p>
    <w:p w14:paraId="2159FF3F" w14:textId="77777777" w:rsidR="00080D41" w:rsidRDefault="00080D41" w:rsidP="00FD2813">
      <w:pPr>
        <w:pStyle w:val="ListBullet"/>
      </w:pPr>
      <w:r>
        <w:t>r</w:t>
      </w:r>
      <w:r w:rsidR="00FD2813">
        <w:t>egular attempts to decrease the dosage were ma</w:t>
      </w:r>
      <w:r>
        <w:t>de as recommended; and</w:t>
      </w:r>
    </w:p>
    <w:p w14:paraId="14A1D8F9" w14:textId="77777777" w:rsidR="00FD2813" w:rsidRDefault="00080D41" w:rsidP="00FD2813">
      <w:pPr>
        <w:pStyle w:val="ListBullet"/>
      </w:pPr>
      <w:r>
        <w:t>t</w:t>
      </w:r>
      <w:r w:rsidR="00FD2813">
        <w:t>he ranges of a</w:t>
      </w:r>
      <w:r w:rsidR="003A2882">
        <w:t xml:space="preserve">ctual dosages used during the </w:t>
      </w:r>
      <w:proofErr w:type="gramStart"/>
      <w:r w:rsidR="003A2882">
        <w:t>double blind</w:t>
      </w:r>
      <w:proofErr w:type="gramEnd"/>
      <w:r w:rsidR="00FD2813">
        <w:t xml:space="preserve"> treatment period were not specified.</w:t>
      </w:r>
    </w:p>
    <w:p w14:paraId="200D8E11" w14:textId="77777777" w:rsidR="00FD2813" w:rsidRDefault="00080D41" w:rsidP="00FD2813">
      <w:r>
        <w:t>The Delegate questioned [if the points r</w:t>
      </w:r>
      <w:r w:rsidR="003A2882">
        <w:t xml:space="preserve">aised by the clinical evaluator, </w:t>
      </w:r>
      <w:r w:rsidR="00FD2813">
        <w:t>above</w:t>
      </w:r>
      <w:r w:rsidR="003A2882">
        <w:t>] pose</w:t>
      </w:r>
      <w:r w:rsidR="00FD2813">
        <w:t xml:space="preserve"> an issue relevant to determining the ex</w:t>
      </w:r>
      <w:r>
        <w:t>act dosing instructional guide?</w:t>
      </w:r>
    </w:p>
    <w:p w14:paraId="430FF233" w14:textId="77777777" w:rsidR="00FD2813" w:rsidRDefault="00FD2813" w:rsidP="00080D41">
      <w:pPr>
        <w:pStyle w:val="Heading6"/>
      </w:pPr>
      <w:r>
        <w:lastRenderedPageBreak/>
        <w:t>Randomisation and blinding methods</w:t>
      </w:r>
    </w:p>
    <w:p w14:paraId="55CB6811" w14:textId="77777777" w:rsidR="00FD2813" w:rsidRDefault="00FD2813" w:rsidP="00FD2813">
      <w:r>
        <w:t>A computer-generated randomisation list was produced by a statistician, with block randomisation for each centre.</w:t>
      </w:r>
    </w:p>
    <w:p w14:paraId="77643056" w14:textId="77777777" w:rsidR="00FD2813" w:rsidRDefault="00FD2813" w:rsidP="00FD2813">
      <w:r>
        <w:t xml:space="preserve">Patients and Investigators were blinded to drug allocation. A central pharmacist was responsible for reconstitution, packaging, labelling and distribution of trial medication during the </w:t>
      </w:r>
      <w:proofErr w:type="gramStart"/>
      <w:r w:rsidR="00915D5C">
        <w:t>double blind</w:t>
      </w:r>
      <w:proofErr w:type="gramEnd"/>
      <w:r>
        <w:t xml:space="preserve"> phase.</w:t>
      </w:r>
    </w:p>
    <w:p w14:paraId="599F3D1D" w14:textId="77777777" w:rsidR="00FD2813" w:rsidRDefault="00915D5C" w:rsidP="00FD2813">
      <w:r>
        <w:t>The 10% [</w:t>
      </w:r>
      <w:proofErr w:type="spellStart"/>
      <w:r>
        <w:t>Kiovig</w:t>
      </w:r>
      <w:proofErr w:type="spellEnd"/>
      <w:r>
        <w:t>]</w:t>
      </w:r>
      <w:r w:rsidR="00FD2813">
        <w:t xml:space="preserve"> solution was not diluted to a 5% solution as there were no stability data available. Due to different volumes of the preparations, nurses who were experienced in administering the IVIg could not be blinded to drug assignment, as the infusion speed had to be adjusted to ensure the integrity of the patient blind.</w:t>
      </w:r>
    </w:p>
    <w:p w14:paraId="4CF874B3" w14:textId="77777777" w:rsidR="00FD2813" w:rsidRDefault="00FD2813" w:rsidP="00FD2813">
      <w:r>
        <w:t>The infusion bag and the drip chamber were enclosed in a covering bag and a coloured infusion line was used to maintain the blind for the assessor and patient.</w:t>
      </w:r>
    </w:p>
    <w:p w14:paraId="72A1D7D5" w14:textId="77777777" w:rsidR="00FD2813" w:rsidRDefault="00915D5C" w:rsidP="00915D5C">
      <w:pPr>
        <w:pStyle w:val="Heading6"/>
      </w:pPr>
      <w:r>
        <w:t>Participant flow</w:t>
      </w:r>
    </w:p>
    <w:p w14:paraId="45E1FA4B" w14:textId="77777777" w:rsidR="00FD2813" w:rsidRDefault="00FD2813" w:rsidP="00FD2813">
      <w:r>
        <w:t xml:space="preserve">Screening was undertaken for 75 persons. Of these, 27 subjects were enrolled and randomised in the </w:t>
      </w:r>
      <w:proofErr w:type="gramStart"/>
      <w:r w:rsidR="00915D5C">
        <w:t>double blind</w:t>
      </w:r>
      <w:proofErr w:type="gramEnd"/>
      <w:r w:rsidR="00915D5C">
        <w:t xml:space="preserve"> phase: </w:t>
      </w:r>
      <w:r>
        <w:t xml:space="preserve">13 </w:t>
      </w:r>
      <w:proofErr w:type="spellStart"/>
      <w:r>
        <w:t>Gammagard</w:t>
      </w:r>
      <w:proofErr w:type="spellEnd"/>
      <w:r>
        <w:t xml:space="preserve"> S/D and 14 </w:t>
      </w:r>
      <w:proofErr w:type="spellStart"/>
      <w:r>
        <w:t>Kiovig</w:t>
      </w:r>
      <w:proofErr w:type="spellEnd"/>
      <w:r>
        <w:t>.</w:t>
      </w:r>
    </w:p>
    <w:p w14:paraId="094BE917" w14:textId="77777777" w:rsidR="00FD2813" w:rsidRDefault="00915D5C" w:rsidP="00FD2813">
      <w:r>
        <w:t xml:space="preserve">Twenty-six </w:t>
      </w:r>
      <w:r w:rsidR="00FD2813">
        <w:t xml:space="preserve">subjects completed </w:t>
      </w:r>
      <w:r>
        <w:t>double blind</w:t>
      </w:r>
      <w:r w:rsidR="00FD2813">
        <w:t xml:space="preserve"> treatment phase. The latter is due to one subject in the </w:t>
      </w:r>
      <w:proofErr w:type="spellStart"/>
      <w:r w:rsidR="00FD2813">
        <w:t>Kiovig</w:t>
      </w:r>
      <w:proofErr w:type="spellEnd"/>
      <w:r w:rsidR="00FD2813">
        <w:t xml:space="preserve"> discontinuing treatment due to an </w:t>
      </w:r>
      <w:r>
        <w:t>adverse event.</w:t>
      </w:r>
    </w:p>
    <w:p w14:paraId="4039C2AA" w14:textId="77777777" w:rsidR="00FD2813" w:rsidRDefault="003A2882" w:rsidP="00FD2813">
      <w:r>
        <w:t>Twenty-</w:t>
      </w:r>
      <w:r w:rsidR="00915D5C">
        <w:t>five</w:t>
      </w:r>
      <w:r>
        <w:t xml:space="preserve"> subjects</w:t>
      </w:r>
      <w:r w:rsidR="00915D5C">
        <w:t xml:space="preserve"> </w:t>
      </w:r>
      <w:r w:rsidR="00FD2813">
        <w:t xml:space="preserve">completed the </w:t>
      </w:r>
      <w:r w:rsidR="00915D5C">
        <w:t>open-label</w:t>
      </w:r>
      <w:r w:rsidR="00FD2813">
        <w:t xml:space="preserve"> extension treatment phase. One subject in the </w:t>
      </w:r>
      <w:proofErr w:type="spellStart"/>
      <w:r w:rsidR="00FD2813">
        <w:t>Kiovig</w:t>
      </w:r>
      <w:proofErr w:type="spellEnd"/>
      <w:r w:rsidR="00FD2813">
        <w:t xml:space="preserve"> discontinued treatment due to an </w:t>
      </w:r>
      <w:r w:rsidR="00915D5C">
        <w:t>adverse event during double blind</w:t>
      </w:r>
      <w:r w:rsidR="00FD2813">
        <w:t xml:space="preserve"> treatment</w:t>
      </w:r>
      <w:r w:rsidR="00915D5C">
        <w:t>.</w:t>
      </w:r>
    </w:p>
    <w:p w14:paraId="02EDCD27" w14:textId="77777777" w:rsidR="00FD2813" w:rsidRDefault="00FD2813" w:rsidP="00915D5C">
      <w:pPr>
        <w:pStyle w:val="Heading6"/>
      </w:pPr>
      <w:r>
        <w:t>E</w:t>
      </w:r>
      <w:r w:rsidR="00915D5C">
        <w:t>fficacy parameters and endpoints</w:t>
      </w:r>
    </w:p>
    <w:p w14:paraId="77E3F907" w14:textId="77777777" w:rsidR="00FD2813" w:rsidRDefault="00915D5C" w:rsidP="00FD2813">
      <w:r w:rsidRPr="00915D5C">
        <w:rPr>
          <w:i/>
        </w:rPr>
        <w:t>Primary</w:t>
      </w:r>
      <w:r>
        <w:t xml:space="preserve">: </w:t>
      </w:r>
      <w:r w:rsidR="00FD2813">
        <w:t>a difference in the mean overall disabilit</w:t>
      </w:r>
      <w:r w:rsidR="003A2882">
        <w:t>y sum score (ODSS) change from B</w:t>
      </w:r>
      <w:r w:rsidR="00FD2813">
        <w:t>aseline between the two groups of ≤ 1 point</w:t>
      </w:r>
      <w:r>
        <w:t xml:space="preserve"> was considered as equivalence.</w:t>
      </w:r>
      <w:r>
        <w:rPr>
          <w:rStyle w:val="FootnoteReference"/>
        </w:rPr>
        <w:footnoteReference w:id="10"/>
      </w:r>
      <w:r w:rsidR="00FD2813">
        <w:t xml:space="preserve"> The ODSS was </w:t>
      </w:r>
      <w:r>
        <w:t>recorded before every infusion.</w:t>
      </w:r>
    </w:p>
    <w:p w14:paraId="7FD573A8" w14:textId="77777777" w:rsidR="00FD2813" w:rsidRDefault="00FD2813" w:rsidP="00FD2813">
      <w:r w:rsidRPr="00915D5C">
        <w:rPr>
          <w:i/>
        </w:rPr>
        <w:t>Others</w:t>
      </w:r>
      <w:r>
        <w:t>: 1) immediately befor</w:t>
      </w:r>
      <w:r w:rsidR="003A2882">
        <w:t>e infusions 1 and 2 (baseline open-label</w:t>
      </w:r>
      <w:r>
        <w:t>), 4 and 6 (blind phase), 8 and 10 (</w:t>
      </w:r>
      <w:r w:rsidR="003A2882">
        <w:t>open-label</w:t>
      </w:r>
      <w:r>
        <w:t xml:space="preserve"> extension phase), a neurological examination was undertaken, which included changes in the:</w:t>
      </w:r>
    </w:p>
    <w:p w14:paraId="3AC2FD60" w14:textId="77777777" w:rsidR="00FD2813" w:rsidRDefault="00FD2813" w:rsidP="003A2882">
      <w:pPr>
        <w:ind w:left="720"/>
      </w:pPr>
      <w:proofErr w:type="spellStart"/>
      <w:r w:rsidRPr="00915D5C">
        <w:rPr>
          <w:i/>
        </w:rPr>
        <w:t>Vigorimeter</w:t>
      </w:r>
      <w:proofErr w:type="spellEnd"/>
      <w:r>
        <w:t>; Range 0 to 160: Higher scores indicate better muscle strength; Recorded before every infusion</w:t>
      </w:r>
    </w:p>
    <w:p w14:paraId="657F23C4" w14:textId="77777777" w:rsidR="00FD2813" w:rsidRDefault="00FD2813" w:rsidP="003A2882">
      <w:pPr>
        <w:ind w:left="720"/>
      </w:pPr>
      <w:r w:rsidRPr="00915D5C">
        <w:rPr>
          <w:i/>
        </w:rPr>
        <w:t>Medical Research Coun</w:t>
      </w:r>
      <w:r w:rsidR="00915D5C" w:rsidRPr="00915D5C">
        <w:rPr>
          <w:i/>
        </w:rPr>
        <w:t>cil (MRC) sum score (6 muscles):</w:t>
      </w:r>
      <w:r w:rsidRPr="00915D5C">
        <w:rPr>
          <w:i/>
        </w:rPr>
        <w:t xml:space="preserve"> </w:t>
      </w:r>
      <w:r>
        <w:t xml:space="preserve">Range 0 to 60: Higher scores indicate better muscle </w:t>
      </w:r>
      <w:proofErr w:type="gramStart"/>
      <w:r>
        <w:t>strength;</w:t>
      </w:r>
      <w:proofErr w:type="gramEnd"/>
    </w:p>
    <w:p w14:paraId="598BF283" w14:textId="77777777" w:rsidR="00FD2813" w:rsidRDefault="00FD2813" w:rsidP="003A2882">
      <w:pPr>
        <w:ind w:left="720"/>
      </w:pPr>
      <w:r w:rsidRPr="00915D5C">
        <w:rPr>
          <w:i/>
        </w:rPr>
        <w:t xml:space="preserve">Inflammatory Neuropathy Cause and Treatment </w:t>
      </w:r>
      <w:r w:rsidR="00915D5C">
        <w:rPr>
          <w:i/>
        </w:rPr>
        <w:t>(INCAT) Sensory Sum Score (ISS):</w:t>
      </w:r>
      <w:r w:rsidR="00915D5C">
        <w:t xml:space="preserve"> Range 0 </w:t>
      </w:r>
      <w:r>
        <w:t>to 20: Higher scores indic</w:t>
      </w:r>
      <w:r w:rsidR="00915D5C">
        <w:t>ate more sensory deficits; and</w:t>
      </w:r>
    </w:p>
    <w:p w14:paraId="68E38366" w14:textId="77777777" w:rsidR="00FD2813" w:rsidRDefault="00FD2813" w:rsidP="003A2882">
      <w:pPr>
        <w:ind w:left="720"/>
      </w:pPr>
      <w:r w:rsidRPr="00915D5C">
        <w:rPr>
          <w:i/>
        </w:rPr>
        <w:t>Total serum IgG (g/L) measured by turbidimetry</w:t>
      </w:r>
      <w:r>
        <w:t xml:space="preserve"> (</w:t>
      </w:r>
      <w:proofErr w:type="spellStart"/>
      <w:r>
        <w:t>Kuitwaard</w:t>
      </w:r>
      <w:proofErr w:type="spellEnd"/>
      <w:r>
        <w:t xml:space="preserve"> et al, 2013): IgG levels were determined in serum samples obtained immediately before and 5 minutes after every infusion. The peak inc</w:t>
      </w:r>
      <w:r w:rsidR="003A2882">
        <w:t xml:space="preserve">rease in serum IgG after IVIg (change in </w:t>
      </w:r>
      <w:r>
        <w:t>IgG) was defined as the IgG level after treatment minus the level just before treatment. The latter were used to assess for both inter- and intra-pa</w:t>
      </w:r>
      <w:r w:rsidR="00915D5C">
        <w:t>tient variability of serum IgG.</w:t>
      </w:r>
    </w:p>
    <w:p w14:paraId="7B34CAE6" w14:textId="77777777" w:rsidR="00FD2813" w:rsidRDefault="00915D5C" w:rsidP="00FD2813">
      <w:r>
        <w:t>O</w:t>
      </w:r>
      <w:r w:rsidR="00FD2813">
        <w:t>ne week after each infusion, the patient completed the following questionnaires:</w:t>
      </w:r>
    </w:p>
    <w:p w14:paraId="3358DA82" w14:textId="77777777" w:rsidR="00FD2813" w:rsidRDefault="00FD2813" w:rsidP="003A2882">
      <w:pPr>
        <w:ind w:left="720"/>
      </w:pPr>
      <w:r w:rsidRPr="003A2882">
        <w:rPr>
          <w:i/>
        </w:rPr>
        <w:t>Fatigue severity scale</w:t>
      </w:r>
      <w:r>
        <w:t xml:space="preserve"> (FSS; Range 0 to 7: higher scores indicate more fatigue</w:t>
      </w:r>
      <w:proofErr w:type="gramStart"/>
      <w:r>
        <w:t>);</w:t>
      </w:r>
      <w:proofErr w:type="gramEnd"/>
    </w:p>
    <w:p w14:paraId="72C377ED" w14:textId="77777777" w:rsidR="00FD2813" w:rsidRDefault="00FD2813" w:rsidP="003A2882">
      <w:pPr>
        <w:ind w:left="720"/>
      </w:pPr>
      <w:r w:rsidRPr="003A2882">
        <w:rPr>
          <w:i/>
        </w:rPr>
        <w:t>Short Form (36) Health Survey, Dutch language acute version 1 (SF-36</w:t>
      </w:r>
      <w:r>
        <w:t>); All separate items range 0 to 100: Higher scores indicate better health or less bodily pain</w:t>
      </w:r>
      <w:r w:rsidR="003A2882">
        <w:t>;</w:t>
      </w:r>
      <w:r>
        <w:t xml:space="preserve"> and</w:t>
      </w:r>
    </w:p>
    <w:p w14:paraId="4FDCC2F9" w14:textId="77777777" w:rsidR="00FD2813" w:rsidRDefault="00FD2813" w:rsidP="003A2882">
      <w:pPr>
        <w:ind w:left="720"/>
      </w:pPr>
      <w:r w:rsidRPr="003A2882">
        <w:rPr>
          <w:i/>
        </w:rPr>
        <w:lastRenderedPageBreak/>
        <w:t>The Rotterdam handicap scale (RHS);</w:t>
      </w:r>
      <w:r>
        <w:t xml:space="preserve"> Range: 9 to 6: High scores indicate less handicap</w:t>
      </w:r>
      <w:r w:rsidR="00915D5C">
        <w:t>.</w:t>
      </w:r>
    </w:p>
    <w:p w14:paraId="6330984E" w14:textId="77777777" w:rsidR="00FD2813" w:rsidRDefault="00FD2813" w:rsidP="00915D5C">
      <w:pPr>
        <w:pStyle w:val="Heading6"/>
      </w:pPr>
      <w:r>
        <w:t>Analysis of populations</w:t>
      </w:r>
    </w:p>
    <w:p w14:paraId="5A4FDDF9" w14:textId="77777777" w:rsidR="00FD2813" w:rsidRDefault="003A2882" w:rsidP="00FD2813">
      <w:r>
        <w:t>The i</w:t>
      </w:r>
      <w:r w:rsidR="00FD2813">
        <w:t>ntent-to-treat (ITT) population was N</w:t>
      </w:r>
      <w:r>
        <w:t xml:space="preserve"> </w:t>
      </w:r>
      <w:r w:rsidR="00FD2813">
        <w:t>= 27 patients (</w:t>
      </w:r>
      <w:proofErr w:type="spellStart"/>
      <w:r w:rsidR="00FD2813">
        <w:t>Gammagard</w:t>
      </w:r>
      <w:proofErr w:type="spellEnd"/>
      <w:r w:rsidR="00FD2813">
        <w:t xml:space="preserve"> S/D, N</w:t>
      </w:r>
      <w:r>
        <w:t xml:space="preserve"> </w:t>
      </w:r>
      <w:r w:rsidR="00FD2813">
        <w:t>=</w:t>
      </w:r>
      <w:r>
        <w:t xml:space="preserve"> </w:t>
      </w:r>
      <w:r w:rsidR="00FD2813">
        <w:t xml:space="preserve">13 and </w:t>
      </w:r>
      <w:proofErr w:type="spellStart"/>
      <w:r w:rsidR="00FD2813">
        <w:t>Kiovig</w:t>
      </w:r>
      <w:proofErr w:type="spellEnd"/>
      <w:r w:rsidR="00FD2813">
        <w:t>, N</w:t>
      </w:r>
      <w:r>
        <w:t xml:space="preserve"> </w:t>
      </w:r>
      <w:r w:rsidR="00FD2813">
        <w:t>=</w:t>
      </w:r>
      <w:r>
        <w:t xml:space="preserve"> </w:t>
      </w:r>
      <w:r w:rsidR="00FD2813">
        <w:t>14).</w:t>
      </w:r>
    </w:p>
    <w:p w14:paraId="45037A0A" w14:textId="77777777" w:rsidR="00FD2813" w:rsidRDefault="00FD2813" w:rsidP="00FD2813">
      <w:r>
        <w:t xml:space="preserve">The analysis of population in </w:t>
      </w:r>
      <w:proofErr w:type="spellStart"/>
      <w:r>
        <w:t>Kuitwaard</w:t>
      </w:r>
      <w:proofErr w:type="spellEnd"/>
      <w:r>
        <w:t xml:space="preserve"> et al</w:t>
      </w:r>
      <w:r w:rsidR="00915D5C">
        <w:t>.,</w:t>
      </w:r>
      <w:r>
        <w:t xml:space="preserve"> (2013) was N</w:t>
      </w:r>
      <w:r w:rsidR="003A2882">
        <w:t xml:space="preserve"> </w:t>
      </w:r>
      <w:r>
        <w:t>= 25 patients, representing</w:t>
      </w:r>
      <w:r w:rsidR="00915D5C">
        <w:t xml:space="preserve"> those who completed the study.</w:t>
      </w:r>
    </w:p>
    <w:p w14:paraId="316DB0A5" w14:textId="77777777" w:rsidR="00FD2813" w:rsidRPr="003A2882" w:rsidRDefault="00A35219" w:rsidP="003A2882">
      <w:r w:rsidRPr="003A2882">
        <w:t>The Delegate commented that these numbers are</w:t>
      </w:r>
      <w:r w:rsidR="00FD2813" w:rsidRPr="003A2882">
        <w:t xml:space="preserve"> small</w:t>
      </w:r>
      <w:r w:rsidRPr="003A2882">
        <w:t xml:space="preserve"> for both </w:t>
      </w:r>
      <w:proofErr w:type="spellStart"/>
      <w:r w:rsidRPr="003A2882">
        <w:t>Gammagard</w:t>
      </w:r>
      <w:proofErr w:type="spellEnd"/>
      <w:r w:rsidRPr="003A2882">
        <w:t xml:space="preserve"> and </w:t>
      </w:r>
      <w:proofErr w:type="spellStart"/>
      <w:r w:rsidRPr="003A2882">
        <w:t>Kiovig</w:t>
      </w:r>
      <w:proofErr w:type="spellEnd"/>
      <w:r w:rsidRPr="003A2882">
        <w:t>.</w:t>
      </w:r>
    </w:p>
    <w:p w14:paraId="581E69B4" w14:textId="77777777" w:rsidR="00FD2813" w:rsidRDefault="00FD2813" w:rsidP="00A35219">
      <w:pPr>
        <w:pStyle w:val="Heading6"/>
      </w:pPr>
      <w:r>
        <w:t>Sample size</w:t>
      </w:r>
    </w:p>
    <w:p w14:paraId="21CA0E56" w14:textId="77777777" w:rsidR="00FD2813" w:rsidRDefault="00FD2813" w:rsidP="00FD2813">
      <w:r>
        <w:t>The sample size calculation, based on historical data, showed a standard deviation (SD) of 0.84 for change in ODSS, over a stable peri</w:t>
      </w:r>
      <w:r w:rsidR="00A35219">
        <w:t>od of 2 months. To exclude (that is, to detect)</w:t>
      </w:r>
      <w:r>
        <w:t xml:space="preserve"> differences of &gt;1 point in change in ODSS between the t</w:t>
      </w:r>
      <w:r w:rsidR="00A35219">
        <w:t>wo different treatment arms, 11 </w:t>
      </w:r>
      <w:r>
        <w:t>patients were required in each treatme</w:t>
      </w:r>
      <w:r w:rsidR="00A35219">
        <w:t>nt group (α = 0.05; power 80%).</w:t>
      </w:r>
    </w:p>
    <w:p w14:paraId="5F94BAF4" w14:textId="77777777" w:rsidR="00FD2813" w:rsidRDefault="00FD2813" w:rsidP="00A35219">
      <w:pPr>
        <w:pStyle w:val="Heading6"/>
      </w:pPr>
      <w:r>
        <w:t>Statistical methods</w:t>
      </w:r>
    </w:p>
    <w:p w14:paraId="67D507F1" w14:textId="77777777" w:rsidR="00FD2813" w:rsidRDefault="00FD2813" w:rsidP="00FD2813">
      <w:r>
        <w:t>The mean of ODSS changes from baseline for each of the 4 blinded infusions (infusions 3, 4, 5, 6) was compared using repeated measurements analysis of variance (ANOVA). The 95% confidence intervals (CI) for the difference in mean ODSS should not cross -1 and +1.</w:t>
      </w:r>
    </w:p>
    <w:p w14:paraId="729E9891" w14:textId="77777777" w:rsidR="00FD2813" w:rsidRDefault="00FD2813" w:rsidP="00FD2813">
      <w:r>
        <w:t xml:space="preserve">Inter- and intra-patient variability of serum IgG in </w:t>
      </w:r>
      <w:proofErr w:type="spellStart"/>
      <w:r>
        <w:t>Kuitwaard</w:t>
      </w:r>
      <w:proofErr w:type="spellEnd"/>
      <w:r>
        <w:t xml:space="preserve"> et al (2013) was assessed by c</w:t>
      </w:r>
      <w:r w:rsidR="003A2882">
        <w:t>oefficient of variation</w:t>
      </w:r>
      <w:r>
        <w:t>, calculated as the rati</w:t>
      </w:r>
      <w:r w:rsidR="00A35219">
        <w:t>o of the SD to the mean x 100%.</w:t>
      </w:r>
    </w:p>
    <w:p w14:paraId="494FE1B8" w14:textId="77777777" w:rsidR="00FD2813" w:rsidRDefault="00A35219" w:rsidP="00FD2813">
      <w:r>
        <w:t xml:space="preserve">The peak effect (change in </w:t>
      </w:r>
      <w:r w:rsidR="00FD2813">
        <w:t>IgG) of both preparations was compared using Wilcoxon matched-pairs signed-rank test. Correlation was tested with Spearman correlation coefficient (</w:t>
      </w:r>
      <w:proofErr w:type="spellStart"/>
      <w:r w:rsidR="00FD2813">
        <w:t>rs</w:t>
      </w:r>
      <w:proofErr w:type="spellEnd"/>
      <w:r w:rsidR="00FD2813">
        <w:t xml:space="preserve">). Analysis was performed using SPSS v17.0. Two-sided p values &lt; </w:t>
      </w:r>
      <w:r>
        <w:t>0.05 were regarded significant.</w:t>
      </w:r>
    </w:p>
    <w:p w14:paraId="1893312E" w14:textId="77777777" w:rsidR="00FD2813" w:rsidRDefault="00FD2813" w:rsidP="00A35219">
      <w:pPr>
        <w:pStyle w:val="Heading6"/>
      </w:pPr>
      <w:r>
        <w:t>Baseline data</w:t>
      </w:r>
    </w:p>
    <w:p w14:paraId="61D26350" w14:textId="17EBBA8B" w:rsidR="00FD2813" w:rsidRDefault="00FD2813" w:rsidP="00FD2813">
      <w:r>
        <w:t>Baseline clinical and demographic characteristics were generally similar betw</w:t>
      </w:r>
      <w:r w:rsidR="00A35219">
        <w:t>een the 2</w:t>
      </w:r>
      <w:r w:rsidR="00E6140F">
        <w:t> </w:t>
      </w:r>
      <w:r w:rsidR="00A35219">
        <w:t>treatment groups for:</w:t>
      </w:r>
    </w:p>
    <w:p w14:paraId="5F38D757" w14:textId="77777777" w:rsidR="00FD2813" w:rsidRDefault="00FD2813" w:rsidP="00A35219">
      <w:pPr>
        <w:pStyle w:val="ListBullet"/>
      </w:pPr>
      <w:r>
        <w:t>Mean age (54.0 to 54.6 years</w:t>
      </w:r>
      <w:proofErr w:type="gramStart"/>
      <w:r>
        <w:t>);</w:t>
      </w:r>
      <w:proofErr w:type="gramEnd"/>
    </w:p>
    <w:p w14:paraId="22AA184C" w14:textId="77777777" w:rsidR="00FD2813" w:rsidRDefault="00FD2813" w:rsidP="00A35219">
      <w:pPr>
        <w:pStyle w:val="ListBullet"/>
      </w:pPr>
      <w:r>
        <w:t>Baseline ODSS of 3 to 3.7</w:t>
      </w:r>
    </w:p>
    <w:p w14:paraId="7272E077" w14:textId="77777777" w:rsidR="00FD2813" w:rsidRDefault="00FD2813" w:rsidP="00A35219">
      <w:pPr>
        <w:pStyle w:val="ListBullet"/>
      </w:pPr>
      <w:r>
        <w:t>Medical Research Council sum scores (53.6 to 54.6</w:t>
      </w:r>
      <w:proofErr w:type="gramStart"/>
      <w:r>
        <w:t>);</w:t>
      </w:r>
      <w:proofErr w:type="gramEnd"/>
    </w:p>
    <w:p w14:paraId="3C1A32A9" w14:textId="77777777" w:rsidR="00FD2813" w:rsidRDefault="00FD2813" w:rsidP="00A35219">
      <w:pPr>
        <w:pStyle w:val="ListBullet"/>
      </w:pPr>
      <w:proofErr w:type="spellStart"/>
      <w:r>
        <w:t>Vig</w:t>
      </w:r>
      <w:r w:rsidR="00A35219">
        <w:t>orimeter</w:t>
      </w:r>
      <w:proofErr w:type="spellEnd"/>
      <w:r w:rsidR="00A35219">
        <w:t xml:space="preserve"> scores (86.8 to 89.3).</w:t>
      </w:r>
    </w:p>
    <w:p w14:paraId="541659EE" w14:textId="77777777" w:rsidR="00FD2813" w:rsidRDefault="00591E14" w:rsidP="00FD2813">
      <w:r>
        <w:t xml:space="preserve">Regarding the above, the Delegate commented that </w:t>
      </w:r>
      <w:proofErr w:type="gramStart"/>
      <w:r>
        <w:t>i</w:t>
      </w:r>
      <w:r w:rsidR="00FD2813">
        <w:t>t would appear that the</w:t>
      </w:r>
      <w:proofErr w:type="gramEnd"/>
      <w:r w:rsidR="00FD2813">
        <w:t xml:space="preserve"> patients only hav</w:t>
      </w:r>
      <w:r>
        <w:t>e mild to moderate symptoms at B</w:t>
      </w:r>
      <w:r w:rsidR="00FD2813">
        <w:t>aseline.</w:t>
      </w:r>
    </w:p>
    <w:p w14:paraId="7884E5CF" w14:textId="77777777" w:rsidR="00FD2813" w:rsidRDefault="00591E14" w:rsidP="00FD2813">
      <w:r>
        <w:t>P</w:t>
      </w:r>
      <w:r w:rsidR="00FD2813">
        <w:t xml:space="preserve">atients in the </w:t>
      </w:r>
      <w:proofErr w:type="spellStart"/>
      <w:r w:rsidR="00FD2813">
        <w:t>Kiovig</w:t>
      </w:r>
      <w:proofErr w:type="spellEnd"/>
      <w:r w:rsidR="00FD2813">
        <w:t xml:space="preserve"> treatment arm compared to the </w:t>
      </w:r>
      <w:proofErr w:type="spellStart"/>
      <w:r w:rsidR="00FD2813">
        <w:t>Gammagard</w:t>
      </w:r>
      <w:proofErr w:type="spellEnd"/>
      <w:r w:rsidR="00FD2813">
        <w:t xml:space="preserve"> S/D treatment arm had:</w:t>
      </w:r>
    </w:p>
    <w:p w14:paraId="1D713B0D" w14:textId="77777777" w:rsidR="00FD2813" w:rsidRDefault="00FD2813" w:rsidP="00591E14">
      <w:pPr>
        <w:pStyle w:val="ListBullet"/>
      </w:pPr>
      <w:r>
        <w:t>Higher percentage of males (86%</w:t>
      </w:r>
      <w:r w:rsidR="00CC797B">
        <w:t xml:space="preserve"> versus </w:t>
      </w:r>
      <w:r>
        <w:t>62%),</w:t>
      </w:r>
    </w:p>
    <w:p w14:paraId="1BF31726" w14:textId="77777777" w:rsidR="00591E14" w:rsidRDefault="00FD2813" w:rsidP="00591E14">
      <w:pPr>
        <w:pStyle w:val="ListBullet"/>
      </w:pPr>
      <w:r>
        <w:t>Heavier subjects (85.6</w:t>
      </w:r>
      <w:r w:rsidR="00CC797B">
        <w:t xml:space="preserve"> versus </w:t>
      </w:r>
      <w:r>
        <w:t>78.5 kg</w:t>
      </w:r>
      <w:proofErr w:type="gramStart"/>
      <w:r>
        <w:t>);</w:t>
      </w:r>
      <w:proofErr w:type="gramEnd"/>
    </w:p>
    <w:p w14:paraId="57CBD3D6" w14:textId="77777777" w:rsidR="00FD2813" w:rsidRDefault="00FD2813" w:rsidP="00591E14">
      <w:pPr>
        <w:pStyle w:val="ListBullet"/>
      </w:pPr>
      <w:r>
        <w:t xml:space="preserve">Higher weekly median IVIg </w:t>
      </w:r>
      <w:proofErr w:type="spellStart"/>
      <w:r>
        <w:t>Gammagard</w:t>
      </w:r>
      <w:proofErr w:type="spellEnd"/>
      <w:r>
        <w:t xml:space="preserve"> S/D doses (14.6</w:t>
      </w:r>
      <w:r w:rsidR="00CC797B">
        <w:t xml:space="preserve"> versus </w:t>
      </w:r>
      <w:r>
        <w:t>12.5 g/week</w:t>
      </w:r>
      <w:proofErr w:type="gramStart"/>
      <w:r>
        <w:t>);</w:t>
      </w:r>
      <w:proofErr w:type="gramEnd"/>
    </w:p>
    <w:p w14:paraId="418A9A13" w14:textId="77777777" w:rsidR="00FD2813" w:rsidRDefault="00FD2813" w:rsidP="00591E14">
      <w:pPr>
        <w:pStyle w:val="ListBullet"/>
      </w:pPr>
      <w:r>
        <w:t xml:space="preserve">Lower mean dose-intervals of IVIg </w:t>
      </w:r>
      <w:proofErr w:type="spellStart"/>
      <w:r>
        <w:t>Gammagard</w:t>
      </w:r>
      <w:proofErr w:type="spellEnd"/>
      <w:r>
        <w:t xml:space="preserve"> S/D (15.5</w:t>
      </w:r>
      <w:r w:rsidR="00CC797B">
        <w:t xml:space="preserve"> versus </w:t>
      </w:r>
      <w:r>
        <w:t>18.8 days</w:t>
      </w:r>
      <w:proofErr w:type="gramStart"/>
      <w:r>
        <w:t>);</w:t>
      </w:r>
      <w:proofErr w:type="gramEnd"/>
    </w:p>
    <w:p w14:paraId="7D45A2DD" w14:textId="77777777" w:rsidR="00FD2813" w:rsidRDefault="00FD2813" w:rsidP="00591E14">
      <w:pPr>
        <w:pStyle w:val="ListBullet"/>
      </w:pPr>
      <w:r>
        <w:t>Higher base</w:t>
      </w:r>
      <w:r w:rsidR="00591E14">
        <w:t>line ODSS scores (3.7</w:t>
      </w:r>
      <w:r w:rsidR="00CC797B">
        <w:t xml:space="preserve"> versus </w:t>
      </w:r>
      <w:r w:rsidR="00591E14">
        <w:t>3.0).</w:t>
      </w:r>
    </w:p>
    <w:p w14:paraId="738601ED" w14:textId="77777777" w:rsidR="00FD2813" w:rsidRDefault="00591E14" w:rsidP="00FD2813">
      <w:r>
        <w:t>The Delegate questioned, d</w:t>
      </w:r>
      <w:r w:rsidR="00FD2813">
        <w:t>oes that</w:t>
      </w:r>
      <w:r>
        <w:t xml:space="preserve"> [the baseline data above]</w:t>
      </w:r>
      <w:r w:rsidR="00FD2813">
        <w:t xml:space="preserve"> translate to the </w:t>
      </w:r>
      <w:proofErr w:type="spellStart"/>
      <w:r w:rsidR="00FD2813">
        <w:t>Kiovig</w:t>
      </w:r>
      <w:proofErr w:type="spellEnd"/>
      <w:r w:rsidR="00FD2813">
        <w:t xml:space="preserve"> group as being slightly sicke</w:t>
      </w:r>
      <w:r>
        <w:t xml:space="preserve">r than the </w:t>
      </w:r>
      <w:proofErr w:type="spellStart"/>
      <w:r>
        <w:t>Gammagard</w:t>
      </w:r>
      <w:proofErr w:type="spellEnd"/>
      <w:r>
        <w:t xml:space="preserve"> S/D group?</w:t>
      </w:r>
    </w:p>
    <w:p w14:paraId="7704D4DC" w14:textId="77777777" w:rsidR="00FD2813" w:rsidRDefault="00FD2813" w:rsidP="00FD2813">
      <w:r>
        <w:t>All patients had at least moderate disab</w:t>
      </w:r>
      <w:r w:rsidR="00591E14">
        <w:t>ility in their arms or legs at B</w:t>
      </w:r>
      <w:r>
        <w:t>aseline or following IVIg reduction during the 12 m</w:t>
      </w:r>
      <w:r w:rsidR="00591E14">
        <w:t>onths before the trial started.</w:t>
      </w:r>
    </w:p>
    <w:p w14:paraId="0F66EE31" w14:textId="77777777" w:rsidR="00FD2813" w:rsidRDefault="00FD2813" w:rsidP="00FD2813">
      <w:r>
        <w:lastRenderedPageBreak/>
        <w:t xml:space="preserve">All patients had been treated successfully with maintenance IVIg </w:t>
      </w:r>
      <w:proofErr w:type="spellStart"/>
      <w:r>
        <w:t>Gammagard</w:t>
      </w:r>
      <w:proofErr w:type="spellEnd"/>
      <w:r>
        <w:t xml:space="preserve"> S/D before start of the trial (mean 5 years; Range 5 months to 13 years) and had active disease that required intermittent</w:t>
      </w:r>
      <w:r w:rsidR="00591E14">
        <w:t xml:space="preserve"> IVIg </w:t>
      </w:r>
      <w:proofErr w:type="spellStart"/>
      <w:r w:rsidR="00591E14">
        <w:t>Gammagard</w:t>
      </w:r>
      <w:proofErr w:type="spellEnd"/>
      <w:r w:rsidR="00591E14">
        <w:t xml:space="preserve"> S/D treatment, that is confirmed IVIg dependency.</w:t>
      </w:r>
    </w:p>
    <w:p w14:paraId="7ACC816C" w14:textId="77777777" w:rsidR="00FD2813" w:rsidRDefault="00FD2813" w:rsidP="00591E14">
      <w:pPr>
        <w:pStyle w:val="Heading6"/>
      </w:pPr>
      <w:r>
        <w:t>Major protocol violations/deviations</w:t>
      </w:r>
    </w:p>
    <w:p w14:paraId="128E1236" w14:textId="77777777" w:rsidR="00FD2813" w:rsidRDefault="00FD2813" w:rsidP="00FD2813">
      <w:r>
        <w:t xml:space="preserve">One patient ceased blinded treatment after 1 infusion due to an </w:t>
      </w:r>
      <w:r w:rsidR="00591E14">
        <w:t>adverse event</w:t>
      </w:r>
      <w:r>
        <w:t xml:space="preserve"> (fatigue) and was then observed during the rest of the </w:t>
      </w:r>
      <w:proofErr w:type="gramStart"/>
      <w:r w:rsidR="00591E14">
        <w:t>double blind</w:t>
      </w:r>
      <w:proofErr w:type="gramEnd"/>
      <w:r>
        <w:t xml:space="preserve"> phas</w:t>
      </w:r>
      <w:r w:rsidR="00591E14">
        <w:t xml:space="preserve">e with unblinded </w:t>
      </w:r>
      <w:proofErr w:type="spellStart"/>
      <w:r w:rsidR="00591E14">
        <w:t>Gammagard</w:t>
      </w:r>
      <w:proofErr w:type="spellEnd"/>
      <w:r w:rsidR="00591E14">
        <w:t xml:space="preserve"> S/D.</w:t>
      </w:r>
    </w:p>
    <w:p w14:paraId="6F5D4C66" w14:textId="77777777" w:rsidR="00FD2813" w:rsidRDefault="00FD2813" w:rsidP="00FD2813">
      <w:r>
        <w:t>A second patient received</w:t>
      </w:r>
      <w:r w:rsidR="00591E14">
        <w:t xml:space="preserve"> </w:t>
      </w:r>
      <w:proofErr w:type="gramStart"/>
      <w:r w:rsidR="00591E14">
        <w:t>double-dosage</w:t>
      </w:r>
      <w:proofErr w:type="gramEnd"/>
      <w:r w:rsidR="00591E14">
        <w:t xml:space="preserve"> on alternate, that is,</w:t>
      </w:r>
      <w:r>
        <w:t xml:space="preserve"> every other infusion. No further details were provided.</w:t>
      </w:r>
    </w:p>
    <w:p w14:paraId="6948DA64" w14:textId="77777777" w:rsidR="00591E14" w:rsidRDefault="00591E14" w:rsidP="00591E14">
      <w:pPr>
        <w:pStyle w:val="Heading6"/>
      </w:pPr>
      <w:r>
        <w:t>Efficacy outcomes</w:t>
      </w:r>
    </w:p>
    <w:p w14:paraId="2AEF198D" w14:textId="77777777" w:rsidR="00591E14" w:rsidRPr="00591E14" w:rsidRDefault="00591E14" w:rsidP="00591E14">
      <w:r>
        <w:t>The following is a summary of the clinical evaluator’s findings.</w:t>
      </w:r>
    </w:p>
    <w:p w14:paraId="31B40D4A" w14:textId="77777777" w:rsidR="00FD2813" w:rsidRDefault="00FD2813" w:rsidP="00FD2813">
      <w:r>
        <w:t>Primary</w:t>
      </w:r>
      <w:r w:rsidR="00591E14">
        <w:t xml:space="preserve"> outcome</w:t>
      </w:r>
      <w:r>
        <w:t>:</w:t>
      </w:r>
    </w:p>
    <w:p w14:paraId="636EAC44" w14:textId="77777777" w:rsidR="00FD2813" w:rsidRDefault="00FD2813" w:rsidP="00FD2813">
      <w:pPr>
        <w:pStyle w:val="ListBullet"/>
      </w:pPr>
      <w:r>
        <w:t xml:space="preserve">Treatments were not significantly different for </w:t>
      </w:r>
      <w:r w:rsidR="00591E14">
        <w:t>the primary outcome measure (full analysis s</w:t>
      </w:r>
      <w:r>
        <w:t>et (FAS, ANOVA)):</w:t>
      </w:r>
    </w:p>
    <w:p w14:paraId="27D3AB7C" w14:textId="2789CF2C" w:rsidR="00FD2813" w:rsidRDefault="00591E14" w:rsidP="00FD2813">
      <w:pPr>
        <w:pStyle w:val="ListBullet2"/>
      </w:pPr>
      <w:r>
        <w:t>d</w:t>
      </w:r>
      <w:r w:rsidR="00FD2813">
        <w:t>ifference 0.004 (</w:t>
      </w:r>
      <w:proofErr w:type="spellStart"/>
      <w:r w:rsidR="00FD2813">
        <w:t>Gammagard</w:t>
      </w:r>
      <w:proofErr w:type="spellEnd"/>
      <w:r w:rsidR="00FD2813">
        <w:t xml:space="preserve"> minus </w:t>
      </w:r>
      <w:proofErr w:type="spellStart"/>
      <w:r w:rsidR="00FD2813">
        <w:t>Kio</w:t>
      </w:r>
      <w:r>
        <w:t>vig</w:t>
      </w:r>
      <w:proofErr w:type="spellEnd"/>
      <w:r>
        <w:t>), 95% confidence intervals (CI)</w:t>
      </w:r>
      <w:r w:rsidR="00FD2813">
        <w:t>: -0.4 to 0.4; p = 0.98, using repeated measurements ANOVA. ODSS showed a similar distribution</w:t>
      </w:r>
      <w:r>
        <w:t xml:space="preserve"> </w:t>
      </w:r>
      <w:r w:rsidR="00FD2813">
        <w:t>between treatments (</w:t>
      </w:r>
      <w:r w:rsidR="00114945">
        <w:t xml:space="preserve">as shown in </w:t>
      </w:r>
      <w:r w:rsidR="00114945">
        <w:fldChar w:fldCharType="begin"/>
      </w:r>
      <w:r w:rsidR="00114945">
        <w:instrText xml:space="preserve"> REF _Ref82145788 \h </w:instrText>
      </w:r>
      <w:r w:rsidR="00114945">
        <w:fldChar w:fldCharType="separate"/>
      </w:r>
      <w:r w:rsidR="00F81787">
        <w:t xml:space="preserve">Figure </w:t>
      </w:r>
      <w:r w:rsidR="00F81787">
        <w:rPr>
          <w:noProof/>
        </w:rPr>
        <w:t>3</w:t>
      </w:r>
      <w:r w:rsidR="00114945">
        <w:fldChar w:fldCharType="end"/>
      </w:r>
      <w:r w:rsidR="00114945">
        <w:t xml:space="preserve">, </w:t>
      </w:r>
      <w:r w:rsidR="00FD2813">
        <w:t>below). This effect did not differ significantly between the 4 measurements i</w:t>
      </w:r>
      <w:r>
        <w:t>n the blinded phase (p = 0.19).</w:t>
      </w:r>
    </w:p>
    <w:p w14:paraId="7E667468" w14:textId="1C5D3BF5" w:rsidR="00114945" w:rsidRDefault="00114945" w:rsidP="00114945">
      <w:pPr>
        <w:pStyle w:val="FigureTitle"/>
      </w:pPr>
      <w:bookmarkStart w:id="48" w:name="_Ref82145788"/>
      <w:bookmarkStart w:id="49" w:name="_Ref82145754"/>
      <w:r>
        <w:t xml:space="preserve">Figure </w:t>
      </w:r>
      <w:r w:rsidR="005137AB">
        <w:fldChar w:fldCharType="begin"/>
      </w:r>
      <w:r w:rsidR="005137AB">
        <w:instrText xml:space="preserve"> SEQ Figure \</w:instrText>
      </w:r>
      <w:r w:rsidR="005137AB">
        <w:instrText xml:space="preserve">* ARABIC </w:instrText>
      </w:r>
      <w:r w:rsidR="005137AB">
        <w:fldChar w:fldCharType="separate"/>
      </w:r>
      <w:r w:rsidR="00F81787">
        <w:rPr>
          <w:noProof/>
        </w:rPr>
        <w:t>3</w:t>
      </w:r>
      <w:r w:rsidR="005137AB">
        <w:rPr>
          <w:noProof/>
        </w:rPr>
        <w:fldChar w:fldCharType="end"/>
      </w:r>
      <w:bookmarkEnd w:id="48"/>
      <w:r>
        <w:t xml:space="preserve">: </w:t>
      </w:r>
      <w:proofErr w:type="spellStart"/>
      <w:r w:rsidR="00E6140F">
        <w:t>Kuitwaard</w:t>
      </w:r>
      <w:proofErr w:type="spellEnd"/>
      <w:r w:rsidR="00E6140F">
        <w:t xml:space="preserve"> et al, (2010) </w:t>
      </w:r>
      <w:r>
        <w:t>Scatterplot overall disability sum score</w:t>
      </w:r>
      <w:bookmarkEnd w:id="49"/>
    </w:p>
    <w:p w14:paraId="3B8CBB1C" w14:textId="77777777" w:rsidR="00FD2813" w:rsidRDefault="00114945" w:rsidP="00FD2813">
      <w:r>
        <w:rPr>
          <w:noProof/>
          <w:sz w:val="20"/>
          <w:lang w:val="en-GB" w:eastAsia="en-GB"/>
        </w:rPr>
        <w:drawing>
          <wp:inline distT="0" distB="0" distL="0" distR="0" wp14:anchorId="315523C2" wp14:editId="45D3D504">
            <wp:extent cx="3405117" cy="2113280"/>
            <wp:effectExtent l="0" t="0" r="5080" b="1270"/>
            <wp:docPr id="21" name="image11.png" descr="(Kuitwaard et al, 2010) Scatterplot overal disability sum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3424988" cy="2125613"/>
                    </a:xfrm>
                    <a:prstGeom prst="rect">
                      <a:avLst/>
                    </a:prstGeom>
                  </pic:spPr>
                </pic:pic>
              </a:graphicData>
            </a:graphic>
          </wp:inline>
        </w:drawing>
      </w:r>
    </w:p>
    <w:p w14:paraId="20F2E86E" w14:textId="77777777" w:rsidR="00FD2813" w:rsidRDefault="00FD2813" w:rsidP="00114945">
      <w:pPr>
        <w:pStyle w:val="FigureDescription"/>
      </w:pPr>
      <w:r>
        <w:t xml:space="preserve">Source: Figure 3, </w:t>
      </w:r>
      <w:proofErr w:type="spellStart"/>
      <w:r>
        <w:t>Kuitwaard</w:t>
      </w:r>
      <w:proofErr w:type="spellEnd"/>
      <w:r>
        <w:t xml:space="preserve"> et al (2010)</w:t>
      </w:r>
    </w:p>
    <w:p w14:paraId="21CB93D6" w14:textId="77777777" w:rsidR="00114945" w:rsidRDefault="00FD2813" w:rsidP="00FD2813">
      <w:pPr>
        <w:pStyle w:val="ListBullet"/>
      </w:pPr>
      <w:r>
        <w:t xml:space="preserve">No pre-specified or reported post hoc estimation for the </w:t>
      </w:r>
      <w:r w:rsidR="00114945">
        <w:t xml:space="preserve">subgroup analysis </w:t>
      </w:r>
      <w:r>
        <w:t>(SGA) of the primary endpoint.</w:t>
      </w:r>
    </w:p>
    <w:p w14:paraId="19F34459" w14:textId="77777777" w:rsidR="00FD2813" w:rsidRDefault="00FD2813" w:rsidP="00FD2813">
      <w:pPr>
        <w:pStyle w:val="ListBullet"/>
      </w:pPr>
      <w:r>
        <w:t xml:space="preserve">For the </w:t>
      </w:r>
      <w:r w:rsidR="00114945">
        <w:t xml:space="preserve">sensitivity analysis </w:t>
      </w:r>
      <w:r>
        <w:t xml:space="preserve">(SAs) of the primary endpoint, the ODSS score in the patient who received 1 blinded treatment in the </w:t>
      </w:r>
      <w:r w:rsidR="00114945">
        <w:t>double blind phase instead of 4 </w:t>
      </w:r>
      <w:r>
        <w:t>treatments was the same as after non-trial medication</w:t>
      </w:r>
      <w:r w:rsidR="00114945">
        <w:t>,</w:t>
      </w:r>
      <w:r>
        <w:t xml:space="preserve"> </w:t>
      </w:r>
      <w:r w:rsidR="00114945">
        <w:t>that is,</w:t>
      </w:r>
      <w:r>
        <w:t xml:space="preserve"> no change in ODSS.</w:t>
      </w:r>
    </w:p>
    <w:p w14:paraId="2491C860" w14:textId="77777777" w:rsidR="00FD2813" w:rsidRPr="00114945" w:rsidRDefault="00FD2813" w:rsidP="00114945">
      <w:r w:rsidRPr="00114945">
        <w:t>Others:</w:t>
      </w:r>
    </w:p>
    <w:p w14:paraId="07C0CDA4" w14:textId="77777777" w:rsidR="00C7347C" w:rsidRDefault="00114945" w:rsidP="00C7347C">
      <w:r w:rsidRPr="00114945">
        <w:rPr>
          <w:noProof/>
          <w:lang w:val="en-GB" w:eastAsia="en-GB"/>
        </w:rPr>
        <mc:AlternateContent>
          <mc:Choice Requires="wps">
            <w:drawing>
              <wp:anchor distT="0" distB="0" distL="114300" distR="114300" simplePos="0" relativeHeight="251657216" behindDoc="0" locked="0" layoutInCell="1" allowOverlap="1" wp14:anchorId="6329DD45" wp14:editId="581A7B84">
                <wp:simplePos x="0" y="0"/>
                <wp:positionH relativeFrom="column">
                  <wp:posOffset>-2540</wp:posOffset>
                </wp:positionH>
                <wp:positionV relativeFrom="paragraph">
                  <wp:posOffset>641985</wp:posOffset>
                </wp:positionV>
                <wp:extent cx="5670550" cy="45085"/>
                <wp:effectExtent l="0" t="0" r="6350" b="0"/>
                <wp:wrapTopAndBottom/>
                <wp:docPr id="1" name="Text Box 1"/>
                <wp:cNvGraphicFramePr/>
                <a:graphic xmlns:a="http://schemas.openxmlformats.org/drawingml/2006/main">
                  <a:graphicData uri="http://schemas.microsoft.com/office/word/2010/wordprocessingShape">
                    <wps:wsp>
                      <wps:cNvSpPr txBox="1"/>
                      <wps:spPr>
                        <a:xfrm flipV="1">
                          <a:off x="0" y="0"/>
                          <a:ext cx="5670550" cy="45085"/>
                        </a:xfrm>
                        <a:prstGeom prst="rect">
                          <a:avLst/>
                        </a:prstGeom>
                        <a:solidFill>
                          <a:prstClr val="white"/>
                        </a:solidFill>
                        <a:ln>
                          <a:noFill/>
                        </a:ln>
                      </wps:spPr>
                      <wps:txbx>
                        <w:txbxContent>
                          <w:p w14:paraId="0702908A" w14:textId="77777777" w:rsidR="00D23A82" w:rsidRPr="00B45724" w:rsidRDefault="00D23A82" w:rsidP="00114945">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29DD45" id="_x0000_t202" coordsize="21600,21600" o:spt="202" path="m,l,21600r21600,l21600,xe">
                <v:stroke joinstyle="miter"/>
                <v:path gradientshapeok="t" o:connecttype="rect"/>
              </v:shapetype>
              <v:shape id="Text Box 1" o:spid="_x0000_s1026" type="#_x0000_t202" style="position:absolute;margin-left:-.2pt;margin-top:50.55pt;width:446.5pt;height:3.55pt;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GOMAIAAGkEAAAOAAAAZHJzL2Uyb0RvYy54bWysVE2P0zAQvSPxHyzfadoVXVZR01Xpqgip&#10;2l2phT27jt1Ycjxm7DYpv55xPgosnBAXazLz/Ow3b5zFfVtbdlYYDLiCzyZTzpSTUBp3LPiX/ebd&#10;HWchClcKC04V/KICv1++fbNofK5uoAJbKmRE4kLe+IJXMfo8y4KsVC3CBLxyVNSAtYj0icesRNEQ&#10;e22zm+n0NmsAS48gVQiUfeiLfNnxa61kfNI6qMhswelusVuxWw9pzZYLkR9R+MrI4RriH25RC+Po&#10;0CvVg4iCndD8QVUbiRBAx4mEOgOtjVSdBlIzm75Ss6uEV50Wak7w1zaF/0crH8/PyExJ3nHmRE0W&#10;7VUb2Udo2Sx1p/EhJ9DOEyy2lE7IIR8omUS3GmumrfFfUzFlSBgjJHX8cu1yopWUnN9+mM7nVJJU&#10;ez+f3s0TX9bTpM0eQ/ykoGYpKDiSiR2pOG9D7KEjJMEDWFNujLXj3rVFdhZkeFOZqAby31DWJayD&#10;tKsnTJksae01pSi2h3YQeoDyQvoR+vkJXm4M3W0rQnwWSANDaugRxCdatIWm4DBEnFWA3/+WT3jy&#10;kaqcNTSABQ/fTgIVZ/azI4fTtI4BjsFhDNypXgNJJNfoNl1IGzDaMdQI9Qu9jVU6hUrCSTqr4HEM&#10;17F/BvS2pFqtOhDNpBdx63Zejk6mTu/bF4F+sCOSj48wjqbIX7nSY/v2rk4RtOksSw3tuzj0mea5&#10;M314e+nB/PrdoX7+IZY/AAAA//8DAFBLAwQUAAYACAAAACEAlyx8P94AAAAJAQAADwAAAGRycy9k&#10;b3ducmV2LnhtbEyPwWrDMBBE74X+g9hCLyaRbUpwXMuhBHIptLRJP0C2traptTKSnDh/382pPe7M&#10;MPum2i12FGf0YXCkIFunIJBaZwbqFHydDqsCRIiajB4doYIrBtjV93eVLo270Ceej7ETXEKh1Ar6&#10;GKdSytD2aHVYuwmJvW/nrY58+k4ary9cbkeZp+lGWj0Qf+j1hPse25/jbBWc3j5efbJN2n0a52Y+&#10;vBfJtQlKPT4sL88gIi7xLww3fEaHmpkaN5MJYlSweuIgy2mWgWC/2OYbEM1NKXKQdSX/L6h/AQAA&#10;//8DAFBLAQItABQABgAIAAAAIQC2gziS/gAAAOEBAAATAAAAAAAAAAAAAAAAAAAAAABbQ29udGVu&#10;dF9UeXBlc10ueG1sUEsBAi0AFAAGAAgAAAAhADj9If/WAAAAlAEAAAsAAAAAAAAAAAAAAAAALwEA&#10;AF9yZWxzLy5yZWxzUEsBAi0AFAAGAAgAAAAhAGU70Y4wAgAAaQQAAA4AAAAAAAAAAAAAAAAALgIA&#10;AGRycy9lMm9Eb2MueG1sUEsBAi0AFAAGAAgAAAAhAJcsfD/eAAAACQEAAA8AAAAAAAAAAAAAAAAA&#10;igQAAGRycy9kb3ducmV2LnhtbFBLBQYAAAAABAAEAPMAAACVBQAAAAA=&#10;" stroked="f">
                <v:textbox inset="0,0,0,0">
                  <w:txbxContent>
                    <w:p w14:paraId="0702908A" w14:textId="77777777" w:rsidR="00D23A82" w:rsidRPr="00B45724" w:rsidRDefault="00D23A82" w:rsidP="00114945">
                      <w:pPr>
                        <w:pStyle w:val="Caption"/>
                      </w:pPr>
                    </w:p>
                  </w:txbxContent>
                </v:textbox>
                <w10:wrap type="topAndBottom"/>
              </v:shape>
            </w:pict>
          </mc:Fallback>
        </mc:AlternateContent>
      </w:r>
      <w:r w:rsidR="00FD2813" w:rsidRPr="00114945">
        <w:t>No clinically relevant differences were reported between treatments for sec</w:t>
      </w:r>
      <w:r w:rsidR="00C7347C">
        <w:t>ondary measures (detailed in the table</w:t>
      </w:r>
      <w:r w:rsidR="002D098C">
        <w:t xml:space="preserve"> below)</w:t>
      </w:r>
      <w:r w:rsidR="00C7347C">
        <w:t>.</w:t>
      </w:r>
    </w:p>
    <w:p w14:paraId="0A9DB9FD" w14:textId="1D47C7ED" w:rsidR="00C7347C" w:rsidRDefault="00C7347C" w:rsidP="0048236C">
      <w:pPr>
        <w:pStyle w:val="FigureTitle"/>
      </w:pPr>
      <w:r>
        <w:lastRenderedPageBreak/>
        <w:t xml:space="preserve">Table </w:t>
      </w:r>
      <w:r w:rsidR="005137AB">
        <w:fldChar w:fldCharType="begin"/>
      </w:r>
      <w:r w:rsidR="005137AB">
        <w:instrText xml:space="preserve"> SEQ Table \* ARABIC </w:instrText>
      </w:r>
      <w:r w:rsidR="005137AB">
        <w:fldChar w:fldCharType="separate"/>
      </w:r>
      <w:r w:rsidR="00F81787">
        <w:rPr>
          <w:noProof/>
        </w:rPr>
        <w:t>3</w:t>
      </w:r>
      <w:r w:rsidR="005137AB">
        <w:rPr>
          <w:noProof/>
        </w:rPr>
        <w:fldChar w:fldCharType="end"/>
      </w:r>
      <w:r>
        <w:t xml:space="preserve">: </w:t>
      </w:r>
      <w:proofErr w:type="spellStart"/>
      <w:r w:rsidR="00E6140F">
        <w:t>Kuitwaard</w:t>
      </w:r>
      <w:proofErr w:type="spellEnd"/>
      <w:r w:rsidR="00E6140F">
        <w:t xml:space="preserve"> et al, (2010) </w:t>
      </w:r>
      <w:r>
        <w:t>Results for the secondary outcomes</w:t>
      </w:r>
    </w:p>
    <w:p w14:paraId="5FF4D53B" w14:textId="2AE35226" w:rsidR="00C7347C" w:rsidRPr="00C7347C" w:rsidRDefault="005137AB" w:rsidP="00C7347C">
      <w:r>
        <w:rPr>
          <w:noProof/>
        </w:rPr>
        <w:drawing>
          <wp:inline distT="0" distB="0" distL="0" distR="0" wp14:anchorId="6DD34096" wp14:editId="7149649E">
            <wp:extent cx="5400040" cy="2326108"/>
            <wp:effectExtent l="0" t="0" r="0" b="0"/>
            <wp:docPr id="2" name="Picture 2" descr="Table 3: Kuitwaard et al, (2010) Results for the secondar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3: Kuitwaard et al, (2010) Results for the secondary outcomes"/>
                    <pic:cNvPicPr/>
                  </pic:nvPicPr>
                  <pic:blipFill>
                    <a:blip r:embed="rId20"/>
                    <a:stretch>
                      <a:fillRect/>
                    </a:stretch>
                  </pic:blipFill>
                  <pic:spPr>
                    <a:xfrm>
                      <a:off x="0" y="0"/>
                      <a:ext cx="5400040" cy="2326108"/>
                    </a:xfrm>
                    <a:prstGeom prst="rect">
                      <a:avLst/>
                    </a:prstGeom>
                  </pic:spPr>
                </pic:pic>
              </a:graphicData>
            </a:graphic>
          </wp:inline>
        </w:drawing>
      </w:r>
    </w:p>
    <w:p w14:paraId="4EA52CB9" w14:textId="77777777" w:rsidR="00FD2813" w:rsidRPr="00114945" w:rsidRDefault="00C7347C" w:rsidP="002D098C">
      <w:pPr>
        <w:pStyle w:val="TableDescription"/>
      </w:pPr>
      <w:r>
        <w:t>S</w:t>
      </w:r>
      <w:r w:rsidR="00FD2813" w:rsidRPr="00114945">
        <w:t xml:space="preserve">ource: Table 2, </w:t>
      </w:r>
      <w:proofErr w:type="spellStart"/>
      <w:r w:rsidR="00FD2813" w:rsidRPr="00114945">
        <w:t>Kuitwaard</w:t>
      </w:r>
      <w:proofErr w:type="spellEnd"/>
      <w:r w:rsidR="00FD2813" w:rsidRPr="00114945">
        <w:t xml:space="preserve"> et al (2010)</w:t>
      </w:r>
    </w:p>
    <w:p w14:paraId="31B18B73" w14:textId="77777777" w:rsidR="00FD2813" w:rsidRPr="00114945" w:rsidRDefault="002D098C" w:rsidP="00114945">
      <w:r>
        <w:t>For s</w:t>
      </w:r>
      <w:r w:rsidR="00FD2813" w:rsidRPr="00114945">
        <w:t>erum IgG (</w:t>
      </w:r>
      <w:proofErr w:type="spellStart"/>
      <w:r w:rsidR="00FD2813" w:rsidRPr="00114945">
        <w:t>Kuitwaard</w:t>
      </w:r>
      <w:proofErr w:type="spellEnd"/>
      <w:r w:rsidR="00FD2813" w:rsidRPr="00114945">
        <w:t xml:space="preserve"> et al, 2013):</w:t>
      </w:r>
    </w:p>
    <w:p w14:paraId="033F973E" w14:textId="77777777" w:rsidR="002D098C" w:rsidRDefault="002D098C" w:rsidP="00FD2813">
      <w:pPr>
        <w:pStyle w:val="ListBullet"/>
      </w:pPr>
      <w:r>
        <w:t>t</w:t>
      </w:r>
      <w:r w:rsidR="00FD2813" w:rsidRPr="00114945">
        <w:t xml:space="preserve">he intra-patient variability of the pre-treatment serum IgG </w:t>
      </w:r>
      <w:r w:rsidR="00FD2813">
        <w:t>levels, post-treatment levels and peak increase in s</w:t>
      </w:r>
      <w:r>
        <w:t xml:space="preserve">erum IgG shortly after </w:t>
      </w:r>
      <w:proofErr w:type="spellStart"/>
      <w:r>
        <w:t>Kiovig</w:t>
      </w:r>
      <w:proofErr w:type="spellEnd"/>
      <w:r>
        <w:t xml:space="preserve"> (change in </w:t>
      </w:r>
      <w:r w:rsidR="00FD2813">
        <w:t xml:space="preserve">IgG) was low (mean </w:t>
      </w:r>
      <w:r w:rsidR="007432A4">
        <w:t>coefficient of variation</w:t>
      </w:r>
      <w:r w:rsidR="00FD2813">
        <w:t xml:space="preserve"> = 3%, 4%, 10%</w:t>
      </w:r>
      <w:proofErr w:type="gramStart"/>
      <w:r w:rsidR="00FD2813">
        <w:t>);</w:t>
      </w:r>
      <w:proofErr w:type="gramEnd"/>
    </w:p>
    <w:p w14:paraId="3999DE8B" w14:textId="77777777" w:rsidR="002D098C" w:rsidRDefault="002D098C" w:rsidP="00FD2813">
      <w:pPr>
        <w:pStyle w:val="ListBullet"/>
      </w:pPr>
      <w:r>
        <w:t>t</w:t>
      </w:r>
      <w:r w:rsidR="00FD2813">
        <w:t>he inter-patient variability of serum IgG between patients treated with the same dose and interval was low in pre</w:t>
      </w:r>
      <w:r w:rsidR="007432A4">
        <w:t xml:space="preserve">-treatment, post-treatment and change in </w:t>
      </w:r>
      <w:r w:rsidR="00FD2813">
        <w:t xml:space="preserve">IgG level (mean </w:t>
      </w:r>
      <w:r w:rsidR="007432A4">
        <w:t xml:space="preserve">coefficient of variation </w:t>
      </w:r>
      <w:r w:rsidR="00FD2813">
        <w:t xml:space="preserve">= 13%, 11%, 20%) after </w:t>
      </w:r>
      <w:proofErr w:type="spellStart"/>
      <w:proofErr w:type="gramStart"/>
      <w:r w:rsidR="00FD2813">
        <w:t>Kiovig</w:t>
      </w:r>
      <w:proofErr w:type="spellEnd"/>
      <w:r w:rsidR="00FD2813">
        <w:t>;</w:t>
      </w:r>
      <w:proofErr w:type="gramEnd"/>
    </w:p>
    <w:p w14:paraId="5EFB5D1A" w14:textId="77777777" w:rsidR="002D098C" w:rsidRDefault="00FD2813" w:rsidP="00FD2813">
      <w:pPr>
        <w:pStyle w:val="ListBullet"/>
      </w:pPr>
      <w:proofErr w:type="spellStart"/>
      <w:r>
        <w:t>Gammagard</w:t>
      </w:r>
      <w:proofErr w:type="spellEnd"/>
      <w:r>
        <w:t xml:space="preserve"> infusion was reported to have similar low variability in IgG levels for intra- and inter-patient variability, but no results were </w:t>
      </w:r>
      <w:proofErr w:type="gramStart"/>
      <w:r>
        <w:t>provided;</w:t>
      </w:r>
      <w:proofErr w:type="gramEnd"/>
    </w:p>
    <w:p w14:paraId="6C2FA0C9" w14:textId="77777777" w:rsidR="002D098C" w:rsidRDefault="002D098C" w:rsidP="00FD2813">
      <w:pPr>
        <w:pStyle w:val="ListBullet"/>
      </w:pPr>
      <w:r>
        <w:t>p</w:t>
      </w:r>
      <w:r w:rsidR="007432A4">
        <w:t xml:space="preserve">ost-treatment IgG levels and change in </w:t>
      </w:r>
      <w:r w:rsidR="00FD2813">
        <w:t xml:space="preserve">IgG levels for </w:t>
      </w:r>
      <w:proofErr w:type="spellStart"/>
      <w:r w:rsidR="00FD2813">
        <w:t>Kiovig</w:t>
      </w:r>
      <w:proofErr w:type="spellEnd"/>
      <w:r w:rsidR="00FD2813">
        <w:t xml:space="preserve"> were related to the IVIg dosage administered per infusion (</w:t>
      </w:r>
      <w:proofErr w:type="spellStart"/>
      <w:r w:rsidR="00FD2813">
        <w:t>rs</w:t>
      </w:r>
      <w:proofErr w:type="spellEnd"/>
      <w:r w:rsidR="00FD2813">
        <w:t xml:space="preserve"> = 0.405, p &lt; 0.05; </w:t>
      </w:r>
      <w:proofErr w:type="spellStart"/>
      <w:r w:rsidR="00FD2813">
        <w:t>rs</w:t>
      </w:r>
      <w:proofErr w:type="spellEnd"/>
      <w:r w:rsidR="00FD2813">
        <w:t xml:space="preserve"> = 0.78, p &lt; 0.001), but not to the infusion </w:t>
      </w:r>
      <w:proofErr w:type="gramStart"/>
      <w:r w:rsidR="00FD2813">
        <w:t>frequency;</w:t>
      </w:r>
      <w:proofErr w:type="gramEnd"/>
    </w:p>
    <w:p w14:paraId="7A381FE6" w14:textId="77777777" w:rsidR="002D098C" w:rsidRDefault="002D098C" w:rsidP="00FD2813">
      <w:pPr>
        <w:pStyle w:val="ListBullet"/>
      </w:pPr>
      <w:r>
        <w:t>t</w:t>
      </w:r>
      <w:r w:rsidR="00FD2813">
        <w:t>otal dosage per infusion required to reach a stable clinic</w:t>
      </w:r>
      <w:r>
        <w:t xml:space="preserve">al state and change in </w:t>
      </w:r>
      <w:r w:rsidR="00FD2813">
        <w:t xml:space="preserve">IgG did not correlate with age, sex, bodyweight, lean body mass, muscle strength, </w:t>
      </w:r>
      <w:proofErr w:type="gramStart"/>
      <w:r w:rsidR="00FD2813">
        <w:t>disability</w:t>
      </w:r>
      <w:proofErr w:type="gramEnd"/>
      <w:r w:rsidR="00FD2813">
        <w:t xml:space="preserve"> or sensory dysfunction;</w:t>
      </w:r>
      <w:r>
        <w:t xml:space="preserve"> and</w:t>
      </w:r>
    </w:p>
    <w:p w14:paraId="562CB583" w14:textId="77777777" w:rsidR="002D098C" w:rsidRDefault="002D098C" w:rsidP="00FD2813">
      <w:pPr>
        <w:pStyle w:val="ListBullet"/>
      </w:pPr>
      <w:r>
        <w:t xml:space="preserve">change in </w:t>
      </w:r>
      <w:r w:rsidR="00FD2813">
        <w:t xml:space="preserve">IgG after </w:t>
      </w:r>
      <w:proofErr w:type="spellStart"/>
      <w:r w:rsidR="00FD2813">
        <w:t>Gammagard</w:t>
      </w:r>
      <w:proofErr w:type="spellEnd"/>
      <w:r w:rsidR="00FD2813">
        <w:t xml:space="preserve"> infusion was less than after </w:t>
      </w:r>
      <w:proofErr w:type="spellStart"/>
      <w:r w:rsidR="00FD2813">
        <w:t>Kiovig</w:t>
      </w:r>
      <w:proofErr w:type="spellEnd"/>
      <w:r w:rsidR="00FD2813">
        <w:t xml:space="preserve"> (median 6.1 g/L</w:t>
      </w:r>
      <w:r w:rsidR="00CC797B">
        <w:t xml:space="preserve"> versus </w:t>
      </w:r>
      <w:r w:rsidR="00FD2813">
        <w:t>6.8 g/L, p &lt; 0.001).</w:t>
      </w:r>
    </w:p>
    <w:p w14:paraId="0C3C3F48" w14:textId="77777777" w:rsidR="00FD2813" w:rsidRDefault="00456F06" w:rsidP="00FD2813">
      <w:r>
        <w:t xml:space="preserve">The Delegate questions, from the above, is </w:t>
      </w:r>
      <w:proofErr w:type="spellStart"/>
      <w:r>
        <w:t>Kiovig</w:t>
      </w:r>
      <w:proofErr w:type="spellEnd"/>
      <w:r>
        <w:t xml:space="preserve"> stronger?</w:t>
      </w:r>
    </w:p>
    <w:p w14:paraId="7E5454B7" w14:textId="77777777" w:rsidR="00456F06" w:rsidRDefault="00456F06" w:rsidP="00456F06">
      <w:pPr>
        <w:pStyle w:val="Heading6"/>
      </w:pPr>
      <w:r>
        <w:t xml:space="preserve">Clinical evaluator’s conclusions for the </w:t>
      </w:r>
      <w:proofErr w:type="spellStart"/>
      <w:r>
        <w:t>Kuitwaard</w:t>
      </w:r>
      <w:proofErr w:type="spellEnd"/>
      <w:r>
        <w:t xml:space="preserve"> et al., (2010) study</w:t>
      </w:r>
    </w:p>
    <w:p w14:paraId="0442ED17" w14:textId="77777777" w:rsidR="00FD2813" w:rsidRDefault="00456F06" w:rsidP="00FD2813">
      <w:r>
        <w:t xml:space="preserve">The following is a summary, </w:t>
      </w:r>
      <w:r w:rsidR="00FC0D0E">
        <w:t>adapted</w:t>
      </w:r>
      <w:r>
        <w:t xml:space="preserve"> by the Delegate, of the clinical evaluator’s</w:t>
      </w:r>
      <w:r w:rsidR="00FD2813">
        <w:t xml:space="preserve"> overall conclusions on clinical efficac</w:t>
      </w:r>
      <w:r>
        <w:t xml:space="preserve">y for a </w:t>
      </w:r>
      <w:proofErr w:type="spellStart"/>
      <w:r>
        <w:t>Kiovig</w:t>
      </w:r>
      <w:proofErr w:type="spellEnd"/>
      <w:r>
        <w:t>-specific; active</w:t>
      </w:r>
      <w:r>
        <w:noBreakHyphen/>
        <w:t>controlled; maintenance treatment study:</w:t>
      </w:r>
    </w:p>
    <w:p w14:paraId="168E4188" w14:textId="77777777" w:rsidR="00456F06" w:rsidRDefault="00456F06" w:rsidP="00FD2813">
      <w:pPr>
        <w:pStyle w:val="ListBullet"/>
      </w:pPr>
      <w:r>
        <w:t>t</w:t>
      </w:r>
      <w:r w:rsidR="00FD2813">
        <w:t>he study population was generally representative of CIDP (middle-aged</w:t>
      </w:r>
      <w:r>
        <w:t xml:space="preserve"> males</w:t>
      </w:r>
      <w:proofErr w:type="gramStart"/>
      <w:r>
        <w:t>);</w:t>
      </w:r>
      <w:proofErr w:type="gramEnd"/>
    </w:p>
    <w:p w14:paraId="6A74BE65" w14:textId="77777777" w:rsidR="00456F06" w:rsidRDefault="00456F06" w:rsidP="00FD2813">
      <w:pPr>
        <w:pStyle w:val="ListBullet"/>
      </w:pPr>
      <w:r>
        <w:t>p</w:t>
      </w:r>
      <w:r w:rsidR="00FD2813">
        <w:t xml:space="preserve">atients were still IVIg dependent since most had at least moderate disability in arms or legs at baseline or following IVIg reduction during the previous 12 months. Patient selection minimised the probability of recruitment of IVIg-refractory </w:t>
      </w:r>
      <w:proofErr w:type="gramStart"/>
      <w:r>
        <w:t>patients;</w:t>
      </w:r>
      <w:proofErr w:type="gramEnd"/>
    </w:p>
    <w:p w14:paraId="1BB9072E" w14:textId="77777777" w:rsidR="00456F06" w:rsidRDefault="00456F06" w:rsidP="00FD2813">
      <w:pPr>
        <w:pStyle w:val="ListBullet"/>
      </w:pPr>
      <w:r>
        <w:t>t</w:t>
      </w:r>
      <w:r w:rsidR="00FD2813">
        <w:t xml:space="preserve">he efficacy endpoints were generally acceptable. This publication used ODSS (reported in the literature as a validated method) to assess disability, whereas most other recent CIDP publications used the more widely studied and validated INCAT disability </w:t>
      </w:r>
      <w:proofErr w:type="gramStart"/>
      <w:r w:rsidR="00FD2813">
        <w:t>score;</w:t>
      </w:r>
      <w:proofErr w:type="gramEnd"/>
    </w:p>
    <w:p w14:paraId="24552510" w14:textId="77777777" w:rsidR="00456F06" w:rsidRDefault="00456F06" w:rsidP="00FD2813">
      <w:pPr>
        <w:pStyle w:val="ListBullet"/>
      </w:pPr>
      <w:r>
        <w:lastRenderedPageBreak/>
        <w:t>t</w:t>
      </w:r>
      <w:r w:rsidR="00FD2813">
        <w:t xml:space="preserve">he sample size and power calculations and the statistical methods used were generally </w:t>
      </w:r>
      <w:proofErr w:type="gramStart"/>
      <w:r w:rsidR="00FD2813">
        <w:t>acceptable;</w:t>
      </w:r>
      <w:proofErr w:type="gramEnd"/>
    </w:p>
    <w:p w14:paraId="717B96E0" w14:textId="77777777" w:rsidR="00456F06" w:rsidRDefault="00456F06" w:rsidP="00FD2813">
      <w:pPr>
        <w:pStyle w:val="ListBullet"/>
      </w:pPr>
      <w:r>
        <w:t>t</w:t>
      </w:r>
      <w:r w:rsidR="00FD2813">
        <w:t xml:space="preserve">he treatments used were not strictly interchangeable since there were differences in IgG subclasses and excipients, as well as differences in manufacturing </w:t>
      </w:r>
      <w:proofErr w:type="gramStart"/>
      <w:r w:rsidR="00FD2813">
        <w:t>processes;</w:t>
      </w:r>
      <w:proofErr w:type="gramEnd"/>
    </w:p>
    <w:p w14:paraId="2D57F4D4" w14:textId="77777777" w:rsidR="00456F06" w:rsidRDefault="00456F06" w:rsidP="00FD2813">
      <w:pPr>
        <w:pStyle w:val="ListBullet"/>
      </w:pPr>
      <w:r>
        <w:t>c</w:t>
      </w:r>
      <w:r w:rsidR="00FD2813">
        <w:t xml:space="preserve">hanges in serum IgG after </w:t>
      </w:r>
      <w:proofErr w:type="spellStart"/>
      <w:r w:rsidR="00FD2813">
        <w:t>Gammagard</w:t>
      </w:r>
      <w:proofErr w:type="spellEnd"/>
      <w:r w:rsidR="00FD2813">
        <w:t xml:space="preserve"> infusions were smaller than after </w:t>
      </w:r>
      <w:proofErr w:type="spellStart"/>
      <w:r w:rsidR="00FD2813">
        <w:t>Kiovig</w:t>
      </w:r>
      <w:proofErr w:type="spellEnd"/>
      <w:r w:rsidR="00FD2813">
        <w:t xml:space="preserve"> infusions (median 6.1 g/L</w:t>
      </w:r>
      <w:r w:rsidR="00CC797B">
        <w:t xml:space="preserve"> versus </w:t>
      </w:r>
      <w:r w:rsidR="00FD2813">
        <w:t xml:space="preserve">6.8 g/L, p &lt; 0.001), which may, in part, be attributed to the lower IgG content in </w:t>
      </w:r>
      <w:proofErr w:type="spellStart"/>
      <w:r w:rsidR="00FD2813">
        <w:t>Gammagard</w:t>
      </w:r>
      <w:proofErr w:type="spellEnd"/>
      <w:r w:rsidR="00FD2813">
        <w:t xml:space="preserve"> (95%) compared to</w:t>
      </w:r>
      <w:r w:rsidR="00FC0D0E">
        <w:t xml:space="preserve"> </w:t>
      </w:r>
      <w:proofErr w:type="spellStart"/>
      <w:r w:rsidR="00FC0D0E">
        <w:t>Kiovig</w:t>
      </w:r>
      <w:proofErr w:type="spellEnd"/>
      <w:r w:rsidR="00FC0D0E">
        <w:t xml:space="preserve"> (around </w:t>
      </w:r>
      <w:r w:rsidR="00FD2813">
        <w:t>100%);</w:t>
      </w:r>
    </w:p>
    <w:p w14:paraId="225840C2" w14:textId="1A8F76A0" w:rsidR="00FD2813" w:rsidRDefault="00456F06" w:rsidP="00FD2813">
      <w:pPr>
        <w:pStyle w:val="ListBullet"/>
      </w:pPr>
      <w:r>
        <w:t>t</w:t>
      </w:r>
      <w:r w:rsidR="00FD2813">
        <w:t>his ev</w:t>
      </w:r>
      <w:r w:rsidR="00FC0D0E">
        <w:t>aluator did not agree with the s</w:t>
      </w:r>
      <w:r w:rsidR="007432A4">
        <w:t>ponsor, that the P</w:t>
      </w:r>
      <w:r w:rsidR="00FD2813">
        <w:t xml:space="preserve">hase III study by </w:t>
      </w:r>
      <w:proofErr w:type="spellStart"/>
      <w:r w:rsidR="00FD2813">
        <w:t>Kuitwaard</w:t>
      </w:r>
      <w:proofErr w:type="spellEnd"/>
      <w:r w:rsidR="00FD2813">
        <w:t xml:space="preserve"> et al</w:t>
      </w:r>
      <w:r w:rsidR="00FC0D0E">
        <w:t>.,</w:t>
      </w:r>
      <w:r w:rsidR="00FD2813">
        <w:t xml:space="preserve"> (2010) with the additional data presented in the </w:t>
      </w:r>
      <w:proofErr w:type="spellStart"/>
      <w:r w:rsidR="00FD2813">
        <w:t>Kuitwaard</w:t>
      </w:r>
      <w:proofErr w:type="spellEnd"/>
      <w:r w:rsidR="00FD2813">
        <w:t xml:space="preserve"> et al (2013) publication was pivotal. While this evaluator accepts that the </w:t>
      </w:r>
      <w:proofErr w:type="spellStart"/>
      <w:r w:rsidR="00FD2813">
        <w:t>Kuitwaard</w:t>
      </w:r>
      <w:proofErr w:type="spellEnd"/>
      <w:r w:rsidR="00FD2813">
        <w:t xml:space="preserve"> et al (2010) clinical study, is the only head-to-head </w:t>
      </w:r>
      <w:r w:rsidR="00FC0D0E">
        <w:t>randomised clinical trial</w:t>
      </w:r>
      <w:r w:rsidR="00FD2813">
        <w:t xml:space="preserve"> identified in the literature search that assessed </w:t>
      </w:r>
      <w:proofErr w:type="spellStart"/>
      <w:r w:rsidR="00FD2813">
        <w:t>Kiovig</w:t>
      </w:r>
      <w:proofErr w:type="spellEnd"/>
      <w:r w:rsidR="00FD2813">
        <w:t xml:space="preserve"> in CIDP, from a regulatory perspective it failed to meet many criteria listed in the TGA-adopted guideline to assess pivotal studies in an ap</w:t>
      </w:r>
      <w:r w:rsidR="00FC0D0E">
        <w:t>plication.</w:t>
      </w:r>
      <w:r w:rsidR="00FC0D0E" w:rsidRPr="00FC0D0E">
        <w:rPr>
          <w:vertAlign w:val="superscript"/>
        </w:rPr>
        <w:fldChar w:fldCharType="begin"/>
      </w:r>
      <w:r w:rsidR="00FC0D0E" w:rsidRPr="00FC0D0E">
        <w:rPr>
          <w:vertAlign w:val="superscript"/>
        </w:rPr>
        <w:instrText xml:space="preserve"> NOTEREF _Ref82146872 \h </w:instrText>
      </w:r>
      <w:r w:rsidR="00FC0D0E">
        <w:rPr>
          <w:vertAlign w:val="superscript"/>
        </w:rPr>
        <w:instrText xml:space="preserve"> \* MERGEFORMAT </w:instrText>
      </w:r>
      <w:r w:rsidR="00FC0D0E" w:rsidRPr="00FC0D0E">
        <w:rPr>
          <w:vertAlign w:val="superscript"/>
        </w:rPr>
      </w:r>
      <w:r w:rsidR="00FC0D0E" w:rsidRPr="00FC0D0E">
        <w:rPr>
          <w:vertAlign w:val="superscript"/>
        </w:rPr>
        <w:fldChar w:fldCharType="separate"/>
      </w:r>
      <w:r w:rsidR="00F81787">
        <w:rPr>
          <w:vertAlign w:val="superscript"/>
        </w:rPr>
        <w:t>4</w:t>
      </w:r>
      <w:r w:rsidR="00FC0D0E" w:rsidRPr="00FC0D0E">
        <w:rPr>
          <w:vertAlign w:val="superscript"/>
        </w:rPr>
        <w:fldChar w:fldCharType="end"/>
      </w:r>
      <w:r w:rsidR="00FD2813">
        <w:t xml:space="preserve"> In particular the </w:t>
      </w:r>
      <w:proofErr w:type="spellStart"/>
      <w:r w:rsidR="00FD2813">
        <w:t>Kuitwaard</w:t>
      </w:r>
      <w:proofErr w:type="spellEnd"/>
      <w:r w:rsidR="00FD2813">
        <w:t xml:space="preserve"> et al (2010) study:</w:t>
      </w:r>
    </w:p>
    <w:p w14:paraId="2EB920DA" w14:textId="77777777" w:rsidR="00FC0D0E" w:rsidRDefault="00FC0D0E" w:rsidP="00FD2813">
      <w:pPr>
        <w:pStyle w:val="ListBullet2"/>
      </w:pPr>
      <w:r w:rsidRPr="00FC0D0E">
        <w:t>d</w:t>
      </w:r>
      <w:r w:rsidR="00FD2813" w:rsidRPr="00FC0D0E">
        <w:t>id</w:t>
      </w:r>
      <w:r w:rsidR="00FD2813">
        <w:t xml:space="preserve"> not assess acute/unstable CIDP, so loading dose regimens could not be assessed, only maintenance dose </w:t>
      </w:r>
      <w:proofErr w:type="gramStart"/>
      <w:r w:rsidR="00FD2813">
        <w:t>regimens;</w:t>
      </w:r>
      <w:proofErr w:type="gramEnd"/>
    </w:p>
    <w:p w14:paraId="0F2E24E3" w14:textId="77777777" w:rsidR="00FC0D0E" w:rsidRDefault="00FC0D0E" w:rsidP="00FD2813">
      <w:pPr>
        <w:pStyle w:val="ListBullet2"/>
      </w:pPr>
      <w:r>
        <w:t>i</w:t>
      </w:r>
      <w:r w:rsidR="00FD2813">
        <w:t xml:space="preserve">nformation about treatment optimisation prior to randomisation, including up- and down-titration of IVIg doses was not </w:t>
      </w:r>
      <w:proofErr w:type="gramStart"/>
      <w:r w:rsidR="00FD2813">
        <w:t>provided;</w:t>
      </w:r>
      <w:proofErr w:type="gramEnd"/>
    </w:p>
    <w:p w14:paraId="7849DC32" w14:textId="77777777" w:rsidR="00FC0D0E" w:rsidRDefault="00FC0D0E" w:rsidP="00FD2813">
      <w:pPr>
        <w:pStyle w:val="ListBullet2"/>
      </w:pPr>
      <w:r>
        <w:t>r</w:t>
      </w:r>
      <w:r w:rsidR="00FD2813">
        <w:t xml:space="preserve">elapse and/or withdrawal effects were not </w:t>
      </w:r>
      <w:proofErr w:type="gramStart"/>
      <w:r w:rsidR="00FD2813">
        <w:t>evaluated;</w:t>
      </w:r>
      <w:proofErr w:type="gramEnd"/>
    </w:p>
    <w:p w14:paraId="44917229" w14:textId="77777777" w:rsidR="00FC0D0E" w:rsidRDefault="00FC0D0E" w:rsidP="00FD2813">
      <w:pPr>
        <w:pStyle w:val="ListBullet2"/>
      </w:pPr>
      <w:r>
        <w:t>n</w:t>
      </w:r>
      <w:r w:rsidR="00FD2813">
        <w:t xml:space="preserve">o comparison versus placebo were undertaken to account for underlying disease course, so efficacy of long-term </w:t>
      </w:r>
      <w:proofErr w:type="spellStart"/>
      <w:r w:rsidR="00FD2813">
        <w:t>Kiovig</w:t>
      </w:r>
      <w:proofErr w:type="spellEnd"/>
      <w:r w:rsidR="00FD2813">
        <w:t xml:space="preserve"> treatment was difficult to </w:t>
      </w:r>
      <w:proofErr w:type="gramStart"/>
      <w:r w:rsidR="00FD2813">
        <w:t>interpret;</w:t>
      </w:r>
      <w:proofErr w:type="gramEnd"/>
    </w:p>
    <w:p w14:paraId="1AD55C73" w14:textId="77777777" w:rsidR="00FC0D0E" w:rsidRDefault="00FC0D0E" w:rsidP="00FD2813">
      <w:pPr>
        <w:pStyle w:val="ListBullet2"/>
      </w:pPr>
      <w:r>
        <w:t>n</w:t>
      </w:r>
      <w:r w:rsidR="00FD2813">
        <w:t xml:space="preserve">o data were available for nerve conduction </w:t>
      </w:r>
      <w:proofErr w:type="gramStart"/>
      <w:r w:rsidR="00FD2813">
        <w:t>outcomes;</w:t>
      </w:r>
      <w:proofErr w:type="gramEnd"/>
    </w:p>
    <w:p w14:paraId="06485B2F" w14:textId="77777777" w:rsidR="00FC0D0E" w:rsidRDefault="00FC0D0E" w:rsidP="00FD2813">
      <w:pPr>
        <w:pStyle w:val="ListBullet2"/>
      </w:pPr>
      <w:r>
        <w:t>t</w:t>
      </w:r>
      <w:r w:rsidR="00FD2813">
        <w:t>he estimated size of the treatment benefit, in terms of both statistical and clinical significance, was not adequately undertaken (as there was no comparison versus placebo or the underlying disease course</w:t>
      </w:r>
      <w:proofErr w:type="gramStart"/>
      <w:r w:rsidR="00FD2813">
        <w:t>);</w:t>
      </w:r>
      <w:proofErr w:type="gramEnd"/>
    </w:p>
    <w:p w14:paraId="20DEBE6B" w14:textId="77777777" w:rsidR="00FC0D0E" w:rsidRDefault="00FC0D0E" w:rsidP="00FD2813">
      <w:pPr>
        <w:pStyle w:val="ListBullet2"/>
      </w:pPr>
      <w:r>
        <w:t>t</w:t>
      </w:r>
      <w:r w:rsidR="00FD2813">
        <w:t>he study may have lacked internal consistency since no</w:t>
      </w:r>
      <w:r w:rsidR="007432A4">
        <w:t xml:space="preserve"> analyses of pre-specified sub-</w:t>
      </w:r>
      <w:r w:rsidR="00FD2813">
        <w:t xml:space="preserve">populations were undertaken. However, robustness of the primary results was demonstrated by the results from secondary efficacy outcome </w:t>
      </w:r>
      <w:proofErr w:type="gramStart"/>
      <w:r w:rsidR="00FD2813">
        <w:t>measures;</w:t>
      </w:r>
      <w:proofErr w:type="gramEnd"/>
    </w:p>
    <w:p w14:paraId="1C3BC605" w14:textId="0A2F9056" w:rsidR="00FC0D0E" w:rsidRDefault="00FC0D0E" w:rsidP="00FD2813">
      <w:pPr>
        <w:pStyle w:val="ListBullet2"/>
      </w:pPr>
      <w:r>
        <w:t>t</w:t>
      </w:r>
      <w:r w:rsidR="00FD2813">
        <w:t xml:space="preserve">he external validity of the study results may have been adversely </w:t>
      </w:r>
      <w:proofErr w:type="gramStart"/>
      <w:r w:rsidR="00FD2813">
        <w:t>impacted, since</w:t>
      </w:r>
      <w:proofErr w:type="gramEnd"/>
      <w:r w:rsidR="00FD2813">
        <w:t xml:space="preserve"> no information on ethnicity and </w:t>
      </w:r>
      <w:r w:rsidR="00E6140F">
        <w:t xml:space="preserve">body mass index </w:t>
      </w:r>
      <w:r w:rsidR="00FD2813">
        <w:t>were reported. Also, the study did not assess IVIg in paediatric populations (≤ 18 years old</w:t>
      </w:r>
      <w:proofErr w:type="gramStart"/>
      <w:r w:rsidR="00FD2813">
        <w:t>);</w:t>
      </w:r>
      <w:proofErr w:type="gramEnd"/>
    </w:p>
    <w:p w14:paraId="3C287BAB" w14:textId="77777777" w:rsidR="00FC0D0E" w:rsidRDefault="00FC0D0E" w:rsidP="00FD2813">
      <w:pPr>
        <w:pStyle w:val="ListBullet2"/>
      </w:pPr>
      <w:r>
        <w:t>n</w:t>
      </w:r>
      <w:r w:rsidR="00FD2813">
        <w:t xml:space="preserve">o results of ‘centre effects’ were presented. It is unclear from the data whether subjects were recruited equally across participating centres or whether one centre </w:t>
      </w:r>
      <w:proofErr w:type="gramStart"/>
      <w:r w:rsidR="00FD2813">
        <w:t>dominated;</w:t>
      </w:r>
      <w:proofErr w:type="gramEnd"/>
    </w:p>
    <w:p w14:paraId="781D1E64" w14:textId="77777777" w:rsidR="00FC0D0E" w:rsidRDefault="00FC0D0E" w:rsidP="00FD2813">
      <w:pPr>
        <w:pStyle w:val="ListBullet2"/>
      </w:pPr>
      <w:r>
        <w:t>t</w:t>
      </w:r>
      <w:r w:rsidR="00FD2813">
        <w:t>he internal validity of the results may have been adversely affected, since the differences in baseline demographic and disease characteristics between the treatment groups indicated there may have been a suboptimal randomisation process in treatment assignation. In addition, the blinding of treatment assignation was suboptimal and prone to introduce bias;</w:t>
      </w:r>
      <w:r>
        <w:t xml:space="preserve"> and</w:t>
      </w:r>
    </w:p>
    <w:p w14:paraId="1023E947" w14:textId="77777777" w:rsidR="00FD2813" w:rsidRDefault="00FC0D0E" w:rsidP="00FD2813">
      <w:pPr>
        <w:pStyle w:val="ListBullet2"/>
      </w:pPr>
      <w:r>
        <w:t>v</w:t>
      </w:r>
      <w:r w:rsidR="00FD2813">
        <w:t>ery limited safety data were presented.</w:t>
      </w:r>
    </w:p>
    <w:p w14:paraId="4CB90183" w14:textId="77777777" w:rsidR="00FD2813" w:rsidRDefault="00FC0D0E" w:rsidP="00FD2813">
      <w:r>
        <w:t xml:space="preserve">The Delegate </w:t>
      </w:r>
      <w:proofErr w:type="gramStart"/>
      <w:r>
        <w:t>is in agreement</w:t>
      </w:r>
      <w:proofErr w:type="gramEnd"/>
      <w:r>
        <w:t xml:space="preserve"> with the clinical evaluator’s conclusions, as listed above.</w:t>
      </w:r>
    </w:p>
    <w:p w14:paraId="707BEBAF" w14:textId="77777777" w:rsidR="00F90A67" w:rsidRDefault="00F90A67" w:rsidP="00FD2813">
      <w:r>
        <w:t>The clinical evaluator also concluded that:</w:t>
      </w:r>
    </w:p>
    <w:p w14:paraId="5D0D8465" w14:textId="77777777" w:rsidR="00FD2813" w:rsidRDefault="00FD2813" w:rsidP="00F90A67">
      <w:pPr>
        <w:ind w:left="720"/>
      </w:pPr>
      <w:r>
        <w:t xml:space="preserve">Although a stable maintenance dose of approx. 1g/kg, which is generally consistent with the EU guideline for maintenance treatment in CIDP, was used, the IVIg dose-interval varied between patients. Four IVIg infusions were administered over 6 to 16 weeks with a mean duration of 10 weeks. Hence, each infusion, on </w:t>
      </w:r>
      <w:r>
        <w:lastRenderedPageBreak/>
        <w:t>average, was administered every 2.5 weeks, with some patients receiving IVIg every 1.5 weeks and others every 4 weeks. On balance, these infusions were administered in general agreement with the EU guideline (every 3 weeks) and equivalence between the 2 IVIg preparations was adequately demonstrated. Since only 2 different IVIg brands were compared, conclusions about equivalence can only be drawn between these 2 products, not o</w:t>
      </w:r>
      <w:r w:rsidR="00FC0D0E">
        <w:t>ther commercial brands of IVIg.</w:t>
      </w:r>
    </w:p>
    <w:p w14:paraId="6A9CFF37" w14:textId="77777777" w:rsidR="00FD2813" w:rsidRDefault="00FD2813" w:rsidP="00F90A67">
      <w:pPr>
        <w:ind w:left="720"/>
      </w:pPr>
      <w:r>
        <w:t xml:space="preserve">While </w:t>
      </w:r>
      <w:r w:rsidR="00F90A67">
        <w:t xml:space="preserve">serum IgG levels were constant </w:t>
      </w:r>
      <w:r>
        <w:t xml:space="preserve">before and after serial IVIg infusions, the study population had stable CIDP and received a constant maintenance dose of IVIg. These results suggest </w:t>
      </w:r>
      <w:proofErr w:type="gramStart"/>
      <w:r w:rsidR="00F90A67">
        <w:t>steady-state</w:t>
      </w:r>
      <w:proofErr w:type="gramEnd"/>
      <w:r w:rsidR="00F90A67">
        <w:t xml:space="preserve"> had been achieved. </w:t>
      </w:r>
      <w:r>
        <w:t>The study design did not allow for investigation of severe or unstable disease and corresponding changes in serum IgG levels, or in treatment-naive or non-responsive CIDP patients, or by CIDP subtype (chronic progressive, chronic relapsing) or by age-group (adults</w:t>
      </w:r>
      <w:r w:rsidR="00CC797B">
        <w:t xml:space="preserve"> versus </w:t>
      </w:r>
      <w:r>
        <w:t xml:space="preserve">paediatrics); No explanation why CIDP patients required different dosages in their IVIg maintenance treatment was provided. For these reasons, the study is not considered generalisable to other study populations. However, the results provide evidence of maintenance of effect of </w:t>
      </w:r>
      <w:proofErr w:type="spellStart"/>
      <w:r>
        <w:t>Kiovig</w:t>
      </w:r>
      <w:proofErr w:type="spellEnd"/>
      <w:r>
        <w:t xml:space="preserve"> in adult patients with stable CIDP.</w:t>
      </w:r>
    </w:p>
    <w:p w14:paraId="23F7C9BB" w14:textId="77777777" w:rsidR="00F90A67" w:rsidRDefault="00F90A67" w:rsidP="00F90A67">
      <w:r>
        <w:t xml:space="preserve">The Delegate questioned if serum IgG levels were </w:t>
      </w:r>
      <w:proofErr w:type="gramStart"/>
      <w:r>
        <w:t>constant, or</w:t>
      </w:r>
      <w:proofErr w:type="gramEnd"/>
      <w:r>
        <w:t xml:space="preserve"> was this relatively. The Delegate also queried if </w:t>
      </w:r>
      <w:proofErr w:type="gramStart"/>
      <w:r>
        <w:t>steady-state</w:t>
      </w:r>
      <w:proofErr w:type="gramEnd"/>
      <w:r>
        <w:t xml:space="preserve"> had been achieved.</w:t>
      </w:r>
    </w:p>
    <w:p w14:paraId="7402E239" w14:textId="5DC0DD93" w:rsidR="00F90A67" w:rsidRDefault="00F90A67" w:rsidP="00F90A67">
      <w:pPr>
        <w:pStyle w:val="Heading5"/>
      </w:pPr>
      <w:r>
        <w:t>Hughes et al. (2008)</w:t>
      </w:r>
    </w:p>
    <w:p w14:paraId="2DAD9600" w14:textId="39F18D15" w:rsidR="00E81A9E" w:rsidRDefault="00F90A67" w:rsidP="00E81A9E">
      <w:r>
        <w:t>This is a</w:t>
      </w:r>
      <w:r w:rsidR="00E81A9E">
        <w:t xml:space="preserve"> placebo-controlled </w:t>
      </w:r>
      <w:r>
        <w:t xml:space="preserve">randomised control trial </w:t>
      </w:r>
      <w:r w:rsidR="00E81A9E">
        <w:t xml:space="preserve">that investigated IVIg (not specific to </w:t>
      </w:r>
      <w:proofErr w:type="spellStart"/>
      <w:r w:rsidR="00E81A9E">
        <w:t>Kiovig</w:t>
      </w:r>
      <w:proofErr w:type="spellEnd"/>
      <w:r w:rsidR="00E81A9E">
        <w:t>) in CIDP</w:t>
      </w:r>
      <w:r w:rsidR="007432A4">
        <w:t>.</w:t>
      </w:r>
      <w:r w:rsidR="007432A4" w:rsidRPr="00390DF9">
        <w:rPr>
          <w:vertAlign w:val="superscript"/>
        </w:rPr>
        <w:fldChar w:fldCharType="begin"/>
      </w:r>
      <w:r w:rsidR="007432A4" w:rsidRPr="00390DF9">
        <w:rPr>
          <w:vertAlign w:val="superscript"/>
        </w:rPr>
        <w:instrText xml:space="preserve"> NOTEREF _Ref82155211 \h </w:instrText>
      </w:r>
      <w:r w:rsidR="007432A4">
        <w:rPr>
          <w:vertAlign w:val="superscript"/>
        </w:rPr>
        <w:instrText xml:space="preserve"> \* MERGEFORMAT </w:instrText>
      </w:r>
      <w:r w:rsidR="007432A4" w:rsidRPr="00390DF9">
        <w:rPr>
          <w:vertAlign w:val="superscript"/>
        </w:rPr>
      </w:r>
      <w:r w:rsidR="007432A4" w:rsidRPr="00390DF9">
        <w:rPr>
          <w:vertAlign w:val="superscript"/>
        </w:rPr>
        <w:fldChar w:fldCharType="separate"/>
      </w:r>
      <w:r w:rsidR="00F81787">
        <w:rPr>
          <w:vertAlign w:val="superscript"/>
        </w:rPr>
        <w:t>7</w:t>
      </w:r>
      <w:r w:rsidR="007432A4" w:rsidRPr="00390DF9">
        <w:rPr>
          <w:vertAlign w:val="superscript"/>
        </w:rPr>
        <w:fldChar w:fldCharType="end"/>
      </w:r>
    </w:p>
    <w:p w14:paraId="77604A0D" w14:textId="77777777" w:rsidR="00F90A67" w:rsidRDefault="00F90A67" w:rsidP="00F90A67">
      <w:pPr>
        <w:pStyle w:val="Heading6"/>
      </w:pPr>
      <w:r>
        <w:t>Study design</w:t>
      </w:r>
    </w:p>
    <w:p w14:paraId="4405BC93" w14:textId="534D4A83" w:rsidR="00F90A67" w:rsidRDefault="00E81A9E" w:rsidP="00E81A9E">
      <w:r>
        <w:t>Hughes et al</w:t>
      </w:r>
      <w:r w:rsidR="00F90A67">
        <w:t>., (2008);</w:t>
      </w:r>
      <w:r w:rsidR="00F90A67" w:rsidRPr="00F90A67">
        <w:rPr>
          <w:vertAlign w:val="superscript"/>
        </w:rPr>
        <w:fldChar w:fldCharType="begin"/>
      </w:r>
      <w:r w:rsidR="00F90A67" w:rsidRPr="00F90A67">
        <w:rPr>
          <w:vertAlign w:val="superscript"/>
        </w:rPr>
        <w:instrText xml:space="preserve"> NOTEREF _Ref82155211 \h </w:instrText>
      </w:r>
      <w:r w:rsidR="00F90A67">
        <w:rPr>
          <w:vertAlign w:val="superscript"/>
        </w:rPr>
        <w:instrText xml:space="preserve"> \* MERGEFORMAT </w:instrText>
      </w:r>
      <w:r w:rsidR="00F90A67" w:rsidRPr="00F90A67">
        <w:rPr>
          <w:vertAlign w:val="superscript"/>
        </w:rPr>
      </w:r>
      <w:r w:rsidR="00F90A67" w:rsidRPr="00F90A67">
        <w:rPr>
          <w:vertAlign w:val="superscript"/>
        </w:rPr>
        <w:fldChar w:fldCharType="separate"/>
      </w:r>
      <w:r w:rsidR="00F81787">
        <w:rPr>
          <w:vertAlign w:val="superscript"/>
        </w:rPr>
        <w:t>7</w:t>
      </w:r>
      <w:r w:rsidR="00F90A67" w:rsidRPr="00F90A67">
        <w:rPr>
          <w:vertAlign w:val="superscript"/>
        </w:rPr>
        <w:fldChar w:fldCharType="end"/>
      </w:r>
      <w:r w:rsidR="00F90A67">
        <w:t xml:space="preserve"> is a </w:t>
      </w:r>
      <w:r>
        <w:t xml:space="preserve">randomised, </w:t>
      </w:r>
      <w:r w:rsidR="00F90A67">
        <w:t>double blind</w:t>
      </w:r>
      <w:r>
        <w:t>, placebo-controlled, response-conditional (rescue)</w:t>
      </w:r>
      <w:r w:rsidR="00C318E3">
        <w:t>, cross-over multicentre study</w:t>
      </w:r>
      <w:r>
        <w:t xml:space="preserve">. Patients who showed an improvement in inflammatory neuropathy case and treatment (INCAT) disability </w:t>
      </w:r>
      <w:r w:rsidR="00F90A67">
        <w:t>score during treatment were re-</w:t>
      </w:r>
      <w:r>
        <w:t>randomised into a 24-week extension phase. Patients 1</w:t>
      </w:r>
      <w:r w:rsidR="00F90A67">
        <w:t>8 years or older were recruited.</w:t>
      </w:r>
      <w:r w:rsidR="00C318E3">
        <w:t xml:space="preserve"> The following figure provides an overview of the study design.</w:t>
      </w:r>
    </w:p>
    <w:p w14:paraId="2B2023F4" w14:textId="3DE413A1" w:rsidR="00C318E3" w:rsidRDefault="00C318E3" w:rsidP="00C318E3">
      <w:pPr>
        <w:pStyle w:val="FigureTitle"/>
      </w:pPr>
      <w:r>
        <w:t xml:space="preserve">Figure </w:t>
      </w:r>
      <w:r w:rsidR="005137AB">
        <w:fldChar w:fldCharType="begin"/>
      </w:r>
      <w:r w:rsidR="005137AB">
        <w:instrText xml:space="preserve"> SEQ Figure \* ARABIC </w:instrText>
      </w:r>
      <w:r w:rsidR="005137AB">
        <w:fldChar w:fldCharType="separate"/>
      </w:r>
      <w:r w:rsidR="00F81787">
        <w:rPr>
          <w:noProof/>
        </w:rPr>
        <w:t>4</w:t>
      </w:r>
      <w:r w:rsidR="005137AB">
        <w:rPr>
          <w:noProof/>
        </w:rPr>
        <w:fldChar w:fldCharType="end"/>
      </w:r>
      <w:r>
        <w:t xml:space="preserve">: </w:t>
      </w:r>
      <w:r w:rsidR="00476D80" w:rsidRPr="00CE28CF">
        <w:t xml:space="preserve">Hughes et al, </w:t>
      </w:r>
      <w:r w:rsidR="00476D80">
        <w:t>(</w:t>
      </w:r>
      <w:r w:rsidR="00476D80" w:rsidRPr="00CE28CF">
        <w:t>2008)</w:t>
      </w:r>
      <w:r w:rsidR="00476D80">
        <w:t xml:space="preserve"> </w:t>
      </w:r>
      <w:r w:rsidRPr="00CE28CF">
        <w:t>Study design</w:t>
      </w:r>
    </w:p>
    <w:p w14:paraId="0B10053C" w14:textId="77777777" w:rsidR="00E81A9E" w:rsidRPr="00F90A67" w:rsidRDefault="00C318E3" w:rsidP="00E81A9E">
      <w:pPr>
        <w:rPr>
          <w:highlight w:val="yellow"/>
        </w:rPr>
      </w:pPr>
      <w:r>
        <w:rPr>
          <w:noProof/>
          <w:lang w:val="en-GB" w:eastAsia="en-GB"/>
        </w:rPr>
        <w:drawing>
          <wp:inline distT="0" distB="0" distL="0" distR="0" wp14:anchorId="5632CE6F" wp14:editId="0472D0BA">
            <wp:extent cx="5322627" cy="3205009"/>
            <wp:effectExtent l="0" t="0" r="0" b="0"/>
            <wp:docPr id="3" name="Picture 3" title="(Hughes et al, 2008)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423" r="5215"/>
                    <a:stretch/>
                  </pic:blipFill>
                  <pic:spPr bwMode="auto">
                    <a:xfrm>
                      <a:off x="0" y="0"/>
                      <a:ext cx="5332834" cy="3211155"/>
                    </a:xfrm>
                    <a:prstGeom prst="rect">
                      <a:avLst/>
                    </a:prstGeom>
                    <a:ln>
                      <a:noFill/>
                    </a:ln>
                    <a:extLst>
                      <a:ext uri="{53640926-AAD7-44D8-BBD7-CCE9431645EC}">
                        <a14:shadowObscured xmlns:a14="http://schemas.microsoft.com/office/drawing/2010/main"/>
                      </a:ext>
                    </a:extLst>
                  </pic:spPr>
                </pic:pic>
              </a:graphicData>
            </a:graphic>
          </wp:inline>
        </w:drawing>
      </w:r>
    </w:p>
    <w:p w14:paraId="00A58E1E" w14:textId="77777777" w:rsidR="00E81A9E" w:rsidRPr="00C318E3" w:rsidRDefault="00E81A9E" w:rsidP="00C318E3">
      <w:pPr>
        <w:pStyle w:val="FigureDescription"/>
      </w:pPr>
      <w:r w:rsidRPr="00C318E3">
        <w:t>Source: Figure 1 (Hughes et al, 2008)</w:t>
      </w:r>
    </w:p>
    <w:p w14:paraId="6A49B4AA" w14:textId="77777777" w:rsidR="00E81A9E" w:rsidRDefault="00F90A67" w:rsidP="00E81A9E">
      <w:r>
        <w:lastRenderedPageBreak/>
        <w:t xml:space="preserve">The Delegate stated that </w:t>
      </w:r>
      <w:proofErr w:type="gramStart"/>
      <w:r>
        <w:t xml:space="preserve">it </w:t>
      </w:r>
      <w:r w:rsidR="00E81A9E">
        <w:t>would appear that the</w:t>
      </w:r>
      <w:proofErr w:type="gramEnd"/>
      <w:r w:rsidR="00E81A9E">
        <w:t xml:space="preserve"> above design implicitly points to the fact that a significantly high placebo response was expected.</w:t>
      </w:r>
    </w:p>
    <w:p w14:paraId="28A4DE90" w14:textId="77777777" w:rsidR="00E81A9E" w:rsidRDefault="00F90A67" w:rsidP="00F90A67">
      <w:pPr>
        <w:pStyle w:val="Heading6"/>
      </w:pPr>
      <w:r>
        <w:t>Objectives</w:t>
      </w:r>
    </w:p>
    <w:p w14:paraId="57FB0278" w14:textId="77777777" w:rsidR="00E81A9E" w:rsidRDefault="00F90A67" w:rsidP="00E81A9E">
      <w:r>
        <w:t>The primary objective was t</w:t>
      </w:r>
      <w:r w:rsidR="00E81A9E">
        <w:t>o establish whether 10% intravenous caprylate-chromatography purified immune globulin (</w:t>
      </w:r>
      <w:proofErr w:type="spellStart"/>
      <w:r w:rsidR="00E81A9E">
        <w:t>Gamunex</w:t>
      </w:r>
      <w:proofErr w:type="spellEnd"/>
      <w:r w:rsidR="00E81A9E">
        <w:t>) has short-term and long-term benefits in CIDP patients.</w:t>
      </w:r>
    </w:p>
    <w:p w14:paraId="539A8C5C" w14:textId="77777777" w:rsidR="00F90A67" w:rsidRDefault="00F90A67" w:rsidP="00F90A67">
      <w:r>
        <w:t xml:space="preserve">The clinical evaluators </w:t>
      </w:r>
      <w:r w:rsidR="00E81A9E">
        <w:t>overall conclusions on clinical efficacy for</w:t>
      </w:r>
      <w:r>
        <w:t xml:space="preserve"> this study (abbreviated by the Delegate was that:</w:t>
      </w:r>
    </w:p>
    <w:p w14:paraId="6B078C4C" w14:textId="48DF4C74" w:rsidR="00E81A9E" w:rsidRDefault="00476D80" w:rsidP="00F90A67">
      <w:pPr>
        <w:ind w:left="720"/>
      </w:pPr>
      <w:r>
        <w:t>T</w:t>
      </w:r>
      <w:r w:rsidR="00E81A9E">
        <w:t>he Hughes et al</w:t>
      </w:r>
      <w:r w:rsidR="00F90A67">
        <w:t>.,</w:t>
      </w:r>
      <w:r w:rsidR="00E81A9E">
        <w:t xml:space="preserve"> (2008)</w:t>
      </w:r>
      <w:r w:rsidR="00C924DD">
        <w:t>;</w:t>
      </w:r>
      <w:r w:rsidR="00C924DD" w:rsidRPr="00C924DD">
        <w:rPr>
          <w:vertAlign w:val="superscript"/>
        </w:rPr>
        <w:fldChar w:fldCharType="begin"/>
      </w:r>
      <w:r w:rsidR="00C924DD" w:rsidRPr="00C924DD">
        <w:rPr>
          <w:vertAlign w:val="superscript"/>
        </w:rPr>
        <w:instrText xml:space="preserve"> NOTEREF _Ref82155211 \h </w:instrText>
      </w:r>
      <w:r w:rsidR="00C924DD">
        <w:rPr>
          <w:vertAlign w:val="superscript"/>
        </w:rPr>
        <w:instrText xml:space="preserve"> \* MERGEFORMAT </w:instrText>
      </w:r>
      <w:r w:rsidR="00C924DD" w:rsidRPr="00C924DD">
        <w:rPr>
          <w:vertAlign w:val="superscript"/>
        </w:rPr>
      </w:r>
      <w:r w:rsidR="00C924DD" w:rsidRPr="00C924DD">
        <w:rPr>
          <w:vertAlign w:val="superscript"/>
        </w:rPr>
        <w:fldChar w:fldCharType="separate"/>
      </w:r>
      <w:r w:rsidR="00F81787">
        <w:rPr>
          <w:vertAlign w:val="superscript"/>
        </w:rPr>
        <w:t>7</w:t>
      </w:r>
      <w:r w:rsidR="00C924DD" w:rsidRPr="00C924DD">
        <w:rPr>
          <w:vertAlign w:val="superscript"/>
        </w:rPr>
        <w:fldChar w:fldCharType="end"/>
      </w:r>
      <w:r w:rsidR="00E81A9E">
        <w:t xml:space="preserve"> study was well designed (particularly </w:t>
      </w:r>
      <w:r w:rsidR="00C924DD">
        <w:t xml:space="preserve">the </w:t>
      </w:r>
      <w:r w:rsidR="00E81A9E">
        <w:t xml:space="preserve">use of a rescue cross-over period to allow for ethical practice) and conducted, appeared to be </w:t>
      </w:r>
      <w:r w:rsidR="00C924DD">
        <w:t>Good Clinical Practice (</w:t>
      </w:r>
      <w:r w:rsidR="00E81A9E">
        <w:t>GCP</w:t>
      </w:r>
      <w:r w:rsidR="00C924DD">
        <w:t>)</w:t>
      </w:r>
      <w:r w:rsidR="00E81A9E">
        <w:t xml:space="preserve"> compliant and was generally consist</w:t>
      </w:r>
      <w:r w:rsidR="00C924DD">
        <w:t>ent with the clinical guideline</w:t>
      </w:r>
      <w:r w:rsidR="00E81A9E">
        <w:t xml:space="preserve"> on IVIg.</w:t>
      </w:r>
      <w:r w:rsidR="00C924DD" w:rsidRPr="00C924DD">
        <w:rPr>
          <w:vertAlign w:val="superscript"/>
        </w:rPr>
        <w:fldChar w:fldCharType="begin"/>
      </w:r>
      <w:r w:rsidR="00C924DD" w:rsidRPr="00C924DD">
        <w:rPr>
          <w:vertAlign w:val="superscript"/>
        </w:rPr>
        <w:instrText xml:space="preserve"> NOTEREF _Ref82138845 \h </w:instrText>
      </w:r>
      <w:r w:rsidR="00C924DD">
        <w:rPr>
          <w:vertAlign w:val="superscript"/>
        </w:rPr>
        <w:instrText xml:space="preserve"> \* MERGEFORMAT </w:instrText>
      </w:r>
      <w:r w:rsidR="00C924DD" w:rsidRPr="00C924DD">
        <w:rPr>
          <w:vertAlign w:val="superscript"/>
        </w:rPr>
      </w:r>
      <w:r w:rsidR="00C924DD" w:rsidRPr="00C924DD">
        <w:rPr>
          <w:vertAlign w:val="superscript"/>
        </w:rPr>
        <w:fldChar w:fldCharType="separate"/>
      </w:r>
      <w:r w:rsidR="00F81787">
        <w:rPr>
          <w:vertAlign w:val="superscript"/>
        </w:rPr>
        <w:t>3</w:t>
      </w:r>
      <w:r w:rsidR="00C924DD" w:rsidRPr="00C924DD">
        <w:rPr>
          <w:vertAlign w:val="superscript"/>
        </w:rPr>
        <w:fldChar w:fldCharType="end"/>
      </w:r>
    </w:p>
    <w:p w14:paraId="1B9E2883" w14:textId="77777777" w:rsidR="00E81A9E" w:rsidRDefault="00C924DD" w:rsidP="00E81A9E">
      <w:r>
        <w:t>Regarding the above, the Delegate believed that crossing over from ‘active to placebo arm’ (in the first period of the study)</w:t>
      </w:r>
      <w:r w:rsidR="00E81A9E">
        <w:t xml:space="preserve"> due to lack of response, does not really constitute an accep</w:t>
      </w:r>
      <w:r>
        <w:t>table ethical clinical practice.</w:t>
      </w:r>
    </w:p>
    <w:p w14:paraId="1D84E875" w14:textId="77777777" w:rsidR="00E81A9E" w:rsidRDefault="00E81A9E" w:rsidP="00E81A9E">
      <w:r>
        <w:t>The efficacy endpoints (including the validated INCAT disability scale), statistical methods, sample size and power calculations were acceptable. The inclusion and exclusion criteria were acceptable, and the study population generally representative of t</w:t>
      </w:r>
      <w:r w:rsidR="00C924DD">
        <w:t>he target (adult) population.</w:t>
      </w:r>
    </w:p>
    <w:p w14:paraId="0ED69332" w14:textId="77777777" w:rsidR="00E81A9E" w:rsidRDefault="00E81A9E" w:rsidP="00E81A9E">
      <w:r>
        <w:t xml:space="preserve">The results demonstrated both a statistically significant treatment effect of IVIg </w:t>
      </w:r>
      <w:proofErr w:type="spellStart"/>
      <w:r>
        <w:t>Gamunex</w:t>
      </w:r>
      <w:proofErr w:type="spellEnd"/>
      <w:r>
        <w:t xml:space="preserve"> versus placebo treatment, which was also clinically meaningful (</w:t>
      </w:r>
      <w:r w:rsidR="00C924DD">
        <w:t>number needed to treat (NNT) = 3.</w:t>
      </w:r>
      <w:r>
        <w:t>The study results had good internal consistency, with generally supportive results from pre-specified subgroup, sensitivity and secondary efficacy analyses (oth</w:t>
      </w:r>
      <w:r w:rsidR="00C318E3">
        <w:t>er than compound muscle action potential amplitude).</w:t>
      </w:r>
    </w:p>
    <w:p w14:paraId="58D98B9A" w14:textId="77777777" w:rsidR="00E81A9E" w:rsidRDefault="00E81A9E" w:rsidP="00E81A9E">
      <w:r>
        <w:t xml:space="preserve">It was unclear whether </w:t>
      </w:r>
      <w:proofErr w:type="gramStart"/>
      <w:r>
        <w:t>particular subtypes</w:t>
      </w:r>
      <w:proofErr w:type="gramEnd"/>
      <w:r>
        <w:t xml:space="preserve"> of CIDP or treatment-naivety might affect treatment outcomes. It is also unclear from the data whether centre effects were </w:t>
      </w:r>
      <w:proofErr w:type="gramStart"/>
      <w:r>
        <w:t>investigated, since</w:t>
      </w:r>
      <w:proofErr w:type="gramEnd"/>
      <w:r>
        <w:t xml:space="preserve"> the distribution of subject recruitment by centres (and by country) was not reported in detail. Over-recruitment in one or </w:t>
      </w:r>
      <w:r w:rsidR="00C318E3">
        <w:t>more centres and/or one or more</w:t>
      </w:r>
      <w:r>
        <w:t xml:space="preserve"> countries has potential to introduce bias into the results, but on balance, the study results appeared valid, robust and generalisable to adults </w:t>
      </w:r>
      <w:r w:rsidR="00C318E3">
        <w:t>with CIDP.</w:t>
      </w:r>
    </w:p>
    <w:p w14:paraId="2CCD73C1" w14:textId="365EE0E0" w:rsidR="00E81A9E" w:rsidRDefault="00E81A9E" w:rsidP="00E81A9E">
      <w:r>
        <w:t>Most I</w:t>
      </w:r>
      <w:r w:rsidR="00C924DD">
        <w:t xml:space="preserve">VIg infusions were given over 2 to </w:t>
      </w:r>
      <w:r>
        <w:t xml:space="preserve">4 days for the 2 g/kg loading dose followed by a maintenance </w:t>
      </w:r>
      <w:r w:rsidR="00C924DD">
        <w:t xml:space="preserve">infusion dose of 1.0 g/kg for 1 to </w:t>
      </w:r>
      <w:r>
        <w:t>2 days every 3 weeks. The loading and maintenance doses, as well as the periods of infusion, and dose-interval in maintenance treatment were ge</w:t>
      </w:r>
      <w:r w:rsidR="00C924DD">
        <w:t>nerally consistent with the EU g</w:t>
      </w:r>
      <w:r>
        <w:t>uideline</w:t>
      </w:r>
      <w:r w:rsidR="00C924DD">
        <w:t>;</w:t>
      </w:r>
      <w:r w:rsidR="00C924DD" w:rsidRPr="00C924DD">
        <w:rPr>
          <w:vertAlign w:val="superscript"/>
        </w:rPr>
        <w:fldChar w:fldCharType="begin"/>
      </w:r>
      <w:r w:rsidR="00C924DD" w:rsidRPr="00C924DD">
        <w:rPr>
          <w:vertAlign w:val="superscript"/>
        </w:rPr>
        <w:instrText xml:space="preserve"> NOTEREF _Ref82138845 \h </w:instrText>
      </w:r>
      <w:r w:rsidR="00C924DD">
        <w:rPr>
          <w:vertAlign w:val="superscript"/>
        </w:rPr>
        <w:instrText xml:space="preserve"> \* MERGEFORMAT </w:instrText>
      </w:r>
      <w:r w:rsidR="00C924DD" w:rsidRPr="00C924DD">
        <w:rPr>
          <w:vertAlign w:val="superscript"/>
        </w:rPr>
      </w:r>
      <w:r w:rsidR="00C924DD" w:rsidRPr="00C924DD">
        <w:rPr>
          <w:vertAlign w:val="superscript"/>
        </w:rPr>
        <w:fldChar w:fldCharType="separate"/>
      </w:r>
      <w:r w:rsidR="00F81787">
        <w:rPr>
          <w:vertAlign w:val="superscript"/>
        </w:rPr>
        <w:t>3</w:t>
      </w:r>
      <w:r w:rsidR="00C924DD" w:rsidRPr="00C924DD">
        <w:rPr>
          <w:vertAlign w:val="superscript"/>
        </w:rPr>
        <w:fldChar w:fldCharType="end"/>
      </w:r>
      <w:r>
        <w:t xml:space="preserve"> and indeed, th</w:t>
      </w:r>
      <w:r w:rsidR="00C924DD">
        <w:t>is g</w:t>
      </w:r>
      <w:r>
        <w:t>uideline may actually be based on results from this study, which is often</w:t>
      </w:r>
      <w:r w:rsidR="00C924DD">
        <w:t xml:space="preserve"> referred to as the ‘ICE’ study.</w:t>
      </w:r>
    </w:p>
    <w:p w14:paraId="60DE80AA" w14:textId="5C7976C5" w:rsidR="00E81A9E" w:rsidRDefault="00E81A9E" w:rsidP="00E81A9E">
      <w:r>
        <w:t xml:space="preserve">The ICE study is the largest published trial in treating CIDP with IVIg, using the commercial brand </w:t>
      </w:r>
      <w:proofErr w:type="spellStart"/>
      <w:r>
        <w:t>Gamunex</w:t>
      </w:r>
      <w:proofErr w:type="spellEnd"/>
      <w:r>
        <w:t xml:space="preserve">. The level of evidence is high and if </w:t>
      </w:r>
      <w:proofErr w:type="spellStart"/>
      <w:r>
        <w:t>Kiovig</w:t>
      </w:r>
      <w:proofErr w:type="spellEnd"/>
      <w:r>
        <w:t xml:space="preserve"> had been the brand of IVIg used, then this evaluator would have considered this study as pivotal. It is generally consi</w:t>
      </w:r>
      <w:r w:rsidR="00C924DD">
        <w:t>stent with the requirements of one P</w:t>
      </w:r>
      <w:r>
        <w:t>hase III pivotal study for regulatory pur</w:t>
      </w:r>
      <w:r w:rsidRPr="00C318E3">
        <w:t>p</w:t>
      </w:r>
      <w:r w:rsidR="00C318E3">
        <w:t>oses;</w:t>
      </w:r>
      <w:r w:rsidR="00C318E3" w:rsidRPr="00C318E3">
        <w:rPr>
          <w:vertAlign w:val="superscript"/>
        </w:rPr>
        <w:fldChar w:fldCharType="begin"/>
      </w:r>
      <w:r w:rsidR="00C318E3" w:rsidRPr="00C318E3">
        <w:rPr>
          <w:vertAlign w:val="superscript"/>
        </w:rPr>
        <w:instrText xml:space="preserve"> NOTEREF _Ref84392371 \h </w:instrText>
      </w:r>
      <w:r w:rsidR="00C318E3">
        <w:rPr>
          <w:vertAlign w:val="superscript"/>
        </w:rPr>
        <w:instrText xml:space="preserve"> \* MERGEFORMAT </w:instrText>
      </w:r>
      <w:r w:rsidR="00C318E3" w:rsidRPr="00C318E3">
        <w:rPr>
          <w:vertAlign w:val="superscript"/>
        </w:rPr>
      </w:r>
      <w:r w:rsidR="00C318E3" w:rsidRPr="00C318E3">
        <w:rPr>
          <w:vertAlign w:val="superscript"/>
        </w:rPr>
        <w:fldChar w:fldCharType="separate"/>
      </w:r>
      <w:r w:rsidR="00F81787">
        <w:rPr>
          <w:vertAlign w:val="superscript"/>
        </w:rPr>
        <w:t>6</w:t>
      </w:r>
      <w:r w:rsidR="00C318E3" w:rsidRPr="00C318E3">
        <w:rPr>
          <w:vertAlign w:val="superscript"/>
        </w:rPr>
        <w:fldChar w:fldCharType="end"/>
      </w:r>
      <w:r>
        <w:t xml:space="preserve"> and although it had relatively small subject numbers, the design was also generally consistent with </w:t>
      </w:r>
      <w:r w:rsidR="00C924DD">
        <w:t>the g</w:t>
      </w:r>
      <w:r>
        <w:t xml:space="preserve">uideline in small </w:t>
      </w:r>
      <w:r w:rsidR="00C318E3">
        <w:t>populations.</w:t>
      </w:r>
      <w:r w:rsidR="00C318E3" w:rsidRPr="00C318E3">
        <w:rPr>
          <w:vertAlign w:val="superscript"/>
        </w:rPr>
        <w:fldChar w:fldCharType="begin"/>
      </w:r>
      <w:r w:rsidR="00C318E3" w:rsidRPr="00C318E3">
        <w:rPr>
          <w:vertAlign w:val="superscript"/>
        </w:rPr>
        <w:instrText xml:space="preserve"> NOTEREF _Ref84561443 \h </w:instrText>
      </w:r>
      <w:r w:rsidR="00C318E3">
        <w:rPr>
          <w:vertAlign w:val="superscript"/>
        </w:rPr>
        <w:instrText xml:space="preserve"> \* MERGEFORMAT </w:instrText>
      </w:r>
      <w:r w:rsidR="00C318E3" w:rsidRPr="00C318E3">
        <w:rPr>
          <w:vertAlign w:val="superscript"/>
        </w:rPr>
      </w:r>
      <w:r w:rsidR="00C318E3" w:rsidRPr="00C318E3">
        <w:rPr>
          <w:vertAlign w:val="superscript"/>
        </w:rPr>
        <w:fldChar w:fldCharType="separate"/>
      </w:r>
      <w:r w:rsidR="00F81787">
        <w:rPr>
          <w:vertAlign w:val="superscript"/>
        </w:rPr>
        <w:t>5</w:t>
      </w:r>
      <w:r w:rsidR="00C318E3" w:rsidRPr="00C318E3">
        <w:rPr>
          <w:vertAlign w:val="superscript"/>
        </w:rPr>
        <w:fldChar w:fldCharType="end"/>
      </w:r>
    </w:p>
    <w:p w14:paraId="52FAD385" w14:textId="167B4476" w:rsidR="00E81A9E" w:rsidRDefault="00E81A9E" w:rsidP="00E81A9E">
      <w:r>
        <w:t xml:space="preserve">Short-term improvement in adjusted INCAT disability score in response to IVIg </w:t>
      </w:r>
      <w:proofErr w:type="spellStart"/>
      <w:r>
        <w:t>Gamunex</w:t>
      </w:r>
      <w:proofErr w:type="spellEnd"/>
      <w:r>
        <w:t xml:space="preserve"> was significantly greater than placebo. These results were supported by significant improvements in objective measures of GS, MRC sum score and ISS score, which in turn can be expected to lead to better functionality for patients. Patients who continued to receive IVIg in the extension phase had significantly long</w:t>
      </w:r>
      <w:r w:rsidR="00C924DD">
        <w:t>er time to relapse than placebo</w:t>
      </w:r>
      <w:r w:rsidR="00C924DD">
        <w:noBreakHyphen/>
      </w:r>
      <w:r>
        <w:t>treated patients (p = 0.011; number nee</w:t>
      </w:r>
      <w:r w:rsidR="00C924DD">
        <w:t>ded to harm</w:t>
      </w:r>
      <w:r>
        <w:t xml:space="preserve"> = 3). These results support IVI</w:t>
      </w:r>
      <w:r w:rsidR="00476D80">
        <w:t>g</w:t>
      </w:r>
      <w:r>
        <w:t xml:space="preserve"> </w:t>
      </w:r>
      <w:proofErr w:type="spellStart"/>
      <w:r>
        <w:t>Gamunex</w:t>
      </w:r>
      <w:proofErr w:type="spellEnd"/>
      <w:r>
        <w:t xml:space="preserve"> as a first-line treatm</w:t>
      </w:r>
      <w:r w:rsidR="00C924DD">
        <w:t>ent option in adults with CIDP.</w:t>
      </w:r>
    </w:p>
    <w:p w14:paraId="7B918661" w14:textId="77777777" w:rsidR="00E81A9E" w:rsidRDefault="00C924DD" w:rsidP="00E81A9E">
      <w:r>
        <w:lastRenderedPageBreak/>
        <w:t>The Delegate is e</w:t>
      </w:r>
      <w:r w:rsidR="00E81A9E">
        <w:t xml:space="preserve">ssentially in agreement with the </w:t>
      </w:r>
      <w:r>
        <w:t>clinical evaluator</w:t>
      </w:r>
      <w:r w:rsidR="00E81A9E">
        <w:t xml:space="preserve"> without the need for further elaboration. The outcome of the assessed study article is not exactly new and has not yielded substantial evidence to </w:t>
      </w:r>
      <w:proofErr w:type="gramStart"/>
      <w:r w:rsidR="00E81A9E">
        <w:t>definitely and</w:t>
      </w:r>
      <w:proofErr w:type="gramEnd"/>
      <w:r w:rsidR="00E81A9E">
        <w:t xml:space="preserve"> unequivocally, support the basic tenet of the</w:t>
      </w:r>
      <w:r>
        <w:t xml:space="preserve"> current submission given that:</w:t>
      </w:r>
    </w:p>
    <w:p w14:paraId="18DD3B1D" w14:textId="77777777" w:rsidR="00E81A9E" w:rsidRDefault="00E81A9E" w:rsidP="00C924DD">
      <w:pPr>
        <w:pStyle w:val="ListBullet"/>
      </w:pPr>
      <w:proofErr w:type="spellStart"/>
      <w:r>
        <w:t>Gamunex</w:t>
      </w:r>
      <w:proofErr w:type="spellEnd"/>
      <w:r>
        <w:t xml:space="preserve"> is already indicated for CIDP on the </w:t>
      </w:r>
      <w:proofErr w:type="gramStart"/>
      <w:r>
        <w:t>ARTG;</w:t>
      </w:r>
      <w:proofErr w:type="gramEnd"/>
    </w:p>
    <w:p w14:paraId="7A319562" w14:textId="77777777" w:rsidR="00E81A9E" w:rsidRDefault="00C924DD" w:rsidP="00C924DD">
      <w:pPr>
        <w:pStyle w:val="ListBullet"/>
      </w:pPr>
      <w:r>
        <w:t>p</w:t>
      </w:r>
      <w:r w:rsidR="00E81A9E">
        <w:t xml:space="preserve">lacebo and not </w:t>
      </w:r>
      <w:proofErr w:type="spellStart"/>
      <w:r w:rsidR="00E81A9E">
        <w:t>Kiovig</w:t>
      </w:r>
      <w:proofErr w:type="spellEnd"/>
      <w:r w:rsidR="00E81A9E">
        <w:t xml:space="preserve"> was the comparator in the </w:t>
      </w:r>
      <w:r>
        <w:t xml:space="preserve">randomised control </w:t>
      </w:r>
      <w:proofErr w:type="gramStart"/>
      <w:r>
        <w:t>trial</w:t>
      </w:r>
      <w:r w:rsidR="00E81A9E">
        <w:t>;</w:t>
      </w:r>
      <w:proofErr w:type="gramEnd"/>
    </w:p>
    <w:p w14:paraId="5B3CC63D" w14:textId="77777777" w:rsidR="00E81A9E" w:rsidRDefault="00C924DD" w:rsidP="00C924DD">
      <w:pPr>
        <w:pStyle w:val="ListBullet"/>
      </w:pPr>
      <w:r>
        <w:t>t</w:t>
      </w:r>
      <w:r w:rsidR="00E81A9E">
        <w:t>here are differences in IgG subclasses and excipients, as well as differences in manufacturing processes;</w:t>
      </w:r>
      <w:r>
        <w:t xml:space="preserve"> and</w:t>
      </w:r>
    </w:p>
    <w:p w14:paraId="458DF2E4" w14:textId="77777777" w:rsidR="00E81A9E" w:rsidRDefault="00C924DD" w:rsidP="00C924DD">
      <w:pPr>
        <w:pStyle w:val="ListBullet"/>
      </w:pPr>
      <w:r>
        <w:t>t</w:t>
      </w:r>
      <w:r w:rsidR="00E81A9E">
        <w:t xml:space="preserve">here is no way of drawing conclusions about equivalence of </w:t>
      </w:r>
      <w:proofErr w:type="spellStart"/>
      <w:r w:rsidR="00E81A9E">
        <w:t>Kiovig</w:t>
      </w:r>
      <w:proofErr w:type="spellEnd"/>
      <w:r w:rsidR="00E81A9E">
        <w:t xml:space="preserve"> to </w:t>
      </w:r>
      <w:proofErr w:type="spellStart"/>
      <w:r w:rsidR="00E81A9E">
        <w:t>Gamunex</w:t>
      </w:r>
      <w:proofErr w:type="spellEnd"/>
      <w:r w:rsidR="00E81A9E">
        <w:t>, either t</w:t>
      </w:r>
      <w:r>
        <w:t>herapeutic or biologic, from this randomised control trial</w:t>
      </w:r>
      <w:r w:rsidR="00E81A9E">
        <w:t>.</w:t>
      </w:r>
    </w:p>
    <w:p w14:paraId="71AC01C5" w14:textId="77777777" w:rsidR="00E81A9E" w:rsidRDefault="00E81A9E" w:rsidP="00E81A9E">
      <w:r>
        <w:t xml:space="preserve">To approve </w:t>
      </w:r>
      <w:proofErr w:type="spellStart"/>
      <w:r>
        <w:t>Kiovig</w:t>
      </w:r>
      <w:proofErr w:type="spellEnd"/>
      <w:r>
        <w:t xml:space="preserve"> for the CIDP indication with the above deficiencies at this stage will be quite inappropriate. A deferral option will be preferred as the latter will allow the commercial sponsor of </w:t>
      </w:r>
      <w:proofErr w:type="spellStart"/>
      <w:r>
        <w:t>Kiovig</w:t>
      </w:r>
      <w:proofErr w:type="spellEnd"/>
      <w:r>
        <w:t xml:space="preserve"> to generate adequate and supportive comparable or bridging data for the proposed CIDP indication for </w:t>
      </w:r>
      <w:proofErr w:type="spellStart"/>
      <w:r>
        <w:t>Kiovig</w:t>
      </w:r>
      <w:proofErr w:type="spellEnd"/>
      <w:r>
        <w:t xml:space="preserve">. The deferral preference is even more appropriate, given that there are already a host of other different Immunoglobulin, normal (human) products, such as </w:t>
      </w:r>
      <w:proofErr w:type="spellStart"/>
      <w:r>
        <w:t>Gamunex</w:t>
      </w:r>
      <w:proofErr w:type="spellEnd"/>
      <w:r>
        <w:t xml:space="preserve">, </w:t>
      </w:r>
      <w:proofErr w:type="spellStart"/>
      <w:r>
        <w:t>Hizentra</w:t>
      </w:r>
      <w:proofErr w:type="spellEnd"/>
      <w:r w:rsidRPr="00475BB9">
        <w:t xml:space="preserve">, </w:t>
      </w:r>
      <w:proofErr w:type="spellStart"/>
      <w:r w:rsidR="00475BB9" w:rsidRPr="00475BB9">
        <w:t>Intragam</w:t>
      </w:r>
      <w:proofErr w:type="spellEnd"/>
      <w:r>
        <w:t xml:space="preserve"> and </w:t>
      </w:r>
      <w:proofErr w:type="spellStart"/>
      <w:r>
        <w:t>Privigen</w:t>
      </w:r>
      <w:proofErr w:type="spellEnd"/>
      <w:r>
        <w:t xml:space="preserve"> o</w:t>
      </w:r>
      <w:r w:rsidR="00DC79F8">
        <w:t>n the ARTG for CIDP indication.</w:t>
      </w:r>
    </w:p>
    <w:p w14:paraId="6ECCE6D0" w14:textId="11FE0FE7" w:rsidR="00DC79F8" w:rsidRDefault="00E81A9E" w:rsidP="00DC79F8">
      <w:pPr>
        <w:pStyle w:val="Heading5"/>
      </w:pPr>
      <w:r>
        <w:t>Hahn et al</w:t>
      </w:r>
      <w:r w:rsidR="00DC79F8">
        <w:t>. (1996)</w:t>
      </w:r>
      <w:r w:rsidR="00E137CF">
        <w:rPr>
          <w:rStyle w:val="FootnoteReference"/>
        </w:rPr>
        <w:footnoteReference w:id="11"/>
      </w:r>
    </w:p>
    <w:p w14:paraId="45BFAA54" w14:textId="77777777" w:rsidR="00E81A9E" w:rsidRDefault="00DC79F8" w:rsidP="00E81A9E">
      <w:r>
        <w:t>This was a prospective two-period, double blind</w:t>
      </w:r>
      <w:r w:rsidR="00E81A9E">
        <w:t>, placebo-controlled, cross-over study in IVIg-naïve patients recruit</w:t>
      </w:r>
      <w:r>
        <w:t>ed at neuromuscular clinics in two</w:t>
      </w:r>
      <w:r w:rsidR="00E81A9E">
        <w:t xml:space="preserve"> Canadian institutions between 1990 and 1994. The study comp</w:t>
      </w:r>
      <w:r>
        <w:t>rised two identical 28-</w:t>
      </w:r>
      <w:r w:rsidR="00E81A9E">
        <w:t>day periods with a variable washout period.</w:t>
      </w:r>
    </w:p>
    <w:p w14:paraId="64F64097" w14:textId="77777777" w:rsidR="00E81A9E" w:rsidRDefault="00DC79F8" w:rsidP="00E81A9E">
      <w:r>
        <w:t xml:space="preserve"> </w:t>
      </w:r>
      <w:r w:rsidR="00E81A9E">
        <w:t>Patients were randomised to receive</w:t>
      </w:r>
      <w:r>
        <w:t xml:space="preserve"> approx. 0.4 g/kg 5% IVIg (in 9 to </w:t>
      </w:r>
      <w:r w:rsidR="00E81A9E">
        <w:t xml:space="preserve">11% mannose) or placebo (10% dextrose) infusions on 5 consecutive days within a </w:t>
      </w:r>
      <w:proofErr w:type="gramStart"/>
      <w:r w:rsidR="00E81A9E">
        <w:t>28 day</w:t>
      </w:r>
      <w:proofErr w:type="gramEnd"/>
      <w:r w:rsidR="00E81A9E">
        <w:t xml:space="preserve"> period, before cross-over. All infusions were given in hospital or at </w:t>
      </w:r>
      <w:r>
        <w:t>an outpatient treatment centre.</w:t>
      </w:r>
    </w:p>
    <w:p w14:paraId="5618C628" w14:textId="77777777" w:rsidR="00E81A9E" w:rsidRDefault="00DC79F8" w:rsidP="00E81A9E">
      <w:r>
        <w:t>The clinica</w:t>
      </w:r>
      <w:r w:rsidR="005642CF">
        <w:t>l evaluators overall conclusion</w:t>
      </w:r>
      <w:r>
        <w:t xml:space="preserve">, abbreviated by the Delegate, </w:t>
      </w:r>
      <w:r w:rsidR="005642CF">
        <w:t>was</w:t>
      </w:r>
      <w:r>
        <w:t>:</w:t>
      </w:r>
    </w:p>
    <w:p w14:paraId="0F76DC8D" w14:textId="77777777" w:rsidR="00E81A9E" w:rsidRDefault="00E81A9E" w:rsidP="00E81A9E">
      <w:r>
        <w:t>The study design qualified it for a Level II rating, although numbers of patients were small. The cross-over period enabled each patient to act as their own control. This design is generally expected to lead to a more precise estimate of the treatment effect in each individual patient and is therefore a strength of this design. There were more female subjects than males, which contrasts with most other published studie</w:t>
      </w:r>
      <w:r w:rsidR="005642CF">
        <w:t>s submitted in this application.</w:t>
      </w:r>
    </w:p>
    <w:p w14:paraId="5DF7D5E7" w14:textId="16B47DD5" w:rsidR="00E81A9E" w:rsidRDefault="00E81A9E" w:rsidP="00E81A9E">
      <w:r>
        <w:t>The primary efficacy measures (Neurological Disabili</w:t>
      </w:r>
      <w:r w:rsidR="00DC79F8">
        <w:t>ty Scale (NDS), Grip Strength (GS) and Clinical Grading (CG)</w:t>
      </w:r>
      <w:r>
        <w:t>) were not directly comparable with the more stringent INCAT disability scale used by Hughes et al</w:t>
      </w:r>
      <w:r w:rsidR="00DC79F8">
        <w:t>.</w:t>
      </w:r>
      <w:r>
        <w:t xml:space="preserve"> (2008).</w:t>
      </w:r>
      <w:r w:rsidR="00DC79F8" w:rsidRPr="00DC79F8">
        <w:rPr>
          <w:vertAlign w:val="superscript"/>
        </w:rPr>
        <w:fldChar w:fldCharType="begin"/>
      </w:r>
      <w:r w:rsidR="00DC79F8" w:rsidRPr="00DC79F8">
        <w:rPr>
          <w:vertAlign w:val="superscript"/>
        </w:rPr>
        <w:instrText xml:space="preserve"> NOTEREF _Ref82155211 \h </w:instrText>
      </w:r>
      <w:r w:rsidR="00DC79F8">
        <w:rPr>
          <w:vertAlign w:val="superscript"/>
        </w:rPr>
        <w:instrText xml:space="preserve"> \* MERGEFORMAT </w:instrText>
      </w:r>
      <w:r w:rsidR="00DC79F8" w:rsidRPr="00DC79F8">
        <w:rPr>
          <w:vertAlign w:val="superscript"/>
        </w:rPr>
      </w:r>
      <w:r w:rsidR="00DC79F8" w:rsidRPr="00DC79F8">
        <w:rPr>
          <w:vertAlign w:val="superscript"/>
        </w:rPr>
        <w:fldChar w:fldCharType="separate"/>
      </w:r>
      <w:r w:rsidR="00F81787">
        <w:rPr>
          <w:vertAlign w:val="superscript"/>
        </w:rPr>
        <w:t>7</w:t>
      </w:r>
      <w:r w:rsidR="00DC79F8" w:rsidRPr="00DC79F8">
        <w:rPr>
          <w:vertAlign w:val="superscript"/>
        </w:rPr>
        <w:fldChar w:fldCharType="end"/>
      </w:r>
      <w:r>
        <w:t xml:space="preserve"> Inter-observer agreement was tested before the study began for the 3 primary measures of efficacy and was found to be very good. This is a positive feature and provides evi</w:t>
      </w:r>
      <w:r w:rsidR="00DC79F8">
        <w:t>dence of good internal validity.</w:t>
      </w:r>
    </w:p>
    <w:p w14:paraId="07D5E01B" w14:textId="73D2CBD4" w:rsidR="00E81A9E" w:rsidRDefault="00E81A9E" w:rsidP="00E81A9E">
      <w:r>
        <w:t>In the primary efficacy analysis, baseline values for NDS and CG were lower in the sham treatment arm compared to the IVIg treatment arm, and GS was higher in the sham treatment arm compared to the IVIg treatment arm. These differences can be explained when the first treatment period was analysed separately. This analysis showed good balance between baseline characteristics across the treatment groups, which is indicative of an adequate randomisation process. Hence, a significant carry-over effect appeared to have occurred and the 28-day washout period between treatments was inadequate i.e. clinical response to treatment lasted longer than 28 days in many instances. Similar observations were made in respect of the secondary efficacy endpoints. This ‘cross-o</w:t>
      </w:r>
      <w:r w:rsidR="00DC79F8">
        <w:t xml:space="preserve">ver </w:t>
      </w:r>
      <w:r w:rsidR="00DC79F8">
        <w:lastRenderedPageBreak/>
        <w:t xml:space="preserve">effect’ does not support (that is, line up properly with) </w:t>
      </w:r>
      <w:r>
        <w:t>a 3-weekly IVIg pulse maintenance dose-regimen as proposed in the EU guideline dir</w:t>
      </w:r>
      <w:r w:rsidR="00DC79F8">
        <w:t>ectly after the loading dose.</w:t>
      </w:r>
      <w:r w:rsidR="00DC79F8" w:rsidRPr="00DC79F8">
        <w:rPr>
          <w:vertAlign w:val="superscript"/>
        </w:rPr>
        <w:fldChar w:fldCharType="begin"/>
      </w:r>
      <w:r w:rsidR="00DC79F8" w:rsidRPr="00DC79F8">
        <w:rPr>
          <w:vertAlign w:val="superscript"/>
        </w:rPr>
        <w:instrText xml:space="preserve"> NOTEREF _Ref82138845 \h </w:instrText>
      </w:r>
      <w:r w:rsidR="00DC79F8">
        <w:rPr>
          <w:vertAlign w:val="superscript"/>
        </w:rPr>
        <w:instrText xml:space="preserve"> \* MERGEFORMAT </w:instrText>
      </w:r>
      <w:r w:rsidR="00DC79F8" w:rsidRPr="00DC79F8">
        <w:rPr>
          <w:vertAlign w:val="superscript"/>
        </w:rPr>
      </w:r>
      <w:r w:rsidR="00DC79F8" w:rsidRPr="00DC79F8">
        <w:rPr>
          <w:vertAlign w:val="superscript"/>
        </w:rPr>
        <w:fldChar w:fldCharType="separate"/>
      </w:r>
      <w:r w:rsidR="00F81787">
        <w:rPr>
          <w:vertAlign w:val="superscript"/>
        </w:rPr>
        <w:t>3</w:t>
      </w:r>
      <w:r w:rsidR="00DC79F8" w:rsidRPr="00DC79F8">
        <w:rPr>
          <w:vertAlign w:val="superscript"/>
        </w:rPr>
        <w:fldChar w:fldCharType="end"/>
      </w:r>
    </w:p>
    <w:p w14:paraId="33030F7A" w14:textId="77777777" w:rsidR="00E81A9E" w:rsidRDefault="00E81A9E" w:rsidP="00E81A9E">
      <w:r>
        <w:t xml:space="preserve">The loading dose of IVIg used in this study was consistent with the proposed dose-regimen, even though </w:t>
      </w:r>
      <w:proofErr w:type="spellStart"/>
      <w:r>
        <w:t>Kiovig</w:t>
      </w:r>
      <w:proofErr w:type="spellEnd"/>
      <w:r>
        <w:t xml:space="preserve"> was not the brand of IVIg used. The 3-weekly pulse maintenan</w:t>
      </w:r>
      <w:r w:rsidR="00DC79F8">
        <w:t>ce treatment with IVIg in the open label</w:t>
      </w:r>
      <w:r>
        <w:t xml:space="preserve"> treatment period appeared to provide clinical benefit in some subjects for up to 3 years, while others benefited from variable dosing and dosing frequency based on predicted deterioration in function. Although based on small numbers of subjects, these results suggest some patients might benefit from individualisation of doses and dosing- intervals once the patient has been stabilised on treatment. However, it is unclear from the publication what criteria were appli</w:t>
      </w:r>
      <w:r w:rsidR="00DC79F8">
        <w:t xml:space="preserve">ed when </w:t>
      </w:r>
      <w:proofErr w:type="gramStart"/>
      <w:r w:rsidR="00DC79F8">
        <w:t>making dose-adjustments</w:t>
      </w:r>
      <w:proofErr w:type="gramEnd"/>
      <w:r w:rsidR="00DC79F8">
        <w:t>.</w:t>
      </w:r>
    </w:p>
    <w:p w14:paraId="1775807B" w14:textId="2198D0E4" w:rsidR="00E81A9E" w:rsidRDefault="00E81A9E" w:rsidP="00E81A9E">
      <w:r>
        <w:t xml:space="preserve">The study results indicate that there may have been a correlation (albeit not statistically significant) between disease course and response to treatment. </w:t>
      </w:r>
      <w:proofErr w:type="gramStart"/>
      <w:r>
        <w:t>In particular, patients</w:t>
      </w:r>
      <w:proofErr w:type="gramEnd"/>
      <w:r>
        <w:t xml:space="preserve"> with chronic progressive CIDP (56%) may be less responsive to IVIg treatment than the chronic relapsing form of CIDP (71%). The former group were more heterogeneous than most of the patients with relapsing subtype, who were treated during an acute relapse or within 12 months of onset of disease and hence were more likely to respond to treatment. The chronic progressive subtype achiev</w:t>
      </w:r>
      <w:r w:rsidR="00DC79F8">
        <w:t>ed maximal benefit at 6 weeks (range: 3 weeks to 18 </w:t>
      </w:r>
      <w:r>
        <w:t>months), whereas the relapsing subtype appeared to have a reproducible benefit that continued to improve with pulse therapy. These results may be considered hypothesis generating, but this area needs further examination since if there becomes a clear association between CIDP subtype and response to IVIg treatment, the subtype of CIDP may give rise to differences in treatment appro</w:t>
      </w:r>
      <w:r w:rsidR="00DC79F8">
        <w:t>ach rather than the current EU guideline;</w:t>
      </w:r>
      <w:r w:rsidR="00DC79F8" w:rsidRPr="00DC79F8">
        <w:rPr>
          <w:vertAlign w:val="superscript"/>
        </w:rPr>
        <w:fldChar w:fldCharType="begin"/>
      </w:r>
      <w:r w:rsidR="00DC79F8" w:rsidRPr="00DC79F8">
        <w:rPr>
          <w:vertAlign w:val="superscript"/>
        </w:rPr>
        <w:instrText xml:space="preserve"> NOTEREF _Ref82138845 \h </w:instrText>
      </w:r>
      <w:r w:rsidR="00DC79F8">
        <w:rPr>
          <w:vertAlign w:val="superscript"/>
        </w:rPr>
        <w:instrText xml:space="preserve"> \* MERGEFORMAT </w:instrText>
      </w:r>
      <w:r w:rsidR="00DC79F8" w:rsidRPr="00DC79F8">
        <w:rPr>
          <w:vertAlign w:val="superscript"/>
        </w:rPr>
      </w:r>
      <w:r w:rsidR="00DC79F8" w:rsidRPr="00DC79F8">
        <w:rPr>
          <w:vertAlign w:val="superscript"/>
        </w:rPr>
        <w:fldChar w:fldCharType="separate"/>
      </w:r>
      <w:r w:rsidR="00F81787">
        <w:rPr>
          <w:vertAlign w:val="superscript"/>
        </w:rPr>
        <w:t>3</w:t>
      </w:r>
      <w:r w:rsidR="00DC79F8" w:rsidRPr="00DC79F8">
        <w:rPr>
          <w:vertAlign w:val="superscript"/>
        </w:rPr>
        <w:fldChar w:fldCharType="end"/>
      </w:r>
      <w:r>
        <w:t xml:space="preserve"> and the dose-regimens proposed in this application.</w:t>
      </w:r>
    </w:p>
    <w:p w14:paraId="11CEBB43" w14:textId="54E8DDA0" w:rsidR="00E81A9E" w:rsidRDefault="00E81A9E" w:rsidP="00E81A9E">
      <w:r>
        <w:t>Notwithstanding the differences in design and efficacy endpoints between this study and the Hughes et al</w:t>
      </w:r>
      <w:r w:rsidR="00DC79F8">
        <w:t>., (2008) study;</w:t>
      </w:r>
      <w:r w:rsidR="00DC79F8" w:rsidRPr="00DC79F8">
        <w:rPr>
          <w:vertAlign w:val="superscript"/>
        </w:rPr>
        <w:fldChar w:fldCharType="begin"/>
      </w:r>
      <w:r w:rsidR="00DC79F8" w:rsidRPr="00DC79F8">
        <w:rPr>
          <w:vertAlign w:val="superscript"/>
        </w:rPr>
        <w:instrText xml:space="preserve"> NOTEREF _Ref82155211 \h </w:instrText>
      </w:r>
      <w:r w:rsidR="00DC79F8">
        <w:rPr>
          <w:vertAlign w:val="superscript"/>
        </w:rPr>
        <w:instrText xml:space="preserve"> \* MERGEFORMAT </w:instrText>
      </w:r>
      <w:r w:rsidR="00DC79F8" w:rsidRPr="00DC79F8">
        <w:rPr>
          <w:vertAlign w:val="superscript"/>
        </w:rPr>
      </w:r>
      <w:r w:rsidR="00DC79F8" w:rsidRPr="00DC79F8">
        <w:rPr>
          <w:vertAlign w:val="superscript"/>
        </w:rPr>
        <w:fldChar w:fldCharType="separate"/>
      </w:r>
      <w:r w:rsidR="00F81787">
        <w:rPr>
          <w:vertAlign w:val="superscript"/>
        </w:rPr>
        <w:t>7</w:t>
      </w:r>
      <w:r w:rsidR="00DC79F8" w:rsidRPr="00DC79F8">
        <w:rPr>
          <w:vertAlign w:val="superscript"/>
        </w:rPr>
        <w:fldChar w:fldCharType="end"/>
      </w:r>
      <w:r>
        <w:t xml:space="preserve"> the overall results demonstrated that IVIg was an effective treatment versus placebo in adults with CIDP.</w:t>
      </w:r>
    </w:p>
    <w:p w14:paraId="42F2C53E" w14:textId="77777777" w:rsidR="00E81A9E" w:rsidRDefault="00DC79F8" w:rsidP="00E81A9E">
      <w:r>
        <w:t xml:space="preserve">The Delegate, again, </w:t>
      </w:r>
      <w:r w:rsidR="00E81A9E">
        <w:t xml:space="preserve">is essentially in agreement with the </w:t>
      </w:r>
      <w:r>
        <w:t>clinical evaluator</w:t>
      </w:r>
      <w:r w:rsidR="00E81A9E">
        <w:t xml:space="preserve"> on the outcome findings without the need for further elaboration, favouring IVIg over placebo or sham treatment in adults with CIDP. The </w:t>
      </w:r>
      <w:proofErr w:type="gramStart"/>
      <w:r w:rsidR="00E81A9E">
        <w:t>latter</w:t>
      </w:r>
      <w:proofErr w:type="gramEnd"/>
      <w:r w:rsidR="00E81A9E">
        <w:t xml:space="preserve"> however, does not add substantial evidence perse to support the basic tenet of the current submission given</w:t>
      </w:r>
      <w:r>
        <w:t xml:space="preserve"> that</w:t>
      </w:r>
      <w:r w:rsidR="00E81A9E">
        <w:t>:</w:t>
      </w:r>
    </w:p>
    <w:p w14:paraId="7685B56F" w14:textId="77777777" w:rsidR="00E81A9E" w:rsidRDefault="00DC79F8" w:rsidP="00DC79F8">
      <w:pPr>
        <w:pStyle w:val="ListBullet"/>
      </w:pPr>
      <w:r>
        <w:t>t</w:t>
      </w:r>
      <w:r w:rsidR="00E81A9E">
        <w:t xml:space="preserve">he unidentified bio-characteristics of the particular commercial IVIg used in the </w:t>
      </w:r>
      <w:proofErr w:type="gramStart"/>
      <w:r w:rsidR="00E81A9E">
        <w:t>study;</w:t>
      </w:r>
      <w:proofErr w:type="gramEnd"/>
    </w:p>
    <w:p w14:paraId="028E6255" w14:textId="77777777" w:rsidR="00E81A9E" w:rsidRDefault="00DC79F8" w:rsidP="00DC79F8">
      <w:pPr>
        <w:pStyle w:val="ListBullet"/>
      </w:pPr>
      <w:r>
        <w:t>t</w:t>
      </w:r>
      <w:r w:rsidR="00E81A9E">
        <w:t xml:space="preserve">he ARTG status of the unidentified IVIg is </w:t>
      </w:r>
      <w:proofErr w:type="gramStart"/>
      <w:r w:rsidR="00E81A9E">
        <w:t>unknown;</w:t>
      </w:r>
      <w:proofErr w:type="gramEnd"/>
    </w:p>
    <w:p w14:paraId="2B5F05DC" w14:textId="77777777" w:rsidR="00E81A9E" w:rsidRDefault="00DC79F8" w:rsidP="00DC79F8">
      <w:pPr>
        <w:pStyle w:val="ListBullet"/>
      </w:pPr>
      <w:r>
        <w:t>p</w:t>
      </w:r>
      <w:r w:rsidR="00E81A9E">
        <w:t xml:space="preserve">lacebo and not </w:t>
      </w:r>
      <w:proofErr w:type="spellStart"/>
      <w:r w:rsidR="00E81A9E">
        <w:t>Kiovig</w:t>
      </w:r>
      <w:proofErr w:type="spellEnd"/>
      <w:r w:rsidR="00E81A9E">
        <w:t xml:space="preserve"> was the comparator in the </w:t>
      </w:r>
      <w:r>
        <w:t xml:space="preserve">randomised control </w:t>
      </w:r>
      <w:proofErr w:type="gramStart"/>
      <w:r>
        <w:t>trial</w:t>
      </w:r>
      <w:r w:rsidR="00E81A9E">
        <w:t>;</w:t>
      </w:r>
      <w:proofErr w:type="gramEnd"/>
    </w:p>
    <w:p w14:paraId="77709E7D" w14:textId="77777777" w:rsidR="00E81A9E" w:rsidRDefault="00DC79F8" w:rsidP="00DC79F8">
      <w:pPr>
        <w:pStyle w:val="ListBullet"/>
      </w:pPr>
      <w:r>
        <w:t>t</w:t>
      </w:r>
      <w:r w:rsidR="00E81A9E">
        <w:t>here are differences in IgG subclasses and excipients, as well as differences in manufacturing processes;</w:t>
      </w:r>
      <w:r>
        <w:t xml:space="preserve"> and</w:t>
      </w:r>
    </w:p>
    <w:p w14:paraId="367D22E3" w14:textId="77777777" w:rsidR="00E81A9E" w:rsidRDefault="00DC79F8" w:rsidP="00DC79F8">
      <w:pPr>
        <w:pStyle w:val="ListBullet"/>
      </w:pPr>
      <w:r>
        <w:t>t</w:t>
      </w:r>
      <w:r w:rsidR="00E81A9E">
        <w:t xml:space="preserve">here is no way, of drawing conclusions about equivalence of </w:t>
      </w:r>
      <w:proofErr w:type="spellStart"/>
      <w:r w:rsidR="00E81A9E">
        <w:t>Kiovig</w:t>
      </w:r>
      <w:proofErr w:type="spellEnd"/>
      <w:r w:rsidR="00E81A9E">
        <w:t xml:space="preserve"> to the referenced IVIg, either therapeut</w:t>
      </w:r>
      <w:r>
        <w:t>ically or biologically, from this r</w:t>
      </w:r>
      <w:r w:rsidR="00E81A9E">
        <w:t>andomised</w:t>
      </w:r>
      <w:r>
        <w:t xml:space="preserve">, </w:t>
      </w:r>
      <w:proofErr w:type="gramStart"/>
      <w:r>
        <w:t>placebo c</w:t>
      </w:r>
      <w:r w:rsidR="00E81A9E">
        <w:t>ontrolled</w:t>
      </w:r>
      <w:proofErr w:type="gramEnd"/>
      <w:r w:rsidR="00E81A9E">
        <w:t xml:space="preserve"> </w:t>
      </w:r>
      <w:r>
        <w:t>study.</w:t>
      </w:r>
    </w:p>
    <w:p w14:paraId="79B03381" w14:textId="77777777" w:rsidR="00E81A9E" w:rsidRDefault="00C74DD1" w:rsidP="00E81A9E">
      <w:r>
        <w:t xml:space="preserve">The Delegate commented that </w:t>
      </w:r>
      <w:proofErr w:type="spellStart"/>
      <w:r w:rsidR="00E81A9E" w:rsidRPr="00C74DD1">
        <w:t>Kiovig’s</w:t>
      </w:r>
      <w:proofErr w:type="spellEnd"/>
      <w:r w:rsidR="00E81A9E" w:rsidRPr="00C74DD1">
        <w:t xml:space="preserve"> approval at this stage for CIDP, not specifically based on comparable trials with another IVIg, especially one of th</w:t>
      </w:r>
      <w:r>
        <w:t xml:space="preserve">ose listed on the ARTG for CIDP, is </w:t>
      </w:r>
      <w:r w:rsidR="00E81A9E" w:rsidRPr="00C74DD1">
        <w:t>tantamount to abductive r</w:t>
      </w:r>
      <w:r>
        <w:t>easoning.</w:t>
      </w:r>
    </w:p>
    <w:p w14:paraId="77B4E248" w14:textId="77777777" w:rsidR="002621E5" w:rsidRDefault="00E81A9E" w:rsidP="002621E5">
      <w:pPr>
        <w:pStyle w:val="Heading5"/>
      </w:pPr>
      <w:proofErr w:type="spellStart"/>
      <w:r>
        <w:t>Mendell</w:t>
      </w:r>
      <w:proofErr w:type="spellEnd"/>
      <w:r>
        <w:t xml:space="preserve"> et al</w:t>
      </w:r>
      <w:r w:rsidR="00C7347C">
        <w:t>.</w:t>
      </w:r>
      <w:r w:rsidR="002621E5">
        <w:t xml:space="preserve"> (2001)</w:t>
      </w:r>
      <w:r w:rsidR="00E137CF">
        <w:rPr>
          <w:rStyle w:val="FootnoteReference"/>
        </w:rPr>
        <w:footnoteReference w:id="12"/>
      </w:r>
    </w:p>
    <w:p w14:paraId="7159DF43" w14:textId="77777777" w:rsidR="00E81A9E" w:rsidRDefault="002621E5" w:rsidP="00E81A9E">
      <w:r>
        <w:t>This is a</w:t>
      </w:r>
      <w:r w:rsidR="00E81A9E">
        <w:t xml:space="preserve"> randomised, </w:t>
      </w:r>
      <w:r>
        <w:t>double blind, placebo-controlled, multicentre, investigator-</w:t>
      </w:r>
      <w:r w:rsidR="00E81A9E">
        <w:t>initiated study conducted over a 3-year period in the US</w:t>
      </w:r>
      <w:r>
        <w:t>A</w:t>
      </w:r>
      <w:r w:rsidR="00E81A9E">
        <w:t>.</w:t>
      </w:r>
    </w:p>
    <w:p w14:paraId="1FD6F7F7" w14:textId="77777777" w:rsidR="00E81A9E" w:rsidRDefault="00E81A9E" w:rsidP="00E81A9E">
      <w:r>
        <w:lastRenderedPageBreak/>
        <w:t>Evaluat</w:t>
      </w:r>
      <w:r w:rsidR="002621E5">
        <w:t>ions were performed at B</w:t>
      </w:r>
      <w:r>
        <w:t xml:space="preserve">aseline, Days 10, 21 and 42 (endpoint of </w:t>
      </w:r>
      <w:proofErr w:type="gramStart"/>
      <w:r w:rsidR="002621E5">
        <w:t>double blind</w:t>
      </w:r>
      <w:proofErr w:type="gramEnd"/>
      <w:r>
        <w:t xml:space="preserve"> period). There was no extension or follow-up period.</w:t>
      </w:r>
    </w:p>
    <w:p w14:paraId="14F3847E" w14:textId="77777777" w:rsidR="00E81A9E" w:rsidRDefault="00E81A9E" w:rsidP="00E81A9E">
      <w:r>
        <w:t>The primary objective was to determine the efficacy of IVIg i</w:t>
      </w:r>
      <w:r w:rsidR="002621E5">
        <w:t>n patients with untreated CIDP.</w:t>
      </w:r>
    </w:p>
    <w:p w14:paraId="5D2E8D5E" w14:textId="77777777" w:rsidR="00E81A9E" w:rsidRDefault="002C6EF5" w:rsidP="00E81A9E">
      <w:r>
        <w:t xml:space="preserve">The clinical evaluator’s </w:t>
      </w:r>
      <w:r w:rsidR="00E81A9E">
        <w:t>overall conclusions on clinical effi</w:t>
      </w:r>
      <w:r>
        <w:t xml:space="preserve">cacy, abbreviated by the Delegate, </w:t>
      </w:r>
      <w:r w:rsidR="00C7347C">
        <w:t>were</w:t>
      </w:r>
      <w:r>
        <w:t>:</w:t>
      </w:r>
    </w:p>
    <w:p w14:paraId="5DF246CF" w14:textId="77777777" w:rsidR="00E81A9E" w:rsidRDefault="00E81A9E" w:rsidP="00E81A9E">
      <w:r>
        <w:t>The results of this study are less convincing than the Hughes et al</w:t>
      </w:r>
      <w:r w:rsidR="002C6EF5">
        <w:t>.,</w:t>
      </w:r>
      <w:r>
        <w:t xml:space="preserve"> (2008) and Hahn et al</w:t>
      </w:r>
      <w:r w:rsidR="002C6EF5">
        <w:t>.,</w:t>
      </w:r>
      <w:r>
        <w:t xml:space="preserve"> (1996) </w:t>
      </w:r>
      <w:proofErr w:type="gramStart"/>
      <w:r>
        <w:t>studies, since</w:t>
      </w:r>
      <w:proofErr w:type="gramEnd"/>
      <w:r>
        <w:t xml:space="preserve"> the assessment appeared to be less rigorous overall. The choi</w:t>
      </w:r>
      <w:r w:rsidR="002C6EF5">
        <w:t>ce of primary outcome measure (average muscle score</w:t>
      </w:r>
      <w:r w:rsidR="00C7347C">
        <w:t xml:space="preserve"> (</w:t>
      </w:r>
      <w:r>
        <w:t>AMS</w:t>
      </w:r>
      <w:r w:rsidR="00C7347C">
        <w:t>)</w:t>
      </w:r>
      <w:r>
        <w:t>) may not be directly comparable to clinical response observed with scores on the validated and more stringent INCAT and Rankin scales. Nevertheless, the trial demonstrated that IVIg was effective versus placebo, and the primary analysis results were generally supported by most secondary efficacy results (Hug</w:t>
      </w:r>
      <w:r w:rsidR="00C7347C">
        <w:t>hes Disability Functional Scale (</w:t>
      </w:r>
      <w:r>
        <w:t>HDFS</w:t>
      </w:r>
      <w:r w:rsidR="00C7347C">
        <w:t>)</w:t>
      </w:r>
      <w:r>
        <w:t xml:space="preserve"> and some neurophysiological measures). These results provided assurance the study had reasonable internal validity, although no sensitivity analyses of the primary efficacy analysis were unde</w:t>
      </w:r>
      <w:r w:rsidR="002C6EF5">
        <w:t>rtaken.</w:t>
      </w:r>
    </w:p>
    <w:p w14:paraId="3293501D" w14:textId="77777777" w:rsidR="00E81A9E" w:rsidRDefault="00E81A9E" w:rsidP="00E81A9E">
      <w:r>
        <w:t xml:space="preserve">One important limitation in the study design was that the 6-week trial did not allow for a full evaluation of </w:t>
      </w:r>
      <w:proofErr w:type="gramStart"/>
      <w:r>
        <w:t>long term</w:t>
      </w:r>
      <w:proofErr w:type="gramEnd"/>
      <w:r>
        <w:t xml:space="preserve"> treatment effect of IVIg, or permit an evaluation on relapse follo</w:t>
      </w:r>
      <w:r w:rsidR="002C6EF5">
        <w:t>wing study drug discontinuation.</w:t>
      </w:r>
    </w:p>
    <w:p w14:paraId="58752500" w14:textId="77777777" w:rsidR="00E81A9E" w:rsidRDefault="00E81A9E" w:rsidP="00E81A9E">
      <w:r>
        <w:t>The randomisation process was suboptimal (block randomisation to participating centres), which led to an imbalance in the number of subjects allocated to each treatment arm. However, this imbalance is not expected to adversely affec</w:t>
      </w:r>
      <w:r w:rsidR="002C6EF5">
        <w:t>t the primary efficacy results.</w:t>
      </w:r>
    </w:p>
    <w:p w14:paraId="2119613F" w14:textId="77777777" w:rsidR="00E81A9E" w:rsidRDefault="00E81A9E" w:rsidP="00E81A9E">
      <w:r>
        <w:t xml:space="preserve">Although the brand of IVIg used in this study was not </w:t>
      </w:r>
      <w:proofErr w:type="spellStart"/>
      <w:r>
        <w:t>Kiovig</w:t>
      </w:r>
      <w:proofErr w:type="spellEnd"/>
      <w:r>
        <w:t>, the loadi</w:t>
      </w:r>
      <w:r w:rsidR="002C6EF5">
        <w:t xml:space="preserve">ng dose (1 g/kg on Days 1 and 2, that is </w:t>
      </w:r>
      <w:r>
        <w:t>2 g/kg in total) and the follow-up dose (1 g/kg on Day 21) were generally consistent w</w:t>
      </w:r>
      <w:r w:rsidR="002C6EF5">
        <w:t>ith the proposed dose-regimens.</w:t>
      </w:r>
    </w:p>
    <w:p w14:paraId="65B4651B" w14:textId="77777777" w:rsidR="00E81A9E" w:rsidRDefault="00E81A9E" w:rsidP="00E81A9E">
      <w:r>
        <w:t>Notwithstanding the study limitations, particularly the short duration, the results provided good evidence of a treatment benefit from IVIg in adults wit</w:t>
      </w:r>
      <w:r w:rsidR="002C6EF5">
        <w:t xml:space="preserve">h CIDP who are </w:t>
      </w:r>
      <w:proofErr w:type="gramStart"/>
      <w:r w:rsidR="002C6EF5">
        <w:t>treatment-naïve</w:t>
      </w:r>
      <w:proofErr w:type="gramEnd"/>
      <w:r w:rsidR="002C6EF5">
        <w:t>.</w:t>
      </w:r>
    </w:p>
    <w:p w14:paraId="5497B7FD" w14:textId="77777777" w:rsidR="00E81A9E" w:rsidRDefault="002C6EF5" w:rsidP="00E81A9E">
      <w:r>
        <w:t>The Delegate</w:t>
      </w:r>
      <w:r w:rsidR="00E81A9E">
        <w:t xml:space="preserve"> noted the identified study deficiencies as per the </w:t>
      </w:r>
      <w:r w:rsidR="00C7347C">
        <w:t>clinical evaluator</w:t>
      </w:r>
      <w:r w:rsidR="00E81A9E">
        <w:t xml:space="preserve">, without the need for further elaboration. Apart from the latter, any favourable benefit associated with the IVIg treatment over placebo in adults with CIDP is neither a panacea nor absolute evidence to granting </w:t>
      </w:r>
      <w:proofErr w:type="spellStart"/>
      <w:r w:rsidR="00E81A9E">
        <w:t>Kiovig</w:t>
      </w:r>
      <w:proofErr w:type="spellEnd"/>
      <w:r w:rsidR="00E81A9E">
        <w:t xml:space="preserve"> the proposed CIDP indication.</w:t>
      </w:r>
    </w:p>
    <w:p w14:paraId="5B7A566D" w14:textId="77777777" w:rsidR="00E81A9E" w:rsidRDefault="00E81A9E" w:rsidP="00E81A9E">
      <w:r>
        <w:t>Furthermore:</w:t>
      </w:r>
    </w:p>
    <w:p w14:paraId="7F52748D" w14:textId="77777777" w:rsidR="00E81A9E" w:rsidRDefault="00C7347C" w:rsidP="002C6EF5">
      <w:pPr>
        <w:pStyle w:val="ListBullet"/>
      </w:pPr>
      <w:r>
        <w:t>P</w:t>
      </w:r>
      <w:r w:rsidR="00E81A9E">
        <w:t xml:space="preserve">asteurized </w:t>
      </w:r>
      <w:proofErr w:type="spellStart"/>
      <w:r w:rsidR="00E81A9E">
        <w:t>Gammar</w:t>
      </w:r>
      <w:proofErr w:type="spellEnd"/>
      <w:r w:rsidR="00E81A9E">
        <w:t xml:space="preserve"> IV is not listed on the </w:t>
      </w:r>
      <w:proofErr w:type="gramStart"/>
      <w:r w:rsidR="00E81A9E">
        <w:t>ARTG;</w:t>
      </w:r>
      <w:proofErr w:type="gramEnd"/>
    </w:p>
    <w:p w14:paraId="194E4713" w14:textId="77777777" w:rsidR="00E81A9E" w:rsidRDefault="002C6EF5" w:rsidP="002C6EF5">
      <w:pPr>
        <w:pStyle w:val="ListBullet"/>
      </w:pPr>
      <w:r>
        <w:t>p</w:t>
      </w:r>
      <w:r w:rsidR="00E81A9E">
        <w:t>lacebo an</w:t>
      </w:r>
      <w:r>
        <w:t xml:space="preserve">d not </w:t>
      </w:r>
      <w:proofErr w:type="spellStart"/>
      <w:r>
        <w:t>Kiovig</w:t>
      </w:r>
      <w:proofErr w:type="spellEnd"/>
      <w:r>
        <w:t xml:space="preserve"> was the </w:t>
      </w:r>
      <w:proofErr w:type="gramStart"/>
      <w:r>
        <w:t>comparator;</w:t>
      </w:r>
      <w:proofErr w:type="gramEnd"/>
    </w:p>
    <w:p w14:paraId="6B09757F" w14:textId="77777777" w:rsidR="00E81A9E" w:rsidRDefault="002C6EF5" w:rsidP="002C6EF5">
      <w:pPr>
        <w:pStyle w:val="ListBullet"/>
      </w:pPr>
      <w:r>
        <w:t>th</w:t>
      </w:r>
      <w:r w:rsidR="00E81A9E">
        <w:t>ere are differences in IgG subclasses and excipients, as well as differences in manufacturing processes;</w:t>
      </w:r>
      <w:r>
        <w:t xml:space="preserve"> and</w:t>
      </w:r>
    </w:p>
    <w:p w14:paraId="64ED81EB" w14:textId="77777777" w:rsidR="00E81A9E" w:rsidRDefault="002C6EF5" w:rsidP="002C6EF5">
      <w:pPr>
        <w:pStyle w:val="ListBullet"/>
      </w:pPr>
      <w:r>
        <w:t>t</w:t>
      </w:r>
      <w:r w:rsidR="00E81A9E">
        <w:t xml:space="preserve">here is no way, of drawing conclusions about the equivalence of </w:t>
      </w:r>
      <w:proofErr w:type="spellStart"/>
      <w:r w:rsidR="00E81A9E">
        <w:t>Kiovig</w:t>
      </w:r>
      <w:proofErr w:type="spellEnd"/>
      <w:r w:rsidR="00E81A9E">
        <w:t xml:space="preserve"> to the referenced IVIg (Pasteurized </w:t>
      </w:r>
      <w:proofErr w:type="spellStart"/>
      <w:r w:rsidR="00E81A9E">
        <w:t>Gammar</w:t>
      </w:r>
      <w:proofErr w:type="spellEnd"/>
      <w:r w:rsidR="00E81A9E">
        <w:t xml:space="preserve"> IV), either therapeut</w:t>
      </w:r>
      <w:r>
        <w:t>ically or biologically from this study.</w:t>
      </w:r>
    </w:p>
    <w:p w14:paraId="069E0D16" w14:textId="77777777" w:rsidR="002C6EF5" w:rsidRDefault="00E81A9E" w:rsidP="002C6EF5">
      <w:pPr>
        <w:pStyle w:val="Heading5"/>
      </w:pPr>
      <w:r>
        <w:t>Vermeulen et al</w:t>
      </w:r>
      <w:r w:rsidR="002C6EF5">
        <w:t>., (1993)</w:t>
      </w:r>
      <w:bookmarkStart w:id="50" w:name="_Ref82804891"/>
      <w:r w:rsidR="00E137CF">
        <w:rPr>
          <w:rStyle w:val="FootnoteReference"/>
        </w:rPr>
        <w:footnoteReference w:id="13"/>
      </w:r>
      <w:bookmarkEnd w:id="50"/>
    </w:p>
    <w:p w14:paraId="7868AA01" w14:textId="77777777" w:rsidR="00E81A9E" w:rsidRDefault="002C6EF5" w:rsidP="00E81A9E">
      <w:r>
        <w:t>This is a</w:t>
      </w:r>
      <w:r w:rsidR="00E81A9E">
        <w:t xml:space="preserve"> randomised, </w:t>
      </w:r>
      <w:r>
        <w:t>double blind</w:t>
      </w:r>
      <w:r w:rsidR="00E81A9E">
        <w:t>, placeb</w:t>
      </w:r>
      <w:r>
        <w:t xml:space="preserve">o-controlled, multicentre trial </w:t>
      </w:r>
      <w:r w:rsidR="00E81A9E">
        <w:t>conducted in the Netherlands pre-August 1992.</w:t>
      </w:r>
    </w:p>
    <w:p w14:paraId="624EDE39" w14:textId="77777777" w:rsidR="00E81A9E" w:rsidRDefault="00E81A9E" w:rsidP="00E81A9E">
      <w:r>
        <w:lastRenderedPageBreak/>
        <w:t>The primary objective was to investigate whether high-dose IVIg for 5 consecutive days had a beneficial effect in newly diagnosed CIDP, who had received no prior therapy.</w:t>
      </w:r>
    </w:p>
    <w:p w14:paraId="06B02646" w14:textId="77777777" w:rsidR="00E81A9E" w:rsidRDefault="002C6EF5" w:rsidP="00E81A9E">
      <w:r>
        <w:t xml:space="preserve">The clinical evaluator’s </w:t>
      </w:r>
      <w:r w:rsidR="005642CF">
        <w:t>overall conclusion</w:t>
      </w:r>
      <w:r w:rsidR="00E81A9E">
        <w:t xml:space="preserve"> on clinical efficacy</w:t>
      </w:r>
      <w:r>
        <w:t xml:space="preserve">, abbreviated by the Delegate </w:t>
      </w:r>
      <w:r w:rsidR="005642CF">
        <w:t>was</w:t>
      </w:r>
      <w:r>
        <w:t>:</w:t>
      </w:r>
    </w:p>
    <w:p w14:paraId="2EB8FEAF" w14:textId="6855FC3A" w:rsidR="005642CF" w:rsidRDefault="005642CF" w:rsidP="00E81A9E">
      <w:pPr>
        <w:pStyle w:val="ListBullet"/>
      </w:pPr>
      <w:r>
        <w:t>T</w:t>
      </w:r>
      <w:r w:rsidR="00E81A9E">
        <w:t>he results of this study are less convincing than the Hughes et al</w:t>
      </w:r>
      <w:r w:rsidR="002C6EF5">
        <w:t>., (2008) study;</w:t>
      </w:r>
      <w:r w:rsidR="002C6EF5" w:rsidRPr="002C6EF5">
        <w:rPr>
          <w:vertAlign w:val="superscript"/>
        </w:rPr>
        <w:fldChar w:fldCharType="begin"/>
      </w:r>
      <w:r w:rsidR="002C6EF5" w:rsidRPr="002C6EF5">
        <w:rPr>
          <w:vertAlign w:val="superscript"/>
        </w:rPr>
        <w:instrText xml:space="preserve"> NOTEREF _Ref82155211 \h </w:instrText>
      </w:r>
      <w:r w:rsidR="002C6EF5">
        <w:rPr>
          <w:vertAlign w:val="superscript"/>
        </w:rPr>
        <w:instrText xml:space="preserve"> \* MERGEFORMAT </w:instrText>
      </w:r>
      <w:r w:rsidR="002C6EF5" w:rsidRPr="002C6EF5">
        <w:rPr>
          <w:vertAlign w:val="superscript"/>
        </w:rPr>
      </w:r>
      <w:r w:rsidR="002C6EF5" w:rsidRPr="002C6EF5">
        <w:rPr>
          <w:vertAlign w:val="superscript"/>
        </w:rPr>
        <w:fldChar w:fldCharType="separate"/>
      </w:r>
      <w:r w:rsidR="00F81787">
        <w:rPr>
          <w:vertAlign w:val="superscript"/>
        </w:rPr>
        <w:t>7</w:t>
      </w:r>
      <w:r w:rsidR="002C6EF5" w:rsidRPr="002C6EF5">
        <w:rPr>
          <w:vertAlign w:val="superscript"/>
        </w:rPr>
        <w:fldChar w:fldCharType="end"/>
      </w:r>
      <w:r w:rsidR="00E81A9E">
        <w:t xml:space="preserve"> since the assessment appeared to be less rigorous overall. The choice of primary outcome measure (Rankin scale), while a validated method is not as stringent as the Inflammatory Neuropathy Cause and Treatment (INCAT) </w:t>
      </w:r>
      <w:r w:rsidR="00476D80">
        <w:t>s</w:t>
      </w:r>
      <w:r w:rsidR="00E81A9E">
        <w:t xml:space="preserve">ensory </w:t>
      </w:r>
      <w:r w:rsidR="00476D80">
        <w:t>s</w:t>
      </w:r>
      <w:r w:rsidR="00E81A9E">
        <w:t xml:space="preserve">um </w:t>
      </w:r>
      <w:r w:rsidR="00476D80">
        <w:t>s</w:t>
      </w:r>
      <w:r w:rsidR="00E81A9E">
        <w:t>core (ISS) disability scale. However, the INCAT disability scale had not been validated at th</w:t>
      </w:r>
      <w:r>
        <w:t>e time this study was conducted.</w:t>
      </w:r>
    </w:p>
    <w:p w14:paraId="0A0F3C58" w14:textId="77777777" w:rsidR="005642CF" w:rsidRDefault="00E81A9E" w:rsidP="00E81A9E">
      <w:pPr>
        <w:pStyle w:val="ListBullet"/>
      </w:pPr>
      <w:r>
        <w:t>The number of patients who were treated with IVIg was als</w:t>
      </w:r>
      <w:r w:rsidR="005642CF">
        <w:t xml:space="preserve">o considerably less than in the </w:t>
      </w:r>
      <w:r>
        <w:t>Hughes et</w:t>
      </w:r>
      <w:r w:rsidR="005642CF">
        <w:t xml:space="preserve"> al (2008) study.</w:t>
      </w:r>
    </w:p>
    <w:p w14:paraId="058ABB5D" w14:textId="77777777" w:rsidR="005642CF" w:rsidRDefault="00E81A9E" w:rsidP="00E81A9E">
      <w:pPr>
        <w:pStyle w:val="ListBullet"/>
      </w:pPr>
      <w:r>
        <w:t>Unlike the other main studies submitted in support of the application for IVIg in CIDP, the study results did not demonstrate a treatment benefit of IVIg treatment over placebo treatment. The authors explored in detail reasons to explain their findings and concluded that the results were attributed to the methods used for assessment.</w:t>
      </w:r>
    </w:p>
    <w:p w14:paraId="36428586" w14:textId="77777777" w:rsidR="005642CF" w:rsidRDefault="00E81A9E" w:rsidP="00E81A9E">
      <w:pPr>
        <w:pStyle w:val="ListBullet"/>
      </w:pPr>
      <w:r>
        <w:t xml:space="preserve">The selection of patients according to established criteria did not appear to have been undertaken. The 1991 AAN criteria for CIDP diagnosis were published at the time the study results were analysed and the authors did not </w:t>
      </w:r>
      <w:proofErr w:type="gramStart"/>
      <w:r>
        <w:t>make reference</w:t>
      </w:r>
      <w:proofErr w:type="gramEnd"/>
      <w:r>
        <w:t xml:space="preserve"> to this or any other clinical guideline or consensus statement. Since the study population were those with newly diagnosed CIDP and who had received no prior therapy, it is important to establish how the participants were diagnosed (definite or probable CIDP) and why they had not received prior treatment for their condition. </w:t>
      </w:r>
      <w:proofErr w:type="gramStart"/>
      <w:r>
        <w:t>The majority of</w:t>
      </w:r>
      <w:proofErr w:type="gramEnd"/>
      <w:r>
        <w:t xml:space="preserve"> patients were also categorised as chronic relapsing. It is unclear from the published article whether patients had active or static CIDP. It is possible, particularly for new onset CIDP patients with relapsing CIDP that many of the patients might have been in remission as a natural consequence of the natural course of the disease and hence would not have benefited from treatment.</w:t>
      </w:r>
    </w:p>
    <w:p w14:paraId="31093C00" w14:textId="77777777" w:rsidR="005642CF" w:rsidRDefault="00E81A9E" w:rsidP="00E81A9E">
      <w:pPr>
        <w:pStyle w:val="ListBullet"/>
      </w:pPr>
      <w:r>
        <w:t xml:space="preserve">Although the loading dose used by the authors is consistent with the proposed loading- dose, the short duration of the </w:t>
      </w:r>
      <w:proofErr w:type="gramStart"/>
      <w:r w:rsidR="005642CF">
        <w:t>double blind</w:t>
      </w:r>
      <w:proofErr w:type="gramEnd"/>
      <w:r>
        <w:t xml:space="preserve"> phase of the study did not allow for investigation of maintenance</w:t>
      </w:r>
      <w:r w:rsidR="005642CF">
        <w:t>,</w:t>
      </w:r>
      <w:r>
        <w:t xml:space="preserve"> </w:t>
      </w:r>
      <w:r w:rsidR="005642CF">
        <w:t>that is,</w:t>
      </w:r>
      <w:r>
        <w:t xml:space="preserve"> follow-up treatment. Some patients received open-label IVIg, but no further details on dose or frequency of dosing were provided. Lack of placebo control during the </w:t>
      </w:r>
      <w:r w:rsidR="005642CF">
        <w:t>open label</w:t>
      </w:r>
      <w:r>
        <w:t xml:space="preserve"> treatment period may have introduced bias into the results, which could have skewed the results in either direction.</w:t>
      </w:r>
    </w:p>
    <w:p w14:paraId="4A4F8911" w14:textId="77777777" w:rsidR="00E81A9E" w:rsidRDefault="00E81A9E" w:rsidP="00E81A9E">
      <w:pPr>
        <w:pStyle w:val="ListBullet"/>
      </w:pPr>
      <w:r>
        <w:t>An imbalance in the baseline disease characteristics between the treatment groups</w:t>
      </w:r>
      <w:r w:rsidR="005642CF">
        <w:t>, for example,</w:t>
      </w:r>
      <w:r>
        <w:t xml:space="preserve"> 86.7% of patients had a remitting course in the IVIg group</w:t>
      </w:r>
      <w:r w:rsidR="00CC797B">
        <w:t xml:space="preserve"> versus </w:t>
      </w:r>
      <w:r>
        <w:t>61.5% in the placebo group, suggested there might have been a problem in the randomisation process, which again might have introduced bias and confounding into the study results.</w:t>
      </w:r>
    </w:p>
    <w:p w14:paraId="684A2C70" w14:textId="77777777" w:rsidR="00E81A9E" w:rsidRDefault="005642CF" w:rsidP="00E81A9E">
      <w:r>
        <w:t xml:space="preserve">The </w:t>
      </w:r>
      <w:r w:rsidR="00E81A9E">
        <w:t>D</w:t>
      </w:r>
      <w:r>
        <w:t>elegate commented that r</w:t>
      </w:r>
      <w:r w:rsidR="00E81A9E">
        <w:t xml:space="preserve">egardless of the causes for the failure of this study to demonstrate a treatment benefit of IVIg treatment over placebo treatment as assessed by the </w:t>
      </w:r>
      <w:r>
        <w:t>clinical evaluator</w:t>
      </w:r>
      <w:r w:rsidR="00E81A9E">
        <w:t xml:space="preserve">, the study is nonetheless a testimony to the fact that </w:t>
      </w:r>
      <w:proofErr w:type="spellStart"/>
      <w:r w:rsidR="00E81A9E">
        <w:t>Kiovig’s</w:t>
      </w:r>
      <w:proofErr w:type="spellEnd"/>
      <w:r w:rsidR="00E81A9E">
        <w:t xml:space="preserve"> approval at this stage for CIDP requires well-designed trial as per acceptable guideline depicting efficacy and safety in CIDP. </w:t>
      </w:r>
      <w:r w:rsidR="00E81A9E" w:rsidRPr="001B7359">
        <w:t xml:space="preserve">The </w:t>
      </w:r>
      <w:r w:rsidR="001B7359" w:rsidRPr="001B7359">
        <w:t xml:space="preserve">use of abductive reasoning </w:t>
      </w:r>
      <w:r w:rsidR="00E81A9E" w:rsidRPr="001B7359">
        <w:t>should not be applied for this regulatory task/purpose.</w:t>
      </w:r>
    </w:p>
    <w:p w14:paraId="0097A7AC" w14:textId="501309FF" w:rsidR="00E81A9E" w:rsidRDefault="00E81A9E" w:rsidP="00122C90">
      <w:pPr>
        <w:pageBreakBefore/>
      </w:pPr>
      <w:r>
        <w:lastRenderedPageBreak/>
        <w:t xml:space="preserve">Furthermore, the IVIg used in the </w:t>
      </w:r>
      <w:proofErr w:type="gramStart"/>
      <w:r>
        <w:t>placebo controlled</w:t>
      </w:r>
      <w:proofErr w:type="gramEnd"/>
      <w:r>
        <w:t xml:space="preserve"> study is not </w:t>
      </w:r>
      <w:proofErr w:type="spellStart"/>
      <w:r>
        <w:t>Kiovig</w:t>
      </w:r>
      <w:proofErr w:type="spellEnd"/>
      <w:r>
        <w:t xml:space="preserve"> and it is stated that the IVIg preparation contained 99% IgG, 1% </w:t>
      </w:r>
      <w:r w:rsidR="00476D80">
        <w:t>immunoglobulin A (</w:t>
      </w:r>
      <w:r>
        <w:t>IgA</w:t>
      </w:r>
      <w:r w:rsidR="00476D80">
        <w:t>)</w:t>
      </w:r>
      <w:r>
        <w:t xml:space="preserve"> and traces of </w:t>
      </w:r>
      <w:r w:rsidR="00476D80">
        <w:t>immunoglobulin M (</w:t>
      </w:r>
      <w:r>
        <w:t>IgM</w:t>
      </w:r>
      <w:r w:rsidR="00476D80">
        <w:t>)</w:t>
      </w:r>
      <w:r>
        <w:t>. IgG subclasses: IgG1 57.5%, IgG2 23.8%, IgG3 9% and IgG4 5.5% and at</w:t>
      </w:r>
      <w:r w:rsidR="001B7359">
        <w:t xml:space="preserve"> least 95% of IgG was monomeric.</w:t>
      </w:r>
    </w:p>
    <w:p w14:paraId="550822F0" w14:textId="77777777" w:rsidR="005642CF" w:rsidRDefault="005642CF" w:rsidP="005642CF">
      <w:pPr>
        <w:pStyle w:val="Heading5"/>
      </w:pPr>
      <w:r>
        <w:t>Other studies</w:t>
      </w:r>
    </w:p>
    <w:p w14:paraId="34312688" w14:textId="77777777" w:rsidR="00E81A9E" w:rsidRDefault="00E81A9E" w:rsidP="00E81A9E">
      <w:r>
        <w:t>Other studies, including retrospective data set, in CIDP patients using IVIg</w:t>
      </w:r>
      <w:r w:rsidR="00C93D2E">
        <w:t xml:space="preserve"> included:</w:t>
      </w:r>
    </w:p>
    <w:p w14:paraId="5CA01070" w14:textId="77777777" w:rsidR="00E81A9E" w:rsidRDefault="00E81A9E" w:rsidP="009535F0">
      <w:pPr>
        <w:pStyle w:val="ListBullet"/>
      </w:pPr>
      <w:r>
        <w:t>Dyck et al</w:t>
      </w:r>
      <w:r w:rsidR="00390DF9">
        <w:t>.</w:t>
      </w:r>
      <w:r>
        <w:t xml:space="preserve"> (1994)</w:t>
      </w:r>
      <w:r w:rsidR="00390DF9">
        <w:rPr>
          <w:rStyle w:val="FootnoteReference"/>
        </w:rPr>
        <w:footnoteReference w:id="14"/>
      </w:r>
    </w:p>
    <w:p w14:paraId="03A37B26" w14:textId="77777777" w:rsidR="00E81A9E" w:rsidRDefault="00E81A9E" w:rsidP="009535F0">
      <w:pPr>
        <w:pStyle w:val="ListBullet"/>
      </w:pPr>
      <w:r>
        <w:t>Hughes et al</w:t>
      </w:r>
      <w:r w:rsidR="00390DF9">
        <w:t>.</w:t>
      </w:r>
      <w:r>
        <w:t xml:space="preserve"> (2001)</w:t>
      </w:r>
      <w:r w:rsidR="00390DF9">
        <w:rPr>
          <w:rStyle w:val="FootnoteReference"/>
        </w:rPr>
        <w:footnoteReference w:id="15"/>
      </w:r>
    </w:p>
    <w:p w14:paraId="31B807D8" w14:textId="77777777" w:rsidR="00E81A9E" w:rsidRDefault="00E81A9E" w:rsidP="009535F0">
      <w:pPr>
        <w:pStyle w:val="ListBullet"/>
      </w:pPr>
      <w:r>
        <w:t>Nobile-</w:t>
      </w:r>
      <w:proofErr w:type="spellStart"/>
      <w:r>
        <w:t>Orazio</w:t>
      </w:r>
      <w:proofErr w:type="spellEnd"/>
      <w:r>
        <w:t xml:space="preserve"> et al</w:t>
      </w:r>
      <w:r w:rsidR="00495615">
        <w:t>.</w:t>
      </w:r>
      <w:r>
        <w:t xml:space="preserve"> (2012)</w:t>
      </w:r>
      <w:bookmarkStart w:id="51" w:name="_Ref84392962"/>
      <w:r w:rsidR="00495615">
        <w:rPr>
          <w:rStyle w:val="FootnoteReference"/>
        </w:rPr>
        <w:footnoteReference w:id="16"/>
      </w:r>
      <w:bookmarkEnd w:id="51"/>
    </w:p>
    <w:p w14:paraId="7C11B54B" w14:textId="77777777" w:rsidR="00E81A9E" w:rsidRDefault="00E81A9E" w:rsidP="009535F0">
      <w:pPr>
        <w:pStyle w:val="ListBullet"/>
      </w:pPr>
      <w:r>
        <w:t>Thompson et al</w:t>
      </w:r>
      <w:r w:rsidR="00495615">
        <w:t>.</w:t>
      </w:r>
      <w:r>
        <w:t xml:space="preserve"> (1996)</w:t>
      </w:r>
      <w:r w:rsidR="00495615">
        <w:rPr>
          <w:rStyle w:val="FootnoteReference"/>
        </w:rPr>
        <w:footnoteReference w:id="17"/>
      </w:r>
    </w:p>
    <w:p w14:paraId="4E64F78E" w14:textId="77777777" w:rsidR="00E81A9E" w:rsidRDefault="00E81A9E" w:rsidP="009535F0">
      <w:pPr>
        <w:pStyle w:val="ListBullet"/>
      </w:pPr>
      <w:r>
        <w:t>Jann et al</w:t>
      </w:r>
      <w:r w:rsidR="001B7359">
        <w:t>.</w:t>
      </w:r>
      <w:r>
        <w:t xml:space="preserve"> (2009)</w:t>
      </w:r>
      <w:r w:rsidR="00495615">
        <w:rPr>
          <w:rStyle w:val="FootnoteReference"/>
        </w:rPr>
        <w:footnoteReference w:id="18"/>
      </w:r>
    </w:p>
    <w:p w14:paraId="1279DF6D" w14:textId="77777777" w:rsidR="00E81A9E" w:rsidRDefault="00E81A9E" w:rsidP="009535F0">
      <w:pPr>
        <w:pStyle w:val="ListBullet"/>
      </w:pPr>
      <w:proofErr w:type="spellStart"/>
      <w:r>
        <w:t>Nemni</w:t>
      </w:r>
      <w:proofErr w:type="spellEnd"/>
      <w:r>
        <w:t xml:space="preserve"> et al</w:t>
      </w:r>
      <w:r w:rsidR="001B7359">
        <w:t>.</w:t>
      </w:r>
      <w:r>
        <w:t xml:space="preserve"> (1994)</w:t>
      </w:r>
      <w:r w:rsidR="009B147F">
        <w:rPr>
          <w:rStyle w:val="FootnoteReference"/>
        </w:rPr>
        <w:footnoteReference w:id="19"/>
      </w:r>
    </w:p>
    <w:p w14:paraId="687D0E18" w14:textId="77777777" w:rsidR="00E81A9E" w:rsidRDefault="00E81A9E" w:rsidP="009535F0">
      <w:pPr>
        <w:pStyle w:val="ListBullet"/>
      </w:pPr>
      <w:r>
        <w:t>Gallia et al</w:t>
      </w:r>
      <w:r w:rsidR="001B7359">
        <w:t>.</w:t>
      </w:r>
      <w:r>
        <w:t xml:space="preserve"> (2016)</w:t>
      </w:r>
      <w:bookmarkStart w:id="52" w:name="_Ref84463739"/>
      <w:r w:rsidR="009B147F">
        <w:rPr>
          <w:rStyle w:val="FootnoteReference"/>
        </w:rPr>
        <w:footnoteReference w:id="20"/>
      </w:r>
      <w:bookmarkEnd w:id="52"/>
    </w:p>
    <w:p w14:paraId="2092A316" w14:textId="77777777" w:rsidR="00E81A9E" w:rsidRDefault="00E81A9E" w:rsidP="009535F0">
      <w:pPr>
        <w:pStyle w:val="ListBullet"/>
      </w:pPr>
      <w:r>
        <w:t>Vucic et al</w:t>
      </w:r>
      <w:r w:rsidR="001B7359">
        <w:t>.</w:t>
      </w:r>
      <w:r>
        <w:t xml:space="preserve"> (2007)</w:t>
      </w:r>
      <w:bookmarkStart w:id="53" w:name="_Ref84463667"/>
      <w:r w:rsidR="009B147F">
        <w:rPr>
          <w:rStyle w:val="FootnoteReference"/>
        </w:rPr>
        <w:footnoteReference w:id="21"/>
      </w:r>
      <w:bookmarkEnd w:id="53"/>
    </w:p>
    <w:p w14:paraId="348739D7" w14:textId="77777777" w:rsidR="00E81A9E" w:rsidRDefault="00E81A9E" w:rsidP="009535F0">
      <w:pPr>
        <w:pStyle w:val="ListBullet"/>
      </w:pPr>
      <w:proofErr w:type="spellStart"/>
      <w:r>
        <w:t>Ellrichmann</w:t>
      </w:r>
      <w:proofErr w:type="spellEnd"/>
      <w:r>
        <w:t xml:space="preserve"> et al</w:t>
      </w:r>
      <w:r w:rsidR="001B7359">
        <w:t>.</w:t>
      </w:r>
      <w:r>
        <w:t xml:space="preserve"> (2017)</w:t>
      </w:r>
      <w:r w:rsidR="009B147F">
        <w:rPr>
          <w:rStyle w:val="FootnoteReference"/>
        </w:rPr>
        <w:footnoteReference w:id="22"/>
      </w:r>
    </w:p>
    <w:p w14:paraId="42C2C572" w14:textId="77777777" w:rsidR="00E81A9E" w:rsidRDefault="00E81A9E" w:rsidP="009535F0">
      <w:pPr>
        <w:pStyle w:val="ListBullet"/>
      </w:pPr>
      <w:r>
        <w:t>Williams et al</w:t>
      </w:r>
      <w:r w:rsidR="001B7359">
        <w:t>.</w:t>
      </w:r>
      <w:r w:rsidR="009535F0">
        <w:t xml:space="preserve"> (2018; abstract and</w:t>
      </w:r>
      <w:r w:rsidR="005642CF">
        <w:t xml:space="preserve"> poster only)</w:t>
      </w:r>
      <w:bookmarkStart w:id="54" w:name="_Ref84463696"/>
      <w:r w:rsidR="009B147F">
        <w:rPr>
          <w:rStyle w:val="FootnoteReference"/>
        </w:rPr>
        <w:footnoteReference w:id="23"/>
      </w:r>
      <w:bookmarkEnd w:id="54"/>
    </w:p>
    <w:p w14:paraId="451D862C" w14:textId="77777777" w:rsidR="00E81A9E" w:rsidRDefault="009535F0" w:rsidP="00E81A9E">
      <w:r>
        <w:t>The following are the clinical evaluator’s</w:t>
      </w:r>
      <w:r w:rsidR="00E81A9E">
        <w:t xml:space="preserve"> overall conclusions on clinical efficacy for other studies, including retrospective data</w:t>
      </w:r>
      <w:r>
        <w:t>, abbreviated slightly by the Delegate:</w:t>
      </w:r>
    </w:p>
    <w:p w14:paraId="18B12512" w14:textId="77777777" w:rsidR="00E81A9E" w:rsidRDefault="009535F0" w:rsidP="009535F0">
      <w:pPr>
        <w:pStyle w:val="ListBullet"/>
      </w:pPr>
      <w:r>
        <w:t>6</w:t>
      </w:r>
      <w:r w:rsidR="00E81A9E">
        <w:t xml:space="preserve"> other additional studies to claim efficacy of IVIg in CIDP were provided:</w:t>
      </w:r>
    </w:p>
    <w:p w14:paraId="5EE7EA45" w14:textId="77777777" w:rsidR="009535F0" w:rsidRDefault="00E81A9E" w:rsidP="00E81A9E">
      <w:pPr>
        <w:pStyle w:val="ListBullet2"/>
      </w:pPr>
      <w:r>
        <w:t xml:space="preserve">2 </w:t>
      </w:r>
      <w:r w:rsidR="009535F0">
        <w:t>randomised control trials</w:t>
      </w:r>
      <w:r>
        <w:t xml:space="preserve"> lacking placebo control (Dyck et al, 1994 and Hughes et al, 2001</w:t>
      </w:r>
      <w:proofErr w:type="gramStart"/>
      <w:r>
        <w:t>);</w:t>
      </w:r>
      <w:proofErr w:type="gramEnd"/>
    </w:p>
    <w:p w14:paraId="021344E4" w14:textId="77777777" w:rsidR="00E81A9E" w:rsidRDefault="00E81A9E" w:rsidP="00E81A9E">
      <w:pPr>
        <w:pStyle w:val="ListBullet2"/>
      </w:pPr>
      <w:r>
        <w:t>2</w:t>
      </w:r>
      <w:r w:rsidR="009535F0">
        <w:t xml:space="preserve"> studies without any control, that is,</w:t>
      </w:r>
      <w:r>
        <w:t xml:space="preserve"> uncontrol</w:t>
      </w:r>
      <w:r w:rsidR="009535F0">
        <w:t>led (</w:t>
      </w:r>
      <w:proofErr w:type="spellStart"/>
      <w:r w:rsidR="009535F0">
        <w:t>Nemni</w:t>
      </w:r>
      <w:proofErr w:type="spellEnd"/>
      <w:r w:rsidR="009535F0">
        <w:t xml:space="preserve"> et al, 1994 and Jann et </w:t>
      </w:r>
      <w:r>
        <w:t>al, 2009</w:t>
      </w:r>
      <w:proofErr w:type="gramStart"/>
      <w:r>
        <w:t>);</w:t>
      </w:r>
      <w:proofErr w:type="gramEnd"/>
    </w:p>
    <w:p w14:paraId="3846A0EA" w14:textId="428A298E" w:rsidR="00E81A9E" w:rsidRDefault="00E81A9E" w:rsidP="0002160A">
      <w:pPr>
        <w:pStyle w:val="ListBullet2"/>
      </w:pPr>
      <w:r>
        <w:lastRenderedPageBreak/>
        <w:t xml:space="preserve">2 studies </w:t>
      </w:r>
      <w:r w:rsidR="009535F0">
        <w:t xml:space="preserve">that were </w:t>
      </w:r>
      <w:r>
        <w:t xml:space="preserve">placebo-control </w:t>
      </w:r>
      <w:r w:rsidR="009535F0">
        <w:t>randomised control trials. Nobile-</w:t>
      </w:r>
      <w:proofErr w:type="spellStart"/>
      <w:r w:rsidR="009535F0">
        <w:t>Orazio</w:t>
      </w:r>
      <w:proofErr w:type="spellEnd"/>
      <w:r w:rsidR="009535F0">
        <w:t xml:space="preserve"> et al</w:t>
      </w:r>
      <w:r w:rsidR="00F94BEB">
        <w:t>,</w:t>
      </w:r>
      <w:r w:rsidR="009535F0">
        <w:t xml:space="preserve"> </w:t>
      </w:r>
      <w:r w:rsidR="00F94BEB">
        <w:t>(</w:t>
      </w:r>
      <w:r>
        <w:t>2012</w:t>
      </w:r>
      <w:r w:rsidR="00F94BEB">
        <w:t>)</w:t>
      </w:r>
      <w:r w:rsidR="009535F0">
        <w:t xml:space="preserve"> compared </w:t>
      </w:r>
      <w:r w:rsidR="0002160A" w:rsidRPr="0002160A">
        <w:t>intravenous methylprednisolone</w:t>
      </w:r>
      <w:r w:rsidR="00F94BEB">
        <w:t xml:space="preserve"> </w:t>
      </w:r>
      <w:r w:rsidR="00CC797B">
        <w:t xml:space="preserve">versus </w:t>
      </w:r>
      <w:r w:rsidR="009535F0">
        <w:t>IVIg and Thompson et al</w:t>
      </w:r>
      <w:r w:rsidR="004B0D5D">
        <w:t>.</w:t>
      </w:r>
      <w:r w:rsidR="009535F0">
        <w:t xml:space="preserve"> </w:t>
      </w:r>
      <w:r w:rsidR="004B0D5D">
        <w:t>(</w:t>
      </w:r>
      <w:r w:rsidR="009535F0">
        <w:t>1996</w:t>
      </w:r>
      <w:r w:rsidR="004B0D5D">
        <w:t>)</w:t>
      </w:r>
      <w:r>
        <w:t xml:space="preserve">. These 2 studies were both included as primary evidence in the </w:t>
      </w:r>
      <w:proofErr w:type="spellStart"/>
      <w:r>
        <w:t>Eftimov</w:t>
      </w:r>
      <w:proofErr w:type="spellEnd"/>
      <w:r>
        <w:t xml:space="preserve"> et al</w:t>
      </w:r>
      <w:r w:rsidR="004B0D5D">
        <w:t>.,</w:t>
      </w:r>
      <w:r w:rsidR="00B44933">
        <w:t xml:space="preserve"> (2013) meta</w:t>
      </w:r>
      <w:r w:rsidR="00B44933">
        <w:noBreakHyphen/>
      </w:r>
      <w:r>
        <w:t>analysis</w:t>
      </w:r>
      <w:r w:rsidR="00E51BD1">
        <w:t>;</w:t>
      </w:r>
      <w:bookmarkStart w:id="55" w:name="_Ref82805587"/>
      <w:r w:rsidR="00E51BD1">
        <w:rPr>
          <w:rStyle w:val="FootnoteReference"/>
        </w:rPr>
        <w:footnoteReference w:id="24"/>
      </w:r>
      <w:bookmarkEnd w:id="55"/>
      <w:r w:rsidR="009535F0">
        <w:t xml:space="preserve"> (discussed later in this section (efficacy)) </w:t>
      </w:r>
      <w:r>
        <w:t xml:space="preserve">but were not considered main studies in the </w:t>
      </w:r>
      <w:r w:rsidR="009535F0">
        <w:t>clinical evaluation report.</w:t>
      </w:r>
    </w:p>
    <w:p w14:paraId="089812CC" w14:textId="77777777" w:rsidR="00E81A9E" w:rsidRDefault="009535F0" w:rsidP="00E81A9E">
      <w:r>
        <w:t>The Delegate comments that:</w:t>
      </w:r>
    </w:p>
    <w:p w14:paraId="4D15C1CC" w14:textId="77777777" w:rsidR="00E81A9E" w:rsidRDefault="00E81A9E" w:rsidP="00E81A9E">
      <w:r>
        <w:t>For a previously stated reason</w:t>
      </w:r>
      <w:r w:rsidR="009535F0">
        <w:t>,</w:t>
      </w:r>
      <w:r>
        <w:t xml:space="preserve"> </w:t>
      </w:r>
      <w:r w:rsidR="009535F0">
        <w:t>that is, non-use</w:t>
      </w:r>
      <w:r>
        <w:t xml:space="preserve"> of </w:t>
      </w:r>
      <w:proofErr w:type="spellStart"/>
      <w:r>
        <w:t>Kiovig</w:t>
      </w:r>
      <w:proofErr w:type="spellEnd"/>
      <w:r>
        <w:t>, and, regardless of the use of placebo or not, any eff</w:t>
      </w:r>
      <w:r w:rsidR="009535F0">
        <w:t>icacy outcome from neither the two randomised control trials</w:t>
      </w:r>
      <w:r>
        <w:t xml:space="preserve"> without placebo nor the 2 studies with placebo control can supe</w:t>
      </w:r>
      <w:r w:rsidR="009535F0">
        <w:t>rsede the requirement for well-</w:t>
      </w:r>
      <w:r>
        <w:t>designed trial, as per acceptable guideline, depicting efficacy and safety of</w:t>
      </w:r>
      <w:r w:rsidR="009535F0">
        <w:t xml:space="preserve"> </w:t>
      </w:r>
      <w:proofErr w:type="spellStart"/>
      <w:r w:rsidR="009535F0">
        <w:t>Kiovig</w:t>
      </w:r>
      <w:proofErr w:type="spellEnd"/>
      <w:r w:rsidR="009535F0">
        <w:t xml:space="preserve"> in adults CIDP patients.</w:t>
      </w:r>
    </w:p>
    <w:p w14:paraId="56B896F5" w14:textId="4969133D" w:rsidR="00E81A9E" w:rsidRDefault="009535F0" w:rsidP="00E81A9E">
      <w:r>
        <w:t>The Delegate</w:t>
      </w:r>
      <w:r w:rsidR="00E81A9E">
        <w:t xml:space="preserve"> agree</w:t>
      </w:r>
      <w:r>
        <w:t>s with the clinical evaluator</w:t>
      </w:r>
      <w:r w:rsidR="00E81A9E">
        <w:t xml:space="preserve"> that </w:t>
      </w:r>
      <w:r>
        <w:t xml:space="preserve">the </w:t>
      </w:r>
      <w:r w:rsidR="00E81A9E">
        <w:t>Nobile-</w:t>
      </w:r>
      <w:proofErr w:type="spellStart"/>
      <w:r w:rsidR="00E81A9E">
        <w:t>Orazio</w:t>
      </w:r>
      <w:proofErr w:type="spellEnd"/>
      <w:r w:rsidR="00E81A9E">
        <w:t xml:space="preserve"> et al</w:t>
      </w:r>
      <w:r>
        <w:t>.</w:t>
      </w:r>
      <w:r w:rsidR="00E81A9E">
        <w:t xml:space="preserve"> study comparing IVIg (not </w:t>
      </w:r>
      <w:proofErr w:type="spellStart"/>
      <w:r w:rsidR="00E81A9E">
        <w:t>Kiovig</w:t>
      </w:r>
      <w:proofErr w:type="spellEnd"/>
      <w:r w:rsidR="00E81A9E">
        <w:t xml:space="preserve">) to </w:t>
      </w:r>
      <w:r w:rsidR="00F94BEB" w:rsidRPr="00F94BEB">
        <w:t>intravenous methylprednisolone</w:t>
      </w:r>
      <w:r w:rsidR="00E81A9E">
        <w:t>, has littl</w:t>
      </w:r>
      <w:r>
        <w:t>e relevance to this application.</w:t>
      </w:r>
    </w:p>
    <w:p w14:paraId="02842BC5" w14:textId="77777777" w:rsidR="00E81A9E" w:rsidRDefault="00C93D2E" w:rsidP="00E81A9E">
      <w:r>
        <w:t xml:space="preserve">The </w:t>
      </w:r>
      <w:r w:rsidR="00E81A9E">
        <w:t>Thompson et al</w:t>
      </w:r>
      <w:r w:rsidR="00B44933">
        <w:t>.</w:t>
      </w:r>
      <w:r w:rsidR="00E81A9E">
        <w:t xml:space="preserve"> study design was suboptimal and subsequent early termination/cessation as per the </w:t>
      </w:r>
      <w:r w:rsidR="009535F0">
        <w:t>clinical evaluator.</w:t>
      </w:r>
    </w:p>
    <w:p w14:paraId="238FD439" w14:textId="77777777" w:rsidR="009535F0" w:rsidRDefault="00E81A9E" w:rsidP="00E81A9E">
      <w:r>
        <w:t>Many different efficacy measures were used across studies, which made data comparisons difficult. While most efficacy measures were validated for general CIDP populations, evidence of validation</w:t>
      </w:r>
      <w:r w:rsidR="009535F0">
        <w:t xml:space="preserve"> in some comparisons is unclear, for example, </w:t>
      </w:r>
      <w:r>
        <w:t>the Rankin scale in CIDP populations refractory to plasma e</w:t>
      </w:r>
      <w:r w:rsidR="009535F0">
        <w:t>xchange and/or corticosteroids.</w:t>
      </w:r>
    </w:p>
    <w:p w14:paraId="5FCD5644" w14:textId="77777777" w:rsidR="009535F0" w:rsidRDefault="00E81A9E" w:rsidP="00E81A9E">
      <w:r>
        <w:t xml:space="preserve">The study designs, including study duration and follow-up periods differed across studies, as well as the IVIg brands administered and the loading and </w:t>
      </w:r>
      <w:r w:rsidR="009535F0">
        <w:t>maintenance dose-regimens used.</w:t>
      </w:r>
    </w:p>
    <w:p w14:paraId="63734B16" w14:textId="77777777" w:rsidR="00E81A9E" w:rsidRDefault="00E81A9E" w:rsidP="00E81A9E">
      <w:r>
        <w:t xml:space="preserve">Few studies provided sample size and statistical power calculations. The numbers of patients who received IVIg (not </w:t>
      </w:r>
      <w:proofErr w:type="spellStart"/>
      <w:r>
        <w:t>Kiovig</w:t>
      </w:r>
      <w:proofErr w:type="spellEnd"/>
      <w:r>
        <w:t xml:space="preserve">) in each study was small and ranged from </w:t>
      </w:r>
      <w:r w:rsidR="009535F0">
        <w:t>7</w:t>
      </w:r>
      <w:r w:rsidR="00B44933">
        <w:t xml:space="preserve"> to 24 </w:t>
      </w:r>
      <w:r>
        <w:t xml:space="preserve">patients. Several smaller studies most probably lacked power to demonstrate differences in effect between treatment comparisons. Hence, caution should be exercised in the </w:t>
      </w:r>
      <w:r w:rsidR="009535F0">
        <w:t>interpretation of these results.</w:t>
      </w:r>
    </w:p>
    <w:p w14:paraId="591489C5" w14:textId="77777777" w:rsidR="00E81A9E" w:rsidRDefault="00E81A9E" w:rsidP="00E81A9E">
      <w:r>
        <w:t xml:space="preserve">None of the studies used </w:t>
      </w:r>
      <w:proofErr w:type="spellStart"/>
      <w:r>
        <w:t>Kiovig</w:t>
      </w:r>
      <w:proofErr w:type="spellEnd"/>
      <w:r>
        <w:t xml:space="preserve"> or </w:t>
      </w:r>
      <w:proofErr w:type="spellStart"/>
      <w:r>
        <w:t>Gammagard</w:t>
      </w:r>
      <w:proofErr w:type="spellEnd"/>
      <w:r>
        <w:t xml:space="preserve"> brands of IVIg. </w:t>
      </w:r>
      <w:proofErr w:type="spellStart"/>
      <w:r>
        <w:t>Sandoglo</w:t>
      </w:r>
      <w:r w:rsidR="009535F0">
        <w:t>bulin</w:t>
      </w:r>
      <w:proofErr w:type="spellEnd"/>
      <w:r w:rsidR="009535F0">
        <w:t xml:space="preserve"> was used in three studies.</w:t>
      </w:r>
    </w:p>
    <w:p w14:paraId="03F6314C" w14:textId="77777777" w:rsidR="00E81A9E" w:rsidRDefault="00C93D2E" w:rsidP="00E81A9E">
      <w:r>
        <w:t xml:space="preserve">Four </w:t>
      </w:r>
      <w:r w:rsidR="00E81A9E">
        <w:t>retrospective studies (Gallia et al</w:t>
      </w:r>
      <w:r>
        <w:t>.</w:t>
      </w:r>
      <w:r w:rsidR="00E81A9E">
        <w:t>, 2016; Vucic et al</w:t>
      </w:r>
      <w:r>
        <w:t>.</w:t>
      </w:r>
      <w:r w:rsidR="00E81A9E">
        <w:t xml:space="preserve">, 2007; </w:t>
      </w:r>
      <w:proofErr w:type="spellStart"/>
      <w:r w:rsidR="00E81A9E">
        <w:t>Ellrichmann</w:t>
      </w:r>
      <w:proofErr w:type="spellEnd"/>
      <w:r w:rsidR="00E81A9E">
        <w:t xml:space="preserve"> et al</w:t>
      </w:r>
      <w:r>
        <w:t xml:space="preserve">., </w:t>
      </w:r>
      <w:r w:rsidR="00E81A9E">
        <w:t>2017;</w:t>
      </w:r>
      <w:r>
        <w:t xml:space="preserve"> </w:t>
      </w:r>
      <w:r w:rsidR="00E81A9E">
        <w:t>and Williams et al</w:t>
      </w:r>
      <w:r>
        <w:t>.</w:t>
      </w:r>
      <w:r w:rsidR="00E81A9E">
        <w:t>, 2018) were also included.</w:t>
      </w:r>
      <w:r>
        <w:t xml:space="preserve"> In those retrospective studies</w:t>
      </w:r>
      <w:r w:rsidR="00E81A9E">
        <w:t>:</w:t>
      </w:r>
    </w:p>
    <w:p w14:paraId="16CDE536" w14:textId="77777777" w:rsidR="00C93D2E" w:rsidRDefault="00E81A9E" w:rsidP="00E81A9E">
      <w:pPr>
        <w:pStyle w:val="ListBullet"/>
      </w:pPr>
      <w:r>
        <w:t>There was limitation due to lack of study control and lack of pre-specified primary and secondary endpoints. Those features have potential to introduce bias and ov</w:t>
      </w:r>
      <w:r w:rsidR="00214E3B">
        <w:t>er-estimate treatment effect.</w:t>
      </w:r>
    </w:p>
    <w:p w14:paraId="73DF0FB9" w14:textId="77777777" w:rsidR="00C93D2E" w:rsidRDefault="00E81A9E" w:rsidP="00E81A9E">
      <w:pPr>
        <w:pStyle w:val="ListBullet"/>
      </w:pPr>
      <w:r>
        <w:t>Subject numbers were mostly small (n = 6 to 21) and hence, caution should be exercised in the interpretation of the retrospective data. Furthermore, some data e.g. Williams et al were only presented in an abstract and a poster</w:t>
      </w:r>
      <w:r w:rsidR="00214E3B">
        <w:t>.</w:t>
      </w:r>
    </w:p>
    <w:p w14:paraId="4F6B1482" w14:textId="77777777" w:rsidR="00C93D2E" w:rsidRDefault="00E81A9E" w:rsidP="00E81A9E">
      <w:pPr>
        <w:pStyle w:val="ListBullet"/>
      </w:pPr>
      <w:r>
        <w:t>While Vucic et al</w:t>
      </w:r>
      <w:r w:rsidR="00C93D2E">
        <w:t>.,</w:t>
      </w:r>
      <w:r>
        <w:t xml:space="preserve"> and, Williams et al</w:t>
      </w:r>
      <w:r w:rsidR="00C93D2E">
        <w:t>.,</w:t>
      </w:r>
      <w:r>
        <w:t xml:space="preserve"> used </w:t>
      </w:r>
      <w:proofErr w:type="spellStart"/>
      <w:r>
        <w:t>Gammagard</w:t>
      </w:r>
      <w:proofErr w:type="spellEnd"/>
      <w:r>
        <w:t xml:space="preserve"> in the studies, and Gallia et al</w:t>
      </w:r>
      <w:r w:rsidR="00C93D2E">
        <w:t>.,</w:t>
      </w:r>
      <w:r>
        <w:t xml:space="preserve"> used </w:t>
      </w:r>
      <w:proofErr w:type="spellStart"/>
      <w:r>
        <w:t>Kiovig</w:t>
      </w:r>
      <w:proofErr w:type="spellEnd"/>
      <w:r>
        <w:t xml:space="preserve"> in the study, results were not generally presented by the specific IVIg brand. The brand of IVIg used in the study by </w:t>
      </w:r>
      <w:proofErr w:type="spellStart"/>
      <w:r>
        <w:t>Ellrichmann</w:t>
      </w:r>
      <w:proofErr w:type="spellEnd"/>
      <w:r>
        <w:t xml:space="preserve"> et al</w:t>
      </w:r>
      <w:r w:rsidR="00B44933">
        <w:t>.</w:t>
      </w:r>
      <w:r>
        <w:t xml:space="preserve"> study was not specified.</w:t>
      </w:r>
    </w:p>
    <w:p w14:paraId="59FE9312" w14:textId="77777777" w:rsidR="00214E3B" w:rsidRDefault="00E81A9E" w:rsidP="00E81A9E">
      <w:pPr>
        <w:pStyle w:val="ListBullet"/>
      </w:pPr>
      <w:r>
        <w:t>Loading doses were administered in each study, of which only the regimen by Gallia et al</w:t>
      </w:r>
      <w:r w:rsidR="00C93D2E">
        <w:t>.,</w:t>
      </w:r>
      <w:r>
        <w:t xml:space="preserve"> (2 g/kg over 4 days) was fully consistent with the proposed loading-dose regimen. </w:t>
      </w:r>
      <w:r>
        <w:lastRenderedPageBreak/>
        <w:t>The loading-dose regimen used in the Vucic et al</w:t>
      </w:r>
      <w:r w:rsidR="00C93D2E">
        <w:t>.,</w:t>
      </w:r>
      <w:r>
        <w:t xml:space="preserve"> study was also consistent with the proposed dose (0.4 g/kg over 5 days), except three loading doses were administered before maintenance treatment was initiated. The studies by </w:t>
      </w:r>
      <w:proofErr w:type="spellStart"/>
      <w:r>
        <w:t>Ellrichmann</w:t>
      </w:r>
      <w:proofErr w:type="spellEnd"/>
      <w:r>
        <w:t xml:space="preserve"> et al</w:t>
      </w:r>
      <w:r w:rsidR="00C93D2E">
        <w:t>., (approximately</w:t>
      </w:r>
      <w:r>
        <w:t xml:space="preserve"> 1 g/kg) and by Williams et al</w:t>
      </w:r>
      <w:r w:rsidR="00C93D2E">
        <w:t>.,</w:t>
      </w:r>
      <w:r>
        <w:t xml:space="preserve"> (1.4 to </w:t>
      </w:r>
      <w:r w:rsidR="00C93D2E">
        <w:t>1.5 g/kg) used lower dose</w:t>
      </w:r>
      <w:r w:rsidR="00C93D2E">
        <w:noBreakHyphen/>
      </w:r>
      <w:r>
        <w:t xml:space="preserve">regimens than proposed in this application and the EU. It is noted, that </w:t>
      </w:r>
      <w:proofErr w:type="spellStart"/>
      <w:r>
        <w:t>Kiovig</w:t>
      </w:r>
      <w:proofErr w:type="spellEnd"/>
      <w:r>
        <w:t xml:space="preserve"> was not administered to new patients in the Gallia et al</w:t>
      </w:r>
      <w:r w:rsidR="00C93D2E">
        <w:t>.,</w:t>
      </w:r>
      <w:r>
        <w:t xml:space="preserve"> study and so none of the study subjects re</w:t>
      </w:r>
      <w:r w:rsidR="00214E3B">
        <w:t xml:space="preserve">ceived a loading dose of </w:t>
      </w:r>
      <w:proofErr w:type="spellStart"/>
      <w:r w:rsidR="00214E3B">
        <w:t>Kiovig</w:t>
      </w:r>
      <w:proofErr w:type="spellEnd"/>
      <w:r w:rsidR="00214E3B">
        <w:t>.</w:t>
      </w:r>
    </w:p>
    <w:p w14:paraId="165CFD32" w14:textId="5BB3A511" w:rsidR="00E81A9E" w:rsidRDefault="00E81A9E" w:rsidP="00E81A9E">
      <w:pPr>
        <w:pStyle w:val="ListBullet"/>
      </w:pPr>
      <w:r>
        <w:t>The maintenance IVIg doses used across the four [4] retrospective studies were generally consistent with the proposed regimen: Gallia et al</w:t>
      </w:r>
      <w:r w:rsidR="00F94BEB">
        <w:t>.</w:t>
      </w:r>
      <w:r>
        <w:t>, 1 g/kg; Vucic et al</w:t>
      </w:r>
      <w:r w:rsidR="00F94BEB">
        <w:t>.</w:t>
      </w:r>
      <w:r>
        <w:t xml:space="preserve">, 0.4 to 2.0 g/kg/4 weeks; </w:t>
      </w:r>
      <w:proofErr w:type="spellStart"/>
      <w:r>
        <w:t>Ellrichmann</w:t>
      </w:r>
      <w:proofErr w:type="spellEnd"/>
      <w:r>
        <w:t xml:space="preserve"> et al</w:t>
      </w:r>
      <w:r w:rsidR="00F94BEB">
        <w:t>.</w:t>
      </w:r>
      <w:r>
        <w:t>, approx</w:t>
      </w:r>
      <w:r w:rsidR="00F94BEB">
        <w:t>imately</w:t>
      </w:r>
      <w:r>
        <w:t xml:space="preserve"> 1 g/kg; </w:t>
      </w:r>
      <w:r w:rsidR="00B44933">
        <w:t>and Williams et al</w:t>
      </w:r>
      <w:r w:rsidR="00F94BEB">
        <w:t>.</w:t>
      </w:r>
      <w:r w:rsidR="00B44933">
        <w:t>, approx</w:t>
      </w:r>
      <w:r w:rsidR="00F94BEB">
        <w:t>imately</w:t>
      </w:r>
      <w:r w:rsidR="00B44933">
        <w:t xml:space="preserve"> 1.1 </w:t>
      </w:r>
      <w:r>
        <w:t>g/kg. In contrast, the dose-intervals between IVIg infusions varied across studies. Only the studies by Vucic et al</w:t>
      </w:r>
      <w:r w:rsidR="00B44933">
        <w:t>.</w:t>
      </w:r>
      <w:r w:rsidR="00F94BEB">
        <w:t>,</w:t>
      </w:r>
      <w:r>
        <w:t xml:space="preserve"> (4-weekly) and Williams et al</w:t>
      </w:r>
      <w:r w:rsidR="00F94BEB">
        <w:t>.,</w:t>
      </w:r>
      <w:r>
        <w:t xml:space="preserve"> (approx</w:t>
      </w:r>
      <w:r w:rsidR="00F94BEB">
        <w:t>imately</w:t>
      </w:r>
      <w:r>
        <w:t xml:space="preserve"> 22 days) were consistent with the proposed dose-interval of every 3</w:t>
      </w:r>
      <w:r w:rsidR="00F94BEB">
        <w:noBreakHyphen/>
      </w:r>
      <w:r>
        <w:t>weeks. Both Gallia et al</w:t>
      </w:r>
      <w:r w:rsidR="00F94BEB">
        <w:t>.,</w:t>
      </w:r>
      <w:r>
        <w:t xml:space="preserve"> (3 to 8-weekly infusions) and </w:t>
      </w:r>
      <w:proofErr w:type="spellStart"/>
      <w:r>
        <w:t>Ellrichmann</w:t>
      </w:r>
      <w:proofErr w:type="spellEnd"/>
      <w:r>
        <w:t xml:space="preserve"> et al</w:t>
      </w:r>
      <w:r w:rsidR="00F94BEB">
        <w:t>.,</w:t>
      </w:r>
      <w:r>
        <w:t xml:space="preserve"> (mean 6.9</w:t>
      </w:r>
      <w:r w:rsidR="00F94BEB">
        <w:t> </w:t>
      </w:r>
      <w:r>
        <w:t>weeks per infusion) used variable dose-inter</w:t>
      </w:r>
      <w:r w:rsidR="00214E3B">
        <w:t>vals based on clinical response.</w:t>
      </w:r>
    </w:p>
    <w:p w14:paraId="086A30F9" w14:textId="77777777" w:rsidR="00214E3B" w:rsidRPr="00214E3B" w:rsidRDefault="00214E3B" w:rsidP="00214E3B">
      <w:pPr>
        <w:pStyle w:val="Heading5"/>
      </w:pPr>
      <w:r>
        <w:t>Pooled analysis</w:t>
      </w:r>
    </w:p>
    <w:p w14:paraId="6CE570B5" w14:textId="77777777" w:rsidR="00E81A9E" w:rsidRDefault="00214E3B" w:rsidP="00E81A9E">
      <w:r>
        <w:t>For the pooled analysis, t</w:t>
      </w:r>
      <w:r w:rsidR="00E81A9E">
        <w:t>wo meta-analyses were provided for evaluation:</w:t>
      </w:r>
    </w:p>
    <w:p w14:paraId="3921CF0F" w14:textId="77777777" w:rsidR="00214E3B" w:rsidRDefault="00214E3B" w:rsidP="00214E3B">
      <w:pPr>
        <w:pStyle w:val="ListBullet"/>
      </w:pPr>
      <w:proofErr w:type="spellStart"/>
      <w:r>
        <w:t>Eftimov</w:t>
      </w:r>
      <w:proofErr w:type="spellEnd"/>
      <w:r>
        <w:t xml:space="preserve"> et al (2013); and</w:t>
      </w:r>
    </w:p>
    <w:p w14:paraId="61113D4D" w14:textId="13074C8A" w:rsidR="00214E3B" w:rsidRDefault="00214E3B" w:rsidP="00E81A9E">
      <w:pPr>
        <w:pStyle w:val="ListBullet"/>
      </w:pPr>
      <w:proofErr w:type="spellStart"/>
      <w:r>
        <w:t>Eftimov</w:t>
      </w:r>
      <w:proofErr w:type="spellEnd"/>
      <w:r>
        <w:t xml:space="preserve"> et al (2009).</w:t>
      </w:r>
      <w:r w:rsidR="00B44933" w:rsidRPr="00B44933">
        <w:rPr>
          <w:vertAlign w:val="superscript"/>
        </w:rPr>
        <w:fldChar w:fldCharType="begin"/>
      </w:r>
      <w:r w:rsidR="00B44933" w:rsidRPr="00B44933">
        <w:rPr>
          <w:vertAlign w:val="superscript"/>
        </w:rPr>
        <w:instrText xml:space="preserve"> NOTEREF _Ref82805587 \h </w:instrText>
      </w:r>
      <w:r w:rsidR="00B44933">
        <w:rPr>
          <w:vertAlign w:val="superscript"/>
        </w:rPr>
        <w:instrText xml:space="preserve"> \* MERGEFORMAT </w:instrText>
      </w:r>
      <w:r w:rsidR="00B44933" w:rsidRPr="00B44933">
        <w:rPr>
          <w:vertAlign w:val="superscript"/>
        </w:rPr>
      </w:r>
      <w:r w:rsidR="00B44933" w:rsidRPr="00B44933">
        <w:rPr>
          <w:vertAlign w:val="superscript"/>
        </w:rPr>
        <w:fldChar w:fldCharType="separate"/>
      </w:r>
      <w:r w:rsidR="00F81787">
        <w:rPr>
          <w:vertAlign w:val="superscript"/>
        </w:rPr>
        <w:t>24</w:t>
      </w:r>
      <w:r w:rsidR="00B44933" w:rsidRPr="00B44933">
        <w:rPr>
          <w:vertAlign w:val="superscript"/>
        </w:rPr>
        <w:fldChar w:fldCharType="end"/>
      </w:r>
    </w:p>
    <w:p w14:paraId="6D699E6B" w14:textId="77777777" w:rsidR="00E81A9E" w:rsidRDefault="00E81A9E" w:rsidP="00214E3B">
      <w:r>
        <w:t>Only significant differences between the meta-an</w:t>
      </w:r>
      <w:r w:rsidR="00214E3B">
        <w:t>alyses were presented in the clinical evaluation report.</w:t>
      </w:r>
    </w:p>
    <w:p w14:paraId="07EF5AD9" w14:textId="77777777" w:rsidR="00E81A9E" w:rsidRDefault="00214E3B" w:rsidP="00E81A9E">
      <w:r>
        <w:t>The clinical evaluator, in the clinical evaluation of these analyses, came to the following conclusions.</w:t>
      </w:r>
    </w:p>
    <w:p w14:paraId="047CE092" w14:textId="77777777" w:rsidR="00214E3B" w:rsidRDefault="00E81A9E" w:rsidP="00E81A9E">
      <w:pPr>
        <w:pStyle w:val="ListBullet"/>
      </w:pPr>
      <w:r>
        <w:t>Both meta-analyses were generally well conducted with low heterogeneity reported for the primary outcome measure in</w:t>
      </w:r>
      <w:r w:rsidR="00214E3B">
        <w:t xml:space="preserve"> each study, between the five </w:t>
      </w:r>
      <w:r>
        <w:t xml:space="preserve">placebo-controlled </w:t>
      </w:r>
      <w:r w:rsidR="00214E3B">
        <w:t>randomised control trials</w:t>
      </w:r>
      <w:r>
        <w:t>. However, deficiencies that limit the usefulness of the results include:</w:t>
      </w:r>
    </w:p>
    <w:p w14:paraId="45BFFB2F" w14:textId="77777777" w:rsidR="00214E3B" w:rsidRDefault="00214E3B" w:rsidP="00E81A9E">
      <w:pPr>
        <w:pStyle w:val="ListBullet2"/>
      </w:pPr>
      <w:r>
        <w:t>s</w:t>
      </w:r>
      <w:r w:rsidR="00E81A9E">
        <w:t xml:space="preserve">ubgroup and sensitivity analyses were not undertaken to demonstrate robustness of the primary results, due to insufficient subject numbers and </w:t>
      </w:r>
      <w:proofErr w:type="gramStart"/>
      <w:r w:rsidR="00E81A9E">
        <w:t>data;</w:t>
      </w:r>
      <w:proofErr w:type="gramEnd"/>
    </w:p>
    <w:p w14:paraId="7114121D" w14:textId="77777777" w:rsidR="00214E3B" w:rsidRDefault="00214E3B" w:rsidP="00E81A9E">
      <w:pPr>
        <w:pStyle w:val="ListBullet2"/>
      </w:pPr>
      <w:r>
        <w:t>n</w:t>
      </w:r>
      <w:r w:rsidR="00E81A9E">
        <w:t>o analyses of treatment effect (including heterogeneity), or author comment, in respect of:</w:t>
      </w:r>
    </w:p>
    <w:p w14:paraId="2A07CCC9" w14:textId="77777777" w:rsidR="00214E3B" w:rsidRDefault="00214E3B" w:rsidP="00E81A9E">
      <w:pPr>
        <w:pStyle w:val="ListBullet3"/>
      </w:pPr>
      <w:r>
        <w:t>d</w:t>
      </w:r>
      <w:r w:rsidR="00E81A9E">
        <w:t>ose or dose-</w:t>
      </w:r>
      <w:proofErr w:type="gramStart"/>
      <w:r w:rsidR="00E81A9E">
        <w:t>interval;</w:t>
      </w:r>
      <w:proofErr w:type="gramEnd"/>
    </w:p>
    <w:p w14:paraId="08480461" w14:textId="77777777" w:rsidR="00214E3B" w:rsidRDefault="00E81A9E" w:rsidP="00E81A9E">
      <w:pPr>
        <w:pStyle w:val="ListBullet3"/>
      </w:pPr>
      <w:r>
        <w:t xml:space="preserve">IVIg </w:t>
      </w:r>
      <w:proofErr w:type="gramStart"/>
      <w:r>
        <w:t>brand;</w:t>
      </w:r>
      <w:proofErr w:type="gramEnd"/>
    </w:p>
    <w:p w14:paraId="4DDCAA0B" w14:textId="77777777" w:rsidR="00214E3B" w:rsidRDefault="00214E3B" w:rsidP="00E81A9E">
      <w:pPr>
        <w:pStyle w:val="ListBullet3"/>
      </w:pPr>
      <w:r>
        <w:t>a</w:t>
      </w:r>
      <w:r w:rsidR="00E81A9E">
        <w:t>ge-group (particularly paediatric populations</w:t>
      </w:r>
      <w:proofErr w:type="gramStart"/>
      <w:r w:rsidR="00E81A9E">
        <w:t>);</w:t>
      </w:r>
      <w:proofErr w:type="gramEnd"/>
    </w:p>
    <w:p w14:paraId="257459AA" w14:textId="77777777" w:rsidR="00214E3B" w:rsidRDefault="00E81A9E" w:rsidP="00E81A9E">
      <w:pPr>
        <w:pStyle w:val="ListBullet3"/>
      </w:pPr>
      <w:r>
        <w:t>CIDP subtype (chronic progressive or chronic relapsing);</w:t>
      </w:r>
      <w:r w:rsidR="004C245D">
        <w:t xml:space="preserve"> and</w:t>
      </w:r>
    </w:p>
    <w:p w14:paraId="7BA09749" w14:textId="77777777" w:rsidR="00214E3B" w:rsidRDefault="00E81A9E" w:rsidP="00E81A9E">
      <w:pPr>
        <w:pStyle w:val="ListBullet3"/>
      </w:pPr>
      <w:r>
        <w:t>CIDP diagnosis category (definite or probable).</w:t>
      </w:r>
    </w:p>
    <w:p w14:paraId="5AD8C520" w14:textId="77777777" w:rsidR="00214E3B" w:rsidRDefault="00214E3B" w:rsidP="00E81A9E">
      <w:pPr>
        <w:pStyle w:val="ListBullet2"/>
      </w:pPr>
      <w:r>
        <w:t>e</w:t>
      </w:r>
      <w:r w:rsidR="00E81A9E">
        <w:t xml:space="preserve">ach trial used different disability scales and definitions of significant improvement and so the clinical relevance from each study in relation to other results remains </w:t>
      </w:r>
      <w:proofErr w:type="gramStart"/>
      <w:r w:rsidR="00E81A9E">
        <w:t>unclear;</w:t>
      </w:r>
      <w:proofErr w:type="gramEnd"/>
    </w:p>
    <w:p w14:paraId="490F5556" w14:textId="77777777" w:rsidR="00214E3B" w:rsidRDefault="00214E3B" w:rsidP="00214E3B">
      <w:pPr>
        <w:pStyle w:val="ListBullet2"/>
      </w:pPr>
      <w:r>
        <w:t>t</w:t>
      </w:r>
      <w:r w:rsidR="00E81A9E">
        <w:t xml:space="preserve">he authors of each meta-analysis </w:t>
      </w:r>
      <w:r w:rsidR="004C245D">
        <w:t>referred to an anonymous 1982 WHO (World Health Organization)</w:t>
      </w:r>
      <w:r w:rsidR="00405DAF">
        <w:rPr>
          <w:rStyle w:val="FootnoteReference"/>
        </w:rPr>
        <w:footnoteReference w:id="25"/>
      </w:r>
      <w:r w:rsidR="00E81A9E">
        <w:t xml:space="preserve"> publication in relation to the source (and inferred brand) of IVIg used, which was not considered important provided the IVIg preparation was </w:t>
      </w:r>
      <w:r w:rsidR="00E81A9E">
        <w:lastRenderedPageBreak/>
        <w:t xml:space="preserve">produced according to </w:t>
      </w:r>
      <w:r w:rsidR="00B44933">
        <w:t>WHO</w:t>
      </w:r>
      <w:r w:rsidR="00E81A9E">
        <w:t xml:space="preserve"> guidelines. This publication pre-dated the clinical trial studies submitted in support of this application, as well as many international registratio</w:t>
      </w:r>
      <w:r>
        <w:t>ns of IVIg for CIDP populations.</w:t>
      </w:r>
    </w:p>
    <w:p w14:paraId="6C498F9E" w14:textId="77777777" w:rsidR="00E81A9E" w:rsidRDefault="00214E3B" w:rsidP="00214E3B">
      <w:pPr>
        <w:pStyle w:val="ListBullet2"/>
      </w:pPr>
      <w:r>
        <w:t xml:space="preserve">since the meta-analyses primarily included studies that did not investigate the </w:t>
      </w:r>
      <w:proofErr w:type="spellStart"/>
      <w:r>
        <w:t>Kiovig</w:t>
      </w:r>
      <w:proofErr w:type="spellEnd"/>
      <w:r>
        <w:t xml:space="preserve"> brand of IVIg, the results of these meta-analyses are considered supportive (not pivotal) of confirmatory effect of IVIg treatment in adults with CIDP.</w:t>
      </w:r>
    </w:p>
    <w:p w14:paraId="5D179642" w14:textId="77777777" w:rsidR="00E81A9E" w:rsidRDefault="00214E3B" w:rsidP="00E81A9E">
      <w:r>
        <w:t xml:space="preserve">Regarding the pooled analyses and </w:t>
      </w:r>
      <w:r w:rsidR="004C245D">
        <w:t>the clinical evaluator’s evaluation, the Delegate made the following comments:</w:t>
      </w:r>
    </w:p>
    <w:p w14:paraId="6CEC5789" w14:textId="77777777" w:rsidR="004C245D" w:rsidRDefault="00E81A9E" w:rsidP="00E81A9E">
      <w:pPr>
        <w:pStyle w:val="ListBullet"/>
      </w:pPr>
      <w:r>
        <w:t>Unfortunately, the various IVIg used in th</w:t>
      </w:r>
      <w:r w:rsidR="009709D6">
        <w:t>e pooled /meta- analytical data</w:t>
      </w:r>
      <w:r>
        <w:t>,</w:t>
      </w:r>
      <w:r w:rsidR="009709D6">
        <w:t xml:space="preserve"> </w:t>
      </w:r>
      <w:r>
        <w:t>which predated the referenced anonymous WHO publication, would have been significantly different in terms of the manufacturing processes, as well as in the IgG subclasses and excipients in a modern world of competitive, ma</w:t>
      </w:r>
      <w:r w:rsidR="004C245D">
        <w:t>nufacturing pharmaceutical edge.</w:t>
      </w:r>
    </w:p>
    <w:p w14:paraId="41E722BF" w14:textId="77777777" w:rsidR="004C245D" w:rsidRDefault="004C245D" w:rsidP="00E81A9E">
      <w:pPr>
        <w:pStyle w:val="ListBullet"/>
      </w:pPr>
      <w:r>
        <w:t>[Regarding the WHO] t</w:t>
      </w:r>
      <w:r w:rsidR="00E81A9E">
        <w:t xml:space="preserve">he above therefore further highlights, the importance of ensuring that the data analysed and upon which, the proposed CIDP </w:t>
      </w:r>
      <w:proofErr w:type="spellStart"/>
      <w:r w:rsidR="00E81A9E">
        <w:t>Kiovig</w:t>
      </w:r>
      <w:proofErr w:type="spellEnd"/>
      <w:r w:rsidR="00E81A9E">
        <w:t xml:space="preserve"> indication is based, utilised </w:t>
      </w:r>
      <w:proofErr w:type="spellStart"/>
      <w:r w:rsidR="00E81A9E">
        <w:t>Kiovig</w:t>
      </w:r>
      <w:proofErr w:type="spellEnd"/>
      <w:r w:rsidR="00E81A9E">
        <w:t xml:space="preserve"> for the greater content.</w:t>
      </w:r>
    </w:p>
    <w:p w14:paraId="5B2CDC84" w14:textId="77777777" w:rsidR="00E81A9E" w:rsidRDefault="004C245D" w:rsidP="00E81A9E">
      <w:pPr>
        <w:pStyle w:val="ListBullet"/>
      </w:pPr>
      <w:r>
        <w:t>[Regarding the last bullet point above, the conclusion</w:t>
      </w:r>
      <w:r w:rsidR="009709D6">
        <w:t>s</w:t>
      </w:r>
      <w:r>
        <w:t xml:space="preserve"> are] i</w:t>
      </w:r>
      <w:r w:rsidR="00E81A9E">
        <w:t xml:space="preserve">ndicative of the need for a well-designed trial specifically using </w:t>
      </w:r>
      <w:proofErr w:type="spellStart"/>
      <w:r w:rsidR="00E81A9E">
        <w:t>Kiovig</w:t>
      </w:r>
      <w:proofErr w:type="spellEnd"/>
      <w:r w:rsidR="00E81A9E">
        <w:t>.</w:t>
      </w:r>
    </w:p>
    <w:p w14:paraId="631499B4" w14:textId="77777777" w:rsidR="00E81A9E" w:rsidRDefault="009709D6" w:rsidP="00DE4DC0">
      <w:pPr>
        <w:pStyle w:val="Heading5"/>
      </w:pPr>
      <w:r w:rsidRPr="007B6132">
        <w:t xml:space="preserve">Clinical evaluator’s </w:t>
      </w:r>
      <w:r w:rsidR="00302181">
        <w:t>overall conclusion regarding efficacy</w:t>
      </w:r>
    </w:p>
    <w:p w14:paraId="285981DB" w14:textId="72479DED" w:rsidR="00E81A9E" w:rsidRDefault="00E81A9E" w:rsidP="00E81A9E">
      <w:r>
        <w:t>The cl</w:t>
      </w:r>
      <w:r w:rsidR="009709D6">
        <w:t>inical dossier included four</w:t>
      </w:r>
      <w:r>
        <w:t xml:space="preserve"> main placebo-controlled </w:t>
      </w:r>
      <w:r w:rsidR="009709D6">
        <w:t>randomised control trials</w:t>
      </w:r>
      <w:r>
        <w:t xml:space="preserve"> that investigated both loading and maintenance dose-regi</w:t>
      </w:r>
      <w:r w:rsidR="009709D6">
        <w:t>mens of IVIg, and one</w:t>
      </w:r>
      <w:r>
        <w:t xml:space="preserve"> main study by </w:t>
      </w:r>
      <w:proofErr w:type="spellStart"/>
      <w:r>
        <w:t>Kuitwaard</w:t>
      </w:r>
      <w:proofErr w:type="spellEnd"/>
      <w:r>
        <w:t xml:space="preserve"> et al</w:t>
      </w:r>
      <w:r w:rsidR="009709D6">
        <w:t>.,</w:t>
      </w:r>
      <w:r>
        <w:t xml:space="preserve"> (2010)</w:t>
      </w:r>
      <w:r w:rsidR="00990E3E">
        <w:t>;</w:t>
      </w:r>
      <w:r w:rsidR="0082476B" w:rsidRPr="0082476B">
        <w:rPr>
          <w:vertAlign w:val="superscript"/>
        </w:rPr>
        <w:fldChar w:fldCharType="begin"/>
      </w:r>
      <w:r w:rsidR="0082476B" w:rsidRPr="0082476B">
        <w:rPr>
          <w:vertAlign w:val="superscript"/>
        </w:rPr>
        <w:instrText xml:space="preserve"> NOTEREF _Ref82804755 \h </w:instrText>
      </w:r>
      <w:r w:rsidR="0082476B">
        <w:rPr>
          <w:vertAlign w:val="superscript"/>
        </w:rPr>
        <w:instrText xml:space="preserve"> \* MERGEFORMAT </w:instrText>
      </w:r>
      <w:r w:rsidR="0082476B" w:rsidRPr="0082476B">
        <w:rPr>
          <w:vertAlign w:val="superscript"/>
        </w:rPr>
      </w:r>
      <w:r w:rsidR="0082476B" w:rsidRPr="0082476B">
        <w:rPr>
          <w:vertAlign w:val="superscript"/>
        </w:rPr>
        <w:fldChar w:fldCharType="separate"/>
      </w:r>
      <w:r w:rsidR="00F81787">
        <w:rPr>
          <w:vertAlign w:val="superscript"/>
        </w:rPr>
        <w:t>8</w:t>
      </w:r>
      <w:r w:rsidR="0082476B" w:rsidRPr="0082476B">
        <w:rPr>
          <w:vertAlign w:val="superscript"/>
        </w:rPr>
        <w:fldChar w:fldCharType="end"/>
      </w:r>
      <w:r>
        <w:t xml:space="preserve"> that investigated maintenance treatment of </w:t>
      </w:r>
      <w:proofErr w:type="spellStart"/>
      <w:r>
        <w:t>Kiovig</w:t>
      </w:r>
      <w:proofErr w:type="spellEnd"/>
      <w:r>
        <w:t xml:space="preserve"> versus the closely related product, </w:t>
      </w:r>
      <w:proofErr w:type="spellStart"/>
      <w:r>
        <w:t>Gammagard</w:t>
      </w:r>
      <w:proofErr w:type="spellEnd"/>
      <w:r>
        <w:t xml:space="preserve"> S/D. The main studies comprised 315 patients with CIDP. T</w:t>
      </w:r>
      <w:r w:rsidR="009709D6">
        <w:t>he dossier also included six</w:t>
      </w:r>
      <w:r>
        <w:t xml:space="preserve"> studies regarding the use of IVIg in CIDP, four retrospective studies in CIDP (3 included </w:t>
      </w:r>
      <w:proofErr w:type="spellStart"/>
      <w:r>
        <w:t>Kiovig</w:t>
      </w:r>
      <w:proofErr w:type="spellEnd"/>
      <w:r>
        <w:t xml:space="preserve"> or i</w:t>
      </w:r>
      <w:r w:rsidR="009709D6">
        <w:t>ts equivalent brand) and two meta</w:t>
      </w:r>
      <w:r w:rsidR="009709D6">
        <w:noBreakHyphen/>
      </w:r>
      <w:r>
        <w:t>analyses in CIDP.</w:t>
      </w:r>
    </w:p>
    <w:p w14:paraId="0CD784E1" w14:textId="6C3CCBAA" w:rsidR="00E81A9E" w:rsidRDefault="00E81A9E" w:rsidP="00E81A9E">
      <w:r>
        <w:t xml:space="preserve">Only the </w:t>
      </w:r>
      <w:proofErr w:type="spellStart"/>
      <w:r>
        <w:t>Kuitwaard</w:t>
      </w:r>
      <w:proofErr w:type="spellEnd"/>
      <w:r>
        <w:t xml:space="preserve"> et al</w:t>
      </w:r>
      <w:r w:rsidR="009709D6">
        <w:t>.,</w:t>
      </w:r>
      <w:r>
        <w:t xml:space="preserve"> (2010)</w:t>
      </w:r>
      <w:r w:rsidR="00FE045D">
        <w:t>;</w:t>
      </w:r>
      <w:r w:rsidR="00FE045D" w:rsidRPr="0082476B">
        <w:rPr>
          <w:vertAlign w:val="superscript"/>
        </w:rPr>
        <w:fldChar w:fldCharType="begin"/>
      </w:r>
      <w:r w:rsidR="00FE045D" w:rsidRPr="0082476B">
        <w:rPr>
          <w:vertAlign w:val="superscript"/>
        </w:rPr>
        <w:instrText xml:space="preserve"> NOTEREF _Ref82804755 \h </w:instrText>
      </w:r>
      <w:r w:rsidR="00FE045D">
        <w:rPr>
          <w:vertAlign w:val="superscript"/>
        </w:rPr>
        <w:instrText xml:space="preserve"> \* MERGEFORMAT </w:instrText>
      </w:r>
      <w:r w:rsidR="00FE045D" w:rsidRPr="0082476B">
        <w:rPr>
          <w:vertAlign w:val="superscript"/>
        </w:rPr>
      </w:r>
      <w:r w:rsidR="00FE045D" w:rsidRPr="0082476B">
        <w:rPr>
          <w:vertAlign w:val="superscript"/>
        </w:rPr>
        <w:fldChar w:fldCharType="separate"/>
      </w:r>
      <w:r w:rsidR="00F81787">
        <w:rPr>
          <w:vertAlign w:val="superscript"/>
        </w:rPr>
        <w:t>8</w:t>
      </w:r>
      <w:r w:rsidR="00FE045D" w:rsidRPr="0082476B">
        <w:rPr>
          <w:vertAlign w:val="superscript"/>
        </w:rPr>
        <w:fldChar w:fldCharType="end"/>
      </w:r>
      <w:r>
        <w:t xml:space="preserve"> study specifically examined the efficacy and safety of </w:t>
      </w:r>
      <w:proofErr w:type="spellStart"/>
      <w:r>
        <w:t>Kiovig</w:t>
      </w:r>
      <w:proofErr w:type="spellEnd"/>
      <w:r>
        <w:t xml:space="preserve"> for the proposed indication. However, the authors only investigated </w:t>
      </w:r>
      <w:proofErr w:type="spellStart"/>
      <w:r>
        <w:t>Kiovig</w:t>
      </w:r>
      <w:proofErr w:type="spellEnd"/>
      <w:r>
        <w:t xml:space="preserve"> in a relatively c</w:t>
      </w:r>
      <w:r w:rsidR="0082476B">
        <w:t>linically stable population, that is,</w:t>
      </w:r>
      <w:r>
        <w:t xml:space="preserve"> as maintenance treatment. This study was not considered pivotal for an </w:t>
      </w:r>
      <w:r w:rsidR="0082476B">
        <w:t>extension of indications</w:t>
      </w:r>
      <w:r>
        <w:t xml:space="preserve"> application based on the criteria specified in the relevant guideline. Therefore</w:t>
      </w:r>
      <w:r w:rsidR="00F94BEB">
        <w:t>,</w:t>
      </w:r>
      <w:r>
        <w:t xml:space="preserve"> the evaluator considered it reasonable, to review the main studies in detail and, evaluate the other studies as well, including those that specifically did not use </w:t>
      </w:r>
      <w:proofErr w:type="spellStart"/>
      <w:r>
        <w:t>Kiovig</w:t>
      </w:r>
      <w:proofErr w:type="spellEnd"/>
      <w:r>
        <w:t xml:space="preserve"> or </w:t>
      </w:r>
      <w:proofErr w:type="spellStart"/>
      <w:r>
        <w:t>Gammagard</w:t>
      </w:r>
      <w:proofErr w:type="spellEnd"/>
      <w:r>
        <w:t>, in order to better examine the evide</w:t>
      </w:r>
      <w:r w:rsidR="009709D6">
        <w:t>nce for the use of IVIg in CIDP</w:t>
      </w:r>
      <w:r>
        <w:t>:</w:t>
      </w:r>
    </w:p>
    <w:p w14:paraId="431168CE" w14:textId="77777777" w:rsidR="009709D6" w:rsidRDefault="00E81A9E" w:rsidP="00E81A9E">
      <w:pPr>
        <w:pStyle w:val="ListBullet"/>
      </w:pPr>
      <w:r>
        <w:t>particularly given the relatively low prevalence and incidence of CIDP in the general population</w:t>
      </w:r>
      <w:r w:rsidR="009709D6">
        <w:t>; and</w:t>
      </w:r>
    </w:p>
    <w:p w14:paraId="0DEE821A" w14:textId="77777777" w:rsidR="00E81A9E" w:rsidRDefault="009709D6" w:rsidP="00E81A9E">
      <w:pPr>
        <w:pStyle w:val="ListBullet"/>
      </w:pPr>
      <w:r>
        <w:t>in case, the s</w:t>
      </w:r>
      <w:r w:rsidR="00E81A9E">
        <w:t xml:space="preserve">ponsor’s extrapolation of clinical data from those other brands to </w:t>
      </w:r>
      <w:proofErr w:type="spellStart"/>
      <w:r w:rsidR="00E81A9E">
        <w:t>Kiovig</w:t>
      </w:r>
      <w:proofErr w:type="spellEnd"/>
      <w:r w:rsidR="00E81A9E">
        <w:t xml:space="preserve"> be sufficiently justified to support registration.</w:t>
      </w:r>
    </w:p>
    <w:p w14:paraId="1201DC11" w14:textId="5CB14A96" w:rsidR="00E81A9E" w:rsidRDefault="00E81A9E" w:rsidP="00E81A9E">
      <w:r>
        <w:t>The study by Hughes et al</w:t>
      </w:r>
      <w:r w:rsidR="009709D6">
        <w:t>.,</w:t>
      </w:r>
      <w:r>
        <w:t xml:space="preserve"> (2008)</w:t>
      </w:r>
      <w:r w:rsidR="009709D6">
        <w:t>;</w:t>
      </w:r>
      <w:r w:rsidR="009709D6" w:rsidRPr="009709D6">
        <w:rPr>
          <w:vertAlign w:val="superscript"/>
        </w:rPr>
        <w:fldChar w:fldCharType="begin"/>
      </w:r>
      <w:r w:rsidR="009709D6" w:rsidRPr="009709D6">
        <w:rPr>
          <w:vertAlign w:val="superscript"/>
        </w:rPr>
        <w:instrText xml:space="preserve"> NOTEREF _Ref82155211 \h </w:instrText>
      </w:r>
      <w:r w:rsidR="009709D6">
        <w:rPr>
          <w:vertAlign w:val="superscript"/>
        </w:rPr>
        <w:instrText xml:space="preserve"> \* MERGEFORMAT </w:instrText>
      </w:r>
      <w:r w:rsidR="009709D6" w:rsidRPr="009709D6">
        <w:rPr>
          <w:vertAlign w:val="superscript"/>
        </w:rPr>
      </w:r>
      <w:r w:rsidR="009709D6" w:rsidRPr="009709D6">
        <w:rPr>
          <w:vertAlign w:val="superscript"/>
        </w:rPr>
        <w:fldChar w:fldCharType="separate"/>
      </w:r>
      <w:r w:rsidR="00F81787">
        <w:rPr>
          <w:vertAlign w:val="superscript"/>
        </w:rPr>
        <w:t>7</w:t>
      </w:r>
      <w:r w:rsidR="009709D6" w:rsidRPr="009709D6">
        <w:rPr>
          <w:vertAlign w:val="superscript"/>
        </w:rPr>
        <w:fldChar w:fldCharType="end"/>
      </w:r>
      <w:r>
        <w:t xml:space="preserve"> would have been considered pivotal if </w:t>
      </w:r>
      <w:proofErr w:type="spellStart"/>
      <w:r>
        <w:t>Kiovig</w:t>
      </w:r>
      <w:proofErr w:type="spellEnd"/>
      <w:r>
        <w:t xml:space="preserve"> had been used. This study comprised of 117 patients, 59 of whom, were exposed to IVIg in accordance with the proposed dose-regimen (acute and maintena</w:t>
      </w:r>
      <w:r w:rsidR="009709D6">
        <w:t xml:space="preserve">nce treatment) and </w:t>
      </w:r>
      <w:r w:rsidR="00F94BEB">
        <w:t xml:space="preserve">the </w:t>
      </w:r>
      <w:r w:rsidR="009709D6">
        <w:t>EU guideline</w:t>
      </w:r>
      <w:r>
        <w:t>.</w:t>
      </w:r>
      <w:r w:rsidR="009709D6" w:rsidRPr="009709D6">
        <w:rPr>
          <w:vertAlign w:val="superscript"/>
        </w:rPr>
        <w:fldChar w:fldCharType="begin"/>
      </w:r>
      <w:r w:rsidR="009709D6" w:rsidRPr="009709D6">
        <w:rPr>
          <w:vertAlign w:val="superscript"/>
        </w:rPr>
        <w:instrText xml:space="preserve"> NOTEREF _Ref82138845 \h </w:instrText>
      </w:r>
      <w:r w:rsidR="009709D6">
        <w:rPr>
          <w:vertAlign w:val="superscript"/>
        </w:rPr>
        <w:instrText xml:space="preserve"> \* MERGEFORMAT </w:instrText>
      </w:r>
      <w:r w:rsidR="009709D6" w:rsidRPr="009709D6">
        <w:rPr>
          <w:vertAlign w:val="superscript"/>
        </w:rPr>
      </w:r>
      <w:r w:rsidR="009709D6" w:rsidRPr="009709D6">
        <w:rPr>
          <w:vertAlign w:val="superscript"/>
        </w:rPr>
        <w:fldChar w:fldCharType="separate"/>
      </w:r>
      <w:r w:rsidR="00F81787">
        <w:rPr>
          <w:vertAlign w:val="superscript"/>
        </w:rPr>
        <w:t>3</w:t>
      </w:r>
      <w:r w:rsidR="009709D6" w:rsidRPr="009709D6">
        <w:rPr>
          <w:vertAlign w:val="superscript"/>
        </w:rPr>
        <w:fldChar w:fldCharType="end"/>
      </w:r>
      <w:r>
        <w:t xml:space="preserve"> The design and conduct were generally consistent with the guideline on pivotal studies.</w:t>
      </w:r>
      <w:r w:rsidR="00FE045D" w:rsidRPr="00FE045D">
        <w:rPr>
          <w:highlight w:val="yellow"/>
          <w:vertAlign w:val="superscript"/>
        </w:rPr>
        <w:fldChar w:fldCharType="begin"/>
      </w:r>
      <w:r w:rsidR="00FE045D" w:rsidRPr="00FE045D">
        <w:rPr>
          <w:vertAlign w:val="superscript"/>
        </w:rPr>
        <w:instrText xml:space="preserve"> NOTEREF _Ref84392371 \h </w:instrText>
      </w:r>
      <w:r w:rsidR="00FE045D">
        <w:rPr>
          <w:highlight w:val="yellow"/>
          <w:vertAlign w:val="superscript"/>
        </w:rPr>
        <w:instrText xml:space="preserve"> \* MERGEFORMAT </w:instrText>
      </w:r>
      <w:r w:rsidR="00FE045D" w:rsidRPr="00FE045D">
        <w:rPr>
          <w:highlight w:val="yellow"/>
          <w:vertAlign w:val="superscript"/>
        </w:rPr>
      </w:r>
      <w:r w:rsidR="00FE045D" w:rsidRPr="00FE045D">
        <w:rPr>
          <w:highlight w:val="yellow"/>
          <w:vertAlign w:val="superscript"/>
        </w:rPr>
        <w:fldChar w:fldCharType="separate"/>
      </w:r>
      <w:r w:rsidR="00F81787">
        <w:rPr>
          <w:vertAlign w:val="superscript"/>
        </w:rPr>
        <w:t>6</w:t>
      </w:r>
      <w:r w:rsidR="00FE045D" w:rsidRPr="00FE045D">
        <w:rPr>
          <w:highlight w:val="yellow"/>
          <w:vertAlign w:val="superscript"/>
        </w:rPr>
        <w:fldChar w:fldCharType="end"/>
      </w:r>
      <w:r>
        <w:t xml:space="preserve"> The available evidence also suggested the dosing recommendations in the EU guideline were based on the Hughes et al (2008) study, commonly referred to as the ICE study.</w:t>
      </w:r>
    </w:p>
    <w:p w14:paraId="6C6429A0" w14:textId="184FF4A1" w:rsidR="00E81A9E" w:rsidRDefault="00E81A9E" w:rsidP="00E81A9E">
      <w:r>
        <w:t xml:space="preserve">Despite some variability in the IVIg infusion periods and dose-intervals for maintenance treatment used in the main placebo-controlled </w:t>
      </w:r>
      <w:r w:rsidR="00FE045D">
        <w:t>randomised control trials</w:t>
      </w:r>
      <w:r>
        <w:t xml:space="preserve"> and the </w:t>
      </w:r>
      <w:proofErr w:type="spellStart"/>
      <w:r>
        <w:t>Kuitwaard</w:t>
      </w:r>
      <w:proofErr w:type="spellEnd"/>
      <w:r>
        <w:t xml:space="preserve"> et al</w:t>
      </w:r>
      <w:r w:rsidR="00FE045D">
        <w:t>.</w:t>
      </w:r>
      <w:r>
        <w:t xml:space="preserve"> (2010) study, the dose-regimens used for loading and maintenance dosing were generally consistent with th</w:t>
      </w:r>
      <w:r w:rsidR="009709D6">
        <w:t>e proposed regimens and the EU g</w:t>
      </w:r>
      <w:r>
        <w:t>uideline.</w:t>
      </w:r>
      <w:r w:rsidR="009709D6" w:rsidRPr="009709D6">
        <w:rPr>
          <w:vertAlign w:val="superscript"/>
        </w:rPr>
        <w:fldChar w:fldCharType="begin"/>
      </w:r>
      <w:r w:rsidR="009709D6" w:rsidRPr="009709D6">
        <w:rPr>
          <w:vertAlign w:val="superscript"/>
        </w:rPr>
        <w:instrText xml:space="preserve"> NOTEREF _Ref82138845 \h </w:instrText>
      </w:r>
      <w:r w:rsidR="009709D6">
        <w:rPr>
          <w:vertAlign w:val="superscript"/>
        </w:rPr>
        <w:instrText xml:space="preserve"> \* MERGEFORMAT </w:instrText>
      </w:r>
      <w:r w:rsidR="009709D6" w:rsidRPr="009709D6">
        <w:rPr>
          <w:vertAlign w:val="superscript"/>
        </w:rPr>
      </w:r>
      <w:r w:rsidR="009709D6" w:rsidRPr="009709D6">
        <w:rPr>
          <w:vertAlign w:val="superscript"/>
        </w:rPr>
        <w:fldChar w:fldCharType="separate"/>
      </w:r>
      <w:r w:rsidR="00F81787">
        <w:rPr>
          <w:vertAlign w:val="superscript"/>
        </w:rPr>
        <w:t>3</w:t>
      </w:r>
      <w:r w:rsidR="009709D6" w:rsidRPr="009709D6">
        <w:rPr>
          <w:vertAlign w:val="superscript"/>
        </w:rPr>
        <w:fldChar w:fldCharType="end"/>
      </w:r>
      <w:r>
        <w:t xml:space="preserve"> Most other and retrospective studies also generally supported the proposed dose-regimens. </w:t>
      </w:r>
      <w:r w:rsidR="009709D6">
        <w:t xml:space="preserve">Several </w:t>
      </w:r>
      <w:r w:rsidR="009709D6">
        <w:lastRenderedPageBreak/>
        <w:t>studies adopted a dose</w:t>
      </w:r>
      <w:r w:rsidR="009709D6">
        <w:noBreakHyphen/>
      </w:r>
      <w:r>
        <w:t>individualisation approach during the maintenance phase of treatment, in which subjects had their dose adjusted based on clinical response and, the interval between dosing adjusted on anticipated/predicted clinical deterioration. To dose at the minimum effective dose that produces a treatment benefit and maintenance of function was reasonable.</w:t>
      </w:r>
    </w:p>
    <w:p w14:paraId="599DDAD5" w14:textId="77777777" w:rsidR="00E81A9E" w:rsidRDefault="00E81A9E" w:rsidP="00E81A9E">
      <w:r>
        <w:t xml:space="preserve">Comparable efficacy of IVIg to high-dose oral prednisolone, intravenous methylprednisolone and plasma exchange was reported in several other studies, as well as some improvement in function for patient’s refractory to corticosteroids and/or plasma exchange. It was beyond the scope of the clinical dossier to claim equivalence of IVIg </w:t>
      </w:r>
      <w:r w:rsidR="009709D6">
        <w:t>against other recognised first</w:t>
      </w:r>
      <w:r w:rsidR="009709D6">
        <w:noBreakHyphen/>
      </w:r>
      <w:r>
        <w:t>line treatments in CIDP. However, notwithstanding that, these small studies lacked statistical power to demonstrate equivalent efficacy, and other study limitations, the results support IVIg as a possible first-line treatment option in adults with CI</w:t>
      </w:r>
      <w:r w:rsidR="009709D6">
        <w:t>DP or as an alternative (short</w:t>
      </w:r>
      <w:r w:rsidR="009709D6">
        <w:noBreakHyphen/>
      </w:r>
      <w:r>
        <w:t>term) treatment option for patients, who are unable to tolerate corticosteroids, or when plasma exchange is not readily available. Further trials are needed to compare long-term benefit of IVIg with that of plas</w:t>
      </w:r>
      <w:r w:rsidR="009709D6">
        <w:t>ma exchange or corticosteroids.</w:t>
      </w:r>
    </w:p>
    <w:p w14:paraId="17E0F306" w14:textId="1978A8C6" w:rsidR="00E81A9E" w:rsidRDefault="00E81A9E" w:rsidP="00E81A9E">
      <w:r>
        <w:t xml:space="preserve">Despite some variability in primary outcome measures used in the main placebo-controlled studies, the study results consistently demonstrated efficacy of IVIg versus placebo treatment. Treatment differences were both statistically significantly different and clinically meaningful. The number need to treat to derive </w:t>
      </w:r>
      <w:r w:rsidR="009709D6">
        <w:t>a clinical benefit was three</w:t>
      </w:r>
      <w:r>
        <w:t>, both in the Hughes et al (2008) study</w:t>
      </w:r>
      <w:r w:rsidR="009709D6">
        <w:t>;</w:t>
      </w:r>
      <w:r w:rsidR="009709D6" w:rsidRPr="009709D6">
        <w:rPr>
          <w:vertAlign w:val="superscript"/>
        </w:rPr>
        <w:fldChar w:fldCharType="begin"/>
      </w:r>
      <w:r w:rsidR="009709D6" w:rsidRPr="009709D6">
        <w:rPr>
          <w:vertAlign w:val="superscript"/>
        </w:rPr>
        <w:instrText xml:space="preserve"> NOTEREF _Ref82155211 \h </w:instrText>
      </w:r>
      <w:r w:rsidR="009709D6">
        <w:rPr>
          <w:vertAlign w:val="superscript"/>
        </w:rPr>
        <w:instrText xml:space="preserve"> \* MERGEFORMAT </w:instrText>
      </w:r>
      <w:r w:rsidR="009709D6" w:rsidRPr="009709D6">
        <w:rPr>
          <w:vertAlign w:val="superscript"/>
        </w:rPr>
      </w:r>
      <w:r w:rsidR="009709D6" w:rsidRPr="009709D6">
        <w:rPr>
          <w:vertAlign w:val="superscript"/>
        </w:rPr>
        <w:fldChar w:fldCharType="separate"/>
      </w:r>
      <w:r w:rsidR="00F81787">
        <w:rPr>
          <w:vertAlign w:val="superscript"/>
        </w:rPr>
        <w:t>7</w:t>
      </w:r>
      <w:r w:rsidR="009709D6" w:rsidRPr="009709D6">
        <w:rPr>
          <w:vertAlign w:val="superscript"/>
        </w:rPr>
        <w:fldChar w:fldCharType="end"/>
      </w:r>
      <w:r>
        <w:t xml:space="preserve"> and the pooled analysis in the meta-analyses. In the Hughes et al (2008) study the number needed to harm was also 3, with the time to relapse demonstrated to be longer in IVIg-treated subjects compar</w:t>
      </w:r>
      <w:r w:rsidR="009709D6">
        <w:t>ed to placebo-treated subjects.</w:t>
      </w:r>
    </w:p>
    <w:p w14:paraId="2BD7F842" w14:textId="331C0764" w:rsidR="00E81A9E" w:rsidRDefault="00E81A9E" w:rsidP="00E81A9E">
      <w:r>
        <w:t>IVIg improved disability for at least 2 to 6 weeks versus placebo. However, except for Hughes et al (2008), no study investigated long-term IVIg treatment (and relapse). Hughes et al (2008)</w:t>
      </w:r>
      <w:r w:rsidR="009709D6">
        <w:t>;</w:t>
      </w:r>
      <w:r w:rsidR="009709D6" w:rsidRPr="009709D6">
        <w:rPr>
          <w:vertAlign w:val="superscript"/>
        </w:rPr>
        <w:t xml:space="preserve"> </w:t>
      </w:r>
      <w:r w:rsidR="009709D6" w:rsidRPr="009709D6">
        <w:rPr>
          <w:vertAlign w:val="superscript"/>
        </w:rPr>
        <w:fldChar w:fldCharType="begin"/>
      </w:r>
      <w:r w:rsidR="009709D6" w:rsidRPr="009709D6">
        <w:rPr>
          <w:vertAlign w:val="superscript"/>
        </w:rPr>
        <w:instrText xml:space="preserve"> NOTEREF _Ref82155211 \h </w:instrText>
      </w:r>
      <w:r w:rsidR="009709D6">
        <w:rPr>
          <w:vertAlign w:val="superscript"/>
        </w:rPr>
        <w:instrText xml:space="preserve"> \* MERGEFORMAT </w:instrText>
      </w:r>
      <w:r w:rsidR="009709D6" w:rsidRPr="009709D6">
        <w:rPr>
          <w:vertAlign w:val="superscript"/>
        </w:rPr>
      </w:r>
      <w:r w:rsidR="009709D6" w:rsidRPr="009709D6">
        <w:rPr>
          <w:vertAlign w:val="superscript"/>
        </w:rPr>
        <w:fldChar w:fldCharType="separate"/>
      </w:r>
      <w:r w:rsidR="00F81787">
        <w:rPr>
          <w:vertAlign w:val="superscript"/>
        </w:rPr>
        <w:t>7</w:t>
      </w:r>
      <w:r w:rsidR="009709D6" w:rsidRPr="009709D6">
        <w:rPr>
          <w:vertAlign w:val="superscript"/>
        </w:rPr>
        <w:fldChar w:fldCharType="end"/>
      </w:r>
      <w:r>
        <w:t xml:space="preserve"> demonstrated a maintenance of treatment effect for at least 24 weeks, and possibly up to 48 weeks. Results from some other and retrospective studies suggested a treatment benefit of up to 5 years with intermittent IVIg dosing. However, the latter studies were generally s</w:t>
      </w:r>
      <w:r w:rsidR="009709D6">
        <w:t>mall and lacked placebo control</w:t>
      </w:r>
    </w:p>
    <w:p w14:paraId="175BD5F8" w14:textId="5CA41821" w:rsidR="00E81A9E" w:rsidRPr="00FE045D" w:rsidRDefault="00E81A9E" w:rsidP="00E81A9E">
      <w:pPr>
        <w:rPr>
          <w:vertAlign w:val="superscript"/>
        </w:rPr>
      </w:pPr>
      <w:r>
        <w:t xml:space="preserve">Only limited efficacy data were obtained from the meta-analyses that were not already covered in individual study analyses. Included studies were generally of moderate or high quality, albeit limited by subject numbers, in part due to the relative rareness of CIDP in the general population. The design and conduct of the meta-analyses were generally compliant with </w:t>
      </w:r>
      <w:r w:rsidR="009709D6">
        <w:t>literature based study</w:t>
      </w:r>
      <w:r>
        <w:t xml:space="preserve"> </w:t>
      </w:r>
      <w:r w:rsidR="009709D6">
        <w:t>submission</w:t>
      </w:r>
      <w:r>
        <w:t xml:space="preserve"> r</w:t>
      </w:r>
      <w:r w:rsidR="009709D6">
        <w:t>equirements detailed in the TGA</w:t>
      </w:r>
      <w:r w:rsidR="009709D6">
        <w:noBreakHyphen/>
      </w:r>
      <w:r>
        <w:t>adopted guideline for meta-analyses.</w:t>
      </w:r>
      <w:r w:rsidR="00FE045D" w:rsidRPr="00FE045D">
        <w:rPr>
          <w:highlight w:val="yellow"/>
          <w:vertAlign w:val="superscript"/>
        </w:rPr>
        <w:fldChar w:fldCharType="begin"/>
      </w:r>
      <w:r w:rsidR="00FE045D" w:rsidRPr="00FE045D">
        <w:rPr>
          <w:vertAlign w:val="superscript"/>
        </w:rPr>
        <w:instrText xml:space="preserve"> NOTEREF _Ref84392371 \h </w:instrText>
      </w:r>
      <w:r w:rsidR="00FE045D">
        <w:rPr>
          <w:highlight w:val="yellow"/>
          <w:vertAlign w:val="superscript"/>
        </w:rPr>
        <w:instrText xml:space="preserve"> \* MERGEFORMAT </w:instrText>
      </w:r>
      <w:r w:rsidR="00FE045D" w:rsidRPr="00FE045D">
        <w:rPr>
          <w:highlight w:val="yellow"/>
          <w:vertAlign w:val="superscript"/>
        </w:rPr>
      </w:r>
      <w:r w:rsidR="00FE045D" w:rsidRPr="00FE045D">
        <w:rPr>
          <w:highlight w:val="yellow"/>
          <w:vertAlign w:val="superscript"/>
        </w:rPr>
        <w:fldChar w:fldCharType="separate"/>
      </w:r>
      <w:r w:rsidR="00F81787">
        <w:rPr>
          <w:vertAlign w:val="superscript"/>
        </w:rPr>
        <w:t>6</w:t>
      </w:r>
      <w:r w:rsidR="00FE045D" w:rsidRPr="00FE045D">
        <w:rPr>
          <w:highlight w:val="yellow"/>
          <w:vertAlign w:val="superscript"/>
        </w:rPr>
        <w:fldChar w:fldCharType="end"/>
      </w:r>
      <w:r>
        <w:t xml:space="preserve"> On balance, the </w:t>
      </w:r>
      <w:proofErr w:type="spellStart"/>
      <w:r>
        <w:t>Eftimov</w:t>
      </w:r>
      <w:proofErr w:type="spellEnd"/>
      <w:r>
        <w:t xml:space="preserve"> et al</w:t>
      </w:r>
      <w:r w:rsidR="009709D6">
        <w:t>.,</w:t>
      </w:r>
      <w:r>
        <w:t xml:space="preserve"> (2013) results are considered the strongest available confirmatory evidence to support short-term (up to 6 weeks) effic</w:t>
      </w:r>
      <w:r w:rsidR="001C3920">
        <w:t>acy of IVIg in adults with CIDP.</w:t>
      </w:r>
      <w:r w:rsidR="00FE045D" w:rsidRPr="00FE045D">
        <w:rPr>
          <w:vertAlign w:val="superscript"/>
        </w:rPr>
        <w:fldChar w:fldCharType="begin"/>
      </w:r>
      <w:r w:rsidR="00FE045D" w:rsidRPr="00FE045D">
        <w:rPr>
          <w:vertAlign w:val="superscript"/>
        </w:rPr>
        <w:instrText xml:space="preserve"> NOTEREF _Ref82805587 \h </w:instrText>
      </w:r>
      <w:r w:rsidR="00FE045D">
        <w:rPr>
          <w:vertAlign w:val="superscript"/>
        </w:rPr>
        <w:instrText xml:space="preserve"> \* MERGEFORMAT </w:instrText>
      </w:r>
      <w:r w:rsidR="00FE045D" w:rsidRPr="00FE045D">
        <w:rPr>
          <w:vertAlign w:val="superscript"/>
        </w:rPr>
      </w:r>
      <w:r w:rsidR="00FE045D" w:rsidRPr="00FE045D">
        <w:rPr>
          <w:vertAlign w:val="superscript"/>
        </w:rPr>
        <w:fldChar w:fldCharType="separate"/>
      </w:r>
      <w:r w:rsidR="00F81787">
        <w:rPr>
          <w:vertAlign w:val="superscript"/>
        </w:rPr>
        <w:t>24</w:t>
      </w:r>
      <w:r w:rsidR="00FE045D" w:rsidRPr="00FE045D">
        <w:rPr>
          <w:vertAlign w:val="superscript"/>
        </w:rPr>
        <w:fldChar w:fldCharType="end"/>
      </w:r>
    </w:p>
    <w:p w14:paraId="392C4457" w14:textId="77777777" w:rsidR="00E81A9E" w:rsidRDefault="00E81A9E" w:rsidP="00E81A9E">
      <w:r>
        <w:t xml:space="preserve">Most study participants in the submitted studies were adults (aged 18 years and older). Those studies that included paediatric subjects provided few details on the numbers of subjects and their ages upon study commencement. On this basis, no recommendation for approval of </w:t>
      </w:r>
      <w:proofErr w:type="spellStart"/>
      <w:r>
        <w:t>Kiovig</w:t>
      </w:r>
      <w:proofErr w:type="spellEnd"/>
      <w:r>
        <w:t xml:space="preserve"> in paediatric populations with CIDP can be</w:t>
      </w:r>
      <w:r w:rsidR="00FE045D">
        <w:t xml:space="preserve"> made at the time of the first</w:t>
      </w:r>
      <w:r w:rsidR="00FE045D">
        <w:noBreakHyphen/>
      </w:r>
      <w:r>
        <w:t>round report. The issu</w:t>
      </w:r>
      <w:r w:rsidR="001C3920">
        <w:t>e of a paediatric indication was the subject of clinical question [inclusion is beyond the scope of the AusPAR].</w:t>
      </w:r>
    </w:p>
    <w:p w14:paraId="72468EC0" w14:textId="77777777" w:rsidR="00E81A9E" w:rsidRDefault="00E81A9E" w:rsidP="00E81A9E">
      <w:r>
        <w:t xml:space="preserve">Dose-response relationships of IVIg were not reported in any of the submitted </w:t>
      </w:r>
      <w:proofErr w:type="gramStart"/>
      <w:r>
        <w:t>publications, or</w:t>
      </w:r>
      <w:proofErr w:type="gramEnd"/>
      <w:r>
        <w:t xml:space="preserve"> discussed in the meta-analyses. Hence, the minimal effective dose of IVIg in CIDP populations does not appear to have been established. Since the proposed IVIg dose-regimen is considered a relatively high-dose exposure (particularly in the loading dose phase of treatment), this</w:t>
      </w:r>
      <w:r w:rsidR="001C3920">
        <w:t xml:space="preserve"> may result in high rates of adverse events.</w:t>
      </w:r>
    </w:p>
    <w:p w14:paraId="17DF5117" w14:textId="77777777" w:rsidR="001C3920" w:rsidRDefault="00E81A9E" w:rsidP="00E81A9E">
      <w:r>
        <w:t xml:space="preserve">The evidence presented appears contradictory in respect of whether IVIg treatment by CIDP subtype (chronic progressive or chronic relapsing) results in a different treatment benefit. Although no statistically significant differences were reported in studies that </w:t>
      </w:r>
      <w:r>
        <w:lastRenderedPageBreak/>
        <w:t>reported results by CIDP subtype, some study results suggested patients with relapsing disease might be generally over-treated using a 3-weekly pulse maintenance regi</w:t>
      </w:r>
      <w:r w:rsidR="001C3920">
        <w:t>men. Further study is required.</w:t>
      </w:r>
    </w:p>
    <w:p w14:paraId="6D36A436" w14:textId="77777777" w:rsidR="00E81A9E" w:rsidRDefault="00E81A9E" w:rsidP="00E81A9E">
      <w:r>
        <w:t>The choice of validated efficacy endpoints in the CIDP studies appeared broad. Further studies are needed to identify more appropriate outc</w:t>
      </w:r>
      <w:r w:rsidR="001C3920">
        <w:t>ome measures for trials in CIDP.</w:t>
      </w:r>
    </w:p>
    <w:p w14:paraId="6446A90C" w14:textId="61E0B054" w:rsidR="00E81A9E" w:rsidRDefault="00E81A9E" w:rsidP="00E81A9E">
      <w:r>
        <w:t xml:space="preserve">In the </w:t>
      </w:r>
      <w:proofErr w:type="spellStart"/>
      <w:r>
        <w:t>Kuitwaard</w:t>
      </w:r>
      <w:proofErr w:type="spellEnd"/>
      <w:r>
        <w:t xml:space="preserve"> et al</w:t>
      </w:r>
      <w:r w:rsidR="001C3920">
        <w:t>.,</w:t>
      </w:r>
      <w:r>
        <w:t xml:space="preserve"> (2010) publication,</w:t>
      </w:r>
      <w:r w:rsidR="00FE045D" w:rsidRPr="00FE045D">
        <w:rPr>
          <w:vertAlign w:val="superscript"/>
        </w:rPr>
        <w:fldChar w:fldCharType="begin"/>
      </w:r>
      <w:r w:rsidR="00FE045D" w:rsidRPr="00FE045D">
        <w:rPr>
          <w:vertAlign w:val="superscript"/>
        </w:rPr>
        <w:instrText xml:space="preserve"> NOTEREF _Ref82804755 \h </w:instrText>
      </w:r>
      <w:r w:rsidR="00FE045D">
        <w:rPr>
          <w:vertAlign w:val="superscript"/>
        </w:rPr>
        <w:instrText xml:space="preserve"> \* MERGEFORMAT </w:instrText>
      </w:r>
      <w:r w:rsidR="00FE045D" w:rsidRPr="00FE045D">
        <w:rPr>
          <w:vertAlign w:val="superscript"/>
        </w:rPr>
      </w:r>
      <w:r w:rsidR="00FE045D" w:rsidRPr="00FE045D">
        <w:rPr>
          <w:vertAlign w:val="superscript"/>
        </w:rPr>
        <w:fldChar w:fldCharType="separate"/>
      </w:r>
      <w:r w:rsidR="00F81787">
        <w:rPr>
          <w:vertAlign w:val="superscript"/>
        </w:rPr>
        <w:t>8</w:t>
      </w:r>
      <w:r w:rsidR="00FE045D" w:rsidRPr="00FE045D">
        <w:rPr>
          <w:vertAlign w:val="superscript"/>
        </w:rPr>
        <w:fldChar w:fldCharType="end"/>
      </w:r>
      <w:r>
        <w:t xml:space="preserve"> equivalence was demonstrated in maintenance treatment between </w:t>
      </w:r>
      <w:proofErr w:type="spellStart"/>
      <w:r>
        <w:t>Kiovig</w:t>
      </w:r>
      <w:proofErr w:type="spellEnd"/>
      <w:r>
        <w:t xml:space="preserve"> and </w:t>
      </w:r>
      <w:proofErr w:type="spellStart"/>
      <w:r>
        <w:t>Gammagard</w:t>
      </w:r>
      <w:proofErr w:type="spellEnd"/>
      <w:r>
        <w:t xml:space="preserve"> S/D in a stable CIDP population. Equivalence in this study was primarily based on the ability to carry out everyday functions measured using a validated disability scale (</w:t>
      </w:r>
      <w:r w:rsidR="005657A0">
        <w:t xml:space="preserve">the </w:t>
      </w:r>
      <w:r w:rsidR="005657A0" w:rsidRPr="005657A0">
        <w:t xml:space="preserve">Overall </w:t>
      </w:r>
      <w:r w:rsidR="00F94BEB" w:rsidRPr="005657A0">
        <w:t>disability sum score</w:t>
      </w:r>
      <w:r w:rsidR="00F94BEB">
        <w:t xml:space="preserve"> </w:t>
      </w:r>
      <w:r w:rsidR="005657A0">
        <w:t>(</w:t>
      </w:r>
      <w:r>
        <w:t>ODSS</w:t>
      </w:r>
      <w:r w:rsidR="005657A0">
        <w:t>)</w:t>
      </w:r>
      <w:r>
        <w:t xml:space="preserve">). However, since </w:t>
      </w:r>
      <w:r w:rsidR="001C3920">
        <w:t xml:space="preserve">only two </w:t>
      </w:r>
      <w:r>
        <w:t>different IVIg brands were compared, conclusions about equivalence can only</w:t>
      </w:r>
      <w:r w:rsidR="001C3920">
        <w:t xml:space="preserve"> be drawn between these two </w:t>
      </w:r>
      <w:r>
        <w:t xml:space="preserve">products, not other </w:t>
      </w:r>
      <w:r w:rsidR="00DF15B8">
        <w:t>commercial brands of IVIg. The s</w:t>
      </w:r>
      <w:r>
        <w:t xml:space="preserve">ponsor did not provide adequate justification as to how the results from this study involving </w:t>
      </w:r>
      <w:proofErr w:type="spellStart"/>
      <w:r>
        <w:t>Kiovig</w:t>
      </w:r>
      <w:proofErr w:type="spellEnd"/>
      <w:r>
        <w:t xml:space="preserve">, could be extrapolated to other commercial brands of IVIg used in other publications for CIDP, with particular reference to differences in composition (including IgG subclasses and IgA content), bioavailability and manufacturing/purification processes that may affect efficacy and tolerability. This </w:t>
      </w:r>
      <w:r w:rsidR="001C3920">
        <w:t>was the subject of a clinical question to the sponsor [inclusion of this is beyond the scope of this AusPAR].</w:t>
      </w:r>
    </w:p>
    <w:p w14:paraId="05D00DE6" w14:textId="77777777" w:rsidR="00FD2813" w:rsidRDefault="00E81A9E" w:rsidP="00E81A9E">
      <w:r>
        <w:t>Despite the limitations from</w:t>
      </w:r>
      <w:r w:rsidR="005657A0">
        <w:t xml:space="preserve"> evaluating the evidence from a</w:t>
      </w:r>
      <w:r>
        <w:t xml:space="preserve"> </w:t>
      </w:r>
      <w:proofErr w:type="gramStart"/>
      <w:r w:rsidR="001C3920">
        <w:t>literature based</w:t>
      </w:r>
      <w:proofErr w:type="gramEnd"/>
      <w:r w:rsidR="001C3920">
        <w:t xml:space="preserve"> submission</w:t>
      </w:r>
      <w:r>
        <w:t xml:space="preserve"> application, the evidence consistently supported the efficac</w:t>
      </w:r>
      <w:r w:rsidR="001C3920">
        <w:t>y of IVIg in the short-term (up </w:t>
      </w:r>
      <w:r>
        <w:t xml:space="preserve">to 6 weeks) treatment of adults with CIDP. However, the available evidence for the </w:t>
      </w:r>
      <w:proofErr w:type="spellStart"/>
      <w:r>
        <w:t>Kiovig</w:t>
      </w:r>
      <w:proofErr w:type="spellEnd"/>
      <w:r>
        <w:t xml:space="preserve"> brand alone does not support the application. The evidence of a treatment benefit in paediatric populations and the generalisability of the overall results from studies that did not administer the </w:t>
      </w:r>
      <w:proofErr w:type="spellStart"/>
      <w:r>
        <w:t>Kiovig</w:t>
      </w:r>
      <w:proofErr w:type="spellEnd"/>
      <w:r>
        <w:t xml:space="preserve"> brand of IVIg </w:t>
      </w:r>
      <w:r w:rsidR="001C3920">
        <w:t>was the subject of a clinical question to the sponsor [inclusion is beyond the scope of this AusPAR].</w:t>
      </w:r>
    </w:p>
    <w:p w14:paraId="19B1F08C" w14:textId="77777777" w:rsidR="00DE4DC0" w:rsidRDefault="00DE4DC0" w:rsidP="00DE4DC0">
      <w:pPr>
        <w:pStyle w:val="Heading4"/>
      </w:pPr>
      <w:r>
        <w:t>Safety</w:t>
      </w:r>
    </w:p>
    <w:p w14:paraId="5A65E2FB" w14:textId="77777777" w:rsidR="00302181" w:rsidRPr="00302181" w:rsidRDefault="00302181" w:rsidP="00302181">
      <w:pPr>
        <w:pStyle w:val="Heading5"/>
      </w:pPr>
      <w:r>
        <w:t>Clinical evaluator’s overall conclusions regarding safety</w:t>
      </w:r>
    </w:p>
    <w:p w14:paraId="11C192E6" w14:textId="77777777" w:rsidR="00E25228" w:rsidRDefault="00302181" w:rsidP="00302181">
      <w:r>
        <w:t xml:space="preserve">The clinical dossier included safety data from four main studies (including three </w:t>
      </w:r>
      <w:proofErr w:type="gramStart"/>
      <w:r>
        <w:t>placebo</w:t>
      </w:r>
      <w:proofErr w:type="gramEnd"/>
      <w:r>
        <w:noBreakHyphen/>
        <w:t xml:space="preserve">controlled </w:t>
      </w:r>
      <w:r w:rsidR="00E25228">
        <w:t>randomised control trials), four other studies, two</w:t>
      </w:r>
      <w:r>
        <w:t xml:space="preserve"> retrospective studi</w:t>
      </w:r>
      <w:r w:rsidR="00E25228">
        <w:t>es and pooled safety data from two</w:t>
      </w:r>
      <w:r>
        <w:t xml:space="preserve"> meta-analyses. </w:t>
      </w:r>
      <w:proofErr w:type="spellStart"/>
      <w:r>
        <w:t>Kiovig</w:t>
      </w:r>
      <w:proofErr w:type="spellEnd"/>
      <w:r>
        <w:t xml:space="preserve"> was administered to at least 58 patients across studies, and 556 patients with CIDP receive</w:t>
      </w:r>
      <w:r w:rsidR="00E25228">
        <w:t>d IVIg (irrespective of brand).</w:t>
      </w:r>
    </w:p>
    <w:p w14:paraId="4A2D419E" w14:textId="77777777" w:rsidR="00302181" w:rsidRDefault="00E25228" w:rsidP="00302181">
      <w:r>
        <w:t>Of note, approximately</w:t>
      </w:r>
      <w:r w:rsidR="00302181">
        <w:t xml:space="preserve"> 90% of patients in the main (controlled) studies received the proposed loading dose of 2 g/kg and approx. 69% patients received the proposed maintenance dose of 1 g/kg. Most study participants were adults. It is unclear from the published reports how many participants were under 18 years of age, what doses of IV</w:t>
      </w:r>
      <w:r>
        <w:t xml:space="preserve">Ig they received (loading and </w:t>
      </w:r>
      <w:r w:rsidR="00302181">
        <w:t>maintenance doses) and thei</w:t>
      </w:r>
      <w:r>
        <w:t>r experience of adverse events.</w:t>
      </w:r>
    </w:p>
    <w:p w14:paraId="453B2FDA" w14:textId="77777777" w:rsidR="00302181" w:rsidRDefault="00302181" w:rsidP="00302181">
      <w:r>
        <w:t>Although the long-term safety data provided in this application wer</w:t>
      </w:r>
      <w:r w:rsidR="00E25228">
        <w:t xml:space="preserve">e generally limited, given the </w:t>
      </w:r>
      <w:r>
        <w:t>rareness of the co</w:t>
      </w:r>
      <w:r w:rsidR="00E25228">
        <w:t xml:space="preserve">ndition being treated (CIDP); and the </w:t>
      </w:r>
      <w:r>
        <w:t>lack of reporting of safety data per se in</w:t>
      </w:r>
      <w:r w:rsidR="00E25228">
        <w:t xml:space="preserve"> many of the published studies, </w:t>
      </w:r>
      <w:r>
        <w:t>this clinical evaluator considers that the requirement of a minimum 12 months’ duration specified in the TGA-adopted EU guideline for medicinal products for long-term use</w:t>
      </w:r>
      <w:r w:rsidR="00E25228">
        <w:t>, has been adequately met.</w:t>
      </w:r>
      <w:r w:rsidR="005657A0">
        <w:rPr>
          <w:rStyle w:val="FootnoteReference"/>
        </w:rPr>
        <w:footnoteReference w:id="26"/>
      </w:r>
    </w:p>
    <w:p w14:paraId="0AA795CA" w14:textId="77777777" w:rsidR="00302181" w:rsidRDefault="00302181" w:rsidP="00302181">
      <w:r>
        <w:t xml:space="preserve">The frequency and pattern of IVIg-related </w:t>
      </w:r>
      <w:r w:rsidR="00E25228">
        <w:t>adverse events</w:t>
      </w:r>
      <w:r>
        <w:t xml:space="preserve"> and IVIg-related </w:t>
      </w:r>
      <w:r w:rsidR="00E25228">
        <w:t>adverse drug reactions</w:t>
      </w:r>
      <w:r>
        <w:t xml:space="preserve"> were generally consistent across studies, and generally consistent with the draft PI. </w:t>
      </w:r>
      <w:r w:rsidR="00E25228">
        <w:t>Adverse events</w:t>
      </w:r>
      <w:r>
        <w:t xml:space="preserve"> associated with IVIg treatment tended to be mild to moderate in severity, transient, non-serious and non-severe. Very few </w:t>
      </w:r>
      <w:r w:rsidR="00E25228">
        <w:t>adverse events</w:t>
      </w:r>
      <w:r>
        <w:t xml:space="preserve"> or </w:t>
      </w:r>
      <w:r w:rsidR="00E25228">
        <w:t>adverse drug reactions</w:t>
      </w:r>
      <w:r>
        <w:t xml:space="preserve"> le</w:t>
      </w:r>
      <w:r w:rsidR="00E25228">
        <w:t>d to study-drug discontinuation.</w:t>
      </w:r>
    </w:p>
    <w:p w14:paraId="5A2A26D2" w14:textId="49DE513E" w:rsidR="00302181" w:rsidRDefault="00302181" w:rsidP="00302181">
      <w:r>
        <w:lastRenderedPageBreak/>
        <w:t xml:space="preserve">The incidence of </w:t>
      </w:r>
      <w:r w:rsidR="00E25228">
        <w:t>serious adverse events</w:t>
      </w:r>
      <w:r>
        <w:t xml:space="preserve"> across studies were generally low (6%) and </w:t>
      </w:r>
      <w:proofErr w:type="gramStart"/>
      <w:r>
        <w:t>similar to</w:t>
      </w:r>
      <w:proofErr w:type="gramEnd"/>
      <w:r>
        <w:t xml:space="preserve"> placebo-treated subjects (7%). Similarly, the frequency of </w:t>
      </w:r>
      <w:r w:rsidR="00E25228">
        <w:t xml:space="preserve">serious adverse events </w:t>
      </w:r>
      <w:r>
        <w:t xml:space="preserve">per infusion was low (0.8%) and generally </w:t>
      </w:r>
      <w:proofErr w:type="gramStart"/>
      <w:r>
        <w:t>similar to</w:t>
      </w:r>
      <w:proofErr w:type="gramEnd"/>
      <w:r>
        <w:t xml:space="preserve"> placebo (1.9%). </w:t>
      </w:r>
      <w:r w:rsidR="00E25228">
        <w:t xml:space="preserve">Serious adverse events </w:t>
      </w:r>
      <w:r>
        <w:t xml:space="preserve">were often transient and not considered </w:t>
      </w:r>
      <w:r w:rsidR="00122C90">
        <w:t>treatment related</w:t>
      </w:r>
      <w:r>
        <w:t xml:space="preserve">. These findings are important since the dose-regimens proposed (2 g/kg for loading dose and 1 g/kg maintenance dose) are considered as a high-dose regimen. From the published data, it was not possible to determine whether there were significant trends for </w:t>
      </w:r>
      <w:r w:rsidR="00E25228">
        <w:t>adverse event</w:t>
      </w:r>
      <w:r>
        <w:t xml:space="preserve"> incidence by dose administered or dosing interval, a</w:t>
      </w:r>
      <w:r w:rsidR="00E25228">
        <w:t>nd whether there were also time</w:t>
      </w:r>
      <w:r w:rsidR="00E25228">
        <w:noBreakHyphen/>
      </w:r>
      <w:r>
        <w:t xml:space="preserve">dependent changes in </w:t>
      </w:r>
      <w:r w:rsidR="00E25228">
        <w:t>adverse event</w:t>
      </w:r>
      <w:r>
        <w:t xml:space="preserve"> rates (increased or decreased) with long-term exposure.</w:t>
      </w:r>
    </w:p>
    <w:p w14:paraId="1E202839" w14:textId="48CA8CC5" w:rsidR="00302181" w:rsidRDefault="00302181" w:rsidP="00302181">
      <w:r>
        <w:t>Of the four deaths reported across the published clinical studies in regard of this application, none was considered IVIg-related b</w:t>
      </w:r>
      <w:r w:rsidR="00E25228">
        <w:t>y the study authors (or by the s</w:t>
      </w:r>
      <w:r>
        <w:t>ponsor). One of the two deaths in the Nobile-</w:t>
      </w:r>
      <w:proofErr w:type="spellStart"/>
      <w:r>
        <w:t>Orazio</w:t>
      </w:r>
      <w:proofErr w:type="spellEnd"/>
      <w:r>
        <w:t xml:space="preserve"> et al</w:t>
      </w:r>
      <w:r w:rsidR="00F94BEB">
        <w:t>.,</w:t>
      </w:r>
      <w:r>
        <w:t xml:space="preserve"> (2012) study was due to ‘cardiac arrest’.</w:t>
      </w:r>
      <w:r w:rsidR="005657A0" w:rsidRPr="005657A0">
        <w:rPr>
          <w:vertAlign w:val="superscript"/>
        </w:rPr>
        <w:fldChar w:fldCharType="begin"/>
      </w:r>
      <w:r w:rsidR="005657A0" w:rsidRPr="005657A0">
        <w:rPr>
          <w:vertAlign w:val="superscript"/>
        </w:rPr>
        <w:instrText xml:space="preserve"> NOTEREF _Ref84392962 \h </w:instrText>
      </w:r>
      <w:r w:rsidR="005657A0">
        <w:rPr>
          <w:vertAlign w:val="superscript"/>
        </w:rPr>
        <w:instrText xml:space="preserve"> \* MERGEFORMAT </w:instrText>
      </w:r>
      <w:r w:rsidR="005657A0" w:rsidRPr="005657A0">
        <w:rPr>
          <w:vertAlign w:val="superscript"/>
        </w:rPr>
      </w:r>
      <w:r w:rsidR="005657A0" w:rsidRPr="005657A0">
        <w:rPr>
          <w:vertAlign w:val="superscript"/>
        </w:rPr>
        <w:fldChar w:fldCharType="separate"/>
      </w:r>
      <w:r w:rsidR="00F81787">
        <w:rPr>
          <w:vertAlign w:val="superscript"/>
        </w:rPr>
        <w:t>16</w:t>
      </w:r>
      <w:r w:rsidR="005657A0" w:rsidRPr="005657A0">
        <w:rPr>
          <w:vertAlign w:val="superscript"/>
        </w:rPr>
        <w:fldChar w:fldCharType="end"/>
      </w:r>
      <w:r>
        <w:t xml:space="preserve"> The relationship between IVIg exposure and this death cannot be excluded b</w:t>
      </w:r>
      <w:r w:rsidR="00E25228">
        <w:t>ased on the available evidence.</w:t>
      </w:r>
    </w:p>
    <w:p w14:paraId="52B3D5B1" w14:textId="77777777" w:rsidR="00DE4DC0" w:rsidRDefault="00302181" w:rsidP="00302181">
      <w:r>
        <w:t xml:space="preserve">The safety data presented in the published studies, albeit limited, were generally consistent with the known safety profile of </w:t>
      </w:r>
      <w:proofErr w:type="spellStart"/>
      <w:r>
        <w:t>Kiovig</w:t>
      </w:r>
      <w:proofErr w:type="spellEnd"/>
      <w:r>
        <w:t xml:space="preserve"> and IVIg in general. Incidence of </w:t>
      </w:r>
      <w:r w:rsidR="00E25228">
        <w:t>adverse events</w:t>
      </w:r>
      <w:r>
        <w:t xml:space="preserve">, </w:t>
      </w:r>
      <w:r w:rsidR="00E25228">
        <w:t>adverse drug reactions</w:t>
      </w:r>
      <w:r>
        <w:t xml:space="preserve">, </w:t>
      </w:r>
      <w:r w:rsidR="00E25228">
        <w:t>serious adverse events</w:t>
      </w:r>
      <w:r>
        <w:t xml:space="preserve">, severe </w:t>
      </w:r>
      <w:r w:rsidR="00E25228">
        <w:t xml:space="preserve">adverse </w:t>
      </w:r>
      <w:proofErr w:type="gramStart"/>
      <w:r w:rsidR="00E25228">
        <w:t>events</w:t>
      </w:r>
      <w:proofErr w:type="gramEnd"/>
      <w:r>
        <w:t xml:space="preserve"> and deaths were low and generally similar to rates in placebo-treated patients. No new safety signal was identified from this evaluation. The safety risk in paediatric populations with CIDP were not cha</w:t>
      </w:r>
      <w:r w:rsidR="00E25228">
        <w:t>racterised in this application.</w:t>
      </w:r>
    </w:p>
    <w:p w14:paraId="5819CFF9" w14:textId="77777777" w:rsidR="00AD0634" w:rsidRDefault="00AD0634" w:rsidP="00AD0634">
      <w:pPr>
        <w:pStyle w:val="Heading4"/>
      </w:pPr>
      <w:r>
        <w:t>Conclusions regarding the clinical evaluation</w:t>
      </w:r>
    </w:p>
    <w:p w14:paraId="714C7A24" w14:textId="77777777" w:rsidR="00AD0634" w:rsidRDefault="00AD0634" w:rsidP="00AD0634">
      <w:r>
        <w:t xml:space="preserve">The clinical evaluator’s assessment of </w:t>
      </w:r>
      <w:r w:rsidR="00F2732C">
        <w:t xml:space="preserve">the </w:t>
      </w:r>
      <w:r>
        <w:t>benefit-risk balance i</w:t>
      </w:r>
      <w:r w:rsidR="00F2732C">
        <w:t>s summarised here, along with the Delegate’s assessment and conclusions.</w:t>
      </w:r>
    </w:p>
    <w:p w14:paraId="1DF6AC7E" w14:textId="77777777" w:rsidR="00B70809" w:rsidRDefault="00B70809" w:rsidP="00B70809">
      <w:pPr>
        <w:pStyle w:val="Heading5"/>
      </w:pPr>
      <w:r>
        <w:t>Clinical evaluator’s recommendation</w:t>
      </w:r>
    </w:p>
    <w:p w14:paraId="1B442987" w14:textId="77777777" w:rsidR="00F765A3" w:rsidRDefault="00571C48" w:rsidP="00F765A3">
      <w:r>
        <w:t xml:space="preserve">The clinical evaluator’s final assessment of benefits, </w:t>
      </w:r>
      <w:proofErr w:type="gramStart"/>
      <w:r>
        <w:t>risks</w:t>
      </w:r>
      <w:proofErr w:type="gramEnd"/>
      <w:r>
        <w:t xml:space="preserve"> and the benefit-risk balance of </w:t>
      </w:r>
      <w:proofErr w:type="spellStart"/>
      <w:r>
        <w:t>Kiovig</w:t>
      </w:r>
      <w:proofErr w:type="spellEnd"/>
      <w:r>
        <w:t xml:space="preserve"> for the treatment of CIDP follow, along with the Delegate’s commentary.</w:t>
      </w:r>
    </w:p>
    <w:p w14:paraId="20F9EC06" w14:textId="77777777" w:rsidR="007803C3" w:rsidRDefault="00B95EB0" w:rsidP="00B95EB0">
      <w:pPr>
        <w:pStyle w:val="Heading6"/>
      </w:pPr>
      <w:r>
        <w:t>Benefits</w:t>
      </w:r>
    </w:p>
    <w:p w14:paraId="2EE05CB3" w14:textId="77777777" w:rsidR="00B95EB0" w:rsidRDefault="00B95EB0" w:rsidP="00B95EB0">
      <w:r>
        <w:t>The following is the clinical evaluator’s assessment of this submission, adapted from the clinical evaluation report, followed by the Delegate’s commentary.</w:t>
      </w:r>
    </w:p>
    <w:p w14:paraId="7051138B" w14:textId="77777777" w:rsidR="007803C3" w:rsidRDefault="007803C3" w:rsidP="00B95EB0">
      <w:r>
        <w:t xml:space="preserve">After consideration of the </w:t>
      </w:r>
      <w:r w:rsidR="00B95EB0">
        <w:t xml:space="preserve">sponsor’s </w:t>
      </w:r>
      <w:r>
        <w:t>responses to clinical questions, the</w:t>
      </w:r>
      <w:r w:rsidR="00B95EB0">
        <w:t xml:space="preserve"> clinical evaluator considered the</w:t>
      </w:r>
      <w:r>
        <w:t xml:space="preserve"> benefits of </w:t>
      </w:r>
      <w:proofErr w:type="spellStart"/>
      <w:r>
        <w:t>Kiovig</w:t>
      </w:r>
      <w:proofErr w:type="spellEnd"/>
      <w:r>
        <w:t xml:space="preserve"> in the </w:t>
      </w:r>
      <w:proofErr w:type="gramStart"/>
      <w:r>
        <w:t>proposed</w:t>
      </w:r>
      <w:r w:rsidR="00B95EB0">
        <w:t xml:space="preserve"> </w:t>
      </w:r>
      <w:r>
        <w:rPr>
          <w:spacing w:val="-46"/>
        </w:rPr>
        <w:t xml:space="preserve"> </w:t>
      </w:r>
      <w:r>
        <w:t>usage</w:t>
      </w:r>
      <w:proofErr w:type="gramEnd"/>
      <w:r>
        <w:rPr>
          <w:spacing w:val="-2"/>
        </w:rPr>
        <w:t xml:space="preserve"> </w:t>
      </w:r>
      <w:r>
        <w:t>are</w:t>
      </w:r>
      <w:r>
        <w:rPr>
          <w:spacing w:val="-1"/>
        </w:rPr>
        <w:t xml:space="preserve"> </w:t>
      </w:r>
      <w:r w:rsidR="00B95EB0">
        <w:t>as follows:</w:t>
      </w:r>
    </w:p>
    <w:p w14:paraId="7167B780" w14:textId="66D10408" w:rsidR="00F765A3" w:rsidRDefault="007803C3" w:rsidP="00B95EB0">
      <w:pPr>
        <w:ind w:left="720"/>
      </w:pPr>
      <w:r>
        <w:t xml:space="preserve">The results from the main clinical studies and the </w:t>
      </w:r>
      <w:proofErr w:type="spellStart"/>
      <w:r w:rsidRPr="00B95EB0">
        <w:t>Eftimov</w:t>
      </w:r>
      <w:proofErr w:type="spellEnd"/>
      <w:r w:rsidRPr="00B95EB0">
        <w:t xml:space="preserve"> et al</w:t>
      </w:r>
      <w:r w:rsidR="00B95EB0">
        <w:t>.</w:t>
      </w:r>
      <w:r w:rsidR="0046771B">
        <w:t>,</w:t>
      </w:r>
      <w:r w:rsidRPr="00B95EB0">
        <w:t xml:space="preserve"> (2013)</w:t>
      </w:r>
      <w:r>
        <w:rPr>
          <w:i/>
        </w:rPr>
        <w:t xml:space="preserve"> </w:t>
      </w:r>
      <w:r w:rsidR="00B95EB0">
        <w:t>meta</w:t>
      </w:r>
      <w:r w:rsidR="00B95EB0">
        <w:noBreakHyphen/>
      </w:r>
      <w:r>
        <w:t>analysis</w:t>
      </w:r>
      <w:r w:rsidR="00B95EB0">
        <w:t>,</w:t>
      </w:r>
      <w:r w:rsidR="00B95EB0" w:rsidRPr="00B95EB0">
        <w:rPr>
          <w:vertAlign w:val="superscript"/>
        </w:rPr>
        <w:fldChar w:fldCharType="begin"/>
      </w:r>
      <w:r w:rsidR="00B95EB0" w:rsidRPr="00B95EB0">
        <w:rPr>
          <w:vertAlign w:val="superscript"/>
        </w:rPr>
        <w:instrText xml:space="preserve"> NOTEREF _Ref82805587 \h </w:instrText>
      </w:r>
      <w:r w:rsidR="00B95EB0">
        <w:rPr>
          <w:vertAlign w:val="superscript"/>
        </w:rPr>
        <w:instrText xml:space="preserve"> \* MERGEFORMAT </w:instrText>
      </w:r>
      <w:r w:rsidR="00B95EB0" w:rsidRPr="00B95EB0">
        <w:rPr>
          <w:vertAlign w:val="superscript"/>
        </w:rPr>
      </w:r>
      <w:r w:rsidR="00B95EB0" w:rsidRPr="00B95EB0">
        <w:rPr>
          <w:vertAlign w:val="superscript"/>
        </w:rPr>
        <w:fldChar w:fldCharType="separate"/>
      </w:r>
      <w:r w:rsidR="00F81787">
        <w:rPr>
          <w:vertAlign w:val="superscript"/>
        </w:rPr>
        <w:t>24</w:t>
      </w:r>
      <w:r w:rsidR="00B95EB0" w:rsidRPr="00B95EB0">
        <w:rPr>
          <w:vertAlign w:val="superscript"/>
        </w:rPr>
        <w:fldChar w:fldCharType="end"/>
      </w:r>
      <w:r>
        <w:t xml:space="preserve"> may be</w:t>
      </w:r>
      <w:r>
        <w:rPr>
          <w:spacing w:val="-46"/>
        </w:rPr>
        <w:t xml:space="preserve"> </w:t>
      </w:r>
      <w:r w:rsidRPr="00B95EB0">
        <w:t>indirectly</w:t>
      </w:r>
      <w:r>
        <w:rPr>
          <w:b/>
        </w:rPr>
        <w:t xml:space="preserve"> </w:t>
      </w:r>
      <w:r>
        <w:t xml:space="preserve">considered generalisable to </w:t>
      </w:r>
      <w:proofErr w:type="spellStart"/>
      <w:r>
        <w:t>Kiovig</w:t>
      </w:r>
      <w:proofErr w:type="spellEnd"/>
      <w:r>
        <w:t xml:space="preserve"> in CIDP based on (a) acceptance of </w:t>
      </w:r>
      <w:proofErr w:type="spellStart"/>
      <w:r>
        <w:t>IVIgs</w:t>
      </w:r>
      <w:proofErr w:type="spellEnd"/>
      <w:r>
        <w:t xml:space="preserve"> as</w:t>
      </w:r>
      <w:r>
        <w:rPr>
          <w:spacing w:val="1"/>
        </w:rPr>
        <w:t xml:space="preserve"> </w:t>
      </w:r>
      <w:r>
        <w:t>first-line treatment in CID</w:t>
      </w:r>
      <w:r w:rsidR="00B95EB0">
        <w:t>P, as a class effect, by the National Blood Authority</w:t>
      </w:r>
      <w:r>
        <w:t xml:space="preserve"> in Australia; (b) international</w:t>
      </w:r>
      <w:r>
        <w:rPr>
          <w:spacing w:val="1"/>
        </w:rPr>
        <w:t xml:space="preserve"> </w:t>
      </w:r>
      <w:r>
        <w:t xml:space="preserve">consensus, including international regulatory jurisdictions, of ‘equivalence between </w:t>
      </w:r>
      <w:proofErr w:type="spellStart"/>
      <w:r>
        <w:t>IVIgs</w:t>
      </w:r>
      <w:proofErr w:type="spellEnd"/>
      <w:r>
        <w:t xml:space="preserve"> in</w:t>
      </w:r>
      <w:r>
        <w:rPr>
          <w:spacing w:val="-46"/>
        </w:rPr>
        <w:t xml:space="preserve"> </w:t>
      </w:r>
      <w:r>
        <w:t xml:space="preserve">CIDP,’ with Level of evidence Category 1 (based on similar </w:t>
      </w:r>
      <w:r w:rsidR="00B95EB0">
        <w:t xml:space="preserve">literature-based </w:t>
      </w:r>
      <w:r>
        <w:t>applications to this</w:t>
      </w:r>
      <w:r>
        <w:rPr>
          <w:spacing w:val="1"/>
        </w:rPr>
        <w:t xml:space="preserve"> </w:t>
      </w:r>
      <w:r>
        <w:t>application)</w:t>
      </w:r>
      <w:r w:rsidR="00B95EB0">
        <w:t>.</w:t>
      </w:r>
    </w:p>
    <w:p w14:paraId="32F79B04" w14:textId="77777777" w:rsidR="00B95EB0" w:rsidRPr="00B95EB0" w:rsidRDefault="00B95EB0" w:rsidP="00B95EB0">
      <w:pPr>
        <w:ind w:left="720"/>
      </w:pPr>
      <w:r>
        <w:t>The s</w:t>
      </w:r>
      <w:r w:rsidRPr="00B95EB0">
        <w:t xml:space="preserve">ponsor’s clarification that it is not seeking an indication for the treatment of CIDP in the paediatric </w:t>
      </w:r>
      <w:proofErr w:type="gramStart"/>
      <w:r w:rsidRPr="00B95EB0">
        <w:t>population;</w:t>
      </w:r>
      <w:proofErr w:type="gramEnd"/>
    </w:p>
    <w:p w14:paraId="6002C97C" w14:textId="77777777" w:rsidR="00B95EB0" w:rsidRDefault="00B95EB0" w:rsidP="00B95EB0">
      <w:pPr>
        <w:ind w:firstLine="720"/>
      </w:pPr>
      <w:r w:rsidRPr="00B95EB0">
        <w:t>The overall effect of these changes is a more positive benefit-risk balance.</w:t>
      </w:r>
    </w:p>
    <w:p w14:paraId="65F87C80" w14:textId="77777777" w:rsidR="00B95EB0" w:rsidRPr="00B95EB0" w:rsidRDefault="00B95EB0" w:rsidP="00B95EB0">
      <w:r>
        <w:t>The Delegate commented with following:</w:t>
      </w:r>
    </w:p>
    <w:p w14:paraId="08CD2E45" w14:textId="77777777" w:rsidR="00B66070" w:rsidRDefault="00B95EB0" w:rsidP="00B66070">
      <w:pPr>
        <w:ind w:left="720"/>
      </w:pPr>
      <w:r>
        <w:t>It will be an assumption, to apply the generalisability and class</w:t>
      </w:r>
      <w:r>
        <w:rPr>
          <w:spacing w:val="1"/>
        </w:rPr>
        <w:t xml:space="preserve"> </w:t>
      </w:r>
      <w:r>
        <w:t xml:space="preserve">effect principle to the sponsor’s proposed </w:t>
      </w:r>
      <w:proofErr w:type="spellStart"/>
      <w:r>
        <w:t>Kiovig’s</w:t>
      </w:r>
      <w:proofErr w:type="spellEnd"/>
      <w:r>
        <w:t xml:space="preserve"> extension of</w:t>
      </w:r>
      <w:r>
        <w:rPr>
          <w:spacing w:val="1"/>
        </w:rPr>
        <w:t xml:space="preserve"> </w:t>
      </w:r>
      <w:r>
        <w:t xml:space="preserve">indication of CIDP. In that case, the sponsor would not have </w:t>
      </w:r>
      <w:r>
        <w:rPr>
          <w:spacing w:val="-46"/>
        </w:rPr>
        <w:t xml:space="preserve"> </w:t>
      </w:r>
      <w:r w:rsidR="00B66070">
        <w:t>needed to submit a C</w:t>
      </w:r>
      <w:r>
        <w:t>ategory 1 extension of indications submission</w:t>
      </w:r>
      <w:r w:rsidR="00B66070">
        <w:t xml:space="preserve"> </w:t>
      </w:r>
      <w:r>
        <w:t>[</w:t>
      </w:r>
      <w:r w:rsidR="00B66070">
        <w:t xml:space="preserve">that is, a </w:t>
      </w:r>
      <w:r>
        <w:t xml:space="preserve">full </w:t>
      </w:r>
      <w:r w:rsidR="00B66070">
        <w:t xml:space="preserve">data package supporting the </w:t>
      </w:r>
      <w:r>
        <w:t>extension</w:t>
      </w:r>
      <w:r w:rsidR="00B66070">
        <w:t xml:space="preserve"> of indications]</w:t>
      </w:r>
      <w:r>
        <w:t xml:space="preserve"> </w:t>
      </w:r>
      <w:r>
        <w:lastRenderedPageBreak/>
        <w:t>and, should simply just have</w:t>
      </w:r>
      <w:r>
        <w:rPr>
          <w:spacing w:val="1"/>
        </w:rPr>
        <w:t xml:space="preserve"> </w:t>
      </w:r>
      <w:r>
        <w:t>added</w:t>
      </w:r>
      <w:r>
        <w:rPr>
          <w:spacing w:val="-2"/>
        </w:rPr>
        <w:t xml:space="preserve"> </w:t>
      </w:r>
      <w:r>
        <w:t>CIDP</w:t>
      </w:r>
      <w:r>
        <w:rPr>
          <w:spacing w:val="-3"/>
        </w:rPr>
        <w:t xml:space="preserve"> </w:t>
      </w:r>
      <w:r>
        <w:t>to</w:t>
      </w:r>
      <w:r>
        <w:rPr>
          <w:spacing w:val="-3"/>
        </w:rPr>
        <w:t xml:space="preserve"> </w:t>
      </w:r>
      <w:proofErr w:type="spellStart"/>
      <w:r>
        <w:t>Kiovig’s</w:t>
      </w:r>
      <w:proofErr w:type="spellEnd"/>
      <w:r>
        <w:rPr>
          <w:spacing w:val="-3"/>
        </w:rPr>
        <w:t xml:space="preserve"> </w:t>
      </w:r>
      <w:r>
        <w:t>already</w:t>
      </w:r>
      <w:r>
        <w:rPr>
          <w:spacing w:val="-1"/>
        </w:rPr>
        <w:t xml:space="preserve"> </w:t>
      </w:r>
      <w:r>
        <w:t>approved</w:t>
      </w:r>
      <w:r>
        <w:rPr>
          <w:spacing w:val="-2"/>
        </w:rPr>
        <w:t xml:space="preserve"> </w:t>
      </w:r>
      <w:r>
        <w:t>and</w:t>
      </w:r>
      <w:r>
        <w:rPr>
          <w:spacing w:val="-2"/>
        </w:rPr>
        <w:t xml:space="preserve"> </w:t>
      </w:r>
      <w:r>
        <w:t>listed</w:t>
      </w:r>
      <w:r>
        <w:rPr>
          <w:spacing w:val="-2"/>
        </w:rPr>
        <w:t xml:space="preserve"> </w:t>
      </w:r>
      <w:r w:rsidR="00B66070">
        <w:t>indications.</w:t>
      </w:r>
    </w:p>
    <w:p w14:paraId="4274B288" w14:textId="0CA5BF58" w:rsidR="00B95EB0" w:rsidRDefault="00B66070" w:rsidP="00B66070">
      <w:pPr>
        <w:ind w:left="720"/>
      </w:pPr>
      <w:r>
        <w:t>The Delegate is</w:t>
      </w:r>
      <w:r w:rsidR="00B95EB0" w:rsidRPr="00B66070">
        <w:t xml:space="preserve"> not convinced that the submitted </w:t>
      </w:r>
      <w:r>
        <w:t>literature-based submission</w:t>
      </w:r>
      <w:r w:rsidR="00B95EB0" w:rsidRPr="00B66070">
        <w:t xml:space="preserve"> provided Category 1</w:t>
      </w:r>
      <w:r w:rsidR="00B95EB0" w:rsidRPr="00B66070">
        <w:rPr>
          <w:spacing w:val="1"/>
        </w:rPr>
        <w:t xml:space="preserve"> </w:t>
      </w:r>
      <w:r w:rsidR="00B95EB0" w:rsidRPr="00B66070">
        <w:t xml:space="preserve">level evidence of equivalence between </w:t>
      </w:r>
      <w:proofErr w:type="spellStart"/>
      <w:r w:rsidR="00B95EB0" w:rsidRPr="00B66070">
        <w:t>IVIgs</w:t>
      </w:r>
      <w:proofErr w:type="spellEnd"/>
      <w:r w:rsidR="00B95EB0" w:rsidRPr="00B66070">
        <w:t xml:space="preserve"> in CIDP, when head to</w:t>
      </w:r>
      <w:r w:rsidR="00B95EB0" w:rsidRPr="00B66070">
        <w:rPr>
          <w:spacing w:val="-46"/>
        </w:rPr>
        <w:t xml:space="preserve"> </w:t>
      </w:r>
      <w:r w:rsidR="00B95EB0" w:rsidRPr="00B66070">
        <w:t xml:space="preserve">head IVIg trials were mostly not involved. Only the </w:t>
      </w:r>
      <w:proofErr w:type="spellStart"/>
      <w:r w:rsidR="00B95EB0" w:rsidRPr="00B66070">
        <w:t>Kuitwaard</w:t>
      </w:r>
      <w:proofErr w:type="spellEnd"/>
      <w:r w:rsidR="00B95EB0" w:rsidRPr="00B66070">
        <w:t xml:space="preserve"> et al</w:t>
      </w:r>
      <w:r w:rsidRPr="00B66070">
        <w:t xml:space="preserve">. </w:t>
      </w:r>
      <w:r w:rsidR="00B95EB0" w:rsidRPr="00B66070">
        <w:rPr>
          <w:spacing w:val="-46"/>
        </w:rPr>
        <w:t xml:space="preserve"> </w:t>
      </w:r>
      <w:r w:rsidR="00B95EB0" w:rsidRPr="00B66070">
        <w:t xml:space="preserve">(2010) </w:t>
      </w:r>
      <w:r>
        <w:t xml:space="preserve">study </w:t>
      </w:r>
      <w:r w:rsidR="00B95EB0" w:rsidRPr="00B66070">
        <w:t>compared</w:t>
      </w:r>
      <w:r w:rsidR="00B95EB0" w:rsidRPr="00B66070">
        <w:rPr>
          <w:i/>
        </w:rPr>
        <w:t xml:space="preserve"> </w:t>
      </w:r>
      <w:proofErr w:type="spellStart"/>
      <w:r>
        <w:t>Gammagard</w:t>
      </w:r>
      <w:proofErr w:type="spellEnd"/>
      <w:r>
        <w:t xml:space="preserve"> S/D with </w:t>
      </w:r>
      <w:proofErr w:type="spellStart"/>
      <w:r>
        <w:t>Kiovig</w:t>
      </w:r>
      <w:proofErr w:type="spellEnd"/>
      <w:r>
        <w:t xml:space="preserve"> and</w:t>
      </w:r>
      <w:r w:rsidR="00B95EB0" w:rsidRPr="00B66070">
        <w:t xml:space="preserve"> that was in a</w:t>
      </w:r>
      <w:r w:rsidR="00B95EB0" w:rsidRPr="00B66070">
        <w:rPr>
          <w:spacing w:val="1"/>
        </w:rPr>
        <w:t xml:space="preserve"> </w:t>
      </w:r>
      <w:r w:rsidR="00B95EB0" w:rsidRPr="00B66070">
        <w:t>maintenance treatment study only.</w:t>
      </w:r>
      <w:r w:rsidRPr="00B66070">
        <w:rPr>
          <w:vertAlign w:val="superscript"/>
        </w:rPr>
        <w:fldChar w:fldCharType="begin"/>
      </w:r>
      <w:r w:rsidRPr="00B66070">
        <w:rPr>
          <w:vertAlign w:val="superscript"/>
        </w:rPr>
        <w:instrText xml:space="preserve"> NOTEREF _Ref82804755 \h </w:instrText>
      </w:r>
      <w:r>
        <w:rPr>
          <w:vertAlign w:val="superscript"/>
        </w:rPr>
        <w:instrText xml:space="preserve"> \* MERGEFORMAT </w:instrText>
      </w:r>
      <w:r w:rsidRPr="00B66070">
        <w:rPr>
          <w:vertAlign w:val="superscript"/>
        </w:rPr>
      </w:r>
      <w:r w:rsidRPr="00B66070">
        <w:rPr>
          <w:vertAlign w:val="superscript"/>
        </w:rPr>
        <w:fldChar w:fldCharType="separate"/>
      </w:r>
      <w:r w:rsidR="00F81787">
        <w:rPr>
          <w:vertAlign w:val="superscript"/>
        </w:rPr>
        <w:t>8</w:t>
      </w:r>
      <w:r w:rsidRPr="00B66070">
        <w:rPr>
          <w:vertAlign w:val="superscript"/>
        </w:rPr>
        <w:fldChar w:fldCharType="end"/>
      </w:r>
      <w:r w:rsidR="00B95EB0" w:rsidRPr="00B66070">
        <w:t xml:space="preserve"> Therefore, the talk of</w:t>
      </w:r>
      <w:r w:rsidR="00B95EB0" w:rsidRPr="00B66070">
        <w:rPr>
          <w:spacing w:val="1"/>
        </w:rPr>
        <w:t xml:space="preserve"> </w:t>
      </w:r>
      <w:r w:rsidR="00B95EB0" w:rsidRPr="00B66070">
        <w:t>international consensus, including international regulatory</w:t>
      </w:r>
      <w:r w:rsidR="00B95EB0" w:rsidRPr="00B66070">
        <w:rPr>
          <w:spacing w:val="1"/>
        </w:rPr>
        <w:t xml:space="preserve"> </w:t>
      </w:r>
      <w:r w:rsidR="00B95EB0" w:rsidRPr="00B66070">
        <w:t xml:space="preserve">jurisdictions, of ‘equivalence between </w:t>
      </w:r>
      <w:proofErr w:type="spellStart"/>
      <w:r w:rsidR="00B95EB0" w:rsidRPr="00B66070">
        <w:t>IVIgs</w:t>
      </w:r>
      <w:proofErr w:type="spellEnd"/>
      <w:r w:rsidR="00B95EB0" w:rsidRPr="00B66070">
        <w:t xml:space="preserve"> in CIDP’ based on the</w:t>
      </w:r>
      <w:r w:rsidR="00B95EB0" w:rsidRPr="00B66070">
        <w:rPr>
          <w:spacing w:val="1"/>
        </w:rPr>
        <w:t xml:space="preserve"> </w:t>
      </w:r>
      <w:r>
        <w:t xml:space="preserve">literature based </w:t>
      </w:r>
      <w:proofErr w:type="spellStart"/>
      <w:r>
        <w:t>submssion</w:t>
      </w:r>
      <w:proofErr w:type="spellEnd"/>
      <w:r w:rsidR="00B95EB0" w:rsidRPr="00B66070">
        <w:t>,</w:t>
      </w:r>
      <w:r w:rsidR="00B95EB0" w:rsidRPr="00B66070">
        <w:rPr>
          <w:spacing w:val="-3"/>
        </w:rPr>
        <w:t xml:space="preserve"> </w:t>
      </w:r>
      <w:r w:rsidR="00B95EB0" w:rsidRPr="00B66070">
        <w:t>does</w:t>
      </w:r>
      <w:r w:rsidR="00B95EB0" w:rsidRPr="00B66070">
        <w:rPr>
          <w:spacing w:val="-2"/>
        </w:rPr>
        <w:t xml:space="preserve"> </w:t>
      </w:r>
      <w:r w:rsidR="00B95EB0" w:rsidRPr="00B66070">
        <w:t>not really</w:t>
      </w:r>
      <w:r w:rsidR="00B95EB0" w:rsidRPr="00B66070">
        <w:rPr>
          <w:spacing w:val="-1"/>
        </w:rPr>
        <w:t xml:space="preserve"> </w:t>
      </w:r>
      <w:r w:rsidR="00B95EB0" w:rsidRPr="00B66070">
        <w:t>hold</w:t>
      </w:r>
      <w:r w:rsidR="00B95EB0" w:rsidRPr="00B66070">
        <w:rPr>
          <w:spacing w:val="-1"/>
        </w:rPr>
        <w:t xml:space="preserve"> </w:t>
      </w:r>
      <w:r>
        <w:t>firm.</w:t>
      </w:r>
    </w:p>
    <w:p w14:paraId="11F1DE5B" w14:textId="77777777" w:rsidR="00B66070" w:rsidRPr="00B66070" w:rsidRDefault="00B66070" w:rsidP="00B66070">
      <w:pPr>
        <w:pStyle w:val="Heading6"/>
      </w:pPr>
      <w:r>
        <w:t>Risks</w:t>
      </w:r>
    </w:p>
    <w:p w14:paraId="06EBFF76" w14:textId="77777777" w:rsidR="00B66070" w:rsidRDefault="00B66070" w:rsidP="00B66070">
      <w:r>
        <w:t xml:space="preserve">After consideration of the responses to clinical questions, the risks of </w:t>
      </w:r>
      <w:proofErr w:type="spellStart"/>
      <w:r>
        <w:t>Kiovig</w:t>
      </w:r>
      <w:proofErr w:type="spellEnd"/>
      <w:r>
        <w:t xml:space="preserve"> in the proposed </w:t>
      </w:r>
      <w:r>
        <w:rPr>
          <w:spacing w:val="-46"/>
        </w:rPr>
        <w:t xml:space="preserve">   </w:t>
      </w:r>
      <w:r>
        <w:t>usage</w:t>
      </w:r>
      <w:r>
        <w:rPr>
          <w:spacing w:val="-2"/>
        </w:rPr>
        <w:t xml:space="preserve"> </w:t>
      </w:r>
      <w:r>
        <w:t>are</w:t>
      </w:r>
      <w:r>
        <w:rPr>
          <w:spacing w:val="-1"/>
        </w:rPr>
        <w:t xml:space="preserve"> </w:t>
      </w:r>
      <w:r>
        <w:t>as follows:</w:t>
      </w:r>
    </w:p>
    <w:p w14:paraId="26B40066" w14:textId="77777777" w:rsidR="00B66070" w:rsidRDefault="00B66070" w:rsidP="00B66070">
      <w:pPr>
        <w:ind w:left="720"/>
      </w:pPr>
      <w:r>
        <w:t>No internatio</w:t>
      </w:r>
      <w:r w:rsidR="00436797">
        <w:t>nal regulatory jurisdiction or e</w:t>
      </w:r>
      <w:r>
        <w:t>xpert panel, as well as the National Blood</w:t>
      </w:r>
      <w:r>
        <w:rPr>
          <w:spacing w:val="1"/>
        </w:rPr>
        <w:t xml:space="preserve"> </w:t>
      </w:r>
      <w:r>
        <w:t xml:space="preserve">Authority in Australia, has identified any concern, </w:t>
      </w:r>
      <w:proofErr w:type="gramStart"/>
      <w:r>
        <w:t>in regards to</w:t>
      </w:r>
      <w:proofErr w:type="gramEnd"/>
      <w:r>
        <w:t xml:space="preserve"> either efficacy or safety, for</w:t>
      </w:r>
      <w:r>
        <w:rPr>
          <w:spacing w:val="-46"/>
        </w:rPr>
        <w:t xml:space="preserve"> </w:t>
      </w:r>
      <w:r>
        <w:t>any</w:t>
      </w:r>
      <w:r>
        <w:rPr>
          <w:spacing w:val="-2"/>
        </w:rPr>
        <w:t xml:space="preserve"> </w:t>
      </w:r>
      <w:r>
        <w:t>particular</w:t>
      </w:r>
      <w:r>
        <w:rPr>
          <w:spacing w:val="-1"/>
        </w:rPr>
        <w:t xml:space="preserve"> </w:t>
      </w:r>
      <w:r>
        <w:t>IVIg</w:t>
      </w:r>
      <w:r>
        <w:rPr>
          <w:spacing w:val="-2"/>
        </w:rPr>
        <w:t xml:space="preserve"> </w:t>
      </w:r>
      <w:r>
        <w:t>brand</w:t>
      </w:r>
      <w:r>
        <w:rPr>
          <w:spacing w:val="-1"/>
        </w:rPr>
        <w:t xml:space="preserve"> </w:t>
      </w:r>
      <w:r>
        <w:t>in</w:t>
      </w:r>
      <w:r>
        <w:rPr>
          <w:spacing w:val="-2"/>
        </w:rPr>
        <w:t xml:space="preserve"> </w:t>
      </w:r>
      <w:r>
        <w:t>the</w:t>
      </w:r>
      <w:r>
        <w:rPr>
          <w:spacing w:val="-1"/>
        </w:rPr>
        <w:t xml:space="preserve"> </w:t>
      </w:r>
      <w:r>
        <w:t>treatment</w:t>
      </w:r>
      <w:r>
        <w:rPr>
          <w:spacing w:val="-1"/>
        </w:rPr>
        <w:t xml:space="preserve"> </w:t>
      </w:r>
      <w:r>
        <w:t>of</w:t>
      </w:r>
      <w:r>
        <w:rPr>
          <w:spacing w:val="-2"/>
        </w:rPr>
        <w:t xml:space="preserve"> </w:t>
      </w:r>
      <w:r>
        <w:t>CIDP,</w:t>
      </w:r>
      <w:r>
        <w:rPr>
          <w:spacing w:val="-3"/>
        </w:rPr>
        <w:t xml:space="preserve"> </w:t>
      </w:r>
      <w:r>
        <w:t>including</w:t>
      </w:r>
      <w:r>
        <w:rPr>
          <w:spacing w:val="-2"/>
        </w:rPr>
        <w:t xml:space="preserve"> </w:t>
      </w:r>
      <w:proofErr w:type="spellStart"/>
      <w:r>
        <w:t>Kiovig</w:t>
      </w:r>
      <w:proofErr w:type="spellEnd"/>
      <w:r>
        <w:t>.</w:t>
      </w:r>
    </w:p>
    <w:p w14:paraId="62801B2D" w14:textId="77777777" w:rsidR="00B66070" w:rsidRPr="00B66070" w:rsidRDefault="00B66070" w:rsidP="00B66070">
      <w:pPr>
        <w:ind w:left="720"/>
      </w:pPr>
      <w:r w:rsidRPr="00B66070">
        <w:t xml:space="preserve">No clear CIDP-specific </w:t>
      </w:r>
      <w:r>
        <w:t xml:space="preserve">adverse drug reactions </w:t>
      </w:r>
      <w:r w:rsidRPr="00B66070">
        <w:t>have been identified nationally or internationally at the time of the second-round evaluation</w:t>
      </w:r>
      <w:r>
        <w:t>.</w:t>
      </w:r>
    </w:p>
    <w:p w14:paraId="679F6A2F" w14:textId="77777777" w:rsidR="00B66070" w:rsidRPr="00B66070" w:rsidRDefault="00B66070" w:rsidP="00B66070">
      <w:pPr>
        <w:ind w:left="720"/>
      </w:pPr>
      <w:r>
        <w:t>The s</w:t>
      </w:r>
      <w:r w:rsidRPr="00B66070">
        <w:t xml:space="preserve">ponsor clarified that it is not seeking an indication for the treatment of CIDP in the paediatric </w:t>
      </w:r>
      <w:proofErr w:type="gramStart"/>
      <w:r w:rsidRPr="00B66070">
        <w:t>population;</w:t>
      </w:r>
      <w:proofErr w:type="gramEnd"/>
    </w:p>
    <w:p w14:paraId="69B968EF" w14:textId="77777777" w:rsidR="00B66070" w:rsidRDefault="00B66070" w:rsidP="00B66070">
      <w:pPr>
        <w:ind w:left="720"/>
        <w:rPr>
          <w:rFonts w:ascii="Wingdings" w:hAnsi="Wingdings"/>
        </w:rPr>
      </w:pPr>
      <w:r>
        <w:t>The</w:t>
      </w:r>
      <w:r>
        <w:rPr>
          <w:spacing w:val="-4"/>
        </w:rPr>
        <w:t xml:space="preserve"> </w:t>
      </w:r>
      <w:r>
        <w:t>overall</w:t>
      </w:r>
      <w:r>
        <w:rPr>
          <w:spacing w:val="-1"/>
        </w:rPr>
        <w:t xml:space="preserve"> </w:t>
      </w:r>
      <w:r>
        <w:t>effect</w:t>
      </w:r>
      <w:r>
        <w:rPr>
          <w:spacing w:val="-1"/>
        </w:rPr>
        <w:t xml:space="preserve"> </w:t>
      </w:r>
      <w:r>
        <w:t>of</w:t>
      </w:r>
      <w:r>
        <w:rPr>
          <w:spacing w:val="-1"/>
        </w:rPr>
        <w:t xml:space="preserve"> </w:t>
      </w:r>
      <w:r>
        <w:t>these</w:t>
      </w:r>
      <w:r>
        <w:rPr>
          <w:spacing w:val="-4"/>
        </w:rPr>
        <w:t xml:space="preserve"> </w:t>
      </w:r>
      <w:r>
        <w:t>changes</w:t>
      </w:r>
      <w:r>
        <w:rPr>
          <w:spacing w:val="-2"/>
        </w:rPr>
        <w:t xml:space="preserve"> </w:t>
      </w:r>
      <w:r>
        <w:t>is a</w:t>
      </w:r>
      <w:r>
        <w:rPr>
          <w:spacing w:val="-3"/>
        </w:rPr>
        <w:t xml:space="preserve"> </w:t>
      </w:r>
      <w:r>
        <w:t>more</w:t>
      </w:r>
      <w:r>
        <w:rPr>
          <w:spacing w:val="-2"/>
        </w:rPr>
        <w:t xml:space="preserve"> </w:t>
      </w:r>
      <w:r>
        <w:t>positive</w:t>
      </w:r>
      <w:r>
        <w:rPr>
          <w:spacing w:val="-1"/>
        </w:rPr>
        <w:t xml:space="preserve"> </w:t>
      </w:r>
      <w:r>
        <w:t>benefit-risk</w:t>
      </w:r>
      <w:r>
        <w:rPr>
          <w:spacing w:val="-2"/>
        </w:rPr>
        <w:t xml:space="preserve"> </w:t>
      </w:r>
      <w:r>
        <w:t>balance.</w:t>
      </w:r>
    </w:p>
    <w:p w14:paraId="08FB8D31" w14:textId="77777777" w:rsidR="00B66070" w:rsidRPr="00B66070" w:rsidRDefault="00B66070" w:rsidP="00B66070">
      <w:r>
        <w:t xml:space="preserve">In response to the clinical </w:t>
      </w:r>
      <w:proofErr w:type="gramStart"/>
      <w:r>
        <w:t>evaluators</w:t>
      </w:r>
      <w:proofErr w:type="gramEnd"/>
      <w:r>
        <w:t xml:space="preserve"> evaluation of risks, the Delegate commented with the following:</w:t>
      </w:r>
    </w:p>
    <w:p w14:paraId="356447A6" w14:textId="77777777" w:rsidR="00B66070" w:rsidRDefault="00B66070" w:rsidP="00B66070">
      <w:pPr>
        <w:ind w:left="720"/>
      </w:pPr>
      <w:r>
        <w:t>The Delegate has not sighted any</w:t>
      </w:r>
      <w:r>
        <w:rPr>
          <w:spacing w:val="1"/>
        </w:rPr>
        <w:t xml:space="preserve"> </w:t>
      </w:r>
      <w:r>
        <w:t xml:space="preserve">extensive data in support of the </w:t>
      </w:r>
      <w:proofErr w:type="gramStart"/>
      <w:r>
        <w:t xml:space="preserve">above </w:t>
      </w:r>
      <w:r>
        <w:rPr>
          <w:spacing w:val="-46"/>
        </w:rPr>
        <w:t xml:space="preserve"> </w:t>
      </w:r>
      <w:r>
        <w:t>statement</w:t>
      </w:r>
      <w:proofErr w:type="gramEnd"/>
      <w:r>
        <w:rPr>
          <w:spacing w:val="-1"/>
        </w:rPr>
        <w:t xml:space="preserve"> </w:t>
      </w:r>
      <w:r w:rsidR="00436797">
        <w:rPr>
          <w:spacing w:val="-1"/>
        </w:rPr>
        <w:t xml:space="preserve">[first paragraph] </w:t>
      </w:r>
      <w:r>
        <w:t>in regard</w:t>
      </w:r>
      <w:r>
        <w:rPr>
          <w:spacing w:val="-1"/>
        </w:rPr>
        <w:t xml:space="preserve"> </w:t>
      </w:r>
      <w:r>
        <w:t>of</w:t>
      </w:r>
      <w:r>
        <w:rPr>
          <w:spacing w:val="-1"/>
        </w:rPr>
        <w:t xml:space="preserve"> </w:t>
      </w:r>
      <w:proofErr w:type="spellStart"/>
      <w:r>
        <w:t>Kiovig</w:t>
      </w:r>
      <w:proofErr w:type="spellEnd"/>
      <w:r>
        <w:t>.</w:t>
      </w:r>
    </w:p>
    <w:p w14:paraId="631D83A5" w14:textId="77777777" w:rsidR="00B66070" w:rsidRPr="00436797" w:rsidRDefault="00B66070" w:rsidP="00436797">
      <w:pPr>
        <w:ind w:left="720"/>
      </w:pPr>
      <w:r w:rsidRPr="00436797">
        <w:t xml:space="preserve">It is worth noting Health Canada’s statement regarding the use of IVIg </w:t>
      </w:r>
      <w:r w:rsidR="00436797">
        <w:t>in CIDP</w:t>
      </w:r>
      <w:r w:rsidRPr="00436797">
        <w:t xml:space="preserve">: </w:t>
      </w:r>
      <w:r w:rsidR="00436797">
        <w:t>‘i</w:t>
      </w:r>
      <w:r w:rsidRPr="00436797">
        <w:t>f IVIg is to be used in the long-term management of CIDP, the patient should be under the care of a qualified expert with specialised knowledge of CIDP and a systematic</w:t>
      </w:r>
      <w:r w:rsidR="00436797">
        <w:t xml:space="preserve"> </w:t>
      </w:r>
      <w:r w:rsidRPr="00436797">
        <w:t xml:space="preserve">approach be taken to determine the minimal effective </w:t>
      </w:r>
      <w:r w:rsidR="00436797">
        <w:t>dose’.</w:t>
      </w:r>
    </w:p>
    <w:p w14:paraId="7E5030B2" w14:textId="77777777" w:rsidR="00B66070" w:rsidRDefault="00B66070" w:rsidP="00436797">
      <w:pPr>
        <w:ind w:left="720"/>
      </w:pPr>
      <w:r w:rsidRPr="00436797">
        <w:t xml:space="preserve">The role of </w:t>
      </w:r>
      <w:r w:rsidR="00436797">
        <w:t>National Blood Authority</w:t>
      </w:r>
      <w:r w:rsidRPr="00436797">
        <w:t xml:space="preserve"> in Australia is simply to provide an adequate, safe, </w:t>
      </w:r>
      <w:proofErr w:type="gramStart"/>
      <w:r w:rsidRPr="00436797">
        <w:t>secure</w:t>
      </w:r>
      <w:proofErr w:type="gramEnd"/>
      <w:r w:rsidRPr="00436797">
        <w:t xml:space="preserve"> and affordable supply of blood products, blood related products and blood related services. It does not engage in clinical trials documenting efficacy and safety of any blood product per se.</w:t>
      </w:r>
    </w:p>
    <w:p w14:paraId="6569221C" w14:textId="77777777" w:rsidR="006D4AEB" w:rsidRDefault="006D4AEB" w:rsidP="006D4AEB">
      <w:pPr>
        <w:pStyle w:val="Heading6"/>
      </w:pPr>
      <w:r>
        <w:t>Clinical evaluator’s assessment</w:t>
      </w:r>
      <w:r>
        <w:rPr>
          <w:spacing w:val="-2"/>
        </w:rPr>
        <w:t xml:space="preserve"> </w:t>
      </w:r>
      <w:r>
        <w:t>of</w:t>
      </w:r>
      <w:r>
        <w:rPr>
          <w:spacing w:val="-2"/>
        </w:rPr>
        <w:t xml:space="preserve"> </w:t>
      </w:r>
      <w:r>
        <w:t>benefits-risks</w:t>
      </w:r>
      <w:r>
        <w:rPr>
          <w:spacing w:val="-4"/>
        </w:rPr>
        <w:t xml:space="preserve"> </w:t>
      </w:r>
      <w:r>
        <w:t>balance</w:t>
      </w:r>
    </w:p>
    <w:p w14:paraId="0D4E7959" w14:textId="77777777" w:rsidR="006D4AEB" w:rsidRDefault="006D4AEB" w:rsidP="006D4AEB">
      <w:r>
        <w:t xml:space="preserve">The benefit-risk balance of </w:t>
      </w:r>
      <w:proofErr w:type="spellStart"/>
      <w:r>
        <w:t>Kiovig</w:t>
      </w:r>
      <w:proofErr w:type="spellEnd"/>
      <w:r>
        <w:t>, given the proposed usage, is favourable. This conclusion has</w:t>
      </w:r>
      <w:r>
        <w:rPr>
          <w:spacing w:val="-46"/>
        </w:rPr>
        <w:t xml:space="preserve"> </w:t>
      </w:r>
      <w:r>
        <w:t>been</w:t>
      </w:r>
      <w:r>
        <w:rPr>
          <w:spacing w:val="-3"/>
        </w:rPr>
        <w:t xml:space="preserve"> </w:t>
      </w:r>
      <w:r>
        <w:t>reached</w:t>
      </w:r>
      <w:r w:rsidR="004B3F73">
        <w:t xml:space="preserve"> by the clinical evaluator</w:t>
      </w:r>
      <w:r>
        <w:rPr>
          <w:spacing w:val="-1"/>
        </w:rPr>
        <w:t xml:space="preserve"> </w:t>
      </w:r>
      <w:r>
        <w:t>for</w:t>
      </w:r>
      <w:r>
        <w:rPr>
          <w:spacing w:val="-1"/>
        </w:rPr>
        <w:t xml:space="preserve"> </w:t>
      </w:r>
      <w:r>
        <w:t>the</w:t>
      </w:r>
      <w:r>
        <w:rPr>
          <w:spacing w:val="-1"/>
        </w:rPr>
        <w:t xml:space="preserve"> </w:t>
      </w:r>
      <w:r>
        <w:t>following</w:t>
      </w:r>
      <w:r>
        <w:rPr>
          <w:spacing w:val="-2"/>
        </w:rPr>
        <w:t xml:space="preserve"> </w:t>
      </w:r>
      <w:r>
        <w:t>reasons:</w:t>
      </w:r>
    </w:p>
    <w:p w14:paraId="1691F166" w14:textId="77777777" w:rsidR="006D4AEB" w:rsidRDefault="006D4AEB" w:rsidP="006D4AEB">
      <w:pPr>
        <w:ind w:left="720"/>
      </w:pPr>
      <w:r>
        <w:t>The sponsor clarified that it is not seeking an indication for the treatment of CIDP in the</w:t>
      </w:r>
      <w:r>
        <w:rPr>
          <w:spacing w:val="-46"/>
        </w:rPr>
        <w:t xml:space="preserve"> </w:t>
      </w:r>
      <w:r>
        <w:t>paediatric</w:t>
      </w:r>
      <w:r>
        <w:rPr>
          <w:spacing w:val="-1"/>
        </w:rPr>
        <w:t xml:space="preserve"> </w:t>
      </w:r>
      <w:r>
        <w:t>population.</w:t>
      </w:r>
    </w:p>
    <w:p w14:paraId="77E69404" w14:textId="77777777" w:rsidR="006D4AEB" w:rsidRDefault="006D4AEB" w:rsidP="006D4AEB">
      <w:pPr>
        <w:ind w:left="720"/>
      </w:pPr>
      <w:r>
        <w:t xml:space="preserve">No international regulatory jurisdiction or expert panel identified any concern, </w:t>
      </w:r>
      <w:proofErr w:type="gramStart"/>
      <w:r>
        <w:t>in regards to</w:t>
      </w:r>
      <w:proofErr w:type="gramEnd"/>
      <w:r w:rsidRPr="006D4AEB">
        <w:rPr>
          <w:spacing w:val="-46"/>
        </w:rPr>
        <w:t xml:space="preserve"> </w:t>
      </w:r>
      <w:r>
        <w:t>either efficacy or safety, for any particular IVIg brand in the treatment of CIDP. Also, the</w:t>
      </w:r>
      <w:r w:rsidRPr="006D4AEB">
        <w:rPr>
          <w:spacing w:val="1"/>
        </w:rPr>
        <w:t xml:space="preserve"> </w:t>
      </w:r>
      <w:r>
        <w:t xml:space="preserve">National Blood Authority in Australia recommends use of IVIg (including </w:t>
      </w:r>
      <w:proofErr w:type="spellStart"/>
      <w:r>
        <w:t>Kiovig</w:t>
      </w:r>
      <w:proofErr w:type="spellEnd"/>
      <w:r>
        <w:t>) as first-line</w:t>
      </w:r>
      <w:r w:rsidRPr="006D4AEB">
        <w:rPr>
          <w:spacing w:val="-46"/>
        </w:rPr>
        <w:t xml:space="preserve"> </w:t>
      </w:r>
      <w:r>
        <w:t>treatment in patients with CIDP. Based on extensive data from the National Blood Authority website,</w:t>
      </w:r>
      <w:r w:rsidRPr="006D4AEB">
        <w:rPr>
          <w:spacing w:val="1"/>
        </w:rPr>
        <w:t xml:space="preserve"> </w:t>
      </w:r>
      <w:r>
        <w:t xml:space="preserve">considerable volumes of </w:t>
      </w:r>
      <w:proofErr w:type="spellStart"/>
      <w:r>
        <w:t>Kiovig</w:t>
      </w:r>
      <w:proofErr w:type="spellEnd"/>
      <w:r>
        <w:t xml:space="preserve"> have been imported into Australia over the past 10 years,</w:t>
      </w:r>
      <w:r w:rsidRPr="006D4AEB">
        <w:rPr>
          <w:spacing w:val="1"/>
        </w:rPr>
        <w:t xml:space="preserve"> </w:t>
      </w:r>
      <w:r>
        <w:t>and much of that for use in CIDP patients (adults and paediatrics), without any new safety</w:t>
      </w:r>
      <w:r w:rsidRPr="006D4AEB">
        <w:rPr>
          <w:spacing w:val="1"/>
        </w:rPr>
        <w:t xml:space="preserve"> </w:t>
      </w:r>
      <w:r>
        <w:t>signals</w:t>
      </w:r>
      <w:r w:rsidRPr="006D4AEB">
        <w:rPr>
          <w:spacing w:val="-1"/>
        </w:rPr>
        <w:t xml:space="preserve"> </w:t>
      </w:r>
      <w:r>
        <w:t>identified.</w:t>
      </w:r>
      <w:r w:rsidRPr="006D4AEB">
        <w:rPr>
          <w:spacing w:val="-2"/>
        </w:rPr>
        <w:t xml:space="preserve"> </w:t>
      </w:r>
      <w:r>
        <w:t>Also,</w:t>
      </w:r>
      <w:r w:rsidRPr="006D4AEB">
        <w:rPr>
          <w:spacing w:val="-2"/>
        </w:rPr>
        <w:t xml:space="preserve"> </w:t>
      </w:r>
      <w:r>
        <w:t>this</w:t>
      </w:r>
      <w:r w:rsidRPr="006D4AEB">
        <w:rPr>
          <w:spacing w:val="-1"/>
        </w:rPr>
        <w:t xml:space="preserve"> </w:t>
      </w:r>
      <w:r>
        <w:t>data</w:t>
      </w:r>
      <w:r w:rsidRPr="006D4AEB">
        <w:rPr>
          <w:spacing w:val="-3"/>
        </w:rPr>
        <w:t xml:space="preserve"> </w:t>
      </w:r>
      <w:r>
        <w:t>may</w:t>
      </w:r>
      <w:r w:rsidRPr="006D4AEB">
        <w:rPr>
          <w:spacing w:val="-3"/>
        </w:rPr>
        <w:t xml:space="preserve"> </w:t>
      </w:r>
      <w:r>
        <w:t>highlight</w:t>
      </w:r>
      <w:r w:rsidRPr="006D4AEB">
        <w:rPr>
          <w:spacing w:val="-2"/>
        </w:rPr>
        <w:t xml:space="preserve"> </w:t>
      </w:r>
      <w:r>
        <w:t>the</w:t>
      </w:r>
      <w:r w:rsidRPr="006D4AEB">
        <w:rPr>
          <w:spacing w:val="-4"/>
        </w:rPr>
        <w:t xml:space="preserve"> </w:t>
      </w:r>
      <w:r>
        <w:t>medical</w:t>
      </w:r>
      <w:r w:rsidRPr="006D4AEB">
        <w:rPr>
          <w:spacing w:val="-1"/>
        </w:rPr>
        <w:t xml:space="preserve"> </w:t>
      </w:r>
      <w:r>
        <w:t>need</w:t>
      </w:r>
      <w:r w:rsidRPr="006D4AEB">
        <w:rPr>
          <w:spacing w:val="-2"/>
        </w:rPr>
        <w:t xml:space="preserve"> </w:t>
      </w:r>
      <w:r>
        <w:t>for</w:t>
      </w:r>
      <w:r w:rsidRPr="006D4AEB">
        <w:rPr>
          <w:spacing w:val="-2"/>
        </w:rPr>
        <w:t xml:space="preserve"> </w:t>
      </w:r>
      <w:r>
        <w:t>locally</w:t>
      </w:r>
      <w:r w:rsidRPr="006D4AEB">
        <w:rPr>
          <w:spacing w:val="-3"/>
        </w:rPr>
        <w:t xml:space="preserve"> </w:t>
      </w:r>
      <w:r>
        <w:t>produced</w:t>
      </w:r>
      <w:r w:rsidRPr="006D4AEB">
        <w:rPr>
          <w:spacing w:val="-2"/>
        </w:rPr>
        <w:t xml:space="preserve"> </w:t>
      </w:r>
      <w:r w:rsidR="004B3F73">
        <w:t>IVIg.</w:t>
      </w:r>
    </w:p>
    <w:p w14:paraId="63C965F8" w14:textId="77777777" w:rsidR="004B3F73" w:rsidRDefault="004B3F73" w:rsidP="004B3F73">
      <w:pPr>
        <w:ind w:left="720"/>
      </w:pPr>
      <w:r>
        <w:lastRenderedPageBreak/>
        <w:t xml:space="preserve">The safety profile of </w:t>
      </w:r>
      <w:proofErr w:type="spellStart"/>
      <w:r>
        <w:t>Kiovig</w:t>
      </w:r>
      <w:proofErr w:type="spellEnd"/>
      <w:r>
        <w:t xml:space="preserve"> has been well characterised from clinical experience in ITP and</w:t>
      </w:r>
      <w:r>
        <w:rPr>
          <w:spacing w:val="1"/>
        </w:rPr>
        <w:t xml:space="preserve"> </w:t>
      </w:r>
      <w:r>
        <w:t>PID, with no clear CIDP-specific adverse drug reactions identified to date. Many of the adverse drug reactions identified from</w:t>
      </w:r>
      <w:r>
        <w:rPr>
          <w:spacing w:val="1"/>
        </w:rPr>
        <w:t xml:space="preserve"> </w:t>
      </w:r>
      <w:proofErr w:type="spellStart"/>
      <w:r>
        <w:t>Kiovig</w:t>
      </w:r>
      <w:proofErr w:type="spellEnd"/>
      <w:r>
        <w:t xml:space="preserve"> exposure are predictably related to dose administered and infusion rates. Hence, if</w:t>
      </w:r>
      <w:r>
        <w:rPr>
          <w:spacing w:val="1"/>
        </w:rPr>
        <w:t xml:space="preserve"> </w:t>
      </w:r>
      <w:r>
        <w:t>the PI advice is followed and dose-adjustment is made on an individual basis to achieve a</w:t>
      </w:r>
      <w:r>
        <w:rPr>
          <w:spacing w:val="1"/>
        </w:rPr>
        <w:t xml:space="preserve"> </w:t>
      </w:r>
      <w:r>
        <w:t>beneficial treatment effect, at the minimum effective dose for that patient, risk of occurrence</w:t>
      </w:r>
      <w:r>
        <w:rPr>
          <w:spacing w:val="-46"/>
        </w:rPr>
        <w:t xml:space="preserve"> </w:t>
      </w:r>
      <w:r>
        <w:t>of</w:t>
      </w:r>
      <w:r>
        <w:rPr>
          <w:spacing w:val="-2"/>
        </w:rPr>
        <w:t xml:space="preserve"> </w:t>
      </w:r>
      <w:r>
        <w:t>infusion- and/or</w:t>
      </w:r>
      <w:r>
        <w:rPr>
          <w:spacing w:val="-1"/>
        </w:rPr>
        <w:t xml:space="preserve"> </w:t>
      </w:r>
      <w:r>
        <w:t>dose-related</w:t>
      </w:r>
      <w:r>
        <w:rPr>
          <w:spacing w:val="-1"/>
        </w:rPr>
        <w:t xml:space="preserve"> </w:t>
      </w:r>
      <w:r>
        <w:t>adverse drug reactions</w:t>
      </w:r>
      <w:r>
        <w:rPr>
          <w:spacing w:val="-1"/>
        </w:rPr>
        <w:t xml:space="preserve"> </w:t>
      </w:r>
      <w:r>
        <w:t>should</w:t>
      </w:r>
      <w:r>
        <w:rPr>
          <w:spacing w:val="-1"/>
        </w:rPr>
        <w:t xml:space="preserve"> </w:t>
      </w:r>
      <w:r>
        <w:t>be</w:t>
      </w:r>
      <w:r>
        <w:rPr>
          <w:spacing w:val="-1"/>
        </w:rPr>
        <w:t xml:space="preserve"> </w:t>
      </w:r>
      <w:r>
        <w:t>mitigated.</w:t>
      </w:r>
    </w:p>
    <w:p w14:paraId="4059D980" w14:textId="77777777" w:rsidR="004B3F73" w:rsidRDefault="004B3F73" w:rsidP="004B3F73">
      <w:pPr>
        <w:ind w:left="720"/>
      </w:pPr>
      <w:r w:rsidRPr="006D4AEB">
        <w:t>The clinical data package was comprehensive as practicably possible, notwi</w:t>
      </w:r>
      <w:r>
        <w:t>thstanding the limitations of a</w:t>
      </w:r>
      <w:r w:rsidRPr="006D4AEB">
        <w:t xml:space="preserve"> </w:t>
      </w:r>
      <w:proofErr w:type="gramStart"/>
      <w:r>
        <w:t>literature based</w:t>
      </w:r>
      <w:proofErr w:type="gramEnd"/>
      <w:r>
        <w:t xml:space="preserve"> submission</w:t>
      </w:r>
      <w:r w:rsidRPr="006D4AEB">
        <w:t xml:space="preserve">. Many international regulatory jurisdictions have approved CIDP treatment based on </w:t>
      </w:r>
      <w:proofErr w:type="gramStart"/>
      <w:r>
        <w:t>literature based</w:t>
      </w:r>
      <w:proofErr w:type="gramEnd"/>
      <w:r>
        <w:t xml:space="preserve"> submission </w:t>
      </w:r>
      <w:r w:rsidRPr="006D4AEB">
        <w:t xml:space="preserve">applications, including the EU, using a similar approach and dataset to that provided in this application. Similarly, in Australia </w:t>
      </w:r>
      <w:proofErr w:type="spellStart"/>
      <w:r w:rsidRPr="006D4AEB">
        <w:t>Intragram</w:t>
      </w:r>
      <w:proofErr w:type="spellEnd"/>
      <w:r w:rsidRPr="006D4AEB">
        <w:t xml:space="preserve"> 10NF was approved in 2011 based on a similar </w:t>
      </w:r>
      <w:proofErr w:type="gramStart"/>
      <w:r>
        <w:t>literature based</w:t>
      </w:r>
      <w:proofErr w:type="gramEnd"/>
      <w:r>
        <w:t xml:space="preserve"> submission</w:t>
      </w:r>
      <w:r w:rsidRPr="006D4AEB">
        <w:t xml:space="preserve"> </w:t>
      </w:r>
      <w:r>
        <w:t>application to this application.</w:t>
      </w:r>
    </w:p>
    <w:p w14:paraId="51F9C762" w14:textId="4C37B3FE" w:rsidR="0028503F" w:rsidRDefault="0028503F" w:rsidP="004B3F73">
      <w:pPr>
        <w:ind w:left="720"/>
      </w:pPr>
      <w:r w:rsidRPr="0028503F">
        <w:t xml:space="preserve">Of the branded IVIg products specified across the clinical studies submitted in support of this application, several related to the </w:t>
      </w:r>
      <w:proofErr w:type="spellStart"/>
      <w:r w:rsidRPr="0028503F">
        <w:t>Sandoglobulin</w:t>
      </w:r>
      <w:proofErr w:type="spellEnd"/>
      <w:r w:rsidRPr="0028503F">
        <w:t xml:space="preserve"> brand, while none mentioned </w:t>
      </w:r>
      <w:proofErr w:type="spellStart"/>
      <w:r w:rsidRPr="0028503F">
        <w:t>Intragram</w:t>
      </w:r>
      <w:proofErr w:type="spellEnd"/>
      <w:r w:rsidRPr="0028503F">
        <w:t xml:space="preserve"> 10. The clinical data package submitted in support of this application differed from the </w:t>
      </w:r>
      <w:proofErr w:type="spellStart"/>
      <w:r w:rsidRPr="0028503F">
        <w:t>Intragram</w:t>
      </w:r>
      <w:proofErr w:type="spellEnd"/>
      <w:r w:rsidRPr="0028503F">
        <w:t xml:space="preserve"> 10 application by use of more current publications (including guidelines), provided a detailed comparison of IVIg products approved for CIDP in Australia, as well as providing brand-specific clinical data in support of its application. In particular, the </w:t>
      </w:r>
      <w:proofErr w:type="spellStart"/>
      <w:r w:rsidRPr="0028503F">
        <w:t>Kuitwaard</w:t>
      </w:r>
      <w:proofErr w:type="spellEnd"/>
      <w:r w:rsidRPr="0028503F">
        <w:t xml:space="preserve"> et al (2010) publication was the only published study of a direct head-to-head comparison o</w:t>
      </w:r>
      <w:r>
        <w:t>f two brands of IVIg (</w:t>
      </w:r>
      <w:proofErr w:type="spellStart"/>
      <w:r>
        <w:t>Kiovig</w:t>
      </w:r>
      <w:proofErr w:type="spellEnd"/>
      <w:r>
        <w:t xml:space="preserve"> versus</w:t>
      </w:r>
      <w:r w:rsidRPr="0028503F">
        <w:t xml:space="preserve"> </w:t>
      </w:r>
      <w:proofErr w:type="spellStart"/>
      <w:r w:rsidRPr="0028503F">
        <w:t>Gammagard</w:t>
      </w:r>
      <w:proofErr w:type="spellEnd"/>
      <w:r w:rsidRPr="0028503F">
        <w:t xml:space="preserve"> S/D) in CIDP (maintenance) treatment.</w:t>
      </w:r>
      <w:r w:rsidRPr="0028503F">
        <w:rPr>
          <w:vertAlign w:val="superscript"/>
        </w:rPr>
        <w:fldChar w:fldCharType="begin"/>
      </w:r>
      <w:r w:rsidRPr="0028503F">
        <w:rPr>
          <w:vertAlign w:val="superscript"/>
        </w:rPr>
        <w:instrText xml:space="preserve"> NOTEREF _Ref82804755 \h </w:instrText>
      </w:r>
      <w:r>
        <w:rPr>
          <w:vertAlign w:val="superscript"/>
        </w:rPr>
        <w:instrText xml:space="preserve"> \* MERGEFORMAT </w:instrText>
      </w:r>
      <w:r w:rsidRPr="0028503F">
        <w:rPr>
          <w:vertAlign w:val="superscript"/>
        </w:rPr>
      </w:r>
      <w:r w:rsidRPr="0028503F">
        <w:rPr>
          <w:vertAlign w:val="superscript"/>
        </w:rPr>
        <w:fldChar w:fldCharType="separate"/>
      </w:r>
      <w:r w:rsidR="00F81787">
        <w:rPr>
          <w:vertAlign w:val="superscript"/>
        </w:rPr>
        <w:t>8</w:t>
      </w:r>
      <w:r w:rsidRPr="0028503F">
        <w:rPr>
          <w:vertAlign w:val="superscript"/>
        </w:rPr>
        <w:fldChar w:fldCharType="end"/>
      </w:r>
      <w:r w:rsidRPr="0028503F">
        <w:t xml:space="preserve"> Furthermore, </w:t>
      </w:r>
      <w:proofErr w:type="spellStart"/>
      <w:r w:rsidRPr="0028503F">
        <w:t>Gammagard</w:t>
      </w:r>
      <w:proofErr w:type="spellEnd"/>
      <w:r w:rsidRPr="0028503F">
        <w:t xml:space="preserve"> (equivalent brand to </w:t>
      </w:r>
      <w:proofErr w:type="spellStart"/>
      <w:r w:rsidRPr="0028503F">
        <w:t>Kiovig</w:t>
      </w:r>
      <w:proofErr w:type="spellEnd"/>
      <w:r w:rsidRPr="0028503F">
        <w:t>) was used in the retrospective studies by Vucic et al</w:t>
      </w:r>
      <w:r>
        <w:t>.;</w:t>
      </w:r>
      <w:r w:rsidRPr="0028503F">
        <w:rPr>
          <w:vertAlign w:val="superscript"/>
        </w:rPr>
        <w:fldChar w:fldCharType="begin"/>
      </w:r>
      <w:r w:rsidRPr="0028503F">
        <w:rPr>
          <w:vertAlign w:val="superscript"/>
        </w:rPr>
        <w:instrText xml:space="preserve"> NOTEREF _Ref84463667 \h </w:instrText>
      </w:r>
      <w:r>
        <w:rPr>
          <w:vertAlign w:val="superscript"/>
        </w:rPr>
        <w:instrText xml:space="preserve"> \* MERGEFORMAT </w:instrText>
      </w:r>
      <w:r w:rsidRPr="0028503F">
        <w:rPr>
          <w:vertAlign w:val="superscript"/>
        </w:rPr>
      </w:r>
      <w:r w:rsidRPr="0028503F">
        <w:rPr>
          <w:vertAlign w:val="superscript"/>
        </w:rPr>
        <w:fldChar w:fldCharType="separate"/>
      </w:r>
      <w:r w:rsidR="00F81787">
        <w:rPr>
          <w:vertAlign w:val="superscript"/>
        </w:rPr>
        <w:t>21</w:t>
      </w:r>
      <w:r w:rsidRPr="0028503F">
        <w:rPr>
          <w:vertAlign w:val="superscript"/>
        </w:rPr>
        <w:fldChar w:fldCharType="end"/>
      </w:r>
      <w:r w:rsidRPr="0028503F">
        <w:t xml:space="preserve"> and Williams et al</w:t>
      </w:r>
      <w:r>
        <w:t>.;</w:t>
      </w:r>
      <w:r w:rsidRPr="0028503F">
        <w:rPr>
          <w:vertAlign w:val="superscript"/>
        </w:rPr>
        <w:fldChar w:fldCharType="begin"/>
      </w:r>
      <w:r w:rsidRPr="0028503F">
        <w:rPr>
          <w:vertAlign w:val="superscript"/>
        </w:rPr>
        <w:instrText xml:space="preserve"> NOTEREF _Ref84463696 \h </w:instrText>
      </w:r>
      <w:r>
        <w:rPr>
          <w:vertAlign w:val="superscript"/>
        </w:rPr>
        <w:instrText xml:space="preserve"> \* MERGEFORMAT </w:instrText>
      </w:r>
      <w:r w:rsidRPr="0028503F">
        <w:rPr>
          <w:vertAlign w:val="superscript"/>
        </w:rPr>
      </w:r>
      <w:r w:rsidRPr="0028503F">
        <w:rPr>
          <w:vertAlign w:val="superscript"/>
        </w:rPr>
        <w:fldChar w:fldCharType="separate"/>
      </w:r>
      <w:r w:rsidR="00F81787">
        <w:rPr>
          <w:vertAlign w:val="superscript"/>
        </w:rPr>
        <w:t>23</w:t>
      </w:r>
      <w:r w:rsidRPr="0028503F">
        <w:rPr>
          <w:vertAlign w:val="superscript"/>
        </w:rPr>
        <w:fldChar w:fldCharType="end"/>
      </w:r>
      <w:r w:rsidRPr="0028503F">
        <w:t xml:space="preserve"> and </w:t>
      </w:r>
      <w:proofErr w:type="spellStart"/>
      <w:r w:rsidRPr="0028503F">
        <w:t>Kiovig</w:t>
      </w:r>
      <w:proofErr w:type="spellEnd"/>
      <w:r w:rsidRPr="0028503F">
        <w:t xml:space="preserve"> was us</w:t>
      </w:r>
      <w:r>
        <w:t>ed in the study by Gallia et al.;</w:t>
      </w:r>
      <w:r w:rsidRPr="0028503F">
        <w:rPr>
          <w:vertAlign w:val="superscript"/>
        </w:rPr>
        <w:fldChar w:fldCharType="begin"/>
      </w:r>
      <w:r w:rsidRPr="0028503F">
        <w:rPr>
          <w:vertAlign w:val="superscript"/>
        </w:rPr>
        <w:instrText xml:space="preserve"> NOTEREF _Ref84463739 \h </w:instrText>
      </w:r>
      <w:r>
        <w:rPr>
          <w:vertAlign w:val="superscript"/>
        </w:rPr>
        <w:instrText xml:space="preserve"> \* MERGEFORMAT </w:instrText>
      </w:r>
      <w:r w:rsidRPr="0028503F">
        <w:rPr>
          <w:vertAlign w:val="superscript"/>
        </w:rPr>
      </w:r>
      <w:r w:rsidRPr="0028503F">
        <w:rPr>
          <w:vertAlign w:val="superscript"/>
        </w:rPr>
        <w:fldChar w:fldCharType="separate"/>
      </w:r>
      <w:r w:rsidR="00F81787">
        <w:rPr>
          <w:vertAlign w:val="superscript"/>
        </w:rPr>
        <w:t>20</w:t>
      </w:r>
      <w:r w:rsidRPr="0028503F">
        <w:rPr>
          <w:vertAlign w:val="superscript"/>
        </w:rPr>
        <w:fldChar w:fldCharType="end"/>
      </w:r>
      <w:r>
        <w:t xml:space="preserve"> h</w:t>
      </w:r>
      <w:r w:rsidRPr="0028503F">
        <w:t>owever, results from these publications were not presented by IVIg brand</w:t>
      </w:r>
      <w:r>
        <w:t>, which limits their usefulness.</w:t>
      </w:r>
    </w:p>
    <w:p w14:paraId="7662EA2B" w14:textId="77777777" w:rsidR="004872C0" w:rsidRPr="004872C0" w:rsidRDefault="004872C0" w:rsidP="004872C0">
      <w:pPr>
        <w:ind w:left="720"/>
      </w:pPr>
      <w:r w:rsidRPr="004872C0">
        <w:t>It is accepted that brands of IVIg are not identical since IVIg is sourced from thousands of human donors. The standard pharmacopeia monograph specifications reflect this fact and therefore provide an acceptable range of IgG subclass values, which in turn closely resembles</w:t>
      </w:r>
    </w:p>
    <w:p w14:paraId="4BBE5F38" w14:textId="77777777" w:rsidR="004872C0" w:rsidRPr="004872C0" w:rsidRDefault="004872C0" w:rsidP="004872C0">
      <w:pPr>
        <w:ind w:left="720"/>
      </w:pPr>
      <w:r w:rsidRPr="004872C0">
        <w:t xml:space="preserve">normal human plasma. There appears to be an expectation that different branded products of IVIg that meet the accepted specifications will have ‘equivalence of efficacy’. The </w:t>
      </w:r>
      <w:proofErr w:type="spellStart"/>
      <w:r w:rsidRPr="004872C0">
        <w:t>Kuitwaard</w:t>
      </w:r>
      <w:proofErr w:type="spellEnd"/>
      <w:r w:rsidRPr="004872C0">
        <w:t xml:space="preserve"> et al (2010) publication is the only published article that demonstrated equivalence between </w:t>
      </w:r>
      <w:proofErr w:type="spellStart"/>
      <w:r w:rsidRPr="004872C0">
        <w:t>Kiovig</w:t>
      </w:r>
      <w:proofErr w:type="spellEnd"/>
      <w:r w:rsidRPr="004872C0">
        <w:t xml:space="preserve"> and </w:t>
      </w:r>
      <w:proofErr w:type="spellStart"/>
      <w:r w:rsidRPr="004872C0">
        <w:t>Gammagard</w:t>
      </w:r>
      <w:proofErr w:type="spellEnd"/>
      <w:r w:rsidRPr="004872C0">
        <w:t xml:space="preserve"> S/D (as maintenance treatment only in CIDP). Despite differences </w:t>
      </w:r>
      <w:r>
        <w:t xml:space="preserve">in IgG content between </w:t>
      </w:r>
      <w:proofErr w:type="spellStart"/>
      <w:r>
        <w:t>Kiovig</w:t>
      </w:r>
      <w:proofErr w:type="spellEnd"/>
      <w:r>
        <w:t xml:space="preserve"> (approximately </w:t>
      </w:r>
      <w:r w:rsidRPr="004872C0">
        <w:t xml:space="preserve">100%) and </w:t>
      </w:r>
      <w:proofErr w:type="spellStart"/>
      <w:r w:rsidRPr="004872C0">
        <w:t>Gammagard</w:t>
      </w:r>
      <w:proofErr w:type="spellEnd"/>
      <w:r w:rsidRPr="004872C0">
        <w:t xml:space="preserve"> S/D (95%) treatments, and differences in formulation excipients and their manufacturing processes, no clinically meaningful differences were observed between treatments for the primary and secondary efficacy </w:t>
      </w:r>
      <w:proofErr w:type="gramStart"/>
      <w:r w:rsidRPr="004872C0">
        <w:t>endpoints;</w:t>
      </w:r>
      <w:proofErr w:type="gramEnd"/>
    </w:p>
    <w:p w14:paraId="6157BAE3" w14:textId="77777777" w:rsidR="0014706E" w:rsidRDefault="0014706E" w:rsidP="004B3F73">
      <w:pPr>
        <w:ind w:left="720"/>
      </w:pPr>
      <w:r w:rsidRPr="0014706E">
        <w:t xml:space="preserve">While the evidence to support </w:t>
      </w:r>
      <w:proofErr w:type="spellStart"/>
      <w:r w:rsidRPr="0014706E">
        <w:t>Kiovig</w:t>
      </w:r>
      <w:proofErr w:type="spellEnd"/>
      <w:r w:rsidRPr="0014706E">
        <w:t xml:space="preserve"> in an acute/induction phase of treatment is limited, there is no clear reason to expect that there would be a concern during initiation of </w:t>
      </w:r>
      <w:proofErr w:type="spellStart"/>
      <w:r w:rsidRPr="0014706E">
        <w:t>Kiovig</w:t>
      </w:r>
      <w:proofErr w:type="spellEnd"/>
      <w:r w:rsidRPr="0014706E">
        <w:t xml:space="preserve"> treatment, beyond the predictable adverse effects listed in the PI in respect of dose- ad</w:t>
      </w:r>
      <w:r>
        <w:t>ministration and infusion-rates.</w:t>
      </w:r>
    </w:p>
    <w:p w14:paraId="7DA9849B" w14:textId="77777777" w:rsidR="0014706E" w:rsidRDefault="0014706E" w:rsidP="004B3F73">
      <w:pPr>
        <w:ind w:left="720"/>
      </w:pPr>
      <w:r w:rsidRPr="0014706E">
        <w:t xml:space="preserve">Although long-term efficacy and safety data for </w:t>
      </w:r>
      <w:proofErr w:type="spellStart"/>
      <w:r w:rsidRPr="0014706E">
        <w:t>Kiovig</w:t>
      </w:r>
      <w:proofErr w:type="spellEnd"/>
      <w:r w:rsidRPr="0014706E">
        <w:t xml:space="preserve"> in CIDP treatment is limited, the advice provided in the PI helps to mitigate risk of longer-term </w:t>
      </w:r>
      <w:proofErr w:type="spellStart"/>
      <w:r w:rsidRPr="0014706E">
        <w:t>Kiovig</w:t>
      </w:r>
      <w:proofErr w:type="spellEnd"/>
      <w:r w:rsidRPr="0014706E">
        <w:t xml:space="preserve"> treatment by recommendation of treatment based on the clinical need of the patient and their responsiveness to treatment. Risks associated with long-term treatment of </w:t>
      </w:r>
      <w:proofErr w:type="spellStart"/>
      <w:r w:rsidRPr="0014706E">
        <w:t>Kiovig</w:t>
      </w:r>
      <w:proofErr w:type="spellEnd"/>
      <w:r w:rsidRPr="0014706E">
        <w:t xml:space="preserve"> </w:t>
      </w:r>
      <w:proofErr w:type="gramStart"/>
      <w:r w:rsidRPr="0014706E">
        <w:t>have to</w:t>
      </w:r>
      <w:proofErr w:type="gramEnd"/>
      <w:r w:rsidRPr="0014706E">
        <w:t xml:space="preserve"> be weighed against the established risks associated with long-term </w:t>
      </w:r>
      <w:r w:rsidRPr="0014706E">
        <w:lastRenderedPageBreak/>
        <w:t>corticosteroid treatment, or the availability of long-term access to faciliti</w:t>
      </w:r>
      <w:r>
        <w:t>es that provide plasma exchange.</w:t>
      </w:r>
    </w:p>
    <w:p w14:paraId="6B512EF5" w14:textId="15D0531F" w:rsidR="003171A1" w:rsidRDefault="003171A1" w:rsidP="003171A1">
      <w:pPr>
        <w:ind w:left="720"/>
      </w:pPr>
      <w:r>
        <w:t xml:space="preserve">The published clinical data provided by the sponsor is as fully comprehensive and current as practicably possible. The data package also included some supportive studies using the </w:t>
      </w:r>
      <w:proofErr w:type="spellStart"/>
      <w:r>
        <w:t>Kiovig</w:t>
      </w:r>
      <w:proofErr w:type="spellEnd"/>
      <w:r>
        <w:t xml:space="preserve"> (or equivalent) brand, in accordance with scientific advice provided in Section 2.6. National and international expert consensus has not identified any additional concerns from use of IVIg in CIDP in terms of both efficacy and safety. On balance, the clinical evaluator considers, taking the totality of the information provided in the clinical dossier into consideration, that the </w:t>
      </w:r>
      <w:r w:rsidR="0046771B">
        <w:t>s</w:t>
      </w:r>
      <w:r>
        <w:t xml:space="preserve">ponsor has ‘adequately justified’ extrapolation of the available published clinical data to the proposed indication, as outlined in the EU Guideline. Hence, the benefit-risk balance is favourable for </w:t>
      </w:r>
      <w:proofErr w:type="spellStart"/>
      <w:r>
        <w:t>Kiovig</w:t>
      </w:r>
      <w:proofErr w:type="spellEnd"/>
      <w:r>
        <w:t xml:space="preserve"> for the proposed indication.</w:t>
      </w:r>
    </w:p>
    <w:p w14:paraId="24836890" w14:textId="77777777" w:rsidR="004872C0" w:rsidRDefault="004872C0" w:rsidP="004872C0">
      <w:pPr>
        <w:ind w:left="720"/>
      </w:pPr>
      <w:r>
        <w:t xml:space="preserve">Based on the evaluation of the clinical data, and the sponsor’s response to the first-round evaluation, the clinical evaluator recommends approval of </w:t>
      </w:r>
      <w:proofErr w:type="spellStart"/>
      <w:r>
        <w:t>Kiovig</w:t>
      </w:r>
      <w:proofErr w:type="spellEnd"/>
      <w:r>
        <w:t xml:space="preserve"> for Chronic inflammatory demyelinating polyradiculoneuropathy (CIDP).</w:t>
      </w:r>
    </w:p>
    <w:p w14:paraId="604F2404" w14:textId="77777777" w:rsidR="004872C0" w:rsidRDefault="004872C0" w:rsidP="004872C0">
      <w:pPr>
        <w:ind w:left="720"/>
      </w:pPr>
      <w:r>
        <w:t>This recommendation differs from the first-round recommendation for the following reasons:</w:t>
      </w:r>
    </w:p>
    <w:p w14:paraId="5725A723" w14:textId="77777777" w:rsidR="004872C0" w:rsidRDefault="004872C0" w:rsidP="004872C0">
      <w:pPr>
        <w:pStyle w:val="ListBullet3"/>
      </w:pPr>
      <w:r>
        <w:t xml:space="preserve">The published clinical data provided by the Sponsor is as fully comprehensive and current as practicably </w:t>
      </w:r>
      <w:proofErr w:type="gramStart"/>
      <w:r>
        <w:t>possible;</w:t>
      </w:r>
      <w:proofErr w:type="gramEnd"/>
    </w:p>
    <w:p w14:paraId="5A89C2F4" w14:textId="77777777" w:rsidR="004872C0" w:rsidRDefault="004872C0" w:rsidP="004872C0">
      <w:pPr>
        <w:pStyle w:val="ListBullet3"/>
      </w:pPr>
      <w:r>
        <w:t xml:space="preserve">Clinical data supported </w:t>
      </w:r>
      <w:proofErr w:type="spellStart"/>
      <w:r>
        <w:t>Kiovig</w:t>
      </w:r>
      <w:proofErr w:type="spellEnd"/>
      <w:r>
        <w:t xml:space="preserve"> use in the maintenance of effect in the treatment of adult CIDP. There is no indication that </w:t>
      </w:r>
      <w:proofErr w:type="spellStart"/>
      <w:r>
        <w:t>Kiovig</w:t>
      </w:r>
      <w:proofErr w:type="spellEnd"/>
      <w:r>
        <w:t xml:space="preserve"> would not be efficacious in the induction (initial) phase of </w:t>
      </w:r>
      <w:proofErr w:type="gramStart"/>
      <w:r>
        <w:t>treatment;</w:t>
      </w:r>
      <w:proofErr w:type="gramEnd"/>
    </w:p>
    <w:p w14:paraId="7208F14A" w14:textId="77777777" w:rsidR="004872C0" w:rsidRDefault="004872C0" w:rsidP="004872C0">
      <w:pPr>
        <w:pStyle w:val="ListBullet3"/>
      </w:pPr>
      <w:r>
        <w:t xml:space="preserve">International and national guidelines and expert consensus indicate that there are no clinically meaningful differences between brands of IVIg, in terms of efficacy or safety for use of IVIg in </w:t>
      </w:r>
      <w:proofErr w:type="gramStart"/>
      <w:r>
        <w:t>CIDP;</w:t>
      </w:r>
      <w:proofErr w:type="gramEnd"/>
    </w:p>
    <w:p w14:paraId="5C1D9E3D" w14:textId="77777777" w:rsidR="004872C0" w:rsidRDefault="004872C0" w:rsidP="004872C0">
      <w:pPr>
        <w:pStyle w:val="ListBullet3"/>
      </w:pPr>
      <w:r>
        <w:t xml:space="preserve">The safety profile of </w:t>
      </w:r>
      <w:proofErr w:type="spellStart"/>
      <w:r>
        <w:t>Kiovig</w:t>
      </w:r>
      <w:proofErr w:type="spellEnd"/>
      <w:r>
        <w:t xml:space="preserve"> has been reasonably well characterised in ITP and PID, using data derived from robust controlled clinical trials. The safety concerns listed in the Summary of Safety Concerns in the RMP are primarily class effects of </w:t>
      </w:r>
      <w:proofErr w:type="spellStart"/>
      <w:r>
        <w:t>IVIgs</w:t>
      </w:r>
      <w:proofErr w:type="spellEnd"/>
      <w:r>
        <w:t>. No new safety signals have been identified specifically in IVIg treatment in CIDP. Any rare adverse events that may be specific to treatment of CIDP patients should become clearer during routine post-market surveillance monitoring activities.</w:t>
      </w:r>
    </w:p>
    <w:p w14:paraId="774C7BD3" w14:textId="77777777" w:rsidR="00531F70" w:rsidRPr="00531F70" w:rsidRDefault="00531F70" w:rsidP="00531F70">
      <w:pPr>
        <w:pStyle w:val="Heading5"/>
      </w:pPr>
      <w:r>
        <w:t>Delegate’s comments on the clinical evaluation</w:t>
      </w:r>
    </w:p>
    <w:p w14:paraId="4C373C8C" w14:textId="77777777" w:rsidR="006D4AEB" w:rsidRDefault="004B3F73" w:rsidP="004B3F73">
      <w:r>
        <w:t>In relation to the clinical evaluator’s assessment (above), t</w:t>
      </w:r>
      <w:r w:rsidR="006D4AEB">
        <w:t>he Delegate commented that:</w:t>
      </w:r>
    </w:p>
    <w:p w14:paraId="7E1A9A1A" w14:textId="77777777" w:rsidR="006D4AEB" w:rsidRPr="006D4AEB" w:rsidRDefault="006D4AEB" w:rsidP="006D4AEB">
      <w:pPr>
        <w:ind w:left="720"/>
      </w:pPr>
      <w:r>
        <w:t>The National Blood Authority</w:t>
      </w:r>
      <w:r w:rsidRPr="006D4AEB">
        <w:t xml:space="preserve"> raw data showed graph, not recommendation, depicting IVIg utilisation in CIDP without any </w:t>
      </w:r>
      <w:proofErr w:type="gramStart"/>
      <w:r w:rsidRPr="006D4AEB">
        <w:t>particular reference/recommendation</w:t>
      </w:r>
      <w:proofErr w:type="gramEnd"/>
      <w:r w:rsidRPr="006D4AEB">
        <w:t xml:space="preserve"> to </w:t>
      </w:r>
      <w:proofErr w:type="spellStart"/>
      <w:r>
        <w:t>Kiovig</w:t>
      </w:r>
      <w:proofErr w:type="spellEnd"/>
      <w:r>
        <w:t>.</w:t>
      </w:r>
    </w:p>
    <w:p w14:paraId="5D96D014" w14:textId="77777777" w:rsidR="006D4AEB" w:rsidRDefault="006D4AEB" w:rsidP="006D4AEB">
      <w:pPr>
        <w:ind w:left="720"/>
      </w:pPr>
      <w:r>
        <w:t xml:space="preserve">While the </w:t>
      </w:r>
      <w:r w:rsidR="004B3F73">
        <w:t>National Blood Authority</w:t>
      </w:r>
      <w:r>
        <w:t xml:space="preserve"> website documents the vast importation of</w:t>
      </w:r>
      <w:r>
        <w:rPr>
          <w:spacing w:val="1"/>
        </w:rPr>
        <w:t xml:space="preserve"> </w:t>
      </w:r>
      <w:r>
        <w:t xml:space="preserve">various </w:t>
      </w:r>
      <w:proofErr w:type="spellStart"/>
      <w:r>
        <w:t>IVIgs</w:t>
      </w:r>
      <w:proofErr w:type="spellEnd"/>
      <w:r>
        <w:t xml:space="preserve"> to Australia, the Delegate is unable to locate the statement</w:t>
      </w:r>
      <w:r>
        <w:rPr>
          <w:spacing w:val="1"/>
        </w:rPr>
        <w:t xml:space="preserve"> </w:t>
      </w:r>
      <w:r>
        <w:t>‘and much of that (</w:t>
      </w:r>
      <w:proofErr w:type="spellStart"/>
      <w:r>
        <w:t>Kiovig</w:t>
      </w:r>
      <w:proofErr w:type="spellEnd"/>
      <w:r>
        <w:t>) for use in CIDP patients (adults and</w:t>
      </w:r>
      <w:r>
        <w:rPr>
          <w:spacing w:val="1"/>
        </w:rPr>
        <w:t xml:space="preserve"> </w:t>
      </w:r>
      <w:r>
        <w:t xml:space="preserve">paediatrics), without any new safety signals identified’ </w:t>
      </w:r>
      <w:r w:rsidRPr="006D4AEB">
        <w:t>ascribed to the</w:t>
      </w:r>
      <w:r>
        <w:t xml:space="preserve"> website.</w:t>
      </w:r>
    </w:p>
    <w:p w14:paraId="7DB97A2F" w14:textId="77777777" w:rsidR="006D4AEB" w:rsidRPr="006D4AEB" w:rsidRDefault="004B3F73" w:rsidP="004B3F73">
      <w:pPr>
        <w:ind w:left="720"/>
      </w:pPr>
      <w:r>
        <w:t>Regarding adverse drug reactions, the Delegate commented that i</w:t>
      </w:r>
      <w:r w:rsidR="006D4AEB">
        <w:t>t is hardly surprisi</w:t>
      </w:r>
      <w:r>
        <w:t>ng that there are no clear CIDP</w:t>
      </w:r>
      <w:r>
        <w:noBreakHyphen/>
      </w:r>
      <w:r w:rsidR="006D4AEB">
        <w:t xml:space="preserve">specific </w:t>
      </w:r>
      <w:proofErr w:type="spellStart"/>
      <w:r w:rsidR="006D4AEB">
        <w:t>Kiovig</w:t>
      </w:r>
      <w:proofErr w:type="spellEnd"/>
      <w:r w:rsidR="006D4AEB">
        <w:rPr>
          <w:spacing w:val="1"/>
        </w:rPr>
        <w:t xml:space="preserve"> </w:t>
      </w:r>
      <w:r>
        <w:t>adverse drug reactions</w:t>
      </w:r>
      <w:r w:rsidR="006D4AEB">
        <w:t xml:space="preserve"> identified to date, given the </w:t>
      </w:r>
      <w:r>
        <w:t xml:space="preserve">scanty specific clinical data </w:t>
      </w:r>
      <w:r w:rsidR="006D4AEB">
        <w:t xml:space="preserve">which exist on the use of </w:t>
      </w:r>
      <w:proofErr w:type="spellStart"/>
      <w:r w:rsidR="006D4AEB">
        <w:t>Kiovig</w:t>
      </w:r>
      <w:proofErr w:type="spellEnd"/>
      <w:r w:rsidR="006D4AEB">
        <w:t xml:space="preserve"> in CIDP despite, the</w:t>
      </w:r>
      <w:r w:rsidR="006D4AEB">
        <w:rPr>
          <w:spacing w:val="1"/>
        </w:rPr>
        <w:t xml:space="preserve"> </w:t>
      </w:r>
      <w:r w:rsidR="006D4AEB">
        <w:t>purported</w:t>
      </w:r>
      <w:r w:rsidR="006D4AEB">
        <w:rPr>
          <w:spacing w:val="-2"/>
        </w:rPr>
        <w:t xml:space="preserve"> </w:t>
      </w:r>
      <w:r w:rsidR="006D4AEB">
        <w:t>registration</w:t>
      </w:r>
      <w:r w:rsidR="006D4AEB">
        <w:rPr>
          <w:spacing w:val="-2"/>
        </w:rPr>
        <w:t xml:space="preserve"> </w:t>
      </w:r>
      <w:r w:rsidR="006D4AEB">
        <w:t>of</w:t>
      </w:r>
      <w:r w:rsidR="006D4AEB">
        <w:rPr>
          <w:spacing w:val="-2"/>
        </w:rPr>
        <w:t xml:space="preserve"> </w:t>
      </w:r>
      <w:proofErr w:type="spellStart"/>
      <w:r w:rsidR="006D4AEB">
        <w:t>Kiovig</w:t>
      </w:r>
      <w:proofErr w:type="spellEnd"/>
      <w:r w:rsidR="006D4AEB">
        <w:rPr>
          <w:spacing w:val="-1"/>
        </w:rPr>
        <w:t xml:space="preserve"> </w:t>
      </w:r>
      <w:r w:rsidR="006D4AEB">
        <w:t>in</w:t>
      </w:r>
      <w:r w:rsidR="006D4AEB">
        <w:rPr>
          <w:spacing w:val="-1"/>
        </w:rPr>
        <w:t xml:space="preserve"> </w:t>
      </w:r>
      <w:r w:rsidR="006D4AEB">
        <w:t>several</w:t>
      </w:r>
      <w:r w:rsidR="006D4AEB">
        <w:rPr>
          <w:spacing w:val="-2"/>
        </w:rPr>
        <w:t xml:space="preserve"> </w:t>
      </w:r>
      <w:r>
        <w:t>countries.</w:t>
      </w:r>
    </w:p>
    <w:p w14:paraId="4F9164FE" w14:textId="77777777" w:rsidR="00436797" w:rsidRDefault="004872C0" w:rsidP="004B3F73">
      <w:pPr>
        <w:ind w:left="720"/>
      </w:pPr>
      <w:r>
        <w:t>The Delegate</w:t>
      </w:r>
      <w:r w:rsidR="004B3F73">
        <w:t xml:space="preserve"> commented that they were i</w:t>
      </w:r>
      <w:r w:rsidR="006D4AEB" w:rsidRPr="006D4AEB">
        <w:t xml:space="preserve">n agreement with the </w:t>
      </w:r>
      <w:r w:rsidR="004B3F73">
        <w:t xml:space="preserve">clinical evaluator concerning </w:t>
      </w:r>
      <w:r w:rsidR="006D4AEB" w:rsidRPr="006D4AEB">
        <w:t xml:space="preserve">the limitations associated with this particular </w:t>
      </w:r>
      <w:proofErr w:type="gramStart"/>
      <w:r w:rsidR="004B3F73">
        <w:t>literature based</w:t>
      </w:r>
      <w:proofErr w:type="gramEnd"/>
      <w:r w:rsidR="004B3F73">
        <w:t xml:space="preserve"> submission.</w:t>
      </w:r>
    </w:p>
    <w:p w14:paraId="17DC514C" w14:textId="77777777" w:rsidR="006D4AEB" w:rsidRPr="004B3F73" w:rsidRDefault="006D4AEB" w:rsidP="004B3F73">
      <w:pPr>
        <w:ind w:left="720"/>
      </w:pPr>
      <w:r w:rsidRPr="004B3F73">
        <w:lastRenderedPageBreak/>
        <w:t xml:space="preserve">It is noted that the approval of </w:t>
      </w:r>
      <w:proofErr w:type="spellStart"/>
      <w:r w:rsidRPr="004B3F73">
        <w:t>Intragam</w:t>
      </w:r>
      <w:proofErr w:type="spellEnd"/>
      <w:r w:rsidRPr="004B3F73">
        <w:t xml:space="preserve"> 10NF in Australia was based on</w:t>
      </w:r>
      <w:r w:rsidR="004B3F73">
        <w:t xml:space="preserve"> a</w:t>
      </w:r>
      <w:r w:rsidRPr="004B3F73">
        <w:t xml:space="preserve"> </w:t>
      </w:r>
      <w:proofErr w:type="gramStart"/>
      <w:r w:rsidR="004B3F73">
        <w:t>literature based</w:t>
      </w:r>
      <w:proofErr w:type="gramEnd"/>
      <w:r w:rsidR="004B3F73">
        <w:t xml:space="preserve"> submission</w:t>
      </w:r>
      <w:r w:rsidRPr="004B3F73">
        <w:t xml:space="preserve"> similar to the current </w:t>
      </w:r>
      <w:r w:rsidR="004B3F73">
        <w:t xml:space="preserve">submission, </w:t>
      </w:r>
      <w:r w:rsidRPr="004B3F73">
        <w:t>and,</w:t>
      </w:r>
      <w:r w:rsidR="004B3F73">
        <w:t xml:space="preserve"> similar to submissions</w:t>
      </w:r>
      <w:r w:rsidRPr="004B3F73">
        <w:t xml:space="preserve"> in the EU and other international regulatory jurisdictions. However, the </w:t>
      </w:r>
      <w:proofErr w:type="spellStart"/>
      <w:r w:rsidRPr="004B3F73">
        <w:t>Intragam</w:t>
      </w:r>
      <w:proofErr w:type="spellEnd"/>
      <w:r w:rsidRPr="004B3F73">
        <w:t xml:space="preserve"> 10NF situation was about a decade ago and on-going regulatory actions, demand moving forward for the sake of achieving better ove</w:t>
      </w:r>
      <w:r w:rsidR="004B3F73">
        <w:t>rt efficacy and safety outcomes.</w:t>
      </w:r>
    </w:p>
    <w:p w14:paraId="7A278F19" w14:textId="77777777" w:rsidR="006D4AEB" w:rsidRPr="0028503F" w:rsidRDefault="004B3F73" w:rsidP="0028503F">
      <w:pPr>
        <w:ind w:left="720"/>
      </w:pPr>
      <w:r>
        <w:t>The Delegate suggested</w:t>
      </w:r>
      <w:r w:rsidR="006D4AEB">
        <w:rPr>
          <w:spacing w:val="-3"/>
        </w:rPr>
        <w:t xml:space="preserve"> </w:t>
      </w:r>
      <w:r w:rsidR="006D4AEB">
        <w:t>there may be</w:t>
      </w:r>
      <w:r>
        <w:t xml:space="preserve"> </w:t>
      </w:r>
      <w:r w:rsidR="006D4AEB" w:rsidRPr="004B3F73">
        <w:t xml:space="preserve">upcoming level I trials regarding the use of </w:t>
      </w:r>
      <w:proofErr w:type="spellStart"/>
      <w:r w:rsidR="006D4AEB" w:rsidRPr="004B3F73">
        <w:t>Kiovig</w:t>
      </w:r>
      <w:proofErr w:type="spellEnd"/>
      <w:r w:rsidR="006D4AEB" w:rsidRPr="004B3F73">
        <w:t xml:space="preserve"> in CIDP</w:t>
      </w:r>
      <w:r>
        <w:t>, for example a</w:t>
      </w:r>
      <w:r w:rsidR="006D4AEB" w:rsidRPr="004B3F73">
        <w:t xml:space="preserve"> proposed Phase III </w:t>
      </w:r>
      <w:r w:rsidRPr="004B3F73">
        <w:t>eff</w:t>
      </w:r>
      <w:r w:rsidR="0028503F">
        <w:t xml:space="preserve">icacy, safety and tolerability </w:t>
      </w:r>
      <w:r w:rsidRPr="004B3F73">
        <w:t>clin</w:t>
      </w:r>
      <w:r w:rsidR="0028503F">
        <w:t xml:space="preserve">ical </w:t>
      </w:r>
      <w:r w:rsidRPr="004B3F73">
        <w:t xml:space="preserve">study </w:t>
      </w:r>
      <w:r w:rsidR="006D4AEB" w:rsidRPr="004B3F73">
        <w:t xml:space="preserve">of </w:t>
      </w:r>
      <w:proofErr w:type="spellStart"/>
      <w:r w:rsidR="0028503F" w:rsidRPr="004B3F73">
        <w:t>Hyqvia</w:t>
      </w:r>
      <w:proofErr w:type="spellEnd"/>
      <w:r w:rsidR="006D4AEB" w:rsidRPr="004B3F73">
        <w:t>/</w:t>
      </w:r>
      <w:proofErr w:type="spellStart"/>
      <w:r w:rsidR="006D4AEB" w:rsidRPr="004B3F73">
        <w:t>HyQvia</w:t>
      </w:r>
      <w:proofErr w:type="spellEnd"/>
      <w:r w:rsidR="006D4AEB" w:rsidRPr="004B3F73">
        <w:t xml:space="preserve"> and </w:t>
      </w:r>
      <w:proofErr w:type="spellStart"/>
      <w:r w:rsidR="0028503F" w:rsidRPr="004B3F73">
        <w:t>Gammagard</w:t>
      </w:r>
      <w:proofErr w:type="spellEnd"/>
      <w:r w:rsidR="0028503F" w:rsidRPr="004B3F73">
        <w:t xml:space="preserve"> Liquid/</w:t>
      </w:r>
      <w:proofErr w:type="spellStart"/>
      <w:r w:rsidR="0028503F" w:rsidRPr="004B3F73">
        <w:t>Kiovig</w:t>
      </w:r>
      <w:proofErr w:type="spellEnd"/>
      <w:r w:rsidR="0028503F" w:rsidRPr="004B3F73">
        <w:t xml:space="preserve"> </w:t>
      </w:r>
      <w:r w:rsidR="0028503F">
        <w:t xml:space="preserve">in CIDP; with a </w:t>
      </w:r>
      <w:r w:rsidR="006D4AEB" w:rsidRPr="004B3F73">
        <w:t>US National Library o</w:t>
      </w:r>
      <w:r w:rsidR="0028503F">
        <w:t>f Medicine: Clinical Trials.gov identifier of</w:t>
      </w:r>
      <w:r w:rsidR="006D4AEB" w:rsidRPr="004B3F73">
        <w:t xml:space="preserve"> NCT02549170</w:t>
      </w:r>
      <w:r w:rsidR="0028503F">
        <w:t xml:space="preserve">; and </w:t>
      </w:r>
      <w:r w:rsidR="006D4AEB" w:rsidRPr="004B3F73">
        <w:t>studies seeking</w:t>
      </w:r>
      <w:r w:rsidR="0028503F">
        <w:t xml:space="preserve"> a</w:t>
      </w:r>
      <w:r w:rsidR="006D4AEB" w:rsidRPr="004B3F73">
        <w:t xml:space="preserve"> larger cohort population to co</w:t>
      </w:r>
      <w:r w:rsidR="0028503F">
        <w:t xml:space="preserve">nfirm the use of </w:t>
      </w:r>
      <w:proofErr w:type="spellStart"/>
      <w:r w:rsidR="0028503F">
        <w:t>Kiovig</w:t>
      </w:r>
      <w:proofErr w:type="spellEnd"/>
      <w:r w:rsidR="0028503F">
        <w:t xml:space="preserve"> in CIDP, for example, </w:t>
      </w:r>
      <w:proofErr w:type="spellStart"/>
      <w:r w:rsidR="0028503F">
        <w:t>N.Nikolov</w:t>
      </w:r>
      <w:proofErr w:type="spellEnd"/>
      <w:r w:rsidR="0028503F">
        <w:t xml:space="preserve"> et al. 2016, ‘</w:t>
      </w:r>
      <w:r w:rsidR="006D4AEB" w:rsidRPr="004B3F73">
        <w:t>10% liquid human immunoglobulin (</w:t>
      </w:r>
      <w:proofErr w:type="spellStart"/>
      <w:r w:rsidR="0028503F" w:rsidRPr="004B3F73">
        <w:t>Kiovig</w:t>
      </w:r>
      <w:proofErr w:type="spellEnd"/>
      <w:r w:rsidR="006D4AEB" w:rsidRPr="004B3F73">
        <w:t>) for immunomod</w:t>
      </w:r>
      <w:r w:rsidR="0028503F">
        <w:t>ulation in autoimmune disorders’; Immunotherapy, Vol 8, No 8.</w:t>
      </w:r>
    </w:p>
    <w:p w14:paraId="5AA99EA7" w14:textId="77777777" w:rsidR="006D4AEB" w:rsidRPr="0028503F" w:rsidRDefault="0028503F" w:rsidP="0028503F">
      <w:pPr>
        <w:ind w:left="720"/>
      </w:pPr>
      <w:r>
        <w:t xml:space="preserve">The Delegate commented pointing out </w:t>
      </w:r>
      <w:r w:rsidR="006D4AEB" w:rsidRPr="0028503F">
        <w:t xml:space="preserve">that </w:t>
      </w:r>
      <w:proofErr w:type="spellStart"/>
      <w:r w:rsidR="006D4AEB" w:rsidRPr="0028503F">
        <w:t>Intragram</w:t>
      </w:r>
      <w:proofErr w:type="spellEnd"/>
      <w:r w:rsidR="006D4AEB" w:rsidRPr="0028503F">
        <w:t xml:space="preserve"> 10 and </w:t>
      </w:r>
      <w:r w:rsidR="0014706E" w:rsidRPr="0014706E">
        <w:rPr>
          <w:i/>
        </w:rPr>
        <w:t>not</w:t>
      </w:r>
      <w:r w:rsidR="006D4AEB" w:rsidRPr="0028503F">
        <w:t xml:space="preserve"> </w:t>
      </w:r>
      <w:proofErr w:type="spellStart"/>
      <w:r w:rsidR="006D4AEB" w:rsidRPr="0028503F">
        <w:t>Sandoglobulin</w:t>
      </w:r>
      <w:proofErr w:type="spellEnd"/>
      <w:r w:rsidR="006D4AEB" w:rsidRPr="0028503F">
        <w:t xml:space="preserve"> is listed on the ARTG</w:t>
      </w:r>
      <w:r>
        <w:t xml:space="preserve">. </w:t>
      </w:r>
      <w:r w:rsidR="006D4AEB" w:rsidRPr="0028503F">
        <w:t xml:space="preserve">Contrary to what is stated, only a comparison of IVIg products for CIDP in Australia in terms of excipient composition was provided. There was no actual head to head comparable clinical trial study provided with respect to ARTG listed </w:t>
      </w:r>
      <w:proofErr w:type="spellStart"/>
      <w:r w:rsidR="006D4AEB" w:rsidRPr="0028503F">
        <w:t>IVIg</w:t>
      </w:r>
      <w:r>
        <w:t>s</w:t>
      </w:r>
      <w:proofErr w:type="spellEnd"/>
      <w:r>
        <w:t>.</w:t>
      </w:r>
    </w:p>
    <w:p w14:paraId="38384E27" w14:textId="77777777" w:rsidR="00273E4A" w:rsidRDefault="0028503F" w:rsidP="0014706E">
      <w:pPr>
        <w:ind w:left="720"/>
      </w:pPr>
      <w:r>
        <w:t xml:space="preserve">The Delegate stated </w:t>
      </w:r>
      <w:r w:rsidR="0014706E">
        <w:t xml:space="preserve">that </w:t>
      </w:r>
      <w:r>
        <w:t>they</w:t>
      </w:r>
      <w:r w:rsidR="006D4AEB" w:rsidRPr="0028503F">
        <w:t xml:space="preserve"> believe that there was quite a limitation of brand-specific cli</w:t>
      </w:r>
      <w:r>
        <w:t xml:space="preserve">nical data in the submission. The Delegate could </w:t>
      </w:r>
      <w:r w:rsidR="006D4AEB" w:rsidRPr="0028503F">
        <w:t xml:space="preserve">only recognise </w:t>
      </w:r>
      <w:proofErr w:type="spellStart"/>
      <w:r w:rsidR="006D4AEB" w:rsidRPr="0028503F">
        <w:t>Gammagard</w:t>
      </w:r>
      <w:proofErr w:type="spellEnd"/>
      <w:r w:rsidR="006D4AEB" w:rsidRPr="0028503F">
        <w:t xml:space="preserve"> S/D (not on </w:t>
      </w:r>
      <w:r>
        <w:t xml:space="preserve">the </w:t>
      </w:r>
      <w:r w:rsidR="006D4AEB" w:rsidRPr="0028503F">
        <w:t xml:space="preserve">ARTG) and </w:t>
      </w:r>
      <w:proofErr w:type="spellStart"/>
      <w:r w:rsidR="006D4AEB" w:rsidRPr="0028503F">
        <w:t>Gamunex</w:t>
      </w:r>
      <w:proofErr w:type="spellEnd"/>
      <w:r w:rsidR="00273E4A" w:rsidRPr="0028503F">
        <w:t xml:space="preserve"> </w:t>
      </w:r>
      <w:proofErr w:type="spellStart"/>
      <w:r w:rsidR="00273E4A" w:rsidRPr="0028503F">
        <w:t>Kuitwaard</w:t>
      </w:r>
      <w:proofErr w:type="spellEnd"/>
      <w:r w:rsidR="00273E4A" w:rsidRPr="0028503F">
        <w:t xml:space="preserve"> et al (2010) publication was a direct head-to-head comparison of two brands o</w:t>
      </w:r>
      <w:r w:rsidR="0014706E">
        <w:t>f IVIg (</w:t>
      </w:r>
      <w:proofErr w:type="spellStart"/>
      <w:r w:rsidR="0014706E">
        <w:t>Kiovig</w:t>
      </w:r>
      <w:proofErr w:type="spellEnd"/>
      <w:r w:rsidR="0014706E">
        <w:t xml:space="preserve"> versus</w:t>
      </w:r>
      <w:r w:rsidR="00273E4A" w:rsidRPr="0028503F">
        <w:t xml:space="preserve"> </w:t>
      </w:r>
      <w:proofErr w:type="spellStart"/>
      <w:r w:rsidR="00273E4A" w:rsidRPr="0028503F">
        <w:t>Gammagard</w:t>
      </w:r>
      <w:proofErr w:type="spellEnd"/>
      <w:r w:rsidR="00273E4A" w:rsidRPr="0028503F">
        <w:t xml:space="preserve"> S/D) in CIDP, maintenance, </w:t>
      </w:r>
      <w:r w:rsidR="0014706E" w:rsidRPr="0014706E">
        <w:rPr>
          <w:i/>
        </w:rPr>
        <w:t>not acute</w:t>
      </w:r>
      <w:r w:rsidR="00273E4A" w:rsidRPr="0028503F">
        <w:t>, treatment only.</w:t>
      </w:r>
    </w:p>
    <w:p w14:paraId="631AEDB5" w14:textId="77777777" w:rsidR="00273E4A" w:rsidRPr="0014706E" w:rsidRDefault="00273E4A" w:rsidP="0014706E">
      <w:pPr>
        <w:ind w:left="720"/>
      </w:pPr>
      <w:r w:rsidRPr="0014706E">
        <w:t xml:space="preserve">The acknowledgement that the different brands of </w:t>
      </w:r>
      <w:proofErr w:type="spellStart"/>
      <w:r w:rsidRPr="0014706E">
        <w:t>IVIgs</w:t>
      </w:r>
      <w:proofErr w:type="spellEnd"/>
      <w:r w:rsidRPr="0014706E">
        <w:t xml:space="preserve"> are not identical is noted. Any expectation that the different branded products of IVIg that meet the accepted specifications will have </w:t>
      </w:r>
      <w:r w:rsidR="0014706E">
        <w:t>‘equivalence of efficacy’, that is, therapeutic equivalence (and safety)</w:t>
      </w:r>
      <w:r w:rsidRPr="0014706E">
        <w:t xml:space="preserve"> based on accepted standard pharmacopeia monograph</w:t>
      </w:r>
      <w:r w:rsidR="0014706E">
        <w:t>s,</w:t>
      </w:r>
      <w:r w:rsidRPr="0014706E">
        <w:t xml:space="preserve"> may be an assumption. </w:t>
      </w:r>
      <w:r w:rsidR="0014706E">
        <w:t>A w</w:t>
      </w:r>
      <w:r w:rsidRPr="0014706E">
        <w:t xml:space="preserve">ell-designed comparable study of </w:t>
      </w:r>
      <w:proofErr w:type="spellStart"/>
      <w:r w:rsidRPr="0014706E">
        <w:t>Kiovig</w:t>
      </w:r>
      <w:proofErr w:type="spellEnd"/>
      <w:r w:rsidRPr="0014706E">
        <w:t xml:space="preserve"> with a listed ARTG IVIg for the CIDP indication will have been more convincing </w:t>
      </w:r>
      <w:r w:rsidR="0014706E">
        <w:t>/decisive.</w:t>
      </w:r>
    </w:p>
    <w:p w14:paraId="1B1E13CB" w14:textId="77777777" w:rsidR="00273E4A" w:rsidRPr="0014706E" w:rsidRDefault="00273E4A" w:rsidP="0014706E">
      <w:pPr>
        <w:ind w:left="720"/>
      </w:pPr>
      <w:r w:rsidRPr="0014706E">
        <w:t>This statement from the</w:t>
      </w:r>
      <w:r w:rsidR="0014706E">
        <w:t xml:space="preserve"> National Blood Authority website ‘</w:t>
      </w:r>
      <w:r w:rsidRPr="0014706E">
        <w:t>Products available under current contracts will continue to be available and patients already receiving ongoing treatment with particular Ig products are not expected to be required to switch product brands</w:t>
      </w:r>
      <w:r w:rsidR="0014706E">
        <w:t>’</w:t>
      </w:r>
      <w:r w:rsidRPr="0014706E">
        <w:t xml:space="preserve"> will seem to be mooting that </w:t>
      </w:r>
      <w:proofErr w:type="spellStart"/>
      <w:r w:rsidRPr="0014706E">
        <w:t>IVIgs</w:t>
      </w:r>
      <w:proofErr w:type="spellEnd"/>
      <w:r w:rsidRPr="0014706E">
        <w:t xml:space="preserve"> are strictly </w:t>
      </w:r>
      <w:r w:rsidR="0014706E" w:rsidRPr="0014706E">
        <w:rPr>
          <w:i/>
        </w:rPr>
        <w:t>not</w:t>
      </w:r>
      <w:r w:rsidRPr="0014706E">
        <w:t xml:space="preserve"> interchangeable generics </w:t>
      </w:r>
      <w:r w:rsidR="0014706E">
        <w:t>(in contrast with</w:t>
      </w:r>
      <w:r w:rsidRPr="0014706E">
        <w:t xml:space="preserve"> biosimilars in the Australia </w:t>
      </w:r>
      <w:r w:rsidR="0014706E">
        <w:t>context)</w:t>
      </w:r>
      <w:r w:rsidRPr="0014706E">
        <w:t>.</w:t>
      </w:r>
    </w:p>
    <w:p w14:paraId="6BEA20D2" w14:textId="77777777" w:rsidR="00273E4A" w:rsidRPr="0014706E" w:rsidRDefault="00273E4A" w:rsidP="0014706E">
      <w:pPr>
        <w:ind w:left="720"/>
      </w:pPr>
      <w:r w:rsidRPr="0014706E">
        <w:t xml:space="preserve">It is not factual to state that the evidence to support </w:t>
      </w:r>
      <w:proofErr w:type="spellStart"/>
      <w:r w:rsidRPr="0014706E">
        <w:t>Kiovig</w:t>
      </w:r>
      <w:proofErr w:type="spellEnd"/>
      <w:r w:rsidRPr="0014706E">
        <w:t xml:space="preserve"> in an acute/induction phase of CIDP treatment is limited when in fact, there is </w:t>
      </w:r>
      <w:r w:rsidR="0014706E">
        <w:t>virtually none.</w:t>
      </w:r>
    </w:p>
    <w:p w14:paraId="0FF9FC79" w14:textId="77777777" w:rsidR="00273E4A" w:rsidRPr="0014706E" w:rsidRDefault="0014706E" w:rsidP="0014706E">
      <w:pPr>
        <w:ind w:left="720"/>
      </w:pPr>
      <w:r>
        <w:t>The Delegate stated that, a</w:t>
      </w:r>
      <w:r w:rsidR="00273E4A" w:rsidRPr="0014706E">
        <w:t xml:space="preserve">gain, long-term efficacy and safety data for </w:t>
      </w:r>
      <w:proofErr w:type="spellStart"/>
      <w:r w:rsidR="00273E4A" w:rsidRPr="0014706E">
        <w:t>Kiovig</w:t>
      </w:r>
      <w:proofErr w:type="spellEnd"/>
      <w:r w:rsidR="00273E4A" w:rsidRPr="0014706E">
        <w:t xml:space="preserve"> in CIDP treatment is not just limited but </w:t>
      </w:r>
      <w:proofErr w:type="gramStart"/>
      <w:r w:rsidR="00273E4A" w:rsidRPr="0014706E">
        <w:t>actually absent</w:t>
      </w:r>
      <w:proofErr w:type="gramEnd"/>
      <w:r w:rsidR="00273E4A" w:rsidRPr="0014706E">
        <w:t>.</w:t>
      </w:r>
    </w:p>
    <w:p w14:paraId="04575BE4" w14:textId="77777777" w:rsidR="00273E4A" w:rsidRPr="003171A1" w:rsidRDefault="00273E4A" w:rsidP="003171A1">
      <w:pPr>
        <w:ind w:left="720"/>
      </w:pPr>
      <w:r w:rsidRPr="003171A1">
        <w:t>The Delegate provided scie</w:t>
      </w:r>
      <w:r w:rsidR="003171A1">
        <w:t>ntific advice on two</w:t>
      </w:r>
      <w:r w:rsidRPr="003171A1">
        <w:t xml:space="preserve"> issues pertaining to </w:t>
      </w:r>
      <w:r w:rsidR="003171A1">
        <w:t>the clinical dossier</w:t>
      </w:r>
      <w:r w:rsidRPr="003171A1">
        <w:t xml:space="preserve"> in</w:t>
      </w:r>
      <w:r w:rsidR="003171A1">
        <w:t xml:space="preserve"> pre-submission correspondence with the s</w:t>
      </w:r>
      <w:r w:rsidRPr="003171A1">
        <w:t>ponsor dated 15 June 2020 (Issue 1) and 25</w:t>
      </w:r>
      <w:r w:rsidR="003171A1">
        <w:t> </w:t>
      </w:r>
      <w:r w:rsidRPr="003171A1">
        <w:t>June 2020 (Issue 2):</w:t>
      </w:r>
    </w:p>
    <w:p w14:paraId="266CFA91" w14:textId="77777777" w:rsidR="00273E4A" w:rsidRDefault="003171A1" w:rsidP="003171A1">
      <w:pPr>
        <w:ind w:left="1440"/>
      </w:pPr>
      <w:r>
        <w:t xml:space="preserve">Issue 1: </w:t>
      </w:r>
      <w:r w:rsidR="00273E4A">
        <w:t>In the absence of a bridging study or insufficient</w:t>
      </w:r>
      <w:r w:rsidR="00273E4A">
        <w:rPr>
          <w:spacing w:val="1"/>
        </w:rPr>
        <w:t xml:space="preserve"> </w:t>
      </w:r>
      <w:r>
        <w:t xml:space="preserve">published </w:t>
      </w:r>
      <w:proofErr w:type="spellStart"/>
      <w:r>
        <w:t>Kiovig</w:t>
      </w:r>
      <w:proofErr w:type="spellEnd"/>
      <w:r>
        <w:noBreakHyphen/>
      </w:r>
      <w:r w:rsidR="00273E4A">
        <w:t>specific efficacy and safety data to</w:t>
      </w:r>
      <w:r w:rsidR="00273E4A">
        <w:rPr>
          <w:spacing w:val="1"/>
        </w:rPr>
        <w:t xml:space="preserve"> </w:t>
      </w:r>
      <w:r w:rsidR="00273E4A">
        <w:t xml:space="preserve">support the </w:t>
      </w:r>
      <w:r>
        <w:t>extension of indications</w:t>
      </w:r>
      <w:r w:rsidR="00273E4A">
        <w:t xml:space="preserve"> application in its entirety, use of non-</w:t>
      </w:r>
      <w:r w:rsidR="00273E4A">
        <w:rPr>
          <w:spacing w:val="-46"/>
        </w:rPr>
        <w:t xml:space="preserve"> </w:t>
      </w:r>
      <w:proofErr w:type="spellStart"/>
      <w:r w:rsidR="00273E4A">
        <w:t>Kiovig</w:t>
      </w:r>
      <w:proofErr w:type="spellEnd"/>
      <w:r w:rsidR="00273E4A">
        <w:t xml:space="preserve"> data would be acceptable, provided the IVIg</w:t>
      </w:r>
      <w:r w:rsidR="00273E4A">
        <w:rPr>
          <w:spacing w:val="1"/>
        </w:rPr>
        <w:t xml:space="preserve"> </w:t>
      </w:r>
      <w:r w:rsidR="00273E4A">
        <w:t>brand was specified in the publication. For the latter,</w:t>
      </w:r>
      <w:r w:rsidR="00273E4A">
        <w:rPr>
          <w:spacing w:val="1"/>
        </w:rPr>
        <w:t xml:space="preserve"> </w:t>
      </w:r>
      <w:r w:rsidR="00273E4A">
        <w:t>robust rationale for inclusion of each publication was</w:t>
      </w:r>
      <w:r w:rsidR="00273E4A">
        <w:rPr>
          <w:spacing w:val="-46"/>
        </w:rPr>
        <w:t xml:space="preserve"> </w:t>
      </w:r>
      <w:r w:rsidR="00273E4A">
        <w:t xml:space="preserve">required, since all </w:t>
      </w:r>
      <w:proofErr w:type="spellStart"/>
      <w:r w:rsidR="00273E4A">
        <w:t>IVIgs</w:t>
      </w:r>
      <w:proofErr w:type="spellEnd"/>
      <w:r w:rsidR="00273E4A">
        <w:t xml:space="preserve"> are not identical. Unspecified</w:t>
      </w:r>
      <w:r w:rsidR="00273E4A">
        <w:rPr>
          <w:spacing w:val="-46"/>
        </w:rPr>
        <w:t xml:space="preserve"> </w:t>
      </w:r>
      <w:r w:rsidR="00273E4A">
        <w:t>IVIg</w:t>
      </w:r>
      <w:r w:rsidR="00273E4A">
        <w:rPr>
          <w:spacing w:val="-2"/>
        </w:rPr>
        <w:t xml:space="preserve"> </w:t>
      </w:r>
      <w:r w:rsidR="00273E4A">
        <w:t>data</w:t>
      </w:r>
      <w:r w:rsidR="00273E4A">
        <w:rPr>
          <w:spacing w:val="-2"/>
        </w:rPr>
        <w:t xml:space="preserve"> </w:t>
      </w:r>
      <w:r w:rsidR="00273E4A">
        <w:t>were</w:t>
      </w:r>
      <w:r w:rsidR="00273E4A">
        <w:rPr>
          <w:spacing w:val="-1"/>
        </w:rPr>
        <w:t xml:space="preserve"> </w:t>
      </w:r>
      <w:r w:rsidR="00273E4A">
        <w:t>not</w:t>
      </w:r>
      <w:r w:rsidR="00273E4A">
        <w:rPr>
          <w:spacing w:val="-2"/>
        </w:rPr>
        <w:t xml:space="preserve"> </w:t>
      </w:r>
      <w:r w:rsidR="00273E4A">
        <w:t>acceptable</w:t>
      </w:r>
      <w:r w:rsidR="00273E4A">
        <w:rPr>
          <w:spacing w:val="-1"/>
        </w:rPr>
        <w:t xml:space="preserve"> </w:t>
      </w:r>
      <w:r w:rsidR="00273E4A">
        <w:t>for</w:t>
      </w:r>
      <w:r w:rsidR="00273E4A">
        <w:rPr>
          <w:spacing w:val="-1"/>
        </w:rPr>
        <w:t xml:space="preserve"> </w:t>
      </w:r>
      <w:r w:rsidR="00273E4A">
        <w:t>an</w:t>
      </w:r>
      <w:r w:rsidR="00273E4A">
        <w:rPr>
          <w:spacing w:val="-3"/>
        </w:rPr>
        <w:t xml:space="preserve"> </w:t>
      </w:r>
      <w:r>
        <w:t>extension of indications.</w:t>
      </w:r>
    </w:p>
    <w:p w14:paraId="3DD5641E" w14:textId="77777777" w:rsidR="00273E4A" w:rsidRPr="003171A1" w:rsidRDefault="003171A1" w:rsidP="003171A1">
      <w:pPr>
        <w:ind w:left="720"/>
      </w:pPr>
      <w:proofErr w:type="gramStart"/>
      <w:r>
        <w:lastRenderedPageBreak/>
        <w:t>It would appear that the</w:t>
      </w:r>
      <w:proofErr w:type="gramEnd"/>
      <w:r>
        <w:t xml:space="preserve"> s</w:t>
      </w:r>
      <w:r w:rsidR="00273E4A" w:rsidRPr="003171A1">
        <w:t xml:space="preserve">ponsor did not satisfactorily resolve Issue 1 above prior to submitting the application, as the bulk of the IVIg brand used in the </w:t>
      </w:r>
      <w:r>
        <w:t>submitted non</w:t>
      </w:r>
      <w:r>
        <w:noBreakHyphen/>
      </w:r>
      <w:proofErr w:type="spellStart"/>
      <w:r w:rsidR="00273E4A" w:rsidRPr="003171A1">
        <w:t>Kiovig</w:t>
      </w:r>
      <w:proofErr w:type="spellEnd"/>
      <w:r w:rsidR="00273E4A" w:rsidRPr="003171A1">
        <w:t xml:space="preserve"> publication data was not specified. The hope was that the </w:t>
      </w:r>
      <w:r>
        <w:t xml:space="preserve">specification and/or </w:t>
      </w:r>
      <w:r w:rsidR="00273E4A" w:rsidRPr="003171A1">
        <w:t xml:space="preserve">identification of those </w:t>
      </w:r>
      <w:proofErr w:type="spellStart"/>
      <w:r w:rsidR="00273E4A" w:rsidRPr="003171A1">
        <w:t>IVIgs</w:t>
      </w:r>
      <w:proofErr w:type="spellEnd"/>
      <w:r w:rsidR="00273E4A" w:rsidRPr="003171A1">
        <w:t xml:space="preserve"> would turn out to be those listed on the ARTG, being used in reputable publications. The inclusion of each publication was also not robustly justified.</w:t>
      </w:r>
    </w:p>
    <w:p w14:paraId="3E6EABC4" w14:textId="77777777" w:rsidR="00273E4A" w:rsidRPr="003171A1" w:rsidRDefault="00273E4A" w:rsidP="003171A1">
      <w:pPr>
        <w:ind w:left="1440"/>
      </w:pPr>
      <w:r w:rsidRPr="003171A1">
        <w:t xml:space="preserve">Issue 2: </w:t>
      </w:r>
      <w:r w:rsidR="003171A1">
        <w:t>The Delegate advised the s</w:t>
      </w:r>
      <w:r w:rsidRPr="003171A1">
        <w:t xml:space="preserve">ponsor that a deficiency in a previously approved </w:t>
      </w:r>
      <w:proofErr w:type="gramStart"/>
      <w:r w:rsidR="003171A1">
        <w:t>literature based</w:t>
      </w:r>
      <w:proofErr w:type="gramEnd"/>
      <w:r w:rsidR="003171A1">
        <w:t xml:space="preserve"> submission</w:t>
      </w:r>
      <w:r w:rsidRPr="003171A1">
        <w:t xml:space="preserve"> application for CIDP treatment negated its use as a precedent in this </w:t>
      </w:r>
      <w:r w:rsidR="003171A1">
        <w:t>literature based submission</w:t>
      </w:r>
      <w:r w:rsidRPr="003171A1">
        <w:t xml:space="preserve"> application.</w:t>
      </w:r>
    </w:p>
    <w:p w14:paraId="36C04204" w14:textId="77777777" w:rsidR="00273E4A" w:rsidRPr="003171A1" w:rsidRDefault="00273E4A" w:rsidP="003171A1">
      <w:pPr>
        <w:ind w:left="720"/>
      </w:pPr>
      <w:r w:rsidRPr="003171A1">
        <w:t>Despite the above advic</w:t>
      </w:r>
      <w:r w:rsidR="004872C0">
        <w:t>e, the s</w:t>
      </w:r>
      <w:r w:rsidRPr="003171A1">
        <w:t xml:space="preserve">ponsor has cited a ‘precedent of the TGA approval in March 2011 of the application filed by CSL Behring to extend the indication of </w:t>
      </w:r>
      <w:proofErr w:type="spellStart"/>
      <w:r w:rsidRPr="003171A1">
        <w:t>Intragram</w:t>
      </w:r>
      <w:proofErr w:type="spellEnd"/>
      <w:r w:rsidRPr="003171A1">
        <w:t xml:space="preserve"> 10NF to CIDP.’ </w:t>
      </w:r>
      <w:r w:rsidR="004872C0">
        <w:t>The s</w:t>
      </w:r>
      <w:r w:rsidRPr="003171A1">
        <w:t xml:space="preserve">ponsor stated that the application was ‘supported by </w:t>
      </w:r>
      <w:proofErr w:type="gramStart"/>
      <w:r w:rsidRPr="003171A1">
        <w:t>a</w:t>
      </w:r>
      <w:proofErr w:type="gramEnd"/>
      <w:r w:rsidRPr="003171A1">
        <w:t xml:space="preserve"> LBS </w:t>
      </w:r>
      <w:r w:rsidR="004872C0">
        <w:t xml:space="preserve">[literature based submission] </w:t>
      </w:r>
      <w:r w:rsidRPr="003171A1">
        <w:t xml:space="preserve">without a bridging study or brand-specific data,’ as well as reference to an </w:t>
      </w:r>
      <w:r w:rsidR="004872C0">
        <w:t>National Blood Authority</w:t>
      </w:r>
      <w:r w:rsidRPr="003171A1">
        <w:t xml:space="preserve"> publication.</w:t>
      </w:r>
    </w:p>
    <w:p w14:paraId="08B155B2" w14:textId="77777777" w:rsidR="00273E4A" w:rsidRPr="003171A1" w:rsidRDefault="004872C0" w:rsidP="003171A1">
      <w:pPr>
        <w:ind w:left="720"/>
      </w:pPr>
      <w:r>
        <w:t>As previously stated, the s</w:t>
      </w:r>
      <w:r w:rsidR="00273E4A" w:rsidRPr="003171A1">
        <w:t>ponsor did not provide adequate detailed justification to extrapolate efficacy and safety data from established indications as suggested in the EU guidance document. The strength of the justification provided is weak</w:t>
      </w:r>
      <w:r>
        <w:t>:</w:t>
      </w:r>
    </w:p>
    <w:p w14:paraId="163130A9" w14:textId="77777777" w:rsidR="00273E4A" w:rsidRPr="004872C0" w:rsidRDefault="004872C0" w:rsidP="004872C0">
      <w:pPr>
        <w:ind w:left="1440"/>
        <w:rPr>
          <w:i/>
        </w:rPr>
      </w:pPr>
      <w:r w:rsidRPr="004872C0">
        <w:rPr>
          <w:i/>
        </w:rPr>
        <w:t>‘</w:t>
      </w:r>
      <w:r w:rsidR="00273E4A" w:rsidRPr="004872C0">
        <w:rPr>
          <w:i/>
        </w:rPr>
        <w:t xml:space="preserve">The EU CIDP indication was mainly based on literature data and, multiple countries had CIDP approved as an indication based on the same literature data </w:t>
      </w:r>
      <w:r w:rsidRPr="004872C0">
        <w:rPr>
          <w:i/>
        </w:rPr>
        <w:t>package’</w:t>
      </w:r>
      <w:r w:rsidR="00273E4A" w:rsidRPr="004872C0">
        <w:rPr>
          <w:i/>
        </w:rPr>
        <w:t>.</w:t>
      </w:r>
    </w:p>
    <w:p w14:paraId="78247033" w14:textId="77777777" w:rsidR="000748E7" w:rsidRPr="004872C0" w:rsidRDefault="000748E7" w:rsidP="004872C0">
      <w:pPr>
        <w:ind w:left="720"/>
      </w:pPr>
      <w:proofErr w:type="spellStart"/>
      <w:r w:rsidRPr="003171A1">
        <w:t>Kuitwaard</w:t>
      </w:r>
      <w:proofErr w:type="spellEnd"/>
      <w:r w:rsidRPr="003171A1">
        <w:t xml:space="preserve"> et al</w:t>
      </w:r>
      <w:r w:rsidR="004872C0">
        <w:t>.</w:t>
      </w:r>
      <w:r w:rsidRPr="003171A1">
        <w:t xml:space="preserve"> (2010) publication was a direct head-to-head comparison of two brands of IVIg (</w:t>
      </w:r>
      <w:proofErr w:type="spellStart"/>
      <w:r w:rsidRPr="003171A1">
        <w:t>Kio</w:t>
      </w:r>
      <w:r w:rsidR="004872C0">
        <w:t>vig</w:t>
      </w:r>
      <w:proofErr w:type="spellEnd"/>
      <w:r w:rsidR="004872C0">
        <w:t xml:space="preserve"> versus</w:t>
      </w:r>
      <w:r w:rsidRPr="003171A1">
        <w:t xml:space="preserve"> </w:t>
      </w:r>
      <w:proofErr w:type="spellStart"/>
      <w:r w:rsidRPr="003171A1">
        <w:t>Gammagard</w:t>
      </w:r>
      <w:proofErr w:type="spellEnd"/>
      <w:r w:rsidRPr="003171A1">
        <w:t xml:space="preserve"> S/D) in CIDP, maintenance, </w:t>
      </w:r>
      <w:r w:rsidR="004872C0" w:rsidRPr="004872C0">
        <w:rPr>
          <w:i/>
        </w:rPr>
        <w:t>not acute</w:t>
      </w:r>
      <w:r w:rsidRPr="003171A1">
        <w:t>, treatment only.</w:t>
      </w:r>
    </w:p>
    <w:p w14:paraId="28F14632" w14:textId="77777777" w:rsidR="00991896" w:rsidRPr="004D762F" w:rsidRDefault="00821BB7" w:rsidP="00821BB7">
      <w:pPr>
        <w:ind w:left="720"/>
      </w:pPr>
      <w:r>
        <w:t>Despite the s</w:t>
      </w:r>
      <w:r w:rsidR="00991896" w:rsidRPr="004D762F">
        <w:t xml:space="preserve">ponsor’s claim of </w:t>
      </w:r>
      <w:proofErr w:type="spellStart"/>
      <w:r w:rsidR="00991896" w:rsidRPr="004D762F">
        <w:t>Kiovig</w:t>
      </w:r>
      <w:proofErr w:type="spellEnd"/>
      <w:r w:rsidR="00991896" w:rsidRPr="004D762F">
        <w:t xml:space="preserve"> being registered and used widely for CIDP in Europe and other countries except </w:t>
      </w:r>
      <w:r>
        <w:t xml:space="preserve">the </w:t>
      </w:r>
      <w:r w:rsidR="00991896" w:rsidRPr="004D762F">
        <w:t>US</w:t>
      </w:r>
      <w:r>
        <w:t>A</w:t>
      </w:r>
      <w:r w:rsidR="00991896" w:rsidRPr="004D762F">
        <w:t xml:space="preserve">, the submitted published clinical data were far from being specifically related to </w:t>
      </w:r>
      <w:proofErr w:type="spellStart"/>
      <w:r>
        <w:t>Kiovig</w:t>
      </w:r>
      <w:proofErr w:type="spellEnd"/>
      <w:r>
        <w:t>.</w:t>
      </w:r>
    </w:p>
    <w:p w14:paraId="4B1EB4C5" w14:textId="77777777" w:rsidR="00991896" w:rsidRPr="004D762F" w:rsidRDefault="00991896" w:rsidP="00821BB7">
      <w:pPr>
        <w:ind w:left="720"/>
      </w:pPr>
      <w:r w:rsidRPr="004D762F">
        <w:t xml:space="preserve">There was no specific data submitted the on initiation of </w:t>
      </w:r>
      <w:proofErr w:type="spellStart"/>
      <w:r w:rsidRPr="004D762F">
        <w:t>Kiovig</w:t>
      </w:r>
      <w:proofErr w:type="spellEnd"/>
      <w:r w:rsidRPr="004D762F">
        <w:t xml:space="preserve"> for CIDP treatment, unlike the robust controlled clinical trials submitted for both ITP and IDP as stated by the </w:t>
      </w:r>
      <w:r w:rsidR="00821BB7">
        <w:t>clinical evaluator.</w:t>
      </w:r>
    </w:p>
    <w:p w14:paraId="7409C3C7" w14:textId="77777777" w:rsidR="00991896" w:rsidRPr="004D762F" w:rsidRDefault="00991896" w:rsidP="00821BB7">
      <w:pPr>
        <w:ind w:left="720"/>
      </w:pPr>
      <w:r w:rsidRPr="004D762F">
        <w:t xml:space="preserve">The EU </w:t>
      </w:r>
      <w:r w:rsidR="00821BB7">
        <w:t xml:space="preserve">guideline simply states that </w:t>
      </w:r>
      <w:r w:rsidRPr="004D762F">
        <w:t xml:space="preserve">‘If the efficacy [of an IVIg] in primary immunodeficiency disorders (PID) and in ITP is established, then an extrapolation to GBS, Kawasaki disease, MMN and CIDP might be possible without the need to perform separate clinical trials in these indications, if adequately justified’ (evaluator’s emphasis). </w:t>
      </w:r>
      <w:r w:rsidR="00821BB7">
        <w:t xml:space="preserve">For </w:t>
      </w:r>
      <w:proofErr w:type="spellStart"/>
      <w:r w:rsidR="00821BB7">
        <w:t>Kiovig</w:t>
      </w:r>
      <w:proofErr w:type="spellEnd"/>
      <w:r w:rsidR="00821BB7">
        <w:t xml:space="preserve"> however, the s</w:t>
      </w:r>
      <w:r w:rsidRPr="004D762F">
        <w:t xml:space="preserve">ponsor did not provide adequate detailed justification to extrapolate efficacy and safety data from established indications, as suggested in the EU guidance document </w:t>
      </w:r>
      <w:r w:rsidR="00821BB7">
        <w:t xml:space="preserve">referred to by the sponsor. The Delegate notes, </w:t>
      </w:r>
      <w:r w:rsidRPr="004D762F">
        <w:t xml:space="preserve">the sponsor has no proposal for a bridging </w:t>
      </w:r>
      <w:r w:rsidR="00821BB7">
        <w:t>study.</w:t>
      </w:r>
    </w:p>
    <w:p w14:paraId="35A89DCF" w14:textId="77777777" w:rsidR="00991896" w:rsidRPr="004D762F" w:rsidRDefault="00991896" w:rsidP="002F5941">
      <w:pPr>
        <w:ind w:left="720"/>
      </w:pPr>
      <w:r w:rsidRPr="004D762F">
        <w:t xml:space="preserve">Health Canada’s statement regarding the use of IVIg in CIDP was that : </w:t>
      </w:r>
      <w:r w:rsidR="002F5941">
        <w:t>‘i</w:t>
      </w:r>
      <w:r w:rsidRPr="004D762F">
        <w:t>f IVIg is to be used in the long-term management of CIDP, the patient should be under the care of a qualified expert</w:t>
      </w:r>
      <w:r w:rsidR="002F5941">
        <w:t xml:space="preserve"> </w:t>
      </w:r>
      <w:r w:rsidRPr="004D762F">
        <w:t xml:space="preserve">with specialised knowledge of CIDP and a systematic approach be taken to determine the minimal effective </w:t>
      </w:r>
      <w:r w:rsidR="002F5941">
        <w:t>dose’.</w:t>
      </w:r>
    </w:p>
    <w:p w14:paraId="20BAD310" w14:textId="77777777" w:rsidR="00991896" w:rsidRPr="004D762F" w:rsidRDefault="002F5941" w:rsidP="002F5941">
      <w:pPr>
        <w:ind w:left="720"/>
      </w:pPr>
      <w:r>
        <w:t>T</w:t>
      </w:r>
      <w:r w:rsidR="00991896" w:rsidRPr="004D762F">
        <w:t xml:space="preserve">he role of National Blood Authority in Australia is simply to provide an adequate, safe, </w:t>
      </w:r>
      <w:proofErr w:type="gramStart"/>
      <w:r w:rsidR="00991896" w:rsidRPr="004D762F">
        <w:t>secure</w:t>
      </w:r>
      <w:proofErr w:type="gramEnd"/>
      <w:r w:rsidR="00991896" w:rsidRPr="004D762F">
        <w:t xml:space="preserve"> and affordable supply of blood products, blood related products and blood related services. It does not engage in clinical trials documenting efficacy and safety of any blood product per </w:t>
      </w:r>
      <w:proofErr w:type="gramStart"/>
      <w:r w:rsidR="00991896" w:rsidRPr="004D762F">
        <w:t>se;</w:t>
      </w:r>
      <w:proofErr w:type="gramEnd"/>
    </w:p>
    <w:p w14:paraId="3A3FBD84" w14:textId="77777777" w:rsidR="00991896" w:rsidRDefault="00991896" w:rsidP="00122C90">
      <w:pPr>
        <w:pageBreakBefore/>
        <w:ind w:left="720"/>
      </w:pPr>
      <w:r w:rsidRPr="004D762F">
        <w:lastRenderedPageBreak/>
        <w:t xml:space="preserve">There </w:t>
      </w:r>
      <w:proofErr w:type="gramStart"/>
      <w:r w:rsidRPr="004D762F">
        <w:t>are</w:t>
      </w:r>
      <w:proofErr w:type="gramEnd"/>
      <w:r w:rsidRPr="004D762F">
        <w:t xml:space="preserve"> available literature documenting that all brands of IVIg are neither equal nor equally tolerated</w:t>
      </w:r>
      <w:r>
        <w:rPr>
          <w:color w:val="1506EA"/>
        </w:rPr>
        <w:t>:</w:t>
      </w:r>
    </w:p>
    <w:p w14:paraId="3A564D57" w14:textId="77777777" w:rsidR="00991896" w:rsidRPr="002F5941" w:rsidRDefault="00991896" w:rsidP="002F5941">
      <w:pPr>
        <w:pStyle w:val="ListBullet3"/>
      </w:pPr>
      <w:proofErr w:type="spellStart"/>
      <w:r w:rsidRPr="002F5941">
        <w:t>Stiehm</w:t>
      </w:r>
      <w:proofErr w:type="spellEnd"/>
      <w:r w:rsidRPr="002F5941">
        <w:t xml:space="preserve"> ER. Lessons from Kawasaki Disease: All Brands of IVI</w:t>
      </w:r>
      <w:r w:rsidR="002F5941">
        <w:t>g</w:t>
      </w:r>
      <w:r w:rsidRPr="002F5941">
        <w:t xml:space="preserve"> are not Equal. The Journal of </w:t>
      </w:r>
      <w:proofErr w:type="spellStart"/>
      <w:r w:rsidRPr="002F5941">
        <w:t>Pedia</w:t>
      </w:r>
      <w:r w:rsidR="002F5941" w:rsidRPr="002F5941">
        <w:t>tr</w:t>
      </w:r>
      <w:proofErr w:type="spellEnd"/>
      <w:r w:rsidR="002F5941" w:rsidRPr="002F5941">
        <w:t>. 2006; 48:6-8.</w:t>
      </w:r>
    </w:p>
    <w:p w14:paraId="1BE1DB06" w14:textId="77777777" w:rsidR="00991896" w:rsidRPr="002F5941" w:rsidRDefault="00991896" w:rsidP="002F5941">
      <w:pPr>
        <w:pStyle w:val="ListBullet3"/>
      </w:pPr>
      <w:proofErr w:type="spellStart"/>
      <w:r w:rsidRPr="002F5941">
        <w:t>Feldmeyer</w:t>
      </w:r>
      <w:proofErr w:type="spellEnd"/>
      <w:r w:rsidRPr="002F5941">
        <w:t xml:space="preserve"> L, </w:t>
      </w:r>
      <w:proofErr w:type="spellStart"/>
      <w:r w:rsidRPr="002F5941">
        <w:t>Benden</w:t>
      </w:r>
      <w:proofErr w:type="spellEnd"/>
      <w:r w:rsidRPr="002F5941">
        <w:t xml:space="preserve"> C, Haile SR, et al. Not All Intravenous Immunoglobulin Preparations are Equally Well Tolerated. Acta </w:t>
      </w:r>
      <w:proofErr w:type="spellStart"/>
      <w:r w:rsidRPr="002F5941">
        <w:t>Derm</w:t>
      </w:r>
      <w:proofErr w:type="spellEnd"/>
      <w:r w:rsidRPr="002F5941">
        <w:t xml:space="preserve"> </w:t>
      </w:r>
      <w:proofErr w:type="spellStart"/>
      <w:r w:rsidRPr="002F5941">
        <w:t>Venereol</w:t>
      </w:r>
      <w:proofErr w:type="spellEnd"/>
      <w:r w:rsidRPr="002F5941">
        <w:t>. 2010; 90(5):494-7.</w:t>
      </w:r>
    </w:p>
    <w:p w14:paraId="429C358B" w14:textId="77777777" w:rsidR="008E7846" w:rsidRDefault="00386150" w:rsidP="007B6132">
      <w:pPr>
        <w:pStyle w:val="Heading3"/>
        <w:rPr>
          <w:lang w:eastAsia="en-AU"/>
        </w:rPr>
      </w:pPr>
      <w:bookmarkStart w:id="56" w:name="_Toc314842514"/>
      <w:bookmarkStart w:id="57" w:name="_Toc89339104"/>
      <w:r>
        <w:rPr>
          <w:lang w:eastAsia="en-AU"/>
        </w:rPr>
        <w:t>Risk m</w:t>
      </w:r>
      <w:r w:rsidR="008E7846">
        <w:rPr>
          <w:lang w:eastAsia="en-AU"/>
        </w:rPr>
        <w:t xml:space="preserve">anagement </w:t>
      </w:r>
      <w:r>
        <w:rPr>
          <w:lang w:eastAsia="en-AU"/>
        </w:rPr>
        <w:t>p</w:t>
      </w:r>
      <w:r w:rsidR="008E7846">
        <w:rPr>
          <w:lang w:eastAsia="en-AU"/>
        </w:rPr>
        <w:t>lan</w:t>
      </w:r>
      <w:bookmarkEnd w:id="56"/>
      <w:bookmarkEnd w:id="57"/>
    </w:p>
    <w:p w14:paraId="7DBEF075" w14:textId="77777777" w:rsidR="008E7846" w:rsidRDefault="007D53B6" w:rsidP="007D53B6">
      <w:r>
        <w:t>There was no requirement for a risk management plan evaluation for a submission of this type.</w:t>
      </w:r>
      <w:r>
        <w:rPr>
          <w:rStyle w:val="FootnoteReference"/>
        </w:rPr>
        <w:footnoteReference w:id="27"/>
      </w:r>
    </w:p>
    <w:p w14:paraId="211BA5FA" w14:textId="77777777" w:rsidR="008E7846" w:rsidRDefault="00AA0ED0" w:rsidP="008E7846">
      <w:pPr>
        <w:pStyle w:val="Heading3"/>
      </w:pPr>
      <w:bookmarkStart w:id="58" w:name="_Toc247691531"/>
      <w:bookmarkStart w:id="59" w:name="_Toc314842515"/>
      <w:bookmarkStart w:id="60" w:name="_Toc89339105"/>
      <w:bookmarkStart w:id="61" w:name="_Toc196046505"/>
      <w:bookmarkStart w:id="62" w:name="_Toc196046949"/>
      <w:r>
        <w:t>Risk-benefit a</w:t>
      </w:r>
      <w:r w:rsidR="008E7846">
        <w:t>nalysis</w:t>
      </w:r>
      <w:bookmarkEnd w:id="58"/>
      <w:bookmarkEnd w:id="59"/>
      <w:bookmarkEnd w:id="60"/>
    </w:p>
    <w:p w14:paraId="3CBB29D5" w14:textId="77777777" w:rsidR="00D23139" w:rsidRDefault="007D53B6" w:rsidP="00D23139">
      <w:pPr>
        <w:pStyle w:val="Heading4"/>
      </w:pPr>
      <w:r>
        <w:t>Delegate’s considerations</w:t>
      </w:r>
    </w:p>
    <w:p w14:paraId="7340AB30" w14:textId="77777777" w:rsidR="009A4A01" w:rsidRDefault="009A4A01" w:rsidP="009A4A01">
      <w:r>
        <w:t>As per the sponsor, chronic inflammatory demyelinating polyradiculoneuropathy (CIDP) is a rare, acquired immune-mediated sensory and motor ne</w:t>
      </w:r>
      <w:r w:rsidR="00F57863">
        <w:t>uropathy. CIDP has a relapsing-</w:t>
      </w:r>
      <w:r>
        <w:t>remitting or progressive course of more than 2 months and it is characterised by proximal weakness, positive sensory symptoms, areflexia without wasting, and impaired sensation with a preferential loss of vibration or joint position sense.</w:t>
      </w:r>
    </w:p>
    <w:p w14:paraId="12F45656" w14:textId="77777777" w:rsidR="009A4A01" w:rsidRDefault="00F57863" w:rsidP="009A4A01">
      <w:r>
        <w:t xml:space="preserve">Chronic inflammatory demyelinating polyradiculoneuropathy </w:t>
      </w:r>
      <w:r w:rsidR="009A4A01">
        <w:t xml:space="preserve">can affect all </w:t>
      </w:r>
      <w:proofErr w:type="gramStart"/>
      <w:r w:rsidR="009A4A01">
        <w:t>ages, but</w:t>
      </w:r>
      <w:proofErr w:type="gramEnd"/>
      <w:r w:rsidR="009A4A01">
        <w:t xml:space="preserve"> is more common in older males. The disease is thought to be more likely progressive in the older age group and relapsing-remitting in younger patients. No specific predisposing factors for CIDP have been identified. Patients may have mild to severe weakness and, may require assisted ambulation or a wheelchair.</w:t>
      </w:r>
    </w:p>
    <w:p w14:paraId="42A0EB7F" w14:textId="77777777" w:rsidR="005D7146" w:rsidRDefault="005D7146" w:rsidP="005D7146">
      <w:r>
        <w:t>As per the clinical evaluation report, the estimated prevalence of CIDP in populations from the United Kingdom, Australia, Italy, Japan, and the United States of America (USA) is 0.8 to 8.9 per 100,000, with worldwide estimates of an annual incidence of 0.15 to 1.6 per 100,000 population.</w:t>
      </w:r>
    </w:p>
    <w:p w14:paraId="32774134" w14:textId="77777777" w:rsidR="005D7146" w:rsidRDefault="005D7146" w:rsidP="005D7146">
      <w:r>
        <w:t>The sponsor stated that the treatment options for CIDP include:</w:t>
      </w:r>
    </w:p>
    <w:p w14:paraId="240D281B" w14:textId="77777777" w:rsidR="005D7146" w:rsidRDefault="005D7146" w:rsidP="005D7146">
      <w:pPr>
        <w:pStyle w:val="ListBullet"/>
      </w:pPr>
      <w:r>
        <w:t>First line:</w:t>
      </w:r>
    </w:p>
    <w:p w14:paraId="27C860D6" w14:textId="77777777" w:rsidR="005D7146" w:rsidRDefault="005D7146" w:rsidP="005D7146">
      <w:pPr>
        <w:pStyle w:val="ListBullet2"/>
      </w:pPr>
      <w:r>
        <w:t>Intravenous immunoglobulins (IVIg),</w:t>
      </w:r>
    </w:p>
    <w:p w14:paraId="4D37C117" w14:textId="77777777" w:rsidR="005D7146" w:rsidRDefault="005D7146" w:rsidP="005D7146">
      <w:pPr>
        <w:pStyle w:val="ListBullet2"/>
      </w:pPr>
      <w:r>
        <w:t>Corticosteroids,</w:t>
      </w:r>
    </w:p>
    <w:p w14:paraId="6EF776E7" w14:textId="77777777" w:rsidR="00CC797B" w:rsidRDefault="00F57863" w:rsidP="005D7146">
      <w:pPr>
        <w:pStyle w:val="ListBullet2"/>
      </w:pPr>
      <w:r>
        <w:t>Plasma exchange</w:t>
      </w:r>
      <w:r w:rsidR="005D7146">
        <w:t>.</w:t>
      </w:r>
    </w:p>
    <w:p w14:paraId="26997D2C" w14:textId="77777777" w:rsidR="005D7146" w:rsidRDefault="005D7146" w:rsidP="00CC797B">
      <w:pPr>
        <w:pStyle w:val="ListBullet"/>
      </w:pPr>
      <w:r>
        <w:t>Second-line, when first-line treatments are inadequate:</w:t>
      </w:r>
    </w:p>
    <w:p w14:paraId="6963C132" w14:textId="77777777" w:rsidR="005D7146" w:rsidRDefault="005D7146" w:rsidP="005D7146">
      <w:pPr>
        <w:pStyle w:val="ListBullet2"/>
      </w:pPr>
      <w:r>
        <w:t>Immunosuppressants or other immunomodulatory agents such as azathioprine, cyclophosphamide, ciclosporin and methotrexate.</w:t>
      </w:r>
    </w:p>
    <w:p w14:paraId="32F78E8E" w14:textId="77777777" w:rsidR="00544275" w:rsidRDefault="00544275" w:rsidP="00544275">
      <w:r>
        <w:t>In Australia, four branded human normal immunoglobulin products (</w:t>
      </w:r>
      <w:proofErr w:type="spellStart"/>
      <w:r>
        <w:t>Gamunex</w:t>
      </w:r>
      <w:proofErr w:type="spellEnd"/>
      <w:r>
        <w:t xml:space="preserve">, </w:t>
      </w:r>
      <w:proofErr w:type="spellStart"/>
      <w:r>
        <w:t>Intragam</w:t>
      </w:r>
      <w:proofErr w:type="spellEnd"/>
      <w:r>
        <w:t xml:space="preserve"> 10, </w:t>
      </w:r>
      <w:proofErr w:type="spellStart"/>
      <w:r>
        <w:t>Privigen</w:t>
      </w:r>
      <w:proofErr w:type="spellEnd"/>
      <w:r>
        <w:t xml:space="preserve"> and </w:t>
      </w:r>
      <w:proofErr w:type="spellStart"/>
      <w:r>
        <w:t>Hizentra</w:t>
      </w:r>
      <w:proofErr w:type="spellEnd"/>
      <w:r>
        <w:t xml:space="preserve">) are indicated for CIDP. Of these, </w:t>
      </w:r>
      <w:proofErr w:type="spellStart"/>
      <w:r>
        <w:t>Intragam</w:t>
      </w:r>
      <w:proofErr w:type="spellEnd"/>
      <w:r>
        <w:t xml:space="preserve"> 10 was approved in March 2011 for the treatment of CIDP, via a </w:t>
      </w:r>
      <w:proofErr w:type="gramStart"/>
      <w:r>
        <w:t>literature based</w:t>
      </w:r>
      <w:proofErr w:type="gramEnd"/>
      <w:r>
        <w:t xml:space="preserve"> submission.</w:t>
      </w:r>
    </w:p>
    <w:p w14:paraId="5E24ACEF" w14:textId="77777777" w:rsidR="00544275" w:rsidRDefault="00544275" w:rsidP="00544275">
      <w:r>
        <w:t xml:space="preserve">Further, the sponsor stated that </w:t>
      </w:r>
      <w:proofErr w:type="spellStart"/>
      <w:r>
        <w:t>Kiovig’s</w:t>
      </w:r>
      <w:proofErr w:type="spellEnd"/>
      <w:r>
        <w:t xml:space="preserve"> safety and effi</w:t>
      </w:r>
      <w:r w:rsidR="00F57863">
        <w:t>cacy in idiopathic thrombocytop</w:t>
      </w:r>
      <w:r>
        <w:t xml:space="preserve">enia purpura (ITP) and primary immunodeficiency disorders (PID) have been established, based on relevant clinical data (biological, pharmacokinetics, efficacy </w:t>
      </w:r>
      <w:r>
        <w:lastRenderedPageBreak/>
        <w:t>and safety data) leading to the granting of a marketing authorisation for these indications in Australia (2008). Based on those facts, it is claimed by the sponsor that the key elements required for licensing in the proposed indication (of CIDP), are in line with the Guideline on the clinical investigation of human normal immunoglobulin for intravenous administration and, are considered sufficient. The latter then implies that no efficacy/safety data are required for the proposed CIDP indication, as such data were already provided for both ITP and PID indications!</w:t>
      </w:r>
    </w:p>
    <w:p w14:paraId="400B3460" w14:textId="77777777" w:rsidR="00544275" w:rsidRDefault="00544275" w:rsidP="00544275">
      <w:r>
        <w:t xml:space="preserve">The application to register </w:t>
      </w:r>
      <w:proofErr w:type="spellStart"/>
      <w:r>
        <w:t>Kiovig</w:t>
      </w:r>
      <w:proofErr w:type="spellEnd"/>
      <w:r>
        <w:t xml:space="preserve"> for the CIDP indication was a </w:t>
      </w:r>
      <w:proofErr w:type="gramStart"/>
      <w:r>
        <w:t>literature based</w:t>
      </w:r>
      <w:proofErr w:type="gramEnd"/>
      <w:r>
        <w:t xml:space="preserve"> submission (</w:t>
      </w:r>
      <w:r w:rsidR="00CC797B">
        <w:t>literature based submission</w:t>
      </w:r>
      <w:r>
        <w:t xml:space="preserve">). The Delegate agrees with the CE, that the efficacy and safety data package in the submitted clinical dossier for the proposed extension of indication for the use of </w:t>
      </w:r>
      <w:proofErr w:type="spellStart"/>
      <w:r>
        <w:t>Kiovig</w:t>
      </w:r>
      <w:proofErr w:type="spellEnd"/>
      <w:r>
        <w:t xml:space="preserve"> in CIDP was not generally comprehensive. For a start, the </w:t>
      </w:r>
      <w:proofErr w:type="gramStart"/>
      <w:r>
        <w:t>literature based</w:t>
      </w:r>
      <w:proofErr w:type="gramEnd"/>
      <w:r>
        <w:t xml:space="preserve"> submission did not include comparisons of </w:t>
      </w:r>
      <w:proofErr w:type="spellStart"/>
      <w:r>
        <w:t>IVIgs</w:t>
      </w:r>
      <w:proofErr w:type="spellEnd"/>
      <w:r>
        <w:t xml:space="preserve"> administered for more than one dose</w:t>
      </w:r>
      <w:r>
        <w:noBreakHyphen/>
        <w:t>regimen, for either initiation or maintenance treatment.</w:t>
      </w:r>
    </w:p>
    <w:p w14:paraId="08E521C4" w14:textId="0EB03CE7" w:rsidR="00544275" w:rsidRDefault="00544275" w:rsidP="00544275">
      <w:r>
        <w:t>The main pivotal study (</w:t>
      </w:r>
      <w:proofErr w:type="spellStart"/>
      <w:r>
        <w:t>Kuitwaard</w:t>
      </w:r>
      <w:proofErr w:type="spellEnd"/>
      <w:r>
        <w:t xml:space="preserve"> et al. 2010)</w:t>
      </w:r>
      <w:r w:rsidR="004B0D5D">
        <w:t>;</w:t>
      </w:r>
      <w:r w:rsidR="004B0D5D" w:rsidRPr="004B0D5D">
        <w:rPr>
          <w:vertAlign w:val="superscript"/>
        </w:rPr>
        <w:fldChar w:fldCharType="begin"/>
      </w:r>
      <w:r w:rsidR="004B0D5D" w:rsidRPr="004B0D5D">
        <w:rPr>
          <w:vertAlign w:val="superscript"/>
        </w:rPr>
        <w:instrText xml:space="preserve"> NOTEREF _Ref82804755 \h </w:instrText>
      </w:r>
      <w:r w:rsidR="004B0D5D">
        <w:rPr>
          <w:vertAlign w:val="superscript"/>
        </w:rPr>
        <w:instrText xml:space="preserve"> \* MERGEFORMAT </w:instrText>
      </w:r>
      <w:r w:rsidR="004B0D5D" w:rsidRPr="004B0D5D">
        <w:rPr>
          <w:vertAlign w:val="superscript"/>
        </w:rPr>
      </w:r>
      <w:r w:rsidR="004B0D5D" w:rsidRPr="004B0D5D">
        <w:rPr>
          <w:vertAlign w:val="superscript"/>
        </w:rPr>
        <w:fldChar w:fldCharType="separate"/>
      </w:r>
      <w:r w:rsidR="00F81787">
        <w:rPr>
          <w:vertAlign w:val="superscript"/>
        </w:rPr>
        <w:t>8</w:t>
      </w:r>
      <w:r w:rsidR="004B0D5D" w:rsidRPr="004B0D5D">
        <w:rPr>
          <w:vertAlign w:val="superscript"/>
        </w:rPr>
        <w:fldChar w:fldCharType="end"/>
      </w:r>
      <w:r>
        <w:t xml:space="preserve"> was an investigator-initiated, multicentre, Phase III, double-blind, randomised, active (</w:t>
      </w:r>
      <w:proofErr w:type="spellStart"/>
      <w:r>
        <w:t>Gammagard</w:t>
      </w:r>
      <w:proofErr w:type="spellEnd"/>
      <w:r>
        <w:t xml:space="preserve"> S/D, n = 13) controlled trial, in the maintenance treatment of CIDP with </w:t>
      </w:r>
      <w:proofErr w:type="spellStart"/>
      <w:r>
        <w:t>Kiovig</w:t>
      </w:r>
      <w:proofErr w:type="spellEnd"/>
      <w:r>
        <w:t xml:space="preserve"> (n = 14). </w:t>
      </w:r>
      <w:proofErr w:type="gramStart"/>
      <w:r>
        <w:t>It would appear that patients</w:t>
      </w:r>
      <w:proofErr w:type="gramEnd"/>
      <w:r>
        <w:t xml:space="preserve"> only had mild to moderate symptoms at baseline. The study neither included data for initiation of </w:t>
      </w:r>
      <w:proofErr w:type="spellStart"/>
      <w:r>
        <w:t>Kiovig</w:t>
      </w:r>
      <w:proofErr w:type="spellEnd"/>
      <w:r>
        <w:t xml:space="preserve"> in CIDP populations nor investigated withdrawal or relapse effects. Apart from being a maintenance as opposed to initiation treatment trial, the requirement for inclusion in the trial is that there should be no prior treatment exposure to other IVIg products, except </w:t>
      </w:r>
      <w:proofErr w:type="spellStart"/>
      <w:r>
        <w:t>Gammagard</w:t>
      </w:r>
      <w:proofErr w:type="spellEnd"/>
      <w:r>
        <w:t xml:space="preserve"> S/D. That aspect of the trial gives the intrinsic implication that IVIg products are not identical.</w:t>
      </w:r>
    </w:p>
    <w:p w14:paraId="594D1C57" w14:textId="77777777" w:rsidR="00544275" w:rsidRDefault="00544275" w:rsidP="00544275">
      <w:r>
        <w:t>Although in order to establish the optimal regimen of IVIg in the trial, the dosage was increased to achieve maximal clinical response and, the infusion frequency shortened when patients experienced end-of-dose symptoms and signs, the ranges of actual dosages used during the double blind treatment period were not specified.</w:t>
      </w:r>
    </w:p>
    <w:p w14:paraId="7E452206" w14:textId="77777777" w:rsidR="00544275" w:rsidRDefault="00544275" w:rsidP="00544275">
      <w:r>
        <w:t>The primary objective was to compare the efficacy of two different IVIg brands (</w:t>
      </w:r>
      <w:proofErr w:type="spellStart"/>
      <w:r>
        <w:t>Kiovig</w:t>
      </w:r>
      <w:proofErr w:type="spellEnd"/>
      <w:r w:rsidR="00CC797B">
        <w:t xml:space="preserve"> versus </w:t>
      </w:r>
      <w:proofErr w:type="spellStart"/>
      <w:r>
        <w:t>Gammagard</w:t>
      </w:r>
      <w:proofErr w:type="spellEnd"/>
      <w:r>
        <w:t xml:space="preserve"> S/D) in the maintenance treatment of CIDP. The secondary objective was to compare the safety of </w:t>
      </w:r>
      <w:proofErr w:type="spellStart"/>
      <w:r>
        <w:t>Kiovig</w:t>
      </w:r>
      <w:proofErr w:type="spellEnd"/>
      <w:r w:rsidR="00CC797B">
        <w:t xml:space="preserve"> versus </w:t>
      </w:r>
      <w:proofErr w:type="spellStart"/>
      <w:r>
        <w:t>Gammagard</w:t>
      </w:r>
      <w:proofErr w:type="spellEnd"/>
      <w:r>
        <w:t xml:space="preserve"> S/D.</w:t>
      </w:r>
    </w:p>
    <w:p w14:paraId="3D373A03" w14:textId="77777777" w:rsidR="00544275" w:rsidRDefault="00544275" w:rsidP="00544275">
      <w:r>
        <w:t xml:space="preserve">Comparable maintenance treatment of CIDP with either </w:t>
      </w:r>
      <w:proofErr w:type="spellStart"/>
      <w:r>
        <w:t>Kiovig</w:t>
      </w:r>
      <w:proofErr w:type="spellEnd"/>
      <w:r>
        <w:t xml:space="preserve"> or </w:t>
      </w:r>
      <w:proofErr w:type="spellStart"/>
      <w:r>
        <w:t>Gammagard</w:t>
      </w:r>
      <w:proofErr w:type="spellEnd"/>
      <w:r>
        <w:t xml:space="preserve"> S/D, was not significantly different regarding the primary outcome measure and no clinically relevant differences were reported between treatments for secondar</w:t>
      </w:r>
      <w:r w:rsidR="00CC797B">
        <w:t>y measures. Since only the two different IVIg brands (</w:t>
      </w:r>
      <w:proofErr w:type="spellStart"/>
      <w:r w:rsidR="00CC797B">
        <w:t>Kiovig</w:t>
      </w:r>
      <w:proofErr w:type="spellEnd"/>
      <w:r w:rsidR="00CC797B">
        <w:t xml:space="preserve"> versus</w:t>
      </w:r>
      <w:r w:rsidR="004B0D5D">
        <w:t xml:space="preserve"> </w:t>
      </w:r>
      <w:proofErr w:type="spellStart"/>
      <w:r w:rsidR="004B0D5D">
        <w:t>Gammagard</w:t>
      </w:r>
      <w:proofErr w:type="spellEnd"/>
      <w:r w:rsidR="004B0D5D">
        <w:t xml:space="preserve"> S/D)</w:t>
      </w:r>
      <w:r>
        <w:t xml:space="preserve"> wer</w:t>
      </w:r>
      <w:r w:rsidR="00CC797B">
        <w:t>e compared, conclusions about (possibly</w:t>
      </w:r>
      <w:r>
        <w:t xml:space="preserve"> therapeutic) equivalence in maintenance treatment can only be drawn between these two products and, no other commercial brands of IVIg. As stated by the </w:t>
      </w:r>
      <w:r w:rsidR="00CC797B">
        <w:t>clinical evaluator, the s</w:t>
      </w:r>
      <w:r>
        <w:t xml:space="preserve">ponsor did not provide adequate justification as to how the results from this study involving </w:t>
      </w:r>
      <w:proofErr w:type="spellStart"/>
      <w:r>
        <w:t>Kiovig</w:t>
      </w:r>
      <w:proofErr w:type="spellEnd"/>
      <w:r>
        <w:t xml:space="preserve">, could be extrapolated to other commercial brands of IVIg used in other </w:t>
      </w:r>
      <w:r w:rsidR="00CC797B">
        <w:t>literature based submission</w:t>
      </w:r>
      <w:r>
        <w:t xml:space="preserve"> publications for CIDP, with particular reference to differences in composition (including IgG subclasses and IgA content), bioavailability and manufacturing/purification processes that may affect efficacy and tolerability. In the Australia context, the relevance/significance of the study is even debatable given, that </w:t>
      </w:r>
      <w:proofErr w:type="spellStart"/>
      <w:r>
        <w:t>Gammagard</w:t>
      </w:r>
      <w:proofErr w:type="spellEnd"/>
      <w:r>
        <w:t xml:space="preserve"> S/D is not listed on the ARTG.</w:t>
      </w:r>
    </w:p>
    <w:p w14:paraId="0AB96C6B" w14:textId="77777777" w:rsidR="00544275" w:rsidRDefault="00544275" w:rsidP="00544275">
      <w:r>
        <w:t xml:space="preserve">Included in the </w:t>
      </w:r>
      <w:proofErr w:type="gramStart"/>
      <w:r w:rsidR="00CC797B">
        <w:t>literature based</w:t>
      </w:r>
      <w:proofErr w:type="gramEnd"/>
      <w:r w:rsidR="00CC797B">
        <w:t xml:space="preserve"> submission</w:t>
      </w:r>
      <w:r>
        <w:t xml:space="preserve"> were prospective data on placebo versus </w:t>
      </w:r>
      <w:proofErr w:type="spellStart"/>
      <w:r>
        <w:t>IVIgs</w:t>
      </w:r>
      <w:proofErr w:type="spellEnd"/>
      <w:r>
        <w:t xml:space="preserve"> in the initiation treatment of IVIg naïve CIDP patients. The drawback from the assessment perspective of the application is that the referenced </w:t>
      </w:r>
      <w:proofErr w:type="spellStart"/>
      <w:r>
        <w:t>IVIgs</w:t>
      </w:r>
      <w:proofErr w:type="spellEnd"/>
      <w:r>
        <w:t xml:space="preserve"> were not specifically </w:t>
      </w:r>
      <w:proofErr w:type="spellStart"/>
      <w:r>
        <w:t>Kiovig</w:t>
      </w:r>
      <w:proofErr w:type="spellEnd"/>
      <w:r>
        <w:t xml:space="preserve">. Except for </w:t>
      </w:r>
      <w:proofErr w:type="spellStart"/>
      <w:r>
        <w:t>Gamunex</w:t>
      </w:r>
      <w:proofErr w:type="spellEnd"/>
      <w:r>
        <w:t xml:space="preserve"> (on the A</w:t>
      </w:r>
      <w:r w:rsidR="004B0D5D">
        <w:t xml:space="preserve">RTG) and Pasteurised </w:t>
      </w:r>
      <w:proofErr w:type="spellStart"/>
      <w:r w:rsidR="004B0D5D">
        <w:t>Gammar</w:t>
      </w:r>
      <w:proofErr w:type="spellEnd"/>
      <w:r w:rsidR="004B0D5D">
        <w:t xml:space="preserve"> IV (not on the ARTG)</w:t>
      </w:r>
      <w:r>
        <w:t xml:space="preserve">, the other referenced </w:t>
      </w:r>
      <w:proofErr w:type="spellStart"/>
      <w:r>
        <w:t>IVIgs</w:t>
      </w:r>
      <w:proofErr w:type="spellEnd"/>
      <w:r>
        <w:t xml:space="preserve"> in the </w:t>
      </w:r>
      <w:proofErr w:type="gramStart"/>
      <w:r w:rsidR="00CC797B">
        <w:t>literature based</w:t>
      </w:r>
      <w:proofErr w:type="gramEnd"/>
      <w:r w:rsidR="00CC797B">
        <w:t xml:space="preserve"> submission</w:t>
      </w:r>
      <w:r w:rsidR="004B0D5D">
        <w:t xml:space="preserve"> have not been identified.</w:t>
      </w:r>
    </w:p>
    <w:p w14:paraId="06810ADC" w14:textId="6859D03E" w:rsidR="00544275" w:rsidRDefault="00544275" w:rsidP="00544275">
      <w:r>
        <w:t xml:space="preserve">The findings from those </w:t>
      </w:r>
      <w:proofErr w:type="gramStart"/>
      <w:r w:rsidR="00CC797B">
        <w:t>literature based</w:t>
      </w:r>
      <w:proofErr w:type="gramEnd"/>
      <w:r w:rsidR="00CC797B">
        <w:t xml:space="preserve"> submission</w:t>
      </w:r>
      <w:r>
        <w:t xml:space="preserve"> prospective data, except one, suggested that the referenced </w:t>
      </w:r>
      <w:proofErr w:type="spellStart"/>
      <w:r>
        <w:t>IVIgs</w:t>
      </w:r>
      <w:proofErr w:type="spellEnd"/>
      <w:r>
        <w:t xml:space="preserve"> demonstrated statistically significant treatment effect over placebo, in patients</w:t>
      </w:r>
      <w:r w:rsidR="00CC797B">
        <w:t xml:space="preserve"> not previously exposed to IVIg</w:t>
      </w:r>
      <w:r>
        <w:t>.</w:t>
      </w:r>
      <w:r w:rsidR="00CC797B">
        <w:t xml:space="preserve"> The </w:t>
      </w:r>
      <w:r>
        <w:t>Vermeulen et al</w:t>
      </w:r>
      <w:r w:rsidR="004B0D5D">
        <w:t>.,</w:t>
      </w:r>
      <w:r>
        <w:t xml:space="preserve"> (1993)</w:t>
      </w:r>
      <w:r w:rsidR="004B0D5D">
        <w:t>;</w:t>
      </w:r>
      <w:r w:rsidR="004B0D5D" w:rsidRPr="004B0D5D">
        <w:rPr>
          <w:vertAlign w:val="superscript"/>
        </w:rPr>
        <w:fldChar w:fldCharType="begin"/>
      </w:r>
      <w:r w:rsidR="004B0D5D" w:rsidRPr="004B0D5D">
        <w:rPr>
          <w:vertAlign w:val="superscript"/>
        </w:rPr>
        <w:instrText xml:space="preserve"> NOTEREF _Ref82804891 \h </w:instrText>
      </w:r>
      <w:r w:rsidR="004B0D5D">
        <w:rPr>
          <w:vertAlign w:val="superscript"/>
        </w:rPr>
        <w:instrText xml:space="preserve"> \* MERGEFORMAT </w:instrText>
      </w:r>
      <w:r w:rsidR="004B0D5D" w:rsidRPr="004B0D5D">
        <w:rPr>
          <w:vertAlign w:val="superscript"/>
        </w:rPr>
      </w:r>
      <w:r w:rsidR="004B0D5D" w:rsidRPr="004B0D5D">
        <w:rPr>
          <w:vertAlign w:val="superscript"/>
        </w:rPr>
        <w:fldChar w:fldCharType="separate"/>
      </w:r>
      <w:r w:rsidR="00F81787">
        <w:rPr>
          <w:vertAlign w:val="superscript"/>
        </w:rPr>
        <w:t>13</w:t>
      </w:r>
      <w:r w:rsidR="004B0D5D" w:rsidRPr="004B0D5D">
        <w:rPr>
          <w:vertAlign w:val="superscript"/>
        </w:rPr>
        <w:fldChar w:fldCharType="end"/>
      </w:r>
      <w:r>
        <w:t xml:space="preserve"> </w:t>
      </w:r>
      <w:r>
        <w:lastRenderedPageBreak/>
        <w:t>study article for whatever reason, did not demonstrate a treatment benefit of IVIg over placebo.</w:t>
      </w:r>
    </w:p>
    <w:p w14:paraId="1F8A4010" w14:textId="77777777" w:rsidR="00CC797B" w:rsidRDefault="00CC797B" w:rsidP="00544275">
      <w:r>
        <w:t>The D</w:t>
      </w:r>
      <w:r w:rsidR="00544275">
        <w:t xml:space="preserve">elegate believes that the outcome of the assessed study articles is unsurprising and, has not yielded substantial evidence to; support </w:t>
      </w:r>
      <w:proofErr w:type="gramStart"/>
      <w:r w:rsidR="00544275">
        <w:t>definitely and</w:t>
      </w:r>
      <w:proofErr w:type="gramEnd"/>
      <w:r w:rsidR="00544275">
        <w:t xml:space="preserve"> unequivocally the basic tenet of the current submission for </w:t>
      </w:r>
      <w:proofErr w:type="spellStart"/>
      <w:r w:rsidR="00544275">
        <w:t>Kiovig</w:t>
      </w:r>
      <w:proofErr w:type="spellEnd"/>
      <w:r w:rsidR="00544275">
        <w:t>, given that:</w:t>
      </w:r>
    </w:p>
    <w:p w14:paraId="15C86AC0" w14:textId="77777777" w:rsidR="00CC797B" w:rsidRDefault="00222E86" w:rsidP="00544275">
      <w:pPr>
        <w:pStyle w:val="ListBullet"/>
      </w:pPr>
      <w:r>
        <w:t>t</w:t>
      </w:r>
      <w:r w:rsidR="00544275">
        <w:t xml:space="preserve">he submission is about </w:t>
      </w:r>
      <w:proofErr w:type="spellStart"/>
      <w:r w:rsidR="00544275">
        <w:t>Kiovig</w:t>
      </w:r>
      <w:proofErr w:type="spellEnd"/>
      <w:r w:rsidR="00544275">
        <w:t xml:space="preserve"> and not </w:t>
      </w:r>
      <w:proofErr w:type="spellStart"/>
      <w:r w:rsidR="00544275">
        <w:t>Gamunex</w:t>
      </w:r>
      <w:proofErr w:type="spellEnd"/>
      <w:r w:rsidR="00544275">
        <w:t xml:space="preserve"> which is already indicated for CIDP on the </w:t>
      </w:r>
      <w:proofErr w:type="gramStart"/>
      <w:r w:rsidR="00544275">
        <w:t>ARTG;</w:t>
      </w:r>
      <w:proofErr w:type="gramEnd"/>
    </w:p>
    <w:p w14:paraId="44B3FF6C" w14:textId="77777777" w:rsidR="00222E86" w:rsidRDefault="00222E86" w:rsidP="00544275">
      <w:pPr>
        <w:pStyle w:val="ListBullet"/>
      </w:pPr>
      <w:r>
        <w:t>p</w:t>
      </w:r>
      <w:r w:rsidR="00544275">
        <w:t xml:space="preserve">lacebo and not </w:t>
      </w:r>
      <w:proofErr w:type="spellStart"/>
      <w:r w:rsidR="00544275">
        <w:t>Kiovig</w:t>
      </w:r>
      <w:proofErr w:type="spellEnd"/>
      <w:r w:rsidR="00544275">
        <w:t xml:space="preserve"> was the comparator in the </w:t>
      </w:r>
      <w:proofErr w:type="gramStart"/>
      <w:r w:rsidR="00CC797B">
        <w:t>literature based</w:t>
      </w:r>
      <w:proofErr w:type="gramEnd"/>
      <w:r w:rsidR="00CC797B">
        <w:t xml:space="preserve"> submission</w:t>
      </w:r>
      <w:r w:rsidR="00544275">
        <w:t xml:space="preserve"> data;</w:t>
      </w:r>
    </w:p>
    <w:p w14:paraId="485AAA80" w14:textId="77777777" w:rsidR="00222E86" w:rsidRDefault="00222E86" w:rsidP="00544275">
      <w:pPr>
        <w:pStyle w:val="ListBullet"/>
      </w:pPr>
      <w:r>
        <w:t>t</w:t>
      </w:r>
      <w:r w:rsidR="00544275">
        <w:t xml:space="preserve">here is no way of drawing conclusions about equivalence of </w:t>
      </w:r>
      <w:proofErr w:type="spellStart"/>
      <w:r w:rsidR="00544275">
        <w:t>Kiovig</w:t>
      </w:r>
      <w:proofErr w:type="spellEnd"/>
      <w:r w:rsidR="00544275">
        <w:t xml:space="preserve"> to </w:t>
      </w:r>
      <w:proofErr w:type="spellStart"/>
      <w:r w:rsidR="00544275">
        <w:t>Gamunex</w:t>
      </w:r>
      <w:proofErr w:type="spellEnd"/>
      <w:r w:rsidR="00544275">
        <w:t xml:space="preserve"> or any other IVIg in the </w:t>
      </w:r>
      <w:proofErr w:type="gramStart"/>
      <w:r w:rsidR="00CC797B">
        <w:t>literature based</w:t>
      </w:r>
      <w:proofErr w:type="gramEnd"/>
      <w:r w:rsidR="00CC797B">
        <w:t xml:space="preserve"> submission</w:t>
      </w:r>
      <w:r w:rsidR="00544275">
        <w:t>, therapeutic- or biologic-wise;</w:t>
      </w:r>
    </w:p>
    <w:p w14:paraId="594BC94A" w14:textId="77777777" w:rsidR="00222E86" w:rsidRDefault="00222E86" w:rsidP="00544275">
      <w:pPr>
        <w:pStyle w:val="ListBullet"/>
      </w:pPr>
      <w:r>
        <w:t>t</w:t>
      </w:r>
      <w:r w:rsidR="00544275">
        <w:t>he ARTG status of the unidentified referenced IVI</w:t>
      </w:r>
      <w:r>
        <w:t xml:space="preserve">g is unknown; the identified </w:t>
      </w:r>
      <w:r w:rsidR="00F57863">
        <w:t>‘</w:t>
      </w:r>
      <w:r>
        <w:t xml:space="preserve">Pasteurized </w:t>
      </w:r>
      <w:proofErr w:type="spellStart"/>
      <w:r>
        <w:t>Gammar</w:t>
      </w:r>
      <w:proofErr w:type="spellEnd"/>
      <w:r>
        <w:t xml:space="preserve"> IV’ is not listed on the ARTG</w:t>
      </w:r>
      <w:r w:rsidR="00544275">
        <w:t>;</w:t>
      </w:r>
      <w:r w:rsidR="0091039A">
        <w:t xml:space="preserve"> and</w:t>
      </w:r>
    </w:p>
    <w:p w14:paraId="4B75FF16" w14:textId="77777777" w:rsidR="00544275" w:rsidRDefault="00222E86" w:rsidP="00544275">
      <w:pPr>
        <w:pStyle w:val="ListBullet"/>
      </w:pPr>
      <w:r>
        <w:t>t</w:t>
      </w:r>
      <w:r w:rsidR="00544275">
        <w:t>he unidentified bio-characteristics</w:t>
      </w:r>
      <w:r w:rsidR="00F57863">
        <w:t xml:space="preserve"> of the various commercial IVIg</w:t>
      </w:r>
      <w:r w:rsidR="00544275">
        <w:t xml:space="preserve"> referenced in the </w:t>
      </w:r>
      <w:proofErr w:type="gramStart"/>
      <w:r w:rsidR="00CC797B">
        <w:t>literature based</w:t>
      </w:r>
      <w:proofErr w:type="gramEnd"/>
      <w:r w:rsidR="00CC797B">
        <w:t xml:space="preserve"> submission</w:t>
      </w:r>
      <w:r w:rsidR="00544275">
        <w:t xml:space="preserve"> and the fact, that there are differences in IgG subclasses and excipients, as well as differe</w:t>
      </w:r>
      <w:r w:rsidR="0091039A">
        <w:t>nces in manufacturing processes.</w:t>
      </w:r>
    </w:p>
    <w:p w14:paraId="08C7DBB8" w14:textId="77777777" w:rsidR="00544275" w:rsidRDefault="00544275" w:rsidP="00544275">
      <w:r>
        <w:t xml:space="preserve">Given all that is stated above, to approve </w:t>
      </w:r>
      <w:proofErr w:type="spellStart"/>
      <w:r>
        <w:t>Kiovig</w:t>
      </w:r>
      <w:proofErr w:type="spellEnd"/>
      <w:r>
        <w:t xml:space="preserve"> for the CIDP indication at this stage may be quite inappropriate. A deferral option will be preferred, as the latter will allow the commercial sponsor of </w:t>
      </w:r>
      <w:proofErr w:type="spellStart"/>
      <w:r>
        <w:t>Kiovig</w:t>
      </w:r>
      <w:proofErr w:type="spellEnd"/>
      <w:r>
        <w:t xml:space="preserve"> to generate adequate and supportive comparable or bridging data for the proposed CIDP indication for </w:t>
      </w:r>
      <w:proofErr w:type="spellStart"/>
      <w:r>
        <w:t>Kiovig</w:t>
      </w:r>
      <w:proofErr w:type="spellEnd"/>
      <w:r>
        <w:t xml:space="preserve">. The deferral preference is even more appropriate, given that </w:t>
      </w:r>
      <w:proofErr w:type="spellStart"/>
      <w:r>
        <w:t>Kiovig</w:t>
      </w:r>
      <w:proofErr w:type="spellEnd"/>
      <w:r>
        <w:t xml:space="preserve"> is not particularly filling a clear unmet medical need for a novel treatment to treat CIDP, as there are, already a host of other different Immunoglobulin, normal (human) products, such as </w:t>
      </w:r>
      <w:proofErr w:type="spellStart"/>
      <w:r>
        <w:t>Gamunex</w:t>
      </w:r>
      <w:proofErr w:type="spellEnd"/>
      <w:r>
        <w:t xml:space="preserve">, </w:t>
      </w:r>
      <w:proofErr w:type="spellStart"/>
      <w:r>
        <w:t>Hizentra</w:t>
      </w:r>
      <w:proofErr w:type="spellEnd"/>
      <w:r>
        <w:t xml:space="preserve">, </w:t>
      </w:r>
      <w:proofErr w:type="spellStart"/>
      <w:r>
        <w:t>Intragam</w:t>
      </w:r>
      <w:proofErr w:type="spellEnd"/>
      <w:r w:rsidR="004B0D5D">
        <w:t> </w:t>
      </w:r>
      <w:r>
        <w:t xml:space="preserve">10 and </w:t>
      </w:r>
      <w:proofErr w:type="spellStart"/>
      <w:r>
        <w:t>Privigen</w:t>
      </w:r>
      <w:proofErr w:type="spellEnd"/>
      <w:r>
        <w:t xml:space="preserve"> on the ARTG for CIDP indication.</w:t>
      </w:r>
    </w:p>
    <w:p w14:paraId="7644C475" w14:textId="77777777" w:rsidR="00544275" w:rsidRDefault="00544275" w:rsidP="00544275">
      <w:r>
        <w:t xml:space="preserve">The approval of </w:t>
      </w:r>
      <w:proofErr w:type="spellStart"/>
      <w:r>
        <w:t>Kiovig</w:t>
      </w:r>
      <w:proofErr w:type="spellEnd"/>
      <w:r>
        <w:t xml:space="preserve"> at thi</w:t>
      </w:r>
      <w:r w:rsidR="00F57863">
        <w:t>s stage for CIDP, based on non-</w:t>
      </w:r>
      <w:r>
        <w:t>specifically comparable trials with another IVIg, especially one of those listed on the ARTG for CIDP, tantamount to abductive reasonin</w:t>
      </w:r>
      <w:r w:rsidR="00F57863">
        <w:t xml:space="preserve">g. </w:t>
      </w:r>
      <w:r w:rsidR="0091039A">
        <w:t>The s</w:t>
      </w:r>
      <w:r>
        <w:t>ponsor may wish to provide reference to the appropriate TGA’s guideline in support of such a reasoning. It is certain however, that prescription drugs do not get on the ARTG simply based on probability premise as opposed to factual data evidence!</w:t>
      </w:r>
    </w:p>
    <w:p w14:paraId="4731B98F" w14:textId="77777777" w:rsidR="00544275" w:rsidRDefault="00544275" w:rsidP="00544275">
      <w:r>
        <w:t xml:space="preserve">Furthermore, regardless of the causes for the failure of the previously mentioned </w:t>
      </w:r>
      <w:r w:rsidR="00CC797B">
        <w:t>literature based submission</w:t>
      </w:r>
      <w:r>
        <w:t xml:space="preserve"> study to demonstrate a treatment benefit of IVIg ov</w:t>
      </w:r>
      <w:r w:rsidR="0091039A">
        <w:t>er placebo as assessed by the clinical evaluator</w:t>
      </w:r>
      <w:r>
        <w:t xml:space="preserve">, the study is nonetheless a testimony to the fact that </w:t>
      </w:r>
      <w:proofErr w:type="spellStart"/>
      <w:r>
        <w:t>Kiovig’s</w:t>
      </w:r>
      <w:proofErr w:type="spellEnd"/>
      <w:r>
        <w:t xml:space="preserve"> approval for CIDP requires well-designed trial as per acceptable guideline, depicting efficacy and safety in CIDP. The doctrine of abductive reasoning illustrated above is strictly not applicable t</w:t>
      </w:r>
      <w:r w:rsidR="0091039A">
        <w:t>o this regulatory task/purpose.</w:t>
      </w:r>
    </w:p>
    <w:p w14:paraId="59A882EE" w14:textId="77777777" w:rsidR="00544275" w:rsidRDefault="00544275" w:rsidP="00544275">
      <w:r>
        <w:t>Apart from the limitations</w:t>
      </w:r>
      <w:r w:rsidR="0091039A">
        <w:t xml:space="preserve"> of retrospective data</w:t>
      </w:r>
      <w:r>
        <w:t xml:space="preserve"> in general, the included </w:t>
      </w:r>
      <w:r w:rsidR="0091039A">
        <w:t>retrospective</w:t>
      </w:r>
      <w:r>
        <w:t xml:space="preserve"> data in the submitted </w:t>
      </w:r>
      <w:r w:rsidR="00CC797B">
        <w:t>literature based submission</w:t>
      </w:r>
      <w:r>
        <w:t xml:space="preserve"> do not add external validity to the current application, due to the comparison of non </w:t>
      </w:r>
      <w:proofErr w:type="spellStart"/>
      <w:r>
        <w:t>Kiovig</w:t>
      </w:r>
      <w:proofErr w:type="spellEnd"/>
      <w:r>
        <w:t xml:space="preserve"> IVIg brands with either placebo, immunomodifier such as mycophenolate or no control at all.</w:t>
      </w:r>
    </w:p>
    <w:p w14:paraId="30B3D874" w14:textId="77777777" w:rsidR="00544275" w:rsidRDefault="00544275" w:rsidP="00544275">
      <w:r>
        <w:t xml:space="preserve">Unfortunately, the various </w:t>
      </w:r>
      <w:proofErr w:type="spellStart"/>
      <w:r>
        <w:t>IVIgs</w:t>
      </w:r>
      <w:proofErr w:type="spellEnd"/>
      <w:r>
        <w:t xml:space="preserve"> used in the pooled /meta- analytical data, which predated the refer</w:t>
      </w:r>
      <w:r w:rsidR="004B0D5D">
        <w:t>enced anonymous WHO publication;</w:t>
      </w:r>
      <w:r>
        <w:t xml:space="preserve"> would have been significantly different in terms of the manufacturing processes, as well as in the IgG subclasses and excipients in a modern world of competitive, manufacturing pharmaceutical edge. The latter therefore further highlights, the importance of ensuring that the data analys</w:t>
      </w:r>
      <w:r w:rsidR="0091039A">
        <w:t xml:space="preserve">ed and upon which, the proposed </w:t>
      </w:r>
      <w:r>
        <w:t xml:space="preserve">CIDP </w:t>
      </w:r>
      <w:proofErr w:type="spellStart"/>
      <w:r>
        <w:t>Kiovig</w:t>
      </w:r>
      <w:proofErr w:type="spellEnd"/>
      <w:r>
        <w:t xml:space="preserve"> indication relied utilised </w:t>
      </w:r>
      <w:proofErr w:type="spellStart"/>
      <w:r>
        <w:t>Kiovig</w:t>
      </w:r>
      <w:proofErr w:type="spellEnd"/>
      <w:r>
        <w:t xml:space="preserve"> for the greater content.</w:t>
      </w:r>
    </w:p>
    <w:p w14:paraId="7E839482" w14:textId="77777777" w:rsidR="00544275" w:rsidRDefault="00544275" w:rsidP="00122C90">
      <w:pPr>
        <w:pageBreakBefore/>
      </w:pPr>
      <w:r>
        <w:lastRenderedPageBreak/>
        <w:t xml:space="preserve">The </w:t>
      </w:r>
      <w:r w:rsidR="0091039A">
        <w:t>clinical evaluator</w:t>
      </w:r>
      <w:r>
        <w:t xml:space="preserve"> stated, post first round evaluation, that:</w:t>
      </w:r>
    </w:p>
    <w:p w14:paraId="18E52C2D" w14:textId="77777777" w:rsidR="00544275" w:rsidRDefault="004B0D5D" w:rsidP="0091039A">
      <w:pPr>
        <w:ind w:left="720"/>
      </w:pPr>
      <w:r>
        <w:t>‘</w:t>
      </w:r>
      <w:r w:rsidR="00544275">
        <w:t xml:space="preserve">most study participants in the </w:t>
      </w:r>
      <w:proofErr w:type="gramStart"/>
      <w:r w:rsidR="00CC797B">
        <w:t>literature based</w:t>
      </w:r>
      <w:proofErr w:type="gramEnd"/>
      <w:r w:rsidR="00CC797B">
        <w:t xml:space="preserve"> submission</w:t>
      </w:r>
      <w:r>
        <w:t xml:space="preserve"> were adults (aged </w:t>
      </w:r>
      <w:r w:rsidR="0091039A">
        <w:t>18 </w:t>
      </w:r>
      <w:r w:rsidR="00544275">
        <w:t xml:space="preserve">years and older) and, the few studies that included paediatric subjects provided scanty details on the numbers of subjects and their ages upon study commencement. On that basis, the </w:t>
      </w:r>
      <w:r w:rsidR="0091039A">
        <w:t>clinical evaluator</w:t>
      </w:r>
      <w:r w:rsidR="00544275">
        <w:t xml:space="preserve"> opined that no recommendation for approval of </w:t>
      </w:r>
      <w:proofErr w:type="spellStart"/>
      <w:r w:rsidR="00544275">
        <w:t>Kiovig</w:t>
      </w:r>
      <w:proofErr w:type="spellEnd"/>
      <w:r w:rsidR="00544275">
        <w:t xml:space="preserve"> in paediatric populations with CIDP could </w:t>
      </w:r>
      <w:r w:rsidR="0091039A">
        <w:t>be made (the sponsor in its</w:t>
      </w:r>
      <w:r w:rsidR="00544275">
        <w:t xml:space="preserve"> response </w:t>
      </w:r>
      <w:r w:rsidR="0091039A">
        <w:t xml:space="preserve">to TGA questions </w:t>
      </w:r>
      <w:r w:rsidR="00544275">
        <w:t>has proposed to include a statement in the PI on the line of no paediatric data were available in support of the CIDP indication and; clarified that it is not seeking an indication for the treatment of CI</w:t>
      </w:r>
      <w:r w:rsidR="0091039A">
        <w:t>DP in the paediatric population).</w:t>
      </w:r>
    </w:p>
    <w:p w14:paraId="2ADC7205" w14:textId="77777777" w:rsidR="00544275" w:rsidRDefault="00544275" w:rsidP="0091039A">
      <w:pPr>
        <w:ind w:left="720"/>
      </w:pPr>
      <w:r>
        <w:t xml:space="preserve">No dose-response relationships of IVIg were reported, in any of the submitted publications or discussed in the meta-analyses. Hence, the minimal effective dose of IVIg in CIDP populations does not </w:t>
      </w:r>
      <w:r w:rsidR="0091039A">
        <w:t>appear to have been established.</w:t>
      </w:r>
    </w:p>
    <w:p w14:paraId="660F0214" w14:textId="413A2F2B" w:rsidR="00544275" w:rsidRDefault="00544275" w:rsidP="0091039A">
      <w:pPr>
        <w:ind w:left="720"/>
      </w:pPr>
      <w:r>
        <w:t xml:space="preserve">Based on the limited </w:t>
      </w:r>
      <w:proofErr w:type="spellStart"/>
      <w:r>
        <w:t>Kiovig</w:t>
      </w:r>
      <w:proofErr w:type="spellEnd"/>
      <w:r>
        <w:t xml:space="preserve"> data available, and th</w:t>
      </w:r>
      <w:r w:rsidR="0091039A">
        <w:t xml:space="preserve">e fact that the </w:t>
      </w:r>
      <w:proofErr w:type="spellStart"/>
      <w:r w:rsidR="0091039A">
        <w:t>Kuitwaard</w:t>
      </w:r>
      <w:proofErr w:type="spellEnd"/>
      <w:r w:rsidR="0091039A">
        <w:t xml:space="preserve"> et al.</w:t>
      </w:r>
      <w:r w:rsidR="004B0D5D">
        <w:t>,</w:t>
      </w:r>
      <w:r w:rsidR="0091039A">
        <w:t xml:space="preserve"> </w:t>
      </w:r>
      <w:r>
        <w:t>(2010) publication</w:t>
      </w:r>
      <w:r w:rsidR="004B0D5D">
        <w:t>;</w:t>
      </w:r>
      <w:r w:rsidR="004B0D5D" w:rsidRPr="004B0D5D">
        <w:rPr>
          <w:vertAlign w:val="superscript"/>
        </w:rPr>
        <w:fldChar w:fldCharType="begin"/>
      </w:r>
      <w:r w:rsidR="004B0D5D" w:rsidRPr="004B0D5D">
        <w:rPr>
          <w:vertAlign w:val="superscript"/>
        </w:rPr>
        <w:instrText xml:space="preserve"> NOTEREF _Ref82804755 \h </w:instrText>
      </w:r>
      <w:r w:rsidR="004B0D5D">
        <w:rPr>
          <w:vertAlign w:val="superscript"/>
        </w:rPr>
        <w:instrText xml:space="preserve"> \* MERGEFORMAT </w:instrText>
      </w:r>
      <w:r w:rsidR="004B0D5D" w:rsidRPr="004B0D5D">
        <w:rPr>
          <w:vertAlign w:val="superscript"/>
        </w:rPr>
      </w:r>
      <w:r w:rsidR="004B0D5D" w:rsidRPr="004B0D5D">
        <w:rPr>
          <w:vertAlign w:val="superscript"/>
        </w:rPr>
        <w:fldChar w:fldCharType="separate"/>
      </w:r>
      <w:r w:rsidR="00F81787">
        <w:rPr>
          <w:vertAlign w:val="superscript"/>
        </w:rPr>
        <w:t>8</w:t>
      </w:r>
      <w:r w:rsidR="004B0D5D" w:rsidRPr="004B0D5D">
        <w:rPr>
          <w:vertAlign w:val="superscript"/>
        </w:rPr>
        <w:fldChar w:fldCharType="end"/>
      </w:r>
      <w:r>
        <w:t xml:space="preserve"> was not considered pivotal, the application to approve an </w:t>
      </w:r>
      <w:r w:rsidR="00A273E2">
        <w:t>extension of indications</w:t>
      </w:r>
      <w:r>
        <w:t xml:space="preserve"> of </w:t>
      </w:r>
      <w:proofErr w:type="spellStart"/>
      <w:r>
        <w:t>Kiovig</w:t>
      </w:r>
      <w:proofErr w:type="spellEnd"/>
      <w:r>
        <w:t xml:space="preserve"> to the proposed indication cannot be recommended at this time, in the absence of a robust justification. Most of the published studies included in the clinical dossier investigated other brands of IVIg. No bridging study was included in the application and the justification for extrapolation of clinical data (efficacy and safety) from the other brands of IVIg was insufficient. However, from the publications, IVIg treatment consistently demonstrated a statistically significant and clinically meaningful benefit over placebo in CIDP, in the main studies and the </w:t>
      </w:r>
      <w:proofErr w:type="spellStart"/>
      <w:r>
        <w:t>Eftimov</w:t>
      </w:r>
      <w:proofErr w:type="spellEnd"/>
      <w:r>
        <w:t xml:space="preserve"> et al (2013) meta-analysis.</w:t>
      </w:r>
      <w:r w:rsidR="00E51BD1" w:rsidRPr="00E51BD1">
        <w:rPr>
          <w:vertAlign w:val="superscript"/>
        </w:rPr>
        <w:fldChar w:fldCharType="begin"/>
      </w:r>
      <w:r w:rsidR="00E51BD1" w:rsidRPr="00E51BD1">
        <w:rPr>
          <w:vertAlign w:val="superscript"/>
        </w:rPr>
        <w:instrText xml:space="preserve"> NOTEREF _Ref82805587 \h </w:instrText>
      </w:r>
      <w:r w:rsidR="00E51BD1">
        <w:rPr>
          <w:vertAlign w:val="superscript"/>
        </w:rPr>
        <w:instrText xml:space="preserve"> \* MERGEFORMAT </w:instrText>
      </w:r>
      <w:r w:rsidR="00E51BD1" w:rsidRPr="00E51BD1">
        <w:rPr>
          <w:vertAlign w:val="superscript"/>
        </w:rPr>
      </w:r>
      <w:r w:rsidR="00E51BD1" w:rsidRPr="00E51BD1">
        <w:rPr>
          <w:vertAlign w:val="superscript"/>
        </w:rPr>
        <w:fldChar w:fldCharType="separate"/>
      </w:r>
      <w:r w:rsidR="00F81787">
        <w:rPr>
          <w:vertAlign w:val="superscript"/>
        </w:rPr>
        <w:t>24</w:t>
      </w:r>
      <w:r w:rsidR="00E51BD1" w:rsidRPr="00E51BD1">
        <w:rPr>
          <w:vertAlign w:val="superscript"/>
        </w:rPr>
        <w:fldChar w:fldCharType="end"/>
      </w:r>
      <w:r>
        <w:t xml:space="preserve"> Despite variation in primary outcome measures used across the main </w:t>
      </w:r>
      <w:r w:rsidR="0091039A">
        <w:t>randomised control trials</w:t>
      </w:r>
      <w:r>
        <w:t>, there was good study homogeneity and consistency in demonstration of improved clinical function after patients had received a 2 g/kg IVIg loading dose followed by at least one IVIg maintenance dose.</w:t>
      </w:r>
    </w:p>
    <w:p w14:paraId="68CFB86B" w14:textId="77777777" w:rsidR="00544275" w:rsidRDefault="00E85BC6" w:rsidP="00544275">
      <w:r>
        <w:t>The D</w:t>
      </w:r>
      <w:r w:rsidR="00544275">
        <w:t xml:space="preserve">elegate </w:t>
      </w:r>
      <w:proofErr w:type="gramStart"/>
      <w:r w:rsidR="00544275">
        <w:t>is in agreement</w:t>
      </w:r>
      <w:proofErr w:type="gramEnd"/>
      <w:r w:rsidR="00544275">
        <w:t xml:space="preserve"> with the </w:t>
      </w:r>
      <w:r>
        <w:t>clinical evaluator</w:t>
      </w:r>
      <w:r w:rsidR="00544275">
        <w:t xml:space="preserve"> on the above, especially given that:</w:t>
      </w:r>
    </w:p>
    <w:p w14:paraId="03E2C415" w14:textId="77777777" w:rsidR="00544275" w:rsidRDefault="00544275" w:rsidP="00E51BD1">
      <w:pPr>
        <w:pStyle w:val="ListBullet"/>
      </w:pPr>
      <w:r>
        <w:t xml:space="preserve">the commercial production of the various </w:t>
      </w:r>
      <w:proofErr w:type="spellStart"/>
      <w:r>
        <w:t>IVIgs</w:t>
      </w:r>
      <w:proofErr w:type="spellEnd"/>
      <w:r>
        <w:t xml:space="preserve"> is not </w:t>
      </w:r>
      <w:proofErr w:type="gramStart"/>
      <w:r>
        <w:t>identical;</w:t>
      </w:r>
      <w:proofErr w:type="gramEnd"/>
    </w:p>
    <w:p w14:paraId="2D88F9A0" w14:textId="77777777" w:rsidR="00544275" w:rsidRDefault="00544275" w:rsidP="00E51BD1">
      <w:pPr>
        <w:pStyle w:val="ListBullet"/>
      </w:pPr>
      <w:r>
        <w:t>while</w:t>
      </w:r>
      <w:r w:rsidR="00E51BD1">
        <w:t xml:space="preserve"> </w:t>
      </w:r>
      <w:proofErr w:type="spellStart"/>
      <w:r w:rsidR="00E51BD1">
        <w:t>IVIgs</w:t>
      </w:r>
      <w:proofErr w:type="spellEnd"/>
      <w:r w:rsidR="00E51BD1">
        <w:t xml:space="preserve"> may have ‘flavours’ of being bio</w:t>
      </w:r>
      <w:r>
        <w:t>similar</w:t>
      </w:r>
      <w:r w:rsidR="00E51BD1">
        <w:t>s</w:t>
      </w:r>
      <w:r>
        <w:t xml:space="preserve">, they are never </w:t>
      </w:r>
      <w:proofErr w:type="gramStart"/>
      <w:r>
        <w:t>generics;</w:t>
      </w:r>
      <w:proofErr w:type="gramEnd"/>
    </w:p>
    <w:p w14:paraId="7ADD381A" w14:textId="77777777" w:rsidR="00544275" w:rsidRDefault="00544275" w:rsidP="00E51BD1">
      <w:pPr>
        <w:pStyle w:val="ListBullet"/>
      </w:pPr>
      <w:r>
        <w:t xml:space="preserve">commercial </w:t>
      </w:r>
      <w:proofErr w:type="spellStart"/>
      <w:r>
        <w:t>IVIgs</w:t>
      </w:r>
      <w:proofErr w:type="spellEnd"/>
      <w:r>
        <w:t xml:space="preserve"> may exhibit variations in IgG subclass active </w:t>
      </w:r>
      <w:proofErr w:type="gramStart"/>
      <w:r>
        <w:t>ingredients;</w:t>
      </w:r>
      <w:proofErr w:type="gramEnd"/>
    </w:p>
    <w:p w14:paraId="13BE3A81" w14:textId="77777777" w:rsidR="00544275" w:rsidRDefault="00544275" w:rsidP="00E51BD1">
      <w:pPr>
        <w:pStyle w:val="ListBullet"/>
      </w:pPr>
      <w:proofErr w:type="spellStart"/>
      <w:r>
        <w:t>IVIgs</w:t>
      </w:r>
      <w:proofErr w:type="spellEnd"/>
      <w:r>
        <w:t xml:space="preserve"> are often associated with different excipients;</w:t>
      </w:r>
      <w:r w:rsidR="00E51BD1">
        <w:t xml:space="preserve"> and</w:t>
      </w:r>
    </w:p>
    <w:p w14:paraId="03D7207D" w14:textId="77777777" w:rsidR="00544275" w:rsidRDefault="00544275" w:rsidP="00E51BD1">
      <w:pPr>
        <w:pStyle w:val="ListBullet"/>
      </w:pPr>
      <w:r>
        <w:t xml:space="preserve">there </w:t>
      </w:r>
      <w:proofErr w:type="gramStart"/>
      <w:r>
        <w:t>are</w:t>
      </w:r>
      <w:proofErr w:type="gramEnd"/>
      <w:r>
        <w:t xml:space="preserve"> available literature documenting that all brands of IVIg are neither equal nor equally tolerated</w:t>
      </w:r>
      <w:r w:rsidR="00E51BD1">
        <w:t>.</w:t>
      </w:r>
      <w:r w:rsidR="00E51BD1">
        <w:rPr>
          <w:rStyle w:val="FootnoteReference"/>
        </w:rPr>
        <w:footnoteReference w:id="28"/>
      </w:r>
      <w:r w:rsidR="001B4EB2">
        <w:rPr>
          <w:vertAlign w:val="superscript"/>
        </w:rPr>
        <w:t>,</w:t>
      </w:r>
      <w:r w:rsidR="001B4EB2">
        <w:rPr>
          <w:rStyle w:val="FootnoteReference"/>
        </w:rPr>
        <w:footnoteReference w:id="29"/>
      </w:r>
      <w:r w:rsidR="001B4EB2">
        <w:rPr>
          <w:vertAlign w:val="superscript"/>
        </w:rPr>
        <w:t>,</w:t>
      </w:r>
      <w:r w:rsidR="001B4EB2">
        <w:rPr>
          <w:rStyle w:val="FootnoteReference"/>
        </w:rPr>
        <w:footnoteReference w:id="30"/>
      </w:r>
    </w:p>
    <w:p w14:paraId="6F0602AC" w14:textId="77777777" w:rsidR="00544275" w:rsidRDefault="00544275" w:rsidP="00544275">
      <w:r>
        <w:t xml:space="preserve">It will be preferred that a determination on whether or not </w:t>
      </w:r>
      <w:proofErr w:type="spellStart"/>
      <w:r>
        <w:t>Kiovig</w:t>
      </w:r>
      <w:proofErr w:type="spellEnd"/>
      <w:r>
        <w:t xml:space="preserve"> should be approved for the proposed indication of CIDP, is not made until a well-designed study, specific to </w:t>
      </w:r>
      <w:proofErr w:type="spellStart"/>
      <w:r>
        <w:t>Kiovig</w:t>
      </w:r>
      <w:proofErr w:type="spellEnd"/>
      <w:r>
        <w:t xml:space="preserve"> on CIDP, is submitted by the sp</w:t>
      </w:r>
      <w:r w:rsidR="001B4EB2">
        <w:t>onsor and evaluated by the TGA.</w:t>
      </w:r>
    </w:p>
    <w:p w14:paraId="54A16137" w14:textId="77777777" w:rsidR="00544275" w:rsidRDefault="00544275" w:rsidP="00544275">
      <w:r>
        <w:t xml:space="preserve">A set of </w:t>
      </w:r>
      <w:r w:rsidR="001B4EB2">
        <w:t>TGA questions were posed to the s</w:t>
      </w:r>
      <w:r>
        <w:t xml:space="preserve">ponsor </w:t>
      </w:r>
      <w:r w:rsidR="001B4EB2">
        <w:t>following the first round of clinical evaluation.</w:t>
      </w:r>
    </w:p>
    <w:p w14:paraId="4E1B6800" w14:textId="77777777" w:rsidR="00544275" w:rsidRDefault="001B4EB2" w:rsidP="00544275">
      <w:r>
        <w:t>In response to</w:t>
      </w:r>
      <w:r w:rsidR="00CE005A">
        <w:t xml:space="preserve"> </w:t>
      </w:r>
      <w:r>
        <w:t>a</w:t>
      </w:r>
      <w:r w:rsidR="00544275">
        <w:t xml:space="preserve"> question, enquiring as to whether </w:t>
      </w:r>
      <w:proofErr w:type="spellStart"/>
      <w:r w:rsidR="00544275">
        <w:t>Kiovig</w:t>
      </w:r>
      <w:proofErr w:type="spellEnd"/>
      <w:r w:rsidR="00544275">
        <w:t xml:space="preserve"> was approved for CIDP based on </w:t>
      </w:r>
      <w:r w:rsidR="00CC797B">
        <w:t>literature based submission</w:t>
      </w:r>
      <w:r w:rsidR="00544275">
        <w:t>, conventional clinical trial data</w:t>
      </w:r>
      <w:r w:rsidR="00CE005A">
        <w:t xml:space="preserve"> or a combination of both, the </w:t>
      </w:r>
      <w:r w:rsidR="00CE005A">
        <w:lastRenderedPageBreak/>
        <w:t>s</w:t>
      </w:r>
      <w:r w:rsidR="00544275">
        <w:t>pons</w:t>
      </w:r>
      <w:r w:rsidR="00CE005A">
        <w:t xml:space="preserve">or confirmed that, conventional </w:t>
      </w:r>
      <w:r w:rsidR="00544275">
        <w:t>clinical data were not used in any overseas applications for the CIDP indication. It went on that following European Medi</w:t>
      </w:r>
      <w:r w:rsidR="00CE005A">
        <w:t>cines Agency (EMA) approval, based on updated EU g</w:t>
      </w:r>
      <w:r w:rsidR="00544275">
        <w:t xml:space="preserve">uidelines and the core </w:t>
      </w:r>
      <w:r w:rsidR="00CE005A">
        <w:t>Summary of Medicine Characteristics (</w:t>
      </w:r>
      <w:r w:rsidR="00544275">
        <w:t>SmPC</w:t>
      </w:r>
      <w:r w:rsidR="00CE005A">
        <w:t>)</w:t>
      </w:r>
      <w:r w:rsidR="00544275">
        <w:t xml:space="preserve"> for IVIg, to extend the indication of </w:t>
      </w:r>
      <w:proofErr w:type="spellStart"/>
      <w:r w:rsidR="00544275">
        <w:t>Kiovig</w:t>
      </w:r>
      <w:proofErr w:type="spellEnd"/>
      <w:r w:rsidR="00544275">
        <w:t xml:space="preserve"> to CIDP, overseas submissions utilised the same </w:t>
      </w:r>
      <w:r w:rsidR="00CC797B">
        <w:t>literature based submission</w:t>
      </w:r>
      <w:r w:rsidR="00544275">
        <w:t xml:space="preserve"> dat</w:t>
      </w:r>
      <w:r w:rsidR="00CE005A">
        <w:t>a package submitted to the EMA.</w:t>
      </w:r>
    </w:p>
    <w:p w14:paraId="0C71ACDB" w14:textId="77777777" w:rsidR="00CE005A" w:rsidRPr="00F57863" w:rsidRDefault="00544275" w:rsidP="00544275">
      <w:r>
        <w:t xml:space="preserve">Acceptability of the </w:t>
      </w:r>
      <w:r w:rsidR="00CE005A">
        <w:t>above s</w:t>
      </w:r>
      <w:r>
        <w:t xml:space="preserve">ponsor’s response by the </w:t>
      </w:r>
      <w:r w:rsidR="00CE005A">
        <w:t>clinical evaluator</w:t>
      </w:r>
      <w:r>
        <w:t xml:space="preserve"> has drawn t</w:t>
      </w:r>
      <w:r w:rsidR="00CE005A">
        <w:t xml:space="preserve">he </w:t>
      </w:r>
      <w:r w:rsidR="00CE005A" w:rsidRPr="00F57863">
        <w:t>following comments from the Delegate:</w:t>
      </w:r>
    </w:p>
    <w:p w14:paraId="000113C5" w14:textId="77777777" w:rsidR="00CE005A" w:rsidRPr="00F57863" w:rsidRDefault="00544275" w:rsidP="00544275">
      <w:pPr>
        <w:pStyle w:val="ListBullet"/>
      </w:pPr>
      <w:r w:rsidRPr="00F57863">
        <w:t xml:space="preserve">The implication is that the </w:t>
      </w:r>
      <w:proofErr w:type="spellStart"/>
      <w:r w:rsidRPr="00F57863">
        <w:t>Kiovig</w:t>
      </w:r>
      <w:proofErr w:type="spellEnd"/>
      <w:r w:rsidRPr="00F57863">
        <w:t xml:space="preserve"> approval for CIDP indication in the E</w:t>
      </w:r>
      <w:r w:rsidR="00CE005A" w:rsidRPr="00F57863">
        <w:t>U was based on</w:t>
      </w:r>
      <w:r w:rsidR="00F57863">
        <w:t xml:space="preserve"> adductive reasoning</w:t>
      </w:r>
      <w:r w:rsidRPr="00F57863">
        <w:t>. That is, once an IVIg product has approval for an indication</w:t>
      </w:r>
      <w:r w:rsidR="00CE005A" w:rsidRPr="00F57863">
        <w:t>, for example,</w:t>
      </w:r>
      <w:r w:rsidRPr="00F57863">
        <w:t xml:space="preserve"> the CIDP indication, all other </w:t>
      </w:r>
      <w:proofErr w:type="spellStart"/>
      <w:r w:rsidRPr="00F57863">
        <w:t>IVIgs</w:t>
      </w:r>
      <w:proofErr w:type="spellEnd"/>
      <w:r w:rsidRPr="00F57863">
        <w:t xml:space="preserve"> can reach for that same indication without each </w:t>
      </w:r>
      <w:proofErr w:type="gramStart"/>
      <w:r w:rsidRPr="00F57863">
        <w:t>particular IVIg</w:t>
      </w:r>
      <w:proofErr w:type="gramEnd"/>
      <w:r w:rsidRPr="00F57863">
        <w:t xml:space="preserve"> brand having to specifically demonstrate its efficacy/saf</w:t>
      </w:r>
      <w:r w:rsidR="00CE005A" w:rsidRPr="00F57863">
        <w:t>ety data for that indication.</w:t>
      </w:r>
    </w:p>
    <w:p w14:paraId="4460279C" w14:textId="77777777" w:rsidR="00CE005A" w:rsidRDefault="00544275" w:rsidP="00544275">
      <w:pPr>
        <w:pStyle w:val="ListBullet"/>
      </w:pPr>
      <w:r>
        <w:t xml:space="preserve">Given the existing literature debate on the sameness or not of all </w:t>
      </w:r>
      <w:proofErr w:type="spellStart"/>
      <w:r>
        <w:t>IVIgs</w:t>
      </w:r>
      <w:proofErr w:type="spellEnd"/>
      <w:r>
        <w:t>, the above approach will essentially be skewed towards the acceptance that every biological IVIg is the same/similar, regardless of the differences in their IgG subclass, industrial manufac</w:t>
      </w:r>
      <w:r w:rsidR="00CE005A">
        <w:t>turing processes and excipients.</w:t>
      </w:r>
    </w:p>
    <w:p w14:paraId="37DC6A9C" w14:textId="77777777" w:rsidR="00544275" w:rsidRDefault="00544275" w:rsidP="00544275">
      <w:pPr>
        <w:pStyle w:val="ListBullet"/>
      </w:pPr>
      <w:r>
        <w:t xml:space="preserve">If the current submission on </w:t>
      </w:r>
      <w:proofErr w:type="spellStart"/>
      <w:r>
        <w:t>Kiovig</w:t>
      </w:r>
      <w:proofErr w:type="spellEnd"/>
      <w:r>
        <w:t xml:space="preserve"> is approved for the proposed CIDP indication, simply based on the aforesaid principle of IVIg sameness, then it is debatable as to whether or not any prospective IVIg sponsor, should bother at all to submit a full application dossier</w:t>
      </w:r>
      <w:r w:rsidR="00CE005A">
        <w:t xml:space="preserve"> for an Extension of Indications-type submission. Maybe, a simple</w:t>
      </w:r>
      <w:r>
        <w:t xml:space="preserve"> dossier</w:t>
      </w:r>
      <w:r w:rsidR="00CE005A">
        <w:t xml:space="preserve"> for a new generic product-type </w:t>
      </w:r>
      <w:proofErr w:type="spellStart"/>
      <w:r w:rsidR="00CE005A">
        <w:t>submision</w:t>
      </w:r>
      <w:proofErr w:type="spellEnd"/>
      <w:r>
        <w:t xml:space="preserve"> for any indication previously approved for an IVIg will suffice. However, the current Australian Regulatory Guideli</w:t>
      </w:r>
      <w:r w:rsidR="007E6B8F">
        <w:t>nes for Biologicals;</w:t>
      </w:r>
      <w:r w:rsidR="007E6B8F">
        <w:rPr>
          <w:rStyle w:val="FootnoteReference"/>
        </w:rPr>
        <w:footnoteReference w:id="31"/>
      </w:r>
      <w:r>
        <w:t xml:space="preserve"> do not strictly consider biological m</w:t>
      </w:r>
      <w:r w:rsidR="007E6B8F">
        <w:t xml:space="preserve">edicines like </w:t>
      </w:r>
      <w:proofErr w:type="spellStart"/>
      <w:r w:rsidR="007E6B8F">
        <w:t>IVIgs</w:t>
      </w:r>
      <w:proofErr w:type="spellEnd"/>
      <w:r w:rsidR="007E6B8F">
        <w:t xml:space="preserve"> as generic ‘interchangeable’ </w:t>
      </w:r>
      <w:r>
        <w:t>products.</w:t>
      </w:r>
    </w:p>
    <w:p w14:paraId="1DF2A955" w14:textId="0AF522EC" w:rsidR="00544275" w:rsidRDefault="00544275" w:rsidP="00544275">
      <w:r>
        <w:t xml:space="preserve">In response to </w:t>
      </w:r>
      <w:r w:rsidR="007E6B8F">
        <w:t>a</w:t>
      </w:r>
      <w:r>
        <w:t xml:space="preserve"> question enquiring about equivalence between commercial brands of IVIg and as to whether the </w:t>
      </w:r>
      <w:r w:rsidR="0046771B">
        <w:t>s</w:t>
      </w:r>
      <w:r>
        <w:t>ponsor is intending to submit a bridging study,</w:t>
      </w:r>
      <w:r w:rsidR="007E6B8F">
        <w:t xml:space="preserve"> the s</w:t>
      </w:r>
      <w:r>
        <w:t>ponsor confirmed that it did not intend to submit a bridging study in support of the application. Gi</w:t>
      </w:r>
      <w:r w:rsidR="007E6B8F">
        <w:t>ven the latter response by the sponsor, the clinical evaluat</w:t>
      </w:r>
      <w:r w:rsidR="002F5941">
        <w:t>o</w:t>
      </w:r>
      <w:r w:rsidR="007E6B8F">
        <w:t>r</w:t>
      </w:r>
      <w:r>
        <w:t xml:space="preserve"> requested a deta</w:t>
      </w:r>
      <w:r w:rsidR="007E6B8F">
        <w:t xml:space="preserve">iled response to justify the (questionably </w:t>
      </w:r>
      <w:r>
        <w:t xml:space="preserve">therapeutic) ‘equivalence of </w:t>
      </w:r>
      <w:proofErr w:type="spellStart"/>
      <w:r>
        <w:t>Kiovig</w:t>
      </w:r>
      <w:proofErr w:type="spellEnd"/>
      <w:r>
        <w:t xml:space="preserve">’ to other commercially available </w:t>
      </w:r>
      <w:proofErr w:type="spellStart"/>
      <w:r>
        <w:t>IVIgs</w:t>
      </w:r>
      <w:proofErr w:type="spellEnd"/>
      <w:r>
        <w:t>, particularly in Australia, for both acute treatment and for maintenance trea</w:t>
      </w:r>
      <w:r w:rsidR="007E6B8F">
        <w:t>tment in CIDP. Responding, the s</w:t>
      </w:r>
      <w:r>
        <w:t>ponsor</w:t>
      </w:r>
      <w:r w:rsidR="007E6B8F">
        <w:t xml:space="preserve"> referred to this aspect of EU g</w:t>
      </w:r>
      <w:r>
        <w:t>uideline</w:t>
      </w:r>
      <w:r w:rsidR="007E6B8F">
        <w:t>;</w:t>
      </w:r>
      <w:r w:rsidR="007E6B8F" w:rsidRPr="007E6B8F">
        <w:rPr>
          <w:vertAlign w:val="superscript"/>
        </w:rPr>
        <w:fldChar w:fldCharType="begin"/>
      </w:r>
      <w:r w:rsidR="007E6B8F" w:rsidRPr="007E6B8F">
        <w:rPr>
          <w:vertAlign w:val="superscript"/>
        </w:rPr>
        <w:instrText xml:space="preserve"> NOTEREF _Ref82138845 \h </w:instrText>
      </w:r>
      <w:r w:rsidR="007E6B8F">
        <w:rPr>
          <w:vertAlign w:val="superscript"/>
        </w:rPr>
        <w:instrText xml:space="preserve"> \* MERGEFORMAT </w:instrText>
      </w:r>
      <w:r w:rsidR="007E6B8F" w:rsidRPr="007E6B8F">
        <w:rPr>
          <w:vertAlign w:val="superscript"/>
        </w:rPr>
      </w:r>
      <w:r w:rsidR="007E6B8F" w:rsidRPr="007E6B8F">
        <w:rPr>
          <w:vertAlign w:val="superscript"/>
        </w:rPr>
        <w:fldChar w:fldCharType="separate"/>
      </w:r>
      <w:r w:rsidR="00F81787">
        <w:rPr>
          <w:vertAlign w:val="superscript"/>
        </w:rPr>
        <w:t>3</w:t>
      </w:r>
      <w:r w:rsidR="007E6B8F" w:rsidRPr="007E6B8F">
        <w:rPr>
          <w:vertAlign w:val="superscript"/>
        </w:rPr>
        <w:fldChar w:fldCharType="end"/>
      </w:r>
      <w:r w:rsidR="007E6B8F">
        <w:t xml:space="preserve"> ‘i</w:t>
      </w:r>
      <w:r>
        <w:t>f the efficacy in PID and ITP is established, then an extrapolation to CIDP might be possi</w:t>
      </w:r>
      <w:r w:rsidR="007E6B8F">
        <w:t>ble with adequate justification’</w:t>
      </w:r>
      <w:r>
        <w:t xml:space="preserve">. The crux of the matter and as mooted by the </w:t>
      </w:r>
      <w:r w:rsidR="007E6B8F">
        <w:t>clinical evaluator, is that the s</w:t>
      </w:r>
      <w:r>
        <w:t>ponsor did not provide adequate detailed justification to extrapolate efficacy and safety data from established ind</w:t>
      </w:r>
      <w:r w:rsidR="007E6B8F">
        <w:t>ications as suggested in the EU </w:t>
      </w:r>
      <w:r>
        <w:t xml:space="preserve">guidance document, or provide </w:t>
      </w:r>
      <w:r w:rsidR="007E6B8F">
        <w:t>a bridging study. Instead, the s</w:t>
      </w:r>
      <w:r>
        <w:t xml:space="preserve">ponsor’s justification was that the CIDP indication in EU was based on similar </w:t>
      </w:r>
      <w:proofErr w:type="gramStart"/>
      <w:r>
        <w:t>literature based</w:t>
      </w:r>
      <w:proofErr w:type="gramEnd"/>
      <w:r>
        <w:t xml:space="preserve"> data and that ‘multiple countries’ had CIDP approved as an indication based on ‘t</w:t>
      </w:r>
      <w:r w:rsidR="00F57863">
        <w:t>he same literature data package</w:t>
      </w:r>
      <w:r>
        <w:t>’. It is noteworthy that the only comparable overseas regulatory country to Australia is Switzerland.</w:t>
      </w:r>
    </w:p>
    <w:p w14:paraId="0156E060" w14:textId="77777777" w:rsidR="00544275" w:rsidRDefault="007E6B8F" w:rsidP="00544275">
      <w:r>
        <w:t>Further, the s</w:t>
      </w:r>
      <w:r w:rsidR="00544275">
        <w:t xml:space="preserve">ponsor cited a precedence that the TGA approved in March 2011, an application by CSL Behring, to extend the indication of </w:t>
      </w:r>
      <w:proofErr w:type="spellStart"/>
      <w:r w:rsidR="00544275">
        <w:t>Intragam</w:t>
      </w:r>
      <w:proofErr w:type="spellEnd"/>
      <w:r w:rsidR="00544275">
        <w:t xml:space="preserve"> 10NF to CIDP stating that the application was ‘supported by a </w:t>
      </w:r>
      <w:r w:rsidR="00CC797B">
        <w:t>literature based submission</w:t>
      </w:r>
      <w:r w:rsidR="00544275">
        <w:t xml:space="preserve"> without a bridging study or brand-specific data</w:t>
      </w:r>
      <w:r w:rsidR="00F31BBA">
        <w:t>’</w:t>
      </w:r>
      <w:r w:rsidR="00544275">
        <w:t>.</w:t>
      </w:r>
    </w:p>
    <w:p w14:paraId="7CEA62B7" w14:textId="77777777" w:rsidR="00544275" w:rsidRDefault="00F31BBA" w:rsidP="00544275">
      <w:r>
        <w:t>It is now obvious that the s</w:t>
      </w:r>
      <w:r w:rsidR="00544275">
        <w:t>ponsor is using a TGA’s precedent as the required justification.</w:t>
      </w:r>
    </w:p>
    <w:p w14:paraId="46DA0E40" w14:textId="77777777" w:rsidR="00544275" w:rsidRDefault="00544275" w:rsidP="00544275">
      <w:r>
        <w:lastRenderedPageBreak/>
        <w:t>With the above in mind and in conjunction with the other previously stated generalisability of IVIg commercial products, the advice of th</w:t>
      </w:r>
      <w:r w:rsidR="00F31BBA">
        <w:t>e ACM will be sought regarding:</w:t>
      </w:r>
    </w:p>
    <w:p w14:paraId="366197B9" w14:textId="77777777" w:rsidR="00F31BBA" w:rsidRDefault="00544275" w:rsidP="00544275">
      <w:pPr>
        <w:pStyle w:val="ListBullet"/>
      </w:pPr>
      <w:r>
        <w:t xml:space="preserve">Non-approvability </w:t>
      </w:r>
      <w:proofErr w:type="gramStart"/>
      <w:r>
        <w:t>at this point in time</w:t>
      </w:r>
      <w:proofErr w:type="gramEnd"/>
      <w:r>
        <w:t xml:space="preserve"> of </w:t>
      </w:r>
      <w:proofErr w:type="spellStart"/>
      <w:r>
        <w:t>Kiovig</w:t>
      </w:r>
      <w:proofErr w:type="spellEnd"/>
      <w:r>
        <w:t xml:space="preserve"> for the CIDP indication based on assumed sameness copy-cat approach for </w:t>
      </w:r>
      <w:proofErr w:type="spellStart"/>
      <w:r>
        <w:t>IVIgs</w:t>
      </w:r>
      <w:proofErr w:type="spellEnd"/>
      <w:r>
        <w:t>, given that:</w:t>
      </w:r>
    </w:p>
    <w:p w14:paraId="59067251" w14:textId="77777777" w:rsidR="00F31BBA" w:rsidRDefault="00F31BBA" w:rsidP="00F31BBA">
      <w:pPr>
        <w:pStyle w:val="ListBullet2"/>
      </w:pPr>
      <w:r>
        <w:t xml:space="preserve">the </w:t>
      </w:r>
      <w:r w:rsidR="00544275">
        <w:t xml:space="preserve">universal, standard generic approach does not extend to </w:t>
      </w:r>
      <w:proofErr w:type="gramStart"/>
      <w:r w:rsidR="00544275">
        <w:t>biologics;</w:t>
      </w:r>
      <w:proofErr w:type="gramEnd"/>
    </w:p>
    <w:p w14:paraId="675C6CA8" w14:textId="77777777" w:rsidR="00544275" w:rsidRDefault="00F31BBA" w:rsidP="00F31BBA">
      <w:pPr>
        <w:pStyle w:val="ListBullet2"/>
      </w:pPr>
      <w:r>
        <w:t xml:space="preserve">the </w:t>
      </w:r>
      <w:r w:rsidR="00544275">
        <w:t xml:space="preserve">sponsor neither submitted clinical nor biologic data comparing </w:t>
      </w:r>
      <w:proofErr w:type="spellStart"/>
      <w:r w:rsidR="00544275">
        <w:t>Kiovig</w:t>
      </w:r>
      <w:proofErr w:type="spellEnd"/>
      <w:r w:rsidR="00544275">
        <w:t xml:space="preserve"> to any IVIg listed on the </w:t>
      </w:r>
      <w:proofErr w:type="gramStart"/>
      <w:r w:rsidR="00544275">
        <w:t>ARTG;</w:t>
      </w:r>
      <w:proofErr w:type="gramEnd"/>
    </w:p>
    <w:p w14:paraId="5FC16410" w14:textId="77777777" w:rsidR="00544275" w:rsidRDefault="00544275" w:rsidP="00F31BBA">
      <w:pPr>
        <w:pStyle w:val="ListBullet2"/>
      </w:pPr>
      <w:r>
        <w:t>there was no proper justification provided</w:t>
      </w:r>
      <w:r w:rsidR="00F31BBA">
        <w:t>,</w:t>
      </w:r>
      <w:r>
        <w:t xml:space="preserve"> even as required by the sponsor’s own stated guidelines, except to base the justi</w:t>
      </w:r>
      <w:r w:rsidR="00F31BBA">
        <w:t>fication on a TGA’s precedent; h</w:t>
      </w:r>
      <w:r>
        <w:t>owever,</w:t>
      </w:r>
      <w:r w:rsidR="00F31BBA">
        <w:t xml:space="preserve"> two wrongs do not make a </w:t>
      </w:r>
      <w:proofErr w:type="gramStart"/>
      <w:r w:rsidR="00F31BBA">
        <w:t>right;</w:t>
      </w:r>
      <w:proofErr w:type="gramEnd"/>
    </w:p>
    <w:p w14:paraId="19289D65" w14:textId="77777777" w:rsidR="00544275" w:rsidRDefault="00F31BBA" w:rsidP="00F31BBA">
      <w:pPr>
        <w:pStyle w:val="ListBullet2"/>
      </w:pPr>
      <w:r>
        <w:t xml:space="preserve">the </w:t>
      </w:r>
      <w:r w:rsidR="00544275">
        <w:t>divided literature opinion on t</w:t>
      </w:r>
      <w:r>
        <w:t xml:space="preserve">he interchangeability of </w:t>
      </w:r>
      <w:proofErr w:type="spellStart"/>
      <w:proofErr w:type="gramStart"/>
      <w:r>
        <w:t>IVIgs</w:t>
      </w:r>
      <w:proofErr w:type="spellEnd"/>
      <w:r>
        <w:t>;</w:t>
      </w:r>
      <w:proofErr w:type="gramEnd"/>
    </w:p>
    <w:p w14:paraId="462AEE87" w14:textId="77777777" w:rsidR="00544275" w:rsidRDefault="00544275" w:rsidP="00544275">
      <w:pPr>
        <w:pStyle w:val="ListBullet2"/>
      </w:pPr>
      <w:proofErr w:type="spellStart"/>
      <w:r>
        <w:t>IVIgs</w:t>
      </w:r>
      <w:proofErr w:type="spellEnd"/>
      <w:r>
        <w:t xml:space="preserve"> differences with respect to IgG subclass, industrial manufacturing processes and excipients.</w:t>
      </w:r>
    </w:p>
    <w:p w14:paraId="780D8BC7" w14:textId="77777777" w:rsidR="00544275" w:rsidRDefault="00544275" w:rsidP="00F31BBA">
      <w:pPr>
        <w:pStyle w:val="ListBullet"/>
      </w:pPr>
      <w:r>
        <w:t xml:space="preserve">Non-approvability </w:t>
      </w:r>
      <w:proofErr w:type="gramStart"/>
      <w:r>
        <w:t>at this point in time</w:t>
      </w:r>
      <w:proofErr w:type="gramEnd"/>
      <w:r>
        <w:t xml:space="preserve"> of </w:t>
      </w:r>
      <w:proofErr w:type="spellStart"/>
      <w:r>
        <w:t>Kiovig</w:t>
      </w:r>
      <w:proofErr w:type="spellEnd"/>
      <w:r>
        <w:t xml:space="preserve"> for the CIDP indication based on </w:t>
      </w:r>
      <w:proofErr w:type="spellStart"/>
      <w:r>
        <w:t>Kiovig</w:t>
      </w:r>
      <w:proofErr w:type="spellEnd"/>
      <w:r>
        <w:t xml:space="preserve"> being currently approved for both ITP and PID given that:</w:t>
      </w:r>
    </w:p>
    <w:p w14:paraId="3AB85039" w14:textId="77777777" w:rsidR="00544275" w:rsidRDefault="00F31BBA" w:rsidP="00F31BBA">
      <w:pPr>
        <w:pStyle w:val="ListBullet2"/>
      </w:pPr>
      <w:r>
        <w:t>i</w:t>
      </w:r>
      <w:r w:rsidR="00544275">
        <w:t>t is customary and universal for a pr</w:t>
      </w:r>
      <w:r>
        <w:t xml:space="preserve">oposed extension of indications </w:t>
      </w:r>
      <w:r w:rsidR="00544275">
        <w:t xml:space="preserve">of a product to be based on adequate clinical data for the </w:t>
      </w:r>
      <w:r>
        <w:t>extension of indications</w:t>
      </w:r>
      <w:r w:rsidR="00544275">
        <w:t>.</w:t>
      </w:r>
    </w:p>
    <w:p w14:paraId="4BEA6928" w14:textId="77777777" w:rsidR="00544275" w:rsidRDefault="00544275" w:rsidP="00544275">
      <w:r>
        <w:t xml:space="preserve">It is worth mentioning, that there is no urgency to fast tract </w:t>
      </w:r>
      <w:proofErr w:type="spellStart"/>
      <w:r>
        <w:t>Kiovig</w:t>
      </w:r>
      <w:proofErr w:type="spellEnd"/>
      <w:r>
        <w:t xml:space="preserve"> approval for the proposed CIDP indication for now given, that there are other </w:t>
      </w:r>
      <w:proofErr w:type="spellStart"/>
      <w:r>
        <w:t>IVIgs</w:t>
      </w:r>
      <w:proofErr w:type="spellEnd"/>
      <w:r>
        <w:t xml:space="preserve"> listed on the ARTG for CIDP. If</w:t>
      </w:r>
      <w:r w:rsidR="00F31BBA">
        <w:t>,</w:t>
      </w:r>
      <w:r>
        <w:t xml:space="preserve"> however, the advice for approval is contemplated as it is without either bridging comparable study or </w:t>
      </w:r>
      <w:proofErr w:type="spellStart"/>
      <w:r>
        <w:t>Kiovig</w:t>
      </w:r>
      <w:proofErr w:type="spellEnd"/>
      <w:r>
        <w:t xml:space="preserve"> specific data, then it becomes intrinsically futile, for the TGA to continue requesting for the usual d</w:t>
      </w:r>
      <w:r w:rsidR="00F31BBA">
        <w:t>ata gamut of dossier in future:</w:t>
      </w:r>
    </w:p>
    <w:p w14:paraId="7AD1042F" w14:textId="77777777" w:rsidR="00544275" w:rsidRDefault="00544275" w:rsidP="00F31BBA">
      <w:pPr>
        <w:pStyle w:val="ListBullet"/>
      </w:pPr>
      <w:r>
        <w:t xml:space="preserve">when a sponsor either wishes to register an </w:t>
      </w:r>
      <w:r w:rsidR="00EA7616">
        <w:t>extension of indications</w:t>
      </w:r>
      <w:r>
        <w:t xml:space="preserve"> for its commercial brand of IVIg:</w:t>
      </w:r>
    </w:p>
    <w:p w14:paraId="3F9A8B6A" w14:textId="77777777" w:rsidR="00EA7616" w:rsidRDefault="00544275" w:rsidP="00EA7616">
      <w:pPr>
        <w:pStyle w:val="ListBullet2"/>
      </w:pPr>
      <w:r>
        <w:t xml:space="preserve">if that proposed </w:t>
      </w:r>
      <w:r w:rsidR="00EA7616">
        <w:t>extension of indications</w:t>
      </w:r>
      <w:r>
        <w:t xml:space="preserve"> is already approved for an existing IVIg brand, </w:t>
      </w:r>
      <w:proofErr w:type="gramStart"/>
      <w:r>
        <w:t>whether or not</w:t>
      </w:r>
      <w:proofErr w:type="gramEnd"/>
      <w:r>
        <w:t xml:space="preserve"> that particular brand is on </w:t>
      </w:r>
      <w:r w:rsidR="00EA7616">
        <w:t xml:space="preserve">the </w:t>
      </w:r>
      <w:r>
        <w:t>ARTG;</w:t>
      </w:r>
      <w:r w:rsidR="00EA7616">
        <w:t xml:space="preserve"> or</w:t>
      </w:r>
    </w:p>
    <w:p w14:paraId="26E34397" w14:textId="77777777" w:rsidR="00544275" w:rsidRDefault="00544275" w:rsidP="00544275">
      <w:pPr>
        <w:pStyle w:val="ListBullet2"/>
      </w:pPr>
      <w:r>
        <w:t>if the proposed brand of IVIg already has approval for ot</w:t>
      </w:r>
      <w:r w:rsidR="00EA7616">
        <w:t>her indications, for example, ITP and</w:t>
      </w:r>
      <w:r>
        <w:t xml:space="preserve"> PID.</w:t>
      </w:r>
    </w:p>
    <w:p w14:paraId="77A4C8C6" w14:textId="77777777" w:rsidR="00544275" w:rsidRDefault="00544275" w:rsidP="00544275">
      <w:r>
        <w:t xml:space="preserve">If approval is granted, then it is recommended that a class statement be generated pointing out that </w:t>
      </w:r>
      <w:proofErr w:type="spellStart"/>
      <w:r>
        <w:t>IVIgs</w:t>
      </w:r>
      <w:proofErr w:type="spellEnd"/>
      <w:r>
        <w:t>, as biological products, are neithe</w:t>
      </w:r>
      <w:r w:rsidR="00EA7616">
        <w:t>r generics nor interchangeable.</w:t>
      </w:r>
    </w:p>
    <w:p w14:paraId="07B75ABB" w14:textId="77777777" w:rsidR="00544275" w:rsidRDefault="00544275" w:rsidP="00544275">
      <w:r>
        <w:t xml:space="preserve">Further to the issue of </w:t>
      </w:r>
      <w:proofErr w:type="spellStart"/>
      <w:r>
        <w:t>Kiovig’s</w:t>
      </w:r>
      <w:proofErr w:type="spellEnd"/>
      <w:r>
        <w:t xml:space="preserve"> equivalence to other commercially available </w:t>
      </w:r>
      <w:proofErr w:type="spellStart"/>
      <w:r>
        <w:t>IVIgs</w:t>
      </w:r>
      <w:proofErr w:type="spellEnd"/>
      <w:r>
        <w:t xml:space="preserve">, the </w:t>
      </w:r>
      <w:r w:rsidR="00EA7616">
        <w:t>s</w:t>
      </w:r>
      <w:r>
        <w:t>ponsor stated that IV administration delivers normal human immunoglobulin directly into the systemic circulation to exert its therapeutic effect and it is highly unlikely, excipients used as stabilisers in the finished product would markedly alter th</w:t>
      </w:r>
      <w:r w:rsidR="00EA7616">
        <w:t>e pharmacokinetics of IgG. The D</w:t>
      </w:r>
      <w:r>
        <w:t>elegate’s comments on the latter are:</w:t>
      </w:r>
    </w:p>
    <w:p w14:paraId="202062B8" w14:textId="77777777" w:rsidR="00EA7616" w:rsidRDefault="00544275" w:rsidP="00544275">
      <w:pPr>
        <w:pStyle w:val="ListBullet"/>
      </w:pPr>
      <w:r>
        <w:t xml:space="preserve">IV administration is generally assessed for </w:t>
      </w:r>
      <w:r w:rsidR="00EA7616">
        <w:t xml:space="preserve">the purpose of bioavailability (relative versus absolute bioavailability) and </w:t>
      </w:r>
      <w:r w:rsidR="00EA7616">
        <w:rPr>
          <w:i/>
        </w:rPr>
        <w:t xml:space="preserve">not </w:t>
      </w:r>
      <w:r>
        <w:t>equivalence per</w:t>
      </w:r>
      <w:r w:rsidR="00EA7616">
        <w:t xml:space="preserve"> </w:t>
      </w:r>
      <w:proofErr w:type="gramStart"/>
      <w:r>
        <w:t>se;</w:t>
      </w:r>
      <w:proofErr w:type="gramEnd"/>
    </w:p>
    <w:p w14:paraId="1577FBD2" w14:textId="77777777" w:rsidR="00544275" w:rsidRDefault="00EA7616" w:rsidP="00544275">
      <w:pPr>
        <w:pStyle w:val="ListBullet"/>
      </w:pPr>
      <w:r>
        <w:t>t</w:t>
      </w:r>
      <w:r w:rsidR="00544275">
        <w:t>he stat</w:t>
      </w:r>
      <w:r>
        <w:t>ement ‘</w:t>
      </w:r>
      <w:r w:rsidR="00544275">
        <w:t>it is highly unlikely excipients used as stabilisers in the finished product would markedly alt</w:t>
      </w:r>
      <w:r>
        <w:t xml:space="preserve">er the pharmacokinetics of IgG’ </w:t>
      </w:r>
      <w:r w:rsidR="00544275">
        <w:t>is an assumption. The sponsor has not provided valid data to further its veracity, especially given that excipients may not be entirely inactive and may play ro</w:t>
      </w:r>
      <w:r>
        <w:t>le in pH modification, carrier/</w:t>
      </w:r>
      <w:r w:rsidR="00544275">
        <w:t xml:space="preserve">transporter activity etc. that may have significant </w:t>
      </w:r>
      <w:r>
        <w:t>pharmacokinetic</w:t>
      </w:r>
      <w:r w:rsidR="00544275">
        <w:t xml:space="preserve"> outcomes.</w:t>
      </w:r>
    </w:p>
    <w:p w14:paraId="37046C00" w14:textId="77777777" w:rsidR="00544275" w:rsidRDefault="00544275" w:rsidP="00122C90">
      <w:pPr>
        <w:pageBreakBefore/>
      </w:pPr>
      <w:r>
        <w:lastRenderedPageBreak/>
        <w:t>T</w:t>
      </w:r>
      <w:r w:rsidR="00EA7616">
        <w:t>he Delegate acknowledges the sponsor’s statement that the:</w:t>
      </w:r>
    </w:p>
    <w:p w14:paraId="3FB00521" w14:textId="77777777" w:rsidR="00544275" w:rsidRDefault="00544275" w:rsidP="00EA7616">
      <w:pPr>
        <w:pStyle w:val="ListBullet"/>
      </w:pPr>
      <w:r>
        <w:t xml:space="preserve">different excipients in various </w:t>
      </w:r>
      <w:proofErr w:type="spellStart"/>
      <w:r>
        <w:t>IVIgs</w:t>
      </w:r>
      <w:proofErr w:type="spellEnd"/>
      <w:r>
        <w:t xml:space="preserve"> will depict differe</w:t>
      </w:r>
      <w:r w:rsidR="00EA7616">
        <w:t>nt side-effects; and</w:t>
      </w:r>
    </w:p>
    <w:p w14:paraId="5EC1A79E" w14:textId="77777777" w:rsidR="00544275" w:rsidRDefault="00544275" w:rsidP="00544275">
      <w:pPr>
        <w:pStyle w:val="ListBullet"/>
      </w:pPr>
      <w:proofErr w:type="spellStart"/>
      <w:r>
        <w:t>IVIgs</w:t>
      </w:r>
      <w:proofErr w:type="spellEnd"/>
      <w:r>
        <w:t xml:space="preserve"> do not have identical d</w:t>
      </w:r>
      <w:r w:rsidR="00EA7616">
        <w:t xml:space="preserve">istribution of IgG subclasses 1 to </w:t>
      </w:r>
      <w:r>
        <w:t xml:space="preserve">4. However, the sponsor‘s claim that the </w:t>
      </w:r>
      <w:proofErr w:type="spellStart"/>
      <w:r>
        <w:t>IVIgs</w:t>
      </w:r>
      <w:proofErr w:type="spellEnd"/>
      <w:r>
        <w:t xml:space="preserve"> used in the </w:t>
      </w:r>
      <w:r w:rsidR="00CC797B">
        <w:t>literature based submission</w:t>
      </w:r>
      <w:r>
        <w:t xml:space="preserve"> were compiled in terms of commercial manufacturing and purification as per standard pha</w:t>
      </w:r>
      <w:r w:rsidR="00EA7616">
        <w:t>rmacopeia monographs</w:t>
      </w:r>
      <w:r>
        <w:t>, to ensure batch to batch consistency in product quality, was neither</w:t>
      </w:r>
      <w:r w:rsidR="00EA7616">
        <w:t xml:space="preserve"> supported by the usually submitted quality data nor bridging data with a currently approved</w:t>
      </w:r>
      <w:r>
        <w:t xml:space="preserve"> ARTG IVIg;</w:t>
      </w:r>
    </w:p>
    <w:p w14:paraId="46483011" w14:textId="77777777" w:rsidR="00544275" w:rsidRDefault="00544275" w:rsidP="00544275">
      <w:pPr>
        <w:pStyle w:val="ListBullet"/>
      </w:pPr>
      <w:r>
        <w:t xml:space="preserve">The sponsor’s confirmation that different </w:t>
      </w:r>
      <w:proofErr w:type="spellStart"/>
      <w:r>
        <w:t>IVIgs</w:t>
      </w:r>
      <w:proofErr w:type="spellEnd"/>
      <w:r>
        <w:t xml:space="preserve"> contain different amounts of IgA is noted.</w:t>
      </w:r>
    </w:p>
    <w:p w14:paraId="5A68C395" w14:textId="77777777" w:rsidR="00544275" w:rsidRDefault="00544275" w:rsidP="00544275">
      <w:r>
        <w:t>Regarding manufacturing a</w:t>
      </w:r>
      <w:r w:rsidR="00EA7616">
        <w:t>nd purification processes, the sponsor claimed, ‘i</w:t>
      </w:r>
      <w:r>
        <w:t>rrespective of differences in the manufacturing steps and purification processes, different brands of IVIg on the Australian market are manufactured to meet the same quality specifications that control for criti</w:t>
      </w:r>
      <w:r w:rsidR="00EA7616">
        <w:t xml:space="preserve">cal finished product </w:t>
      </w:r>
      <w:proofErr w:type="gramStart"/>
      <w:r w:rsidR="00EA7616">
        <w:t>parameters’</w:t>
      </w:r>
      <w:proofErr w:type="gramEnd"/>
      <w:r w:rsidR="00EA7616">
        <w:t>. The D</w:t>
      </w:r>
      <w:r>
        <w:t xml:space="preserve">elegate’s response </w:t>
      </w:r>
      <w:r w:rsidR="00EA7616">
        <w:t>is to the crux of the matter</w:t>
      </w:r>
      <w:r>
        <w:t>:</w:t>
      </w:r>
    </w:p>
    <w:p w14:paraId="002408F1" w14:textId="77777777" w:rsidR="00544275" w:rsidRDefault="00EA7616" w:rsidP="00EA7616">
      <w:pPr>
        <w:pStyle w:val="ListBullet"/>
      </w:pPr>
      <w:r>
        <w:t>t</w:t>
      </w:r>
      <w:r w:rsidR="00544275">
        <w:t xml:space="preserve">here was neither a bridging data linking the </w:t>
      </w:r>
      <w:proofErr w:type="spellStart"/>
      <w:r w:rsidR="00544275">
        <w:t>IVIgs</w:t>
      </w:r>
      <w:proofErr w:type="spellEnd"/>
      <w:r w:rsidR="00544275">
        <w:t xml:space="preserve"> used in the </w:t>
      </w:r>
      <w:proofErr w:type="gramStart"/>
      <w:r w:rsidR="00CC797B">
        <w:t>literature based</w:t>
      </w:r>
      <w:proofErr w:type="gramEnd"/>
      <w:r w:rsidR="00CC797B">
        <w:t xml:space="preserve"> submission</w:t>
      </w:r>
      <w:r w:rsidR="00544275">
        <w:t xml:space="preserve"> to </w:t>
      </w:r>
      <w:proofErr w:type="spellStart"/>
      <w:r w:rsidR="00544275">
        <w:t>IVIgs</w:t>
      </w:r>
      <w:proofErr w:type="spellEnd"/>
      <w:r w:rsidR="00544275">
        <w:t xml:space="preserve"> listed on the ARTG nor absolute comparable head to hea</w:t>
      </w:r>
      <w:r w:rsidR="00F818CF">
        <w:t xml:space="preserve">d data of </w:t>
      </w:r>
      <w:proofErr w:type="spellStart"/>
      <w:r w:rsidR="00F818CF">
        <w:t>Kiovig</w:t>
      </w:r>
      <w:proofErr w:type="spellEnd"/>
      <w:r w:rsidR="00F818CF">
        <w:t xml:space="preserve"> with the </w:t>
      </w:r>
      <w:proofErr w:type="spellStart"/>
      <w:r w:rsidR="00F818CF">
        <w:t>IVIgs</w:t>
      </w:r>
      <w:proofErr w:type="spellEnd"/>
      <w:r w:rsidR="00544275">
        <w:t xml:space="preserve"> used in the </w:t>
      </w:r>
      <w:r w:rsidR="00CC797B">
        <w:t>literature based submission</w:t>
      </w:r>
      <w:r w:rsidR="00544275">
        <w:t>;</w:t>
      </w:r>
      <w:r>
        <w:t xml:space="preserve"> and</w:t>
      </w:r>
    </w:p>
    <w:p w14:paraId="0177C8EA" w14:textId="77777777" w:rsidR="00544275" w:rsidRDefault="00EA7616" w:rsidP="00EA7616">
      <w:pPr>
        <w:pStyle w:val="ListBullet"/>
      </w:pPr>
      <w:r>
        <w:t>t</w:t>
      </w:r>
      <w:r w:rsidR="00544275">
        <w:t xml:space="preserve">here is no specific reference to using the </w:t>
      </w:r>
      <w:proofErr w:type="spellStart"/>
      <w:r w:rsidR="00544275">
        <w:t>IVIgs</w:t>
      </w:r>
      <w:proofErr w:type="spellEnd"/>
      <w:r w:rsidR="00544275">
        <w:t xml:space="preserve"> listed on the ARTG in the </w:t>
      </w:r>
      <w:proofErr w:type="gramStart"/>
      <w:r w:rsidR="00CC797B">
        <w:t>literature based</w:t>
      </w:r>
      <w:proofErr w:type="gramEnd"/>
      <w:r w:rsidR="00CC797B">
        <w:t xml:space="preserve"> submission</w:t>
      </w:r>
      <w:r w:rsidR="00544275">
        <w:t xml:space="preserve"> and, no </w:t>
      </w:r>
      <w:r>
        <w:t>quality</w:t>
      </w:r>
      <w:r w:rsidR="00544275">
        <w:t xml:space="preserve"> data on quality control was submitted for the </w:t>
      </w:r>
      <w:proofErr w:type="spellStart"/>
      <w:r w:rsidR="00544275">
        <w:t>IVIgs</w:t>
      </w:r>
      <w:proofErr w:type="spellEnd"/>
      <w:r w:rsidR="00544275">
        <w:t xml:space="preserve"> used in the </w:t>
      </w:r>
      <w:r w:rsidR="00CC797B">
        <w:t>literature based submission</w:t>
      </w:r>
      <w:r>
        <w:t>.</w:t>
      </w:r>
    </w:p>
    <w:p w14:paraId="6B6377CC" w14:textId="77777777" w:rsidR="00544275" w:rsidRDefault="00EA7616" w:rsidP="00544275">
      <w:r>
        <w:t>The s</w:t>
      </w:r>
      <w:r w:rsidR="00544275">
        <w:t xml:space="preserve">ponsor also wrote about Australian Guidelines and in particular, about the National Blood Authority‘s consideration of IVIg in CIDP treatment as a class effect and, then went on about the importation of various </w:t>
      </w:r>
      <w:proofErr w:type="spellStart"/>
      <w:r w:rsidR="00544275">
        <w:t>IVIgs</w:t>
      </w:r>
      <w:proofErr w:type="spellEnd"/>
      <w:r w:rsidR="00544275">
        <w:t xml:space="preserve">, including those on the ARTG, into Australia by </w:t>
      </w:r>
      <w:r>
        <w:t>the National Blood Authority. The D</w:t>
      </w:r>
      <w:r w:rsidR="00544275">
        <w:t xml:space="preserve">elegate’s assessment is that unfortunately, the issue under consideration is about registering </w:t>
      </w:r>
      <w:proofErr w:type="spellStart"/>
      <w:r w:rsidR="00544275">
        <w:t>Kiovig</w:t>
      </w:r>
      <w:proofErr w:type="spellEnd"/>
      <w:r w:rsidR="00544275">
        <w:t xml:space="preserve"> for CIDP based on the data provided. It is not about importing </w:t>
      </w:r>
      <w:proofErr w:type="spellStart"/>
      <w:r w:rsidR="00544275">
        <w:t>Kiovig</w:t>
      </w:r>
      <w:proofErr w:type="spellEnd"/>
      <w:r w:rsidR="00544275">
        <w:t xml:space="preserve"> for an unapproved indication, which does not necessarily attract data </w:t>
      </w:r>
      <w:r>
        <w:t>scrutiny about efficacy/safety.</w:t>
      </w:r>
    </w:p>
    <w:p w14:paraId="61F7BD90" w14:textId="77777777" w:rsidR="00544275" w:rsidRDefault="00544275" w:rsidP="00544275">
      <w:r>
        <w:t xml:space="preserve">With reference to the stance of comparable International regulatory authorities on </w:t>
      </w:r>
      <w:proofErr w:type="spellStart"/>
      <w:r>
        <w:t>Kiovig</w:t>
      </w:r>
      <w:proofErr w:type="spellEnd"/>
      <w:r>
        <w:t>, it is worth noting that:</w:t>
      </w:r>
    </w:p>
    <w:p w14:paraId="7830247C" w14:textId="073A0824" w:rsidR="00544275" w:rsidRDefault="00544275" w:rsidP="00EA7616">
      <w:pPr>
        <w:pStyle w:val="ListBullet"/>
      </w:pPr>
      <w:proofErr w:type="spellStart"/>
      <w:r>
        <w:t>Kiovig</w:t>
      </w:r>
      <w:proofErr w:type="spellEnd"/>
      <w:r>
        <w:t xml:space="preserve"> per se does not appear to be r</w:t>
      </w:r>
      <w:r w:rsidR="00EA7616">
        <w:t>egistered in the US</w:t>
      </w:r>
      <w:r w:rsidR="008E7164">
        <w:t>A</w:t>
      </w:r>
      <w:r w:rsidR="00EA7616">
        <w:t xml:space="preserve"> and Canada; and</w:t>
      </w:r>
    </w:p>
    <w:p w14:paraId="69F4ADD1" w14:textId="77777777" w:rsidR="00544275" w:rsidRDefault="00544275" w:rsidP="00EA7616">
      <w:pPr>
        <w:pStyle w:val="ListBullet"/>
      </w:pPr>
      <w:r>
        <w:t>Canada’s position on the use of IVIg f</w:t>
      </w:r>
      <w:r w:rsidR="00EA7616">
        <w:t xml:space="preserve">or CIDP appears to be clarified, that </w:t>
      </w:r>
      <w:r>
        <w:t>short-term use in acute-onset or relapse of CIDP</w:t>
      </w:r>
      <w:r w:rsidR="00EA7616">
        <w:t xml:space="preserve"> with caution on long-term use.</w:t>
      </w:r>
    </w:p>
    <w:p w14:paraId="6ABD2608" w14:textId="77777777" w:rsidR="00544275" w:rsidRDefault="00657889" w:rsidP="00544275">
      <w:r>
        <w:t>After assessment of the s</w:t>
      </w:r>
      <w:r w:rsidR="00544275">
        <w:t>ponsor’s responses to clinical qu</w:t>
      </w:r>
      <w:r>
        <w:t>estions, the clinical evaluator, in the second round of evaluation</w:t>
      </w:r>
      <w:r w:rsidR="00544275">
        <w:t xml:space="preserve"> changed the previous benefits assessment of </w:t>
      </w:r>
      <w:proofErr w:type="spellStart"/>
      <w:r w:rsidR="00544275">
        <w:t>Kiovig</w:t>
      </w:r>
      <w:proofErr w:type="spellEnd"/>
      <w:r w:rsidR="00544275">
        <w:t xml:space="preserve"> in CIPD as follows:</w:t>
      </w:r>
    </w:p>
    <w:p w14:paraId="7568EB74" w14:textId="108BC954" w:rsidR="00544275" w:rsidRDefault="00544275" w:rsidP="00657889">
      <w:pPr>
        <w:pStyle w:val="ListBullet"/>
      </w:pPr>
      <w:r>
        <w:t xml:space="preserve">The results from the main clinical studies and the </w:t>
      </w:r>
      <w:proofErr w:type="spellStart"/>
      <w:r>
        <w:t>Eftimov</w:t>
      </w:r>
      <w:proofErr w:type="spellEnd"/>
      <w:r>
        <w:t xml:space="preserve"> et al</w:t>
      </w:r>
      <w:r w:rsidR="00657889">
        <w:t>.,</w:t>
      </w:r>
      <w:r>
        <w:t xml:space="preserve"> (2013)</w:t>
      </w:r>
      <w:r w:rsidR="00657889">
        <w:t>;</w:t>
      </w:r>
      <w:r w:rsidR="00657889" w:rsidRPr="00657889">
        <w:rPr>
          <w:vertAlign w:val="superscript"/>
        </w:rPr>
        <w:fldChar w:fldCharType="begin"/>
      </w:r>
      <w:r w:rsidR="00657889" w:rsidRPr="00657889">
        <w:rPr>
          <w:vertAlign w:val="superscript"/>
        </w:rPr>
        <w:instrText xml:space="preserve"> NOTEREF _Ref82805587 \h </w:instrText>
      </w:r>
      <w:r w:rsidR="00657889">
        <w:rPr>
          <w:vertAlign w:val="superscript"/>
        </w:rPr>
        <w:instrText xml:space="preserve"> \* MERGEFORMAT </w:instrText>
      </w:r>
      <w:r w:rsidR="00657889" w:rsidRPr="00657889">
        <w:rPr>
          <w:vertAlign w:val="superscript"/>
        </w:rPr>
      </w:r>
      <w:r w:rsidR="00657889" w:rsidRPr="00657889">
        <w:rPr>
          <w:vertAlign w:val="superscript"/>
        </w:rPr>
        <w:fldChar w:fldCharType="separate"/>
      </w:r>
      <w:r w:rsidR="00F81787">
        <w:rPr>
          <w:vertAlign w:val="superscript"/>
        </w:rPr>
        <w:t>24</w:t>
      </w:r>
      <w:r w:rsidR="00657889" w:rsidRPr="00657889">
        <w:rPr>
          <w:vertAlign w:val="superscript"/>
        </w:rPr>
        <w:fldChar w:fldCharType="end"/>
      </w:r>
      <w:r w:rsidR="00657889">
        <w:t xml:space="preserve"> meta</w:t>
      </w:r>
      <w:r w:rsidR="00657889">
        <w:noBreakHyphen/>
      </w:r>
      <w:r>
        <w:t xml:space="preserve">analysis may be indirectly considered generalisable to </w:t>
      </w:r>
      <w:proofErr w:type="spellStart"/>
      <w:r>
        <w:t>Kiovig</w:t>
      </w:r>
      <w:proofErr w:type="spellEnd"/>
      <w:r>
        <w:t xml:space="preserve"> in CIDP based on (a) acceptance of </w:t>
      </w:r>
      <w:proofErr w:type="spellStart"/>
      <w:r>
        <w:t>IVIgs</w:t>
      </w:r>
      <w:proofErr w:type="spellEnd"/>
      <w:r>
        <w:t xml:space="preserve"> as first-line treatment in CIDP, as a class effect, by the </w:t>
      </w:r>
      <w:r w:rsidR="00657889">
        <w:t>National Blood Authority</w:t>
      </w:r>
      <w:r>
        <w:t xml:space="preserve"> in Australia; (b) international consensus, including international regulatory jurisdictions, of ‘equivalence between </w:t>
      </w:r>
      <w:proofErr w:type="spellStart"/>
      <w:r>
        <w:t>IVIgs</w:t>
      </w:r>
      <w:proofErr w:type="spellEnd"/>
      <w:r>
        <w:t xml:space="preserve"> in CIDP,’ with Level of evidence Category 1 (based on similar </w:t>
      </w:r>
      <w:r w:rsidR="00CC797B">
        <w:t>literature based submission</w:t>
      </w:r>
      <w:r>
        <w:t xml:space="preserve"> applications to this application, in Australia);</w:t>
      </w:r>
    </w:p>
    <w:p w14:paraId="551DA638" w14:textId="77777777" w:rsidR="00544275" w:rsidRDefault="00657889" w:rsidP="00544275">
      <w:r>
        <w:t>To the above, the D</w:t>
      </w:r>
      <w:r w:rsidR="00544275">
        <w:t>elega</w:t>
      </w:r>
      <w:r>
        <w:t>te makes the following comment:</w:t>
      </w:r>
    </w:p>
    <w:p w14:paraId="6D7E8D87" w14:textId="77777777" w:rsidR="00657889" w:rsidRDefault="00544275" w:rsidP="00544275">
      <w:pPr>
        <w:pStyle w:val="ListBullet"/>
      </w:pPr>
      <w:r>
        <w:t>It will be an assumption, to apply the generalisability and</w:t>
      </w:r>
      <w:r w:rsidR="00657889">
        <w:t xml:space="preserve"> class effect principle to the s</w:t>
      </w:r>
      <w:r>
        <w:t xml:space="preserve">ponsor’s proposed </w:t>
      </w:r>
      <w:proofErr w:type="spellStart"/>
      <w:r>
        <w:t>Kiovig</w:t>
      </w:r>
      <w:r w:rsidR="00657889">
        <w:t>’s</w:t>
      </w:r>
      <w:proofErr w:type="spellEnd"/>
      <w:r w:rsidR="00657889">
        <w:t xml:space="preserve"> extension of indication to CIDP. In that case, the s</w:t>
      </w:r>
      <w:r>
        <w:t xml:space="preserve">ponsor would not have needed to submit a </w:t>
      </w:r>
      <w:r w:rsidR="00657889">
        <w:t xml:space="preserve">full dossier for an extension of indications </w:t>
      </w:r>
      <w:r w:rsidR="00657889">
        <w:lastRenderedPageBreak/>
        <w:t>submission and</w:t>
      </w:r>
      <w:r>
        <w:t xml:space="preserve"> should </w:t>
      </w:r>
      <w:r w:rsidR="00657889">
        <w:t xml:space="preserve">have </w:t>
      </w:r>
      <w:r>
        <w:t xml:space="preserve">simply just have added CIDP to </w:t>
      </w:r>
      <w:proofErr w:type="spellStart"/>
      <w:r>
        <w:t>Kiovig’s</w:t>
      </w:r>
      <w:proofErr w:type="spellEnd"/>
      <w:r>
        <w:t xml:space="preserve"> already </w:t>
      </w:r>
      <w:r w:rsidR="00657889">
        <w:t>approved and listed indications.</w:t>
      </w:r>
    </w:p>
    <w:p w14:paraId="2B08766B" w14:textId="5B83C1C6" w:rsidR="00544275" w:rsidRDefault="00657889" w:rsidP="00544275">
      <w:pPr>
        <w:pStyle w:val="ListBullet"/>
      </w:pPr>
      <w:r>
        <w:t xml:space="preserve">This Delegate is </w:t>
      </w:r>
      <w:r w:rsidR="00544275">
        <w:t xml:space="preserve">not convinced that the submitted </w:t>
      </w:r>
      <w:proofErr w:type="gramStart"/>
      <w:r w:rsidR="00CC797B">
        <w:t>literature based</w:t>
      </w:r>
      <w:proofErr w:type="gramEnd"/>
      <w:r w:rsidR="00CC797B">
        <w:t xml:space="preserve"> submission</w:t>
      </w:r>
      <w:r w:rsidR="00544275">
        <w:t xml:space="preserve"> provided</w:t>
      </w:r>
      <w:r>
        <w:t xml:space="preserve"> Category 1 level evidence of (questionably</w:t>
      </w:r>
      <w:r w:rsidR="00544275">
        <w:t xml:space="preserve"> therapeutic) equivalence between </w:t>
      </w:r>
      <w:proofErr w:type="spellStart"/>
      <w:r w:rsidR="00544275">
        <w:t>IVIgs</w:t>
      </w:r>
      <w:proofErr w:type="spellEnd"/>
      <w:r w:rsidR="00544275">
        <w:t xml:space="preserve"> in CIDP, when head-to-head IVIg trials were mostly not involved. Only the </w:t>
      </w:r>
      <w:proofErr w:type="spellStart"/>
      <w:r w:rsidR="00544275">
        <w:t>Kuitwaard</w:t>
      </w:r>
      <w:proofErr w:type="spellEnd"/>
      <w:r w:rsidR="00544275">
        <w:t xml:space="preserve"> et al</w:t>
      </w:r>
      <w:r>
        <w:t>.,</w:t>
      </w:r>
      <w:r w:rsidR="00544275">
        <w:t xml:space="preserve"> (2010)</w:t>
      </w:r>
      <w:r>
        <w:t>;</w:t>
      </w:r>
      <w:r w:rsidRPr="00657889">
        <w:rPr>
          <w:vertAlign w:val="superscript"/>
        </w:rPr>
        <w:fldChar w:fldCharType="begin"/>
      </w:r>
      <w:r w:rsidRPr="00657889">
        <w:rPr>
          <w:vertAlign w:val="superscript"/>
        </w:rPr>
        <w:instrText xml:space="preserve"> NOTEREF _Ref82804755 \h </w:instrText>
      </w:r>
      <w:r>
        <w:rPr>
          <w:vertAlign w:val="superscript"/>
        </w:rPr>
        <w:instrText xml:space="preserve"> \* MERGEFORMAT </w:instrText>
      </w:r>
      <w:r w:rsidRPr="00657889">
        <w:rPr>
          <w:vertAlign w:val="superscript"/>
        </w:rPr>
      </w:r>
      <w:r w:rsidRPr="00657889">
        <w:rPr>
          <w:vertAlign w:val="superscript"/>
        </w:rPr>
        <w:fldChar w:fldCharType="separate"/>
      </w:r>
      <w:r w:rsidR="00F81787">
        <w:rPr>
          <w:vertAlign w:val="superscript"/>
        </w:rPr>
        <w:t>8</w:t>
      </w:r>
      <w:r w:rsidRPr="00657889">
        <w:rPr>
          <w:vertAlign w:val="superscript"/>
        </w:rPr>
        <w:fldChar w:fldCharType="end"/>
      </w:r>
      <w:r w:rsidR="00544275">
        <w:t xml:space="preserve"> compared </w:t>
      </w:r>
      <w:proofErr w:type="spellStart"/>
      <w:r w:rsidR="00544275">
        <w:t>Gammagard</w:t>
      </w:r>
      <w:proofErr w:type="spellEnd"/>
      <w:r w:rsidR="00544275">
        <w:t xml:space="preserve"> S/D with </w:t>
      </w:r>
      <w:proofErr w:type="spellStart"/>
      <w:r w:rsidR="00544275">
        <w:t>Kiovig</w:t>
      </w:r>
      <w:proofErr w:type="spellEnd"/>
      <w:r w:rsidR="00544275">
        <w:t xml:space="preserve"> and, that was in a maintenance treatment study only. Therefore, the talk of international consensus, including international regulatory jurisdictions, of ‘equivalence between </w:t>
      </w:r>
      <w:proofErr w:type="spellStart"/>
      <w:r w:rsidR="00544275">
        <w:t>IVIgs</w:t>
      </w:r>
      <w:proofErr w:type="spellEnd"/>
      <w:r w:rsidR="00544275">
        <w:t xml:space="preserve"> in CIDP’ based on the </w:t>
      </w:r>
      <w:proofErr w:type="gramStart"/>
      <w:r w:rsidR="00CC797B">
        <w:t>literature based</w:t>
      </w:r>
      <w:proofErr w:type="gramEnd"/>
      <w:r w:rsidR="00CC797B">
        <w:t xml:space="preserve"> submission</w:t>
      </w:r>
      <w:r w:rsidR="00544275">
        <w:t>, does not really hold fir</w:t>
      </w:r>
      <w:r>
        <w:t>m.</w:t>
      </w:r>
    </w:p>
    <w:p w14:paraId="7EB3C2CE" w14:textId="77777777" w:rsidR="009B7841" w:rsidRDefault="009B7841" w:rsidP="009B7841">
      <w:r>
        <w:t xml:space="preserve">After reviewing the sponsor’s responses to post-first round clinical questions, the clinical evaluator for the </w:t>
      </w:r>
      <w:proofErr w:type="gramStart"/>
      <w:r>
        <w:t>second round</w:t>
      </w:r>
      <w:proofErr w:type="gramEnd"/>
      <w:r>
        <w:t xml:space="preserve"> assessment,</w:t>
      </w:r>
      <w:r>
        <w:rPr>
          <w:spacing w:val="-2"/>
        </w:rPr>
        <w:t xml:space="preserve"> </w:t>
      </w:r>
      <w:r>
        <w:t>changed</w:t>
      </w:r>
      <w:r>
        <w:rPr>
          <w:spacing w:val="-1"/>
        </w:rPr>
        <w:t xml:space="preserve"> </w:t>
      </w:r>
      <w:r>
        <w:t>the</w:t>
      </w:r>
      <w:r>
        <w:rPr>
          <w:spacing w:val="-3"/>
        </w:rPr>
        <w:t xml:space="preserve"> </w:t>
      </w:r>
      <w:r>
        <w:t>previous risks of</w:t>
      </w:r>
      <w:r>
        <w:rPr>
          <w:spacing w:val="-1"/>
        </w:rPr>
        <w:t xml:space="preserve"> </w:t>
      </w:r>
      <w:proofErr w:type="spellStart"/>
      <w:r>
        <w:t>Kiovig</w:t>
      </w:r>
      <w:proofErr w:type="spellEnd"/>
      <w:r>
        <w:rPr>
          <w:spacing w:val="-2"/>
        </w:rPr>
        <w:t xml:space="preserve"> </w:t>
      </w:r>
      <w:r>
        <w:t>in</w:t>
      </w:r>
      <w:r>
        <w:rPr>
          <w:spacing w:val="-4"/>
        </w:rPr>
        <w:t xml:space="preserve"> </w:t>
      </w:r>
      <w:r>
        <w:t>CIPD</w:t>
      </w:r>
      <w:r>
        <w:rPr>
          <w:spacing w:val="-1"/>
        </w:rPr>
        <w:t xml:space="preserve"> </w:t>
      </w:r>
      <w:r>
        <w:t>as</w:t>
      </w:r>
      <w:r>
        <w:rPr>
          <w:spacing w:val="-2"/>
        </w:rPr>
        <w:t xml:space="preserve"> </w:t>
      </w:r>
      <w:r>
        <w:t>follows:</w:t>
      </w:r>
    </w:p>
    <w:p w14:paraId="5145542B" w14:textId="77777777" w:rsidR="009B7841" w:rsidRPr="009B7841" w:rsidRDefault="009B7841" w:rsidP="009B7841">
      <w:pPr>
        <w:pStyle w:val="ListBullet"/>
        <w:rPr>
          <w:rFonts w:ascii="Wingdings" w:hAnsi="Wingdings"/>
        </w:rPr>
      </w:pPr>
      <w:r>
        <w:t>No international regulatory jurisdiction or Expert panel, as well as the National Blood</w:t>
      </w:r>
      <w:r w:rsidRPr="009B7841">
        <w:rPr>
          <w:spacing w:val="1"/>
        </w:rPr>
        <w:t xml:space="preserve"> </w:t>
      </w:r>
      <w:r>
        <w:t xml:space="preserve">Authority (NBA) in Australia, has identified any concern, </w:t>
      </w:r>
      <w:proofErr w:type="gramStart"/>
      <w:r>
        <w:t>in regards to</w:t>
      </w:r>
      <w:proofErr w:type="gramEnd"/>
      <w:r>
        <w:t xml:space="preserve"> either efficacy or</w:t>
      </w:r>
      <w:r w:rsidRPr="009B7841">
        <w:rPr>
          <w:spacing w:val="-46"/>
        </w:rPr>
        <w:t xml:space="preserve"> </w:t>
      </w:r>
      <w:r>
        <w:t>safety,</w:t>
      </w:r>
      <w:r w:rsidRPr="009B7841">
        <w:rPr>
          <w:spacing w:val="-2"/>
        </w:rPr>
        <w:t xml:space="preserve"> </w:t>
      </w:r>
      <w:r>
        <w:t>for</w:t>
      </w:r>
      <w:r w:rsidRPr="009B7841">
        <w:rPr>
          <w:spacing w:val="-1"/>
        </w:rPr>
        <w:t xml:space="preserve"> </w:t>
      </w:r>
      <w:r>
        <w:t>any</w:t>
      </w:r>
      <w:r w:rsidRPr="009B7841">
        <w:rPr>
          <w:spacing w:val="-3"/>
        </w:rPr>
        <w:t xml:space="preserve"> </w:t>
      </w:r>
      <w:r>
        <w:t>particular</w:t>
      </w:r>
      <w:r w:rsidRPr="009B7841">
        <w:rPr>
          <w:spacing w:val="-1"/>
        </w:rPr>
        <w:t xml:space="preserve"> </w:t>
      </w:r>
      <w:r>
        <w:t>IVIg</w:t>
      </w:r>
      <w:r w:rsidRPr="009B7841">
        <w:rPr>
          <w:spacing w:val="-2"/>
        </w:rPr>
        <w:t xml:space="preserve"> </w:t>
      </w:r>
      <w:r>
        <w:t>brand</w:t>
      </w:r>
      <w:r w:rsidRPr="009B7841">
        <w:rPr>
          <w:spacing w:val="-2"/>
        </w:rPr>
        <w:t xml:space="preserve"> </w:t>
      </w:r>
      <w:r>
        <w:t>in</w:t>
      </w:r>
      <w:r w:rsidRPr="009B7841">
        <w:rPr>
          <w:spacing w:val="-2"/>
        </w:rPr>
        <w:t xml:space="preserve"> </w:t>
      </w:r>
      <w:r>
        <w:t>the</w:t>
      </w:r>
      <w:r w:rsidRPr="009B7841">
        <w:rPr>
          <w:spacing w:val="-1"/>
        </w:rPr>
        <w:t xml:space="preserve"> </w:t>
      </w:r>
      <w:r>
        <w:t>treatment</w:t>
      </w:r>
      <w:r w:rsidRPr="009B7841">
        <w:rPr>
          <w:spacing w:val="-2"/>
        </w:rPr>
        <w:t xml:space="preserve"> </w:t>
      </w:r>
      <w:r>
        <w:t>of</w:t>
      </w:r>
      <w:r w:rsidRPr="009B7841">
        <w:rPr>
          <w:spacing w:val="-1"/>
        </w:rPr>
        <w:t xml:space="preserve"> </w:t>
      </w:r>
      <w:r>
        <w:t>CIDP,</w:t>
      </w:r>
      <w:r w:rsidRPr="009B7841">
        <w:rPr>
          <w:spacing w:val="-3"/>
        </w:rPr>
        <w:t xml:space="preserve"> </w:t>
      </w:r>
      <w:r>
        <w:t>including</w:t>
      </w:r>
      <w:r w:rsidRPr="009B7841">
        <w:rPr>
          <w:spacing w:val="-3"/>
        </w:rPr>
        <w:t xml:space="preserve"> </w:t>
      </w:r>
      <w:proofErr w:type="spellStart"/>
      <w:r>
        <w:t>Kiovig</w:t>
      </w:r>
      <w:proofErr w:type="spellEnd"/>
      <w:r>
        <w:t>;</w:t>
      </w:r>
    </w:p>
    <w:p w14:paraId="6BBACEDC" w14:textId="77777777" w:rsidR="009B7841" w:rsidRDefault="009B7841" w:rsidP="009B7841">
      <w:r>
        <w:t>To</w:t>
      </w:r>
      <w:r>
        <w:rPr>
          <w:spacing w:val="-2"/>
        </w:rPr>
        <w:t xml:space="preserve"> </w:t>
      </w:r>
      <w:r>
        <w:t>the</w:t>
      </w:r>
      <w:r>
        <w:rPr>
          <w:spacing w:val="-3"/>
        </w:rPr>
        <w:t xml:space="preserve"> </w:t>
      </w:r>
      <w:r>
        <w:t>above,</w:t>
      </w:r>
      <w:r>
        <w:rPr>
          <w:spacing w:val="-1"/>
        </w:rPr>
        <w:t xml:space="preserve"> </w:t>
      </w:r>
      <w:r>
        <w:t>the</w:t>
      </w:r>
      <w:r>
        <w:rPr>
          <w:spacing w:val="-1"/>
        </w:rPr>
        <w:t xml:space="preserve"> </w:t>
      </w:r>
      <w:r>
        <w:t>Delegate</w:t>
      </w:r>
      <w:r>
        <w:rPr>
          <w:spacing w:val="-3"/>
        </w:rPr>
        <w:t xml:space="preserve"> </w:t>
      </w:r>
      <w:r>
        <w:t>makes the</w:t>
      </w:r>
      <w:r>
        <w:rPr>
          <w:spacing w:val="-2"/>
        </w:rPr>
        <w:t xml:space="preserve"> </w:t>
      </w:r>
      <w:r>
        <w:t>following</w:t>
      </w:r>
      <w:r>
        <w:rPr>
          <w:spacing w:val="-2"/>
        </w:rPr>
        <w:t xml:space="preserve"> </w:t>
      </w:r>
      <w:r>
        <w:t>comments:</w:t>
      </w:r>
    </w:p>
    <w:p w14:paraId="789EB492" w14:textId="77777777" w:rsidR="009B7841" w:rsidRDefault="009B7841" w:rsidP="009B7841">
      <w:pPr>
        <w:pStyle w:val="ListBullet"/>
        <w:rPr>
          <w:rFonts w:ascii="Webdings" w:hAnsi="Webdings"/>
          <w:sz w:val="24"/>
        </w:rPr>
      </w:pPr>
      <w:r>
        <w:t>No</w:t>
      </w:r>
      <w:r>
        <w:rPr>
          <w:spacing w:val="-2"/>
        </w:rPr>
        <w:t xml:space="preserve"> </w:t>
      </w:r>
      <w:r>
        <w:t>extensive</w:t>
      </w:r>
      <w:r>
        <w:rPr>
          <w:spacing w:val="-2"/>
        </w:rPr>
        <w:t xml:space="preserve"> </w:t>
      </w:r>
      <w:r>
        <w:t>data</w:t>
      </w:r>
      <w:r>
        <w:rPr>
          <w:spacing w:val="-2"/>
        </w:rPr>
        <w:t xml:space="preserve"> </w:t>
      </w:r>
      <w:r>
        <w:t>was</w:t>
      </w:r>
      <w:r>
        <w:rPr>
          <w:spacing w:val="45"/>
        </w:rPr>
        <w:t xml:space="preserve"> </w:t>
      </w:r>
      <w:r>
        <w:t>sighted</w:t>
      </w:r>
      <w:r>
        <w:rPr>
          <w:spacing w:val="-2"/>
        </w:rPr>
        <w:t xml:space="preserve"> </w:t>
      </w:r>
      <w:r>
        <w:t>in</w:t>
      </w:r>
      <w:r>
        <w:rPr>
          <w:spacing w:val="-3"/>
        </w:rPr>
        <w:t xml:space="preserve"> </w:t>
      </w:r>
      <w:r>
        <w:t>support</w:t>
      </w:r>
      <w:r>
        <w:rPr>
          <w:spacing w:val="-2"/>
        </w:rPr>
        <w:t xml:space="preserve"> </w:t>
      </w:r>
      <w:r>
        <w:t>of</w:t>
      </w:r>
      <w:r>
        <w:rPr>
          <w:spacing w:val="-2"/>
        </w:rPr>
        <w:t xml:space="preserve"> </w:t>
      </w:r>
      <w:r>
        <w:t>the</w:t>
      </w:r>
      <w:r>
        <w:rPr>
          <w:spacing w:val="-2"/>
        </w:rPr>
        <w:t xml:space="preserve"> </w:t>
      </w:r>
      <w:r>
        <w:t>above</w:t>
      </w:r>
      <w:r>
        <w:rPr>
          <w:spacing w:val="-2"/>
        </w:rPr>
        <w:t xml:space="preserve"> </w:t>
      </w:r>
      <w:r>
        <w:t>statement</w:t>
      </w:r>
      <w:r>
        <w:rPr>
          <w:spacing w:val="-2"/>
        </w:rPr>
        <w:t xml:space="preserve"> </w:t>
      </w:r>
      <w:r>
        <w:t>in</w:t>
      </w:r>
      <w:r>
        <w:rPr>
          <w:spacing w:val="-2"/>
        </w:rPr>
        <w:t xml:space="preserve"> </w:t>
      </w:r>
      <w:r>
        <w:t>regard</w:t>
      </w:r>
      <w:r>
        <w:rPr>
          <w:spacing w:val="-2"/>
        </w:rPr>
        <w:t xml:space="preserve"> </w:t>
      </w:r>
      <w:r>
        <w:t>of</w:t>
      </w:r>
      <w:r>
        <w:rPr>
          <w:spacing w:val="-4"/>
        </w:rPr>
        <w:t xml:space="preserve"> </w:t>
      </w:r>
      <w:proofErr w:type="spellStart"/>
      <w:proofErr w:type="gramStart"/>
      <w:r>
        <w:t>Kiovig</w:t>
      </w:r>
      <w:proofErr w:type="spellEnd"/>
      <w:r>
        <w:t>;</w:t>
      </w:r>
      <w:proofErr w:type="gramEnd"/>
    </w:p>
    <w:p w14:paraId="7B823F8B" w14:textId="77777777" w:rsidR="009B7841" w:rsidRPr="009B7841" w:rsidRDefault="009B7841" w:rsidP="009B7841">
      <w:pPr>
        <w:pStyle w:val="ListBullet"/>
        <w:rPr>
          <w:rFonts w:ascii="Webdings" w:hAnsi="Webdings"/>
          <w:sz w:val="24"/>
        </w:rPr>
      </w:pPr>
      <w:r>
        <w:t>It</w:t>
      </w:r>
      <w:r w:rsidRPr="009B7841">
        <w:rPr>
          <w:spacing w:val="-2"/>
        </w:rPr>
        <w:t xml:space="preserve"> </w:t>
      </w:r>
      <w:r>
        <w:t>is worth noting</w:t>
      </w:r>
      <w:r w:rsidRPr="009B7841">
        <w:rPr>
          <w:spacing w:val="-2"/>
        </w:rPr>
        <w:t xml:space="preserve"> </w:t>
      </w:r>
      <w:r>
        <w:t>Health</w:t>
      </w:r>
      <w:r w:rsidRPr="009B7841">
        <w:rPr>
          <w:spacing w:val="-3"/>
        </w:rPr>
        <w:t xml:space="preserve"> </w:t>
      </w:r>
      <w:r>
        <w:t>Canada’s</w:t>
      </w:r>
      <w:r w:rsidRPr="009B7841">
        <w:rPr>
          <w:spacing w:val="-2"/>
        </w:rPr>
        <w:t xml:space="preserve"> </w:t>
      </w:r>
      <w:r>
        <w:t>statement</w:t>
      </w:r>
      <w:r w:rsidRPr="009B7841">
        <w:rPr>
          <w:spacing w:val="46"/>
        </w:rPr>
        <w:t xml:space="preserve"> </w:t>
      </w:r>
      <w:r>
        <w:t>regarding</w:t>
      </w:r>
      <w:r w:rsidRPr="009B7841">
        <w:rPr>
          <w:spacing w:val="-2"/>
        </w:rPr>
        <w:t xml:space="preserve"> </w:t>
      </w:r>
      <w:r>
        <w:t>the</w:t>
      </w:r>
      <w:r w:rsidRPr="009B7841">
        <w:rPr>
          <w:spacing w:val="-2"/>
        </w:rPr>
        <w:t xml:space="preserve"> </w:t>
      </w:r>
      <w:r>
        <w:t>use</w:t>
      </w:r>
      <w:r w:rsidRPr="009B7841">
        <w:rPr>
          <w:spacing w:val="-1"/>
        </w:rPr>
        <w:t xml:space="preserve"> </w:t>
      </w:r>
      <w:r>
        <w:t>of</w:t>
      </w:r>
      <w:r w:rsidRPr="009B7841">
        <w:rPr>
          <w:spacing w:val="-1"/>
        </w:rPr>
        <w:t xml:space="preserve"> </w:t>
      </w:r>
      <w:r>
        <w:t>IVIg</w:t>
      </w:r>
      <w:r w:rsidRPr="009B7841">
        <w:rPr>
          <w:spacing w:val="45"/>
        </w:rPr>
        <w:t xml:space="preserve"> </w:t>
      </w:r>
      <w:r>
        <w:t>in</w:t>
      </w:r>
      <w:r w:rsidRPr="009B7841">
        <w:rPr>
          <w:spacing w:val="-2"/>
        </w:rPr>
        <w:t xml:space="preserve"> </w:t>
      </w:r>
      <w:r>
        <w:t>CIDP:</w:t>
      </w:r>
    </w:p>
    <w:p w14:paraId="4ECCB719" w14:textId="77777777" w:rsidR="009B7841" w:rsidRPr="009B7841" w:rsidRDefault="009B7841" w:rsidP="009B7841">
      <w:pPr>
        <w:ind w:left="360"/>
        <w:rPr>
          <w:i/>
        </w:rPr>
      </w:pPr>
      <w:r w:rsidRPr="009B7841">
        <w:rPr>
          <w:i/>
        </w:rPr>
        <w:t>If IVIg is to be used in the long-term management of CIDP, the patient should be under the</w:t>
      </w:r>
      <w:r w:rsidRPr="009B7841">
        <w:rPr>
          <w:i/>
          <w:spacing w:val="1"/>
        </w:rPr>
        <w:t xml:space="preserve"> </w:t>
      </w:r>
      <w:r w:rsidRPr="009B7841">
        <w:rPr>
          <w:i/>
        </w:rPr>
        <w:t>care of a qualified expert with specialised knowledge of CIDP and a systematic</w:t>
      </w:r>
      <w:r w:rsidRPr="009B7841">
        <w:rPr>
          <w:i/>
          <w:spacing w:val="1"/>
        </w:rPr>
        <w:t xml:space="preserve"> </w:t>
      </w:r>
      <w:r w:rsidRPr="009B7841">
        <w:rPr>
          <w:i/>
        </w:rPr>
        <w:t>approach be</w:t>
      </w:r>
      <w:r w:rsidRPr="009B7841">
        <w:rPr>
          <w:i/>
          <w:spacing w:val="-46"/>
        </w:rPr>
        <w:t xml:space="preserve"> </w:t>
      </w:r>
      <w:r w:rsidRPr="009B7841">
        <w:rPr>
          <w:i/>
        </w:rPr>
        <w:t>taken</w:t>
      </w:r>
      <w:r w:rsidRPr="009B7841">
        <w:rPr>
          <w:i/>
          <w:spacing w:val="-3"/>
        </w:rPr>
        <w:t xml:space="preserve"> </w:t>
      </w:r>
      <w:r w:rsidRPr="009B7841">
        <w:rPr>
          <w:i/>
        </w:rPr>
        <w:t>to</w:t>
      </w:r>
      <w:r w:rsidRPr="009B7841">
        <w:rPr>
          <w:i/>
          <w:spacing w:val="-1"/>
        </w:rPr>
        <w:t xml:space="preserve"> </w:t>
      </w:r>
      <w:r w:rsidRPr="009B7841">
        <w:rPr>
          <w:i/>
        </w:rPr>
        <w:t>determine</w:t>
      </w:r>
      <w:r w:rsidRPr="009B7841">
        <w:rPr>
          <w:i/>
          <w:spacing w:val="-1"/>
        </w:rPr>
        <w:t xml:space="preserve"> </w:t>
      </w:r>
      <w:r w:rsidRPr="009B7841">
        <w:rPr>
          <w:i/>
        </w:rPr>
        <w:t>the</w:t>
      </w:r>
      <w:r w:rsidRPr="009B7841">
        <w:rPr>
          <w:i/>
          <w:spacing w:val="-1"/>
        </w:rPr>
        <w:t xml:space="preserve"> </w:t>
      </w:r>
      <w:r w:rsidRPr="009B7841">
        <w:rPr>
          <w:i/>
        </w:rPr>
        <w:t>minimal</w:t>
      </w:r>
      <w:r w:rsidRPr="009B7841">
        <w:rPr>
          <w:i/>
          <w:spacing w:val="-3"/>
        </w:rPr>
        <w:t xml:space="preserve"> </w:t>
      </w:r>
      <w:r w:rsidRPr="009B7841">
        <w:rPr>
          <w:i/>
        </w:rPr>
        <w:t>effective</w:t>
      </w:r>
      <w:r w:rsidRPr="009B7841">
        <w:rPr>
          <w:i/>
          <w:spacing w:val="48"/>
        </w:rPr>
        <w:t xml:space="preserve"> </w:t>
      </w:r>
      <w:proofErr w:type="gramStart"/>
      <w:r w:rsidRPr="009B7841">
        <w:rPr>
          <w:i/>
        </w:rPr>
        <w:t>dose;</w:t>
      </w:r>
      <w:proofErr w:type="gramEnd"/>
    </w:p>
    <w:p w14:paraId="1E9920D0" w14:textId="77777777" w:rsidR="009B7841" w:rsidRPr="009B7841" w:rsidRDefault="009B7841" w:rsidP="009B7841">
      <w:pPr>
        <w:pStyle w:val="ListBullet"/>
        <w:rPr>
          <w:rFonts w:ascii="Webdings" w:hAnsi="Webdings"/>
          <w:sz w:val="24"/>
        </w:rPr>
      </w:pPr>
      <w:r>
        <w:t xml:space="preserve">The role of the National Blood Authority in Australia is simply to provide an adequate, safe, </w:t>
      </w:r>
      <w:proofErr w:type="gramStart"/>
      <w:r>
        <w:t>secure</w:t>
      </w:r>
      <w:proofErr w:type="gramEnd"/>
      <w:r>
        <w:t xml:space="preserve"> and affordable</w:t>
      </w:r>
      <w:r w:rsidRPr="009B7841">
        <w:rPr>
          <w:spacing w:val="-46"/>
        </w:rPr>
        <w:t xml:space="preserve"> </w:t>
      </w:r>
      <w:r>
        <w:t xml:space="preserve">supply of blood products, blood related products and blood related services. </w:t>
      </w:r>
      <w:r w:rsidRPr="009B7841">
        <w:rPr>
          <w:i/>
        </w:rPr>
        <w:t>It does not</w:t>
      </w:r>
      <w:r w:rsidRPr="009B7841">
        <w:rPr>
          <w:i/>
          <w:spacing w:val="1"/>
        </w:rPr>
        <w:t xml:space="preserve"> </w:t>
      </w:r>
      <w:r w:rsidRPr="009B7841">
        <w:rPr>
          <w:i/>
        </w:rPr>
        <w:t>engage</w:t>
      </w:r>
      <w:r w:rsidRPr="009B7841">
        <w:rPr>
          <w:i/>
          <w:spacing w:val="-2"/>
        </w:rPr>
        <w:t xml:space="preserve"> </w:t>
      </w:r>
      <w:r w:rsidRPr="009B7841">
        <w:rPr>
          <w:i/>
        </w:rPr>
        <w:t>in</w:t>
      </w:r>
      <w:r w:rsidRPr="009B7841">
        <w:rPr>
          <w:i/>
          <w:spacing w:val="-3"/>
        </w:rPr>
        <w:t xml:space="preserve"> </w:t>
      </w:r>
      <w:r w:rsidRPr="009B7841">
        <w:rPr>
          <w:i/>
        </w:rPr>
        <w:t>clinical</w:t>
      </w:r>
      <w:r w:rsidRPr="009B7841">
        <w:rPr>
          <w:i/>
          <w:spacing w:val="-1"/>
        </w:rPr>
        <w:t xml:space="preserve"> </w:t>
      </w:r>
      <w:r w:rsidRPr="009B7841">
        <w:rPr>
          <w:i/>
        </w:rPr>
        <w:t>trials</w:t>
      </w:r>
      <w:r w:rsidRPr="009B7841">
        <w:rPr>
          <w:i/>
          <w:spacing w:val="-1"/>
        </w:rPr>
        <w:t xml:space="preserve"> </w:t>
      </w:r>
      <w:r w:rsidRPr="009B7841">
        <w:rPr>
          <w:i/>
        </w:rPr>
        <w:t>documenting</w:t>
      </w:r>
      <w:r w:rsidRPr="009B7841">
        <w:rPr>
          <w:i/>
          <w:spacing w:val="-2"/>
        </w:rPr>
        <w:t xml:space="preserve"> </w:t>
      </w:r>
      <w:r w:rsidRPr="009B7841">
        <w:rPr>
          <w:i/>
        </w:rPr>
        <w:t>efficacy</w:t>
      </w:r>
      <w:r w:rsidRPr="009B7841">
        <w:rPr>
          <w:i/>
          <w:spacing w:val="-3"/>
        </w:rPr>
        <w:t xml:space="preserve"> </w:t>
      </w:r>
      <w:r w:rsidRPr="009B7841">
        <w:rPr>
          <w:i/>
        </w:rPr>
        <w:t>and</w:t>
      </w:r>
      <w:r w:rsidRPr="009B7841">
        <w:rPr>
          <w:i/>
          <w:spacing w:val="-3"/>
        </w:rPr>
        <w:t xml:space="preserve"> </w:t>
      </w:r>
      <w:r w:rsidRPr="009B7841">
        <w:rPr>
          <w:i/>
        </w:rPr>
        <w:t>safety</w:t>
      </w:r>
      <w:r w:rsidRPr="009B7841">
        <w:rPr>
          <w:i/>
          <w:spacing w:val="-2"/>
        </w:rPr>
        <w:t xml:space="preserve"> </w:t>
      </w:r>
      <w:r w:rsidRPr="009B7841">
        <w:rPr>
          <w:i/>
        </w:rPr>
        <w:t>of</w:t>
      </w:r>
      <w:r w:rsidRPr="009B7841">
        <w:rPr>
          <w:i/>
          <w:spacing w:val="-2"/>
        </w:rPr>
        <w:t xml:space="preserve"> </w:t>
      </w:r>
      <w:r w:rsidRPr="009B7841">
        <w:rPr>
          <w:i/>
        </w:rPr>
        <w:t>any</w:t>
      </w:r>
      <w:r w:rsidRPr="009B7841">
        <w:rPr>
          <w:i/>
          <w:spacing w:val="-3"/>
        </w:rPr>
        <w:t xml:space="preserve"> </w:t>
      </w:r>
      <w:r w:rsidRPr="009B7841">
        <w:rPr>
          <w:i/>
        </w:rPr>
        <w:t>blood</w:t>
      </w:r>
      <w:r w:rsidRPr="009B7841">
        <w:rPr>
          <w:i/>
          <w:spacing w:val="-3"/>
        </w:rPr>
        <w:t xml:space="preserve"> </w:t>
      </w:r>
      <w:r w:rsidRPr="009B7841">
        <w:rPr>
          <w:i/>
        </w:rPr>
        <w:t>product per</w:t>
      </w:r>
      <w:r w:rsidRPr="009B7841">
        <w:rPr>
          <w:i/>
          <w:spacing w:val="-3"/>
        </w:rPr>
        <w:t xml:space="preserve"> </w:t>
      </w:r>
      <w:r w:rsidRPr="009B7841">
        <w:rPr>
          <w:i/>
        </w:rPr>
        <w:t>se.</w:t>
      </w:r>
    </w:p>
    <w:p w14:paraId="738C8029" w14:textId="77777777" w:rsidR="009B7841" w:rsidRDefault="009B7841" w:rsidP="009B7841">
      <w:r>
        <w:t xml:space="preserve">For the </w:t>
      </w:r>
      <w:proofErr w:type="gramStart"/>
      <w:r>
        <w:t>second round</w:t>
      </w:r>
      <w:proofErr w:type="gramEnd"/>
      <w:r>
        <w:t xml:space="preserve"> benefit -risk balance, the clinical evaluator considers the latter as now favourable </w:t>
      </w:r>
      <w:r w:rsidRPr="009B7841">
        <w:t>based on these</w:t>
      </w:r>
      <w:r>
        <w:rPr>
          <w:spacing w:val="-1"/>
        </w:rPr>
        <w:t xml:space="preserve"> </w:t>
      </w:r>
      <w:r>
        <w:t>rationales:</w:t>
      </w:r>
    </w:p>
    <w:p w14:paraId="701D925D" w14:textId="77777777" w:rsidR="009B7841" w:rsidRPr="009B7841" w:rsidRDefault="009B7841" w:rsidP="009B7841">
      <w:pPr>
        <w:pStyle w:val="ListBullet"/>
        <w:rPr>
          <w:rFonts w:ascii="Wingdings" w:hAnsi="Wingdings"/>
        </w:rPr>
      </w:pPr>
      <w:r>
        <w:t xml:space="preserve">From the extensive data from the National Blood Authority website, considerable volumes of </w:t>
      </w:r>
      <w:proofErr w:type="spellStart"/>
      <w:r>
        <w:t>Kiovig</w:t>
      </w:r>
      <w:proofErr w:type="spellEnd"/>
      <w:r>
        <w:t xml:space="preserve"> have been</w:t>
      </w:r>
      <w:r w:rsidRPr="009B7841">
        <w:rPr>
          <w:spacing w:val="-46"/>
        </w:rPr>
        <w:t xml:space="preserve"> </w:t>
      </w:r>
      <w:r>
        <w:t>imported into Australia over the past 10 years, and much of that for use in CIDP patients</w:t>
      </w:r>
      <w:r w:rsidRPr="009B7841">
        <w:rPr>
          <w:spacing w:val="1"/>
        </w:rPr>
        <w:t xml:space="preserve"> </w:t>
      </w:r>
      <w:r>
        <w:t>(adults</w:t>
      </w:r>
      <w:r w:rsidRPr="009B7841">
        <w:rPr>
          <w:spacing w:val="-3"/>
        </w:rPr>
        <w:t xml:space="preserve"> </w:t>
      </w:r>
      <w:r>
        <w:t>and</w:t>
      </w:r>
      <w:r w:rsidRPr="009B7841">
        <w:rPr>
          <w:spacing w:val="-1"/>
        </w:rPr>
        <w:t xml:space="preserve"> </w:t>
      </w:r>
      <w:r>
        <w:t>paediatrics),</w:t>
      </w:r>
      <w:r w:rsidRPr="009B7841">
        <w:rPr>
          <w:spacing w:val="-3"/>
        </w:rPr>
        <w:t xml:space="preserve"> </w:t>
      </w:r>
      <w:r>
        <w:t>without</w:t>
      </w:r>
      <w:r w:rsidRPr="009B7841">
        <w:rPr>
          <w:spacing w:val="-1"/>
        </w:rPr>
        <w:t xml:space="preserve"> </w:t>
      </w:r>
      <w:r>
        <w:t>any</w:t>
      </w:r>
      <w:r w:rsidRPr="009B7841">
        <w:rPr>
          <w:spacing w:val="-2"/>
        </w:rPr>
        <w:t xml:space="preserve"> </w:t>
      </w:r>
      <w:r>
        <w:t>new</w:t>
      </w:r>
      <w:r w:rsidRPr="009B7841">
        <w:rPr>
          <w:spacing w:val="-1"/>
        </w:rPr>
        <w:t xml:space="preserve"> </w:t>
      </w:r>
      <w:r>
        <w:t>safety</w:t>
      </w:r>
      <w:r w:rsidRPr="009B7841">
        <w:rPr>
          <w:spacing w:val="-4"/>
        </w:rPr>
        <w:t xml:space="preserve"> </w:t>
      </w:r>
      <w:r>
        <w:t xml:space="preserve">signals </w:t>
      </w:r>
      <w:proofErr w:type="gramStart"/>
      <w:r>
        <w:t>identified;</w:t>
      </w:r>
      <w:proofErr w:type="gramEnd"/>
    </w:p>
    <w:p w14:paraId="3984E229" w14:textId="77777777" w:rsidR="009B7841" w:rsidRPr="009B7841" w:rsidRDefault="009B7841" w:rsidP="009B7841">
      <w:pPr>
        <w:pStyle w:val="ListBullet"/>
        <w:rPr>
          <w:rFonts w:ascii="Wingdings" w:hAnsi="Wingdings"/>
        </w:rPr>
      </w:pPr>
      <w:r>
        <w:t xml:space="preserve">The safety profile of </w:t>
      </w:r>
      <w:proofErr w:type="spellStart"/>
      <w:r>
        <w:t>Kiovig</w:t>
      </w:r>
      <w:proofErr w:type="spellEnd"/>
      <w:r>
        <w:t xml:space="preserve"> has been well characterised from clinical experience in ITP and</w:t>
      </w:r>
      <w:r w:rsidRPr="009B7841">
        <w:rPr>
          <w:spacing w:val="-46"/>
        </w:rPr>
        <w:t xml:space="preserve"> </w:t>
      </w:r>
      <w:r>
        <w:t>PID,</w:t>
      </w:r>
      <w:r w:rsidRPr="009B7841">
        <w:rPr>
          <w:spacing w:val="-2"/>
        </w:rPr>
        <w:t xml:space="preserve"> </w:t>
      </w:r>
      <w:r>
        <w:t>with no</w:t>
      </w:r>
      <w:r w:rsidRPr="009B7841">
        <w:rPr>
          <w:spacing w:val="-1"/>
        </w:rPr>
        <w:t xml:space="preserve"> </w:t>
      </w:r>
      <w:r>
        <w:t>clear</w:t>
      </w:r>
      <w:r w:rsidRPr="009B7841">
        <w:rPr>
          <w:spacing w:val="-1"/>
        </w:rPr>
        <w:t xml:space="preserve"> </w:t>
      </w:r>
      <w:r>
        <w:t>CIDP-specific adverse drug reactions</w:t>
      </w:r>
      <w:r w:rsidRPr="009B7841">
        <w:rPr>
          <w:spacing w:val="-2"/>
        </w:rPr>
        <w:t xml:space="preserve"> </w:t>
      </w:r>
      <w:r>
        <w:t>identified</w:t>
      </w:r>
      <w:r w:rsidRPr="009B7841">
        <w:rPr>
          <w:spacing w:val="-1"/>
        </w:rPr>
        <w:t xml:space="preserve"> </w:t>
      </w:r>
      <w:r>
        <w:t>to</w:t>
      </w:r>
      <w:r w:rsidRPr="009B7841">
        <w:rPr>
          <w:spacing w:val="-4"/>
        </w:rPr>
        <w:t xml:space="preserve"> </w:t>
      </w:r>
      <w:proofErr w:type="gramStart"/>
      <w:r>
        <w:t>date;</w:t>
      </w:r>
      <w:proofErr w:type="gramEnd"/>
    </w:p>
    <w:p w14:paraId="39E519C9" w14:textId="77777777" w:rsidR="009B7841" w:rsidRPr="009B7841" w:rsidRDefault="009B7841" w:rsidP="009B7841">
      <w:pPr>
        <w:pStyle w:val="ListBullet"/>
        <w:rPr>
          <w:rFonts w:ascii="Wingdings" w:hAnsi="Wingdings"/>
        </w:rPr>
      </w:pPr>
      <w:r>
        <w:t>There were</w:t>
      </w:r>
      <w:r w:rsidRPr="009B7841">
        <w:rPr>
          <w:spacing w:val="1"/>
        </w:rPr>
        <w:t xml:space="preserve"> </w:t>
      </w:r>
      <w:r>
        <w:t xml:space="preserve">limitations to </w:t>
      </w:r>
      <w:proofErr w:type="spellStart"/>
      <w:r>
        <w:t>Kiovig’s</w:t>
      </w:r>
      <w:proofErr w:type="spellEnd"/>
      <w:r>
        <w:t xml:space="preserve"> </w:t>
      </w:r>
      <w:proofErr w:type="gramStart"/>
      <w:r>
        <w:t>literature based</w:t>
      </w:r>
      <w:proofErr w:type="gramEnd"/>
      <w:r>
        <w:t xml:space="preserve"> submission</w:t>
      </w:r>
      <w:r w:rsidRPr="009B7841">
        <w:rPr>
          <w:spacing w:val="1"/>
        </w:rPr>
        <w:t xml:space="preserve"> </w:t>
      </w:r>
      <w:r>
        <w:t xml:space="preserve">for CIDP but, a similar application for </w:t>
      </w:r>
      <w:proofErr w:type="spellStart"/>
      <w:r>
        <w:t>Intragam</w:t>
      </w:r>
      <w:proofErr w:type="spellEnd"/>
      <w:r w:rsidRPr="009B7841">
        <w:rPr>
          <w:spacing w:val="-46"/>
        </w:rPr>
        <w:t xml:space="preserve"> </w:t>
      </w:r>
      <w:r>
        <w:t>10NF</w:t>
      </w:r>
      <w:r w:rsidRPr="009B7841">
        <w:rPr>
          <w:spacing w:val="45"/>
        </w:rPr>
        <w:t xml:space="preserve"> </w:t>
      </w:r>
      <w:r>
        <w:t>was approved</w:t>
      </w:r>
      <w:r w:rsidRPr="009B7841">
        <w:rPr>
          <w:spacing w:val="-2"/>
        </w:rPr>
        <w:t xml:space="preserve"> </w:t>
      </w:r>
      <w:r>
        <w:t>in</w:t>
      </w:r>
      <w:r w:rsidRPr="009B7841">
        <w:rPr>
          <w:spacing w:val="-2"/>
        </w:rPr>
        <w:t xml:space="preserve"> </w:t>
      </w:r>
      <w:r>
        <w:t>2011</w:t>
      </w:r>
      <w:r w:rsidRPr="009B7841">
        <w:rPr>
          <w:spacing w:val="-1"/>
        </w:rPr>
        <w:t xml:space="preserve"> </w:t>
      </w:r>
      <w:r>
        <w:t>based</w:t>
      </w:r>
      <w:r w:rsidRPr="009B7841">
        <w:rPr>
          <w:spacing w:val="-4"/>
        </w:rPr>
        <w:t xml:space="preserve"> </w:t>
      </w:r>
      <w:r>
        <w:t>on</w:t>
      </w:r>
      <w:r w:rsidRPr="009B7841">
        <w:rPr>
          <w:spacing w:val="-2"/>
        </w:rPr>
        <w:t xml:space="preserve"> </w:t>
      </w:r>
      <w:r>
        <w:t>a</w:t>
      </w:r>
      <w:r w:rsidRPr="009B7841">
        <w:rPr>
          <w:spacing w:val="-1"/>
        </w:rPr>
        <w:t xml:space="preserve"> </w:t>
      </w:r>
      <w:r>
        <w:t>similar</w:t>
      </w:r>
      <w:r w:rsidRPr="009B7841">
        <w:rPr>
          <w:spacing w:val="-2"/>
        </w:rPr>
        <w:t xml:space="preserve"> </w:t>
      </w:r>
      <w:r>
        <w:t>literature based submission</w:t>
      </w:r>
      <w:r w:rsidRPr="009B7841">
        <w:rPr>
          <w:spacing w:val="1"/>
        </w:rPr>
        <w:t xml:space="preserve"> </w:t>
      </w:r>
      <w:r>
        <w:t>application</w:t>
      </w:r>
      <w:r w:rsidRPr="009B7841">
        <w:rPr>
          <w:spacing w:val="-2"/>
        </w:rPr>
        <w:t xml:space="preserve"> </w:t>
      </w:r>
      <w:r>
        <w:t>to</w:t>
      </w:r>
      <w:r w:rsidRPr="009B7841">
        <w:rPr>
          <w:spacing w:val="-2"/>
        </w:rPr>
        <w:t xml:space="preserve"> </w:t>
      </w:r>
      <w:r>
        <w:t>this application;</w:t>
      </w:r>
    </w:p>
    <w:p w14:paraId="251AF429" w14:textId="77777777" w:rsidR="009B7841" w:rsidRDefault="009B7841" w:rsidP="009B7841">
      <w:r>
        <w:t>To</w:t>
      </w:r>
      <w:r>
        <w:rPr>
          <w:spacing w:val="-2"/>
        </w:rPr>
        <w:t xml:space="preserve"> </w:t>
      </w:r>
      <w:r>
        <w:t>the</w:t>
      </w:r>
      <w:r>
        <w:rPr>
          <w:spacing w:val="-3"/>
        </w:rPr>
        <w:t xml:space="preserve"> </w:t>
      </w:r>
      <w:r>
        <w:t>above,</w:t>
      </w:r>
      <w:r>
        <w:rPr>
          <w:spacing w:val="-2"/>
        </w:rPr>
        <w:t xml:space="preserve"> </w:t>
      </w:r>
      <w:r>
        <w:t>the</w:t>
      </w:r>
      <w:r>
        <w:rPr>
          <w:spacing w:val="-1"/>
        </w:rPr>
        <w:t xml:space="preserve"> </w:t>
      </w:r>
      <w:r>
        <w:t>Delegate</w:t>
      </w:r>
      <w:r>
        <w:rPr>
          <w:spacing w:val="-3"/>
        </w:rPr>
        <w:t xml:space="preserve"> </w:t>
      </w:r>
      <w:r>
        <w:t>makes</w:t>
      </w:r>
      <w:r>
        <w:rPr>
          <w:spacing w:val="-1"/>
        </w:rPr>
        <w:t xml:space="preserve"> </w:t>
      </w:r>
      <w:r>
        <w:t>the</w:t>
      </w:r>
      <w:r>
        <w:rPr>
          <w:spacing w:val="-1"/>
        </w:rPr>
        <w:t xml:space="preserve"> </w:t>
      </w:r>
      <w:r>
        <w:t>following</w:t>
      </w:r>
      <w:r>
        <w:rPr>
          <w:spacing w:val="-2"/>
        </w:rPr>
        <w:t xml:space="preserve"> </w:t>
      </w:r>
      <w:r>
        <w:t>comments:</w:t>
      </w:r>
    </w:p>
    <w:p w14:paraId="16158EF5" w14:textId="77777777" w:rsidR="009B7841" w:rsidRPr="009B7841" w:rsidRDefault="009B7841" w:rsidP="009B7841">
      <w:pPr>
        <w:pStyle w:val="ListBullet"/>
        <w:rPr>
          <w:rFonts w:ascii="Webdings" w:hAnsi="Webdings"/>
          <w:sz w:val="24"/>
        </w:rPr>
      </w:pPr>
      <w:r>
        <w:t>The National Blood Authority raw data showed a graph, not a recommendation, depicting IVIg utilisation</w:t>
      </w:r>
      <w:r w:rsidRPr="009B7841">
        <w:rPr>
          <w:spacing w:val="-46"/>
        </w:rPr>
        <w:t xml:space="preserve"> </w:t>
      </w:r>
      <w:r>
        <w:t>in</w:t>
      </w:r>
      <w:r w:rsidRPr="009B7841">
        <w:rPr>
          <w:spacing w:val="45"/>
        </w:rPr>
        <w:t xml:space="preserve"> </w:t>
      </w:r>
      <w:r>
        <w:t>CIDP</w:t>
      </w:r>
      <w:r w:rsidRPr="009B7841">
        <w:rPr>
          <w:spacing w:val="-2"/>
        </w:rPr>
        <w:t xml:space="preserve"> </w:t>
      </w:r>
      <w:r>
        <w:t>without</w:t>
      </w:r>
      <w:r w:rsidRPr="009B7841">
        <w:rPr>
          <w:spacing w:val="-1"/>
        </w:rPr>
        <w:t xml:space="preserve"> </w:t>
      </w:r>
      <w:r>
        <w:t>any</w:t>
      </w:r>
      <w:r w:rsidRPr="009B7841">
        <w:rPr>
          <w:spacing w:val="-2"/>
        </w:rPr>
        <w:t xml:space="preserve"> </w:t>
      </w:r>
      <w:r>
        <w:t>particular</w:t>
      </w:r>
      <w:r w:rsidRPr="009B7841">
        <w:rPr>
          <w:spacing w:val="-2"/>
        </w:rPr>
        <w:t xml:space="preserve"> </w:t>
      </w:r>
      <w:r>
        <w:t>reference/recommendation</w:t>
      </w:r>
      <w:r w:rsidRPr="009B7841">
        <w:rPr>
          <w:spacing w:val="-2"/>
        </w:rPr>
        <w:t xml:space="preserve"> </w:t>
      </w:r>
      <w:r>
        <w:t>to</w:t>
      </w:r>
      <w:r w:rsidRPr="009B7841">
        <w:rPr>
          <w:spacing w:val="-1"/>
        </w:rPr>
        <w:t xml:space="preserve"> </w:t>
      </w:r>
      <w:proofErr w:type="spellStart"/>
      <w:proofErr w:type="gramStart"/>
      <w:r>
        <w:t>Kiovig</w:t>
      </w:r>
      <w:proofErr w:type="spellEnd"/>
      <w:r>
        <w:t>;</w:t>
      </w:r>
      <w:proofErr w:type="gramEnd"/>
    </w:p>
    <w:p w14:paraId="5419FA1C" w14:textId="77777777" w:rsidR="009B7841" w:rsidRPr="009B7841" w:rsidRDefault="009B7841" w:rsidP="009B7841">
      <w:pPr>
        <w:pStyle w:val="ListBullet"/>
        <w:rPr>
          <w:rFonts w:ascii="Webdings" w:hAnsi="Webdings"/>
          <w:sz w:val="24"/>
        </w:rPr>
      </w:pPr>
      <w:r>
        <w:t xml:space="preserve">While the National Blood Authority website documents the vast importation of various </w:t>
      </w:r>
      <w:proofErr w:type="spellStart"/>
      <w:r>
        <w:t>IVIgs</w:t>
      </w:r>
      <w:proofErr w:type="spellEnd"/>
      <w:r>
        <w:t xml:space="preserve"> to Australia</w:t>
      </w:r>
      <w:r w:rsidR="00D2364C">
        <w:t>, the Delegate is</w:t>
      </w:r>
      <w:r>
        <w:t xml:space="preserve"> </w:t>
      </w:r>
      <w:r w:rsidR="00D2364C">
        <w:t>unable to locate the statement ‘</w:t>
      </w:r>
      <w:r>
        <w:t>and much of that (</w:t>
      </w:r>
      <w:proofErr w:type="spellStart"/>
      <w:r>
        <w:t>Kiovig</w:t>
      </w:r>
      <w:proofErr w:type="spellEnd"/>
      <w:r>
        <w:t>) for use in CIDP patients</w:t>
      </w:r>
      <w:r w:rsidRPr="009B7841">
        <w:rPr>
          <w:spacing w:val="1"/>
        </w:rPr>
        <w:t xml:space="preserve"> </w:t>
      </w:r>
      <w:r>
        <w:t>(adults and paediatrics), without an</w:t>
      </w:r>
      <w:r w:rsidR="00D2364C">
        <w:t>y new safety signals identified’</w:t>
      </w:r>
      <w:r>
        <w:t xml:space="preserve"> ascribed to the</w:t>
      </w:r>
      <w:r w:rsidRPr="009B7841">
        <w:rPr>
          <w:spacing w:val="1"/>
        </w:rPr>
        <w:t xml:space="preserve"> </w:t>
      </w:r>
      <w:r>
        <w:t>website;</w:t>
      </w:r>
    </w:p>
    <w:p w14:paraId="039CEB5A" w14:textId="77777777" w:rsidR="009B7841" w:rsidRPr="00D2364C" w:rsidRDefault="009B7841" w:rsidP="00D2364C">
      <w:pPr>
        <w:pStyle w:val="ListBullet"/>
        <w:rPr>
          <w:rFonts w:ascii="Webdings" w:hAnsi="Webdings"/>
          <w:sz w:val="21"/>
        </w:rPr>
      </w:pPr>
      <w:r>
        <w:t xml:space="preserve">It is hardly surprising that there are no clear CIDP specific </w:t>
      </w:r>
      <w:proofErr w:type="spellStart"/>
      <w:r>
        <w:t>Kiovig</w:t>
      </w:r>
      <w:proofErr w:type="spellEnd"/>
      <w:r>
        <w:t xml:space="preserve"> </w:t>
      </w:r>
      <w:r w:rsidR="00D2364C">
        <w:t>adverse drug reactions</w:t>
      </w:r>
      <w:r>
        <w:t xml:space="preserve"> identified to</w:t>
      </w:r>
      <w:r w:rsidRPr="00D2364C">
        <w:rPr>
          <w:spacing w:val="1"/>
        </w:rPr>
        <w:t xml:space="preserve"> </w:t>
      </w:r>
      <w:r>
        <w:t>date, given the very scanty specific clinical data (trial or</w:t>
      </w:r>
      <w:r w:rsidRPr="00D2364C">
        <w:rPr>
          <w:spacing w:val="1"/>
        </w:rPr>
        <w:t xml:space="preserve"> </w:t>
      </w:r>
      <w:r>
        <w:lastRenderedPageBreak/>
        <w:t>literature), available on the use</w:t>
      </w:r>
      <w:r w:rsidRPr="00D2364C">
        <w:rPr>
          <w:spacing w:val="-46"/>
        </w:rPr>
        <w:t xml:space="preserve"> </w:t>
      </w:r>
      <w:r>
        <w:t xml:space="preserve">of </w:t>
      </w:r>
      <w:proofErr w:type="spellStart"/>
      <w:r>
        <w:t>Kiovig</w:t>
      </w:r>
      <w:proofErr w:type="spellEnd"/>
      <w:r>
        <w:t xml:space="preserve"> in CIDP despite, the purported registration of </w:t>
      </w:r>
      <w:proofErr w:type="spellStart"/>
      <w:r>
        <w:t>Kiovig</w:t>
      </w:r>
      <w:proofErr w:type="spellEnd"/>
      <w:r>
        <w:t xml:space="preserve"> for CIDP in several</w:t>
      </w:r>
      <w:r w:rsidRPr="00D2364C">
        <w:rPr>
          <w:spacing w:val="1"/>
        </w:rPr>
        <w:t xml:space="preserve"> </w:t>
      </w:r>
      <w:r>
        <w:t>countries;</w:t>
      </w:r>
    </w:p>
    <w:p w14:paraId="35FD93BE" w14:textId="77777777" w:rsidR="009B7841" w:rsidRDefault="009B7841" w:rsidP="00D2364C">
      <w:pPr>
        <w:pStyle w:val="ListBullet"/>
      </w:pPr>
      <w:r>
        <w:t xml:space="preserve">It is noted, that the approval of </w:t>
      </w:r>
      <w:proofErr w:type="spellStart"/>
      <w:r>
        <w:t>Intragam</w:t>
      </w:r>
      <w:proofErr w:type="spellEnd"/>
      <w:r>
        <w:t xml:space="preserve"> 10NF in Australia was based on </w:t>
      </w:r>
      <w:r w:rsidR="00D2364C">
        <w:t>literature based submission</w:t>
      </w:r>
      <w:r>
        <w:t xml:space="preserve"> similar to</w:t>
      </w:r>
      <w:r w:rsidRPr="00D2364C">
        <w:rPr>
          <w:spacing w:val="1"/>
        </w:rPr>
        <w:t xml:space="preserve"> </w:t>
      </w:r>
      <w:r>
        <w:t xml:space="preserve">the current </w:t>
      </w:r>
      <w:proofErr w:type="spellStart"/>
      <w:r>
        <w:t>Kiovig</w:t>
      </w:r>
      <w:proofErr w:type="spellEnd"/>
      <w:r>
        <w:t xml:space="preserve"> application in Australia and that, </w:t>
      </w:r>
      <w:proofErr w:type="spellStart"/>
      <w:r>
        <w:t>Kiovig</w:t>
      </w:r>
      <w:proofErr w:type="spellEnd"/>
      <w:r>
        <w:t xml:space="preserve"> for CIDP was approved in the</w:t>
      </w:r>
      <w:r w:rsidRPr="00D2364C">
        <w:rPr>
          <w:spacing w:val="-46"/>
        </w:rPr>
        <w:t xml:space="preserve"> </w:t>
      </w:r>
      <w:r>
        <w:t>EU and other internat</w:t>
      </w:r>
      <w:r w:rsidR="00D2364C">
        <w:t>ional regulatory jurisdictions (</w:t>
      </w:r>
      <w:r>
        <w:t>the bulk of which are not</w:t>
      </w:r>
      <w:r w:rsidRPr="00D2364C">
        <w:rPr>
          <w:spacing w:val="1"/>
        </w:rPr>
        <w:t xml:space="preserve"> </w:t>
      </w:r>
      <w:r>
        <w:t>comparable</w:t>
      </w:r>
      <w:r w:rsidRPr="00D2364C">
        <w:rPr>
          <w:spacing w:val="-3"/>
        </w:rPr>
        <w:t xml:space="preserve"> </w:t>
      </w:r>
      <w:r>
        <w:t>jurisdictions</w:t>
      </w:r>
      <w:r w:rsidRPr="00D2364C">
        <w:rPr>
          <w:spacing w:val="-4"/>
        </w:rPr>
        <w:t xml:space="preserve"> </w:t>
      </w:r>
      <w:r>
        <w:t>to</w:t>
      </w:r>
      <w:r w:rsidRPr="00D2364C">
        <w:rPr>
          <w:spacing w:val="-3"/>
        </w:rPr>
        <w:t xml:space="preserve"> </w:t>
      </w:r>
      <w:r w:rsidR="00D2364C">
        <w:t>Australia)</w:t>
      </w:r>
      <w:r>
        <w:t>.</w:t>
      </w:r>
      <w:r w:rsidRPr="00D2364C">
        <w:rPr>
          <w:spacing w:val="-3"/>
        </w:rPr>
        <w:t xml:space="preserve"> </w:t>
      </w:r>
      <w:r>
        <w:t>However,</w:t>
      </w:r>
      <w:r w:rsidRPr="00D2364C">
        <w:rPr>
          <w:spacing w:val="-3"/>
        </w:rPr>
        <w:t xml:space="preserve"> </w:t>
      </w:r>
      <w:r>
        <w:t>the</w:t>
      </w:r>
      <w:r w:rsidRPr="00D2364C">
        <w:rPr>
          <w:spacing w:val="-2"/>
        </w:rPr>
        <w:t xml:space="preserve"> </w:t>
      </w:r>
      <w:proofErr w:type="spellStart"/>
      <w:r>
        <w:t>Intragam</w:t>
      </w:r>
      <w:proofErr w:type="spellEnd"/>
      <w:r w:rsidRPr="00D2364C">
        <w:rPr>
          <w:spacing w:val="-1"/>
        </w:rPr>
        <w:t xml:space="preserve"> </w:t>
      </w:r>
      <w:r>
        <w:t>10NF</w:t>
      </w:r>
      <w:r w:rsidRPr="00D2364C">
        <w:rPr>
          <w:spacing w:val="-4"/>
        </w:rPr>
        <w:t xml:space="preserve"> </w:t>
      </w:r>
      <w:r>
        <w:t>situation</w:t>
      </w:r>
      <w:r w:rsidRPr="00D2364C">
        <w:rPr>
          <w:spacing w:val="-4"/>
        </w:rPr>
        <w:t xml:space="preserve"> </w:t>
      </w:r>
      <w:r>
        <w:t>was</w:t>
      </w:r>
      <w:r w:rsidRPr="00D2364C">
        <w:rPr>
          <w:spacing w:val="-2"/>
        </w:rPr>
        <w:t xml:space="preserve"> </w:t>
      </w:r>
      <w:r>
        <w:t>about</w:t>
      </w:r>
      <w:r w:rsidR="00D2364C">
        <w:t xml:space="preserve"> a </w:t>
      </w:r>
      <w:r>
        <w:t>decade ago and modern regulatory actions, demand moving forward for the sake of</w:t>
      </w:r>
      <w:r w:rsidRPr="00D2364C">
        <w:rPr>
          <w:spacing w:val="-46"/>
        </w:rPr>
        <w:t xml:space="preserve"> </w:t>
      </w:r>
      <w:r>
        <w:t>achieving</w:t>
      </w:r>
      <w:r w:rsidRPr="00D2364C">
        <w:rPr>
          <w:spacing w:val="-3"/>
        </w:rPr>
        <w:t xml:space="preserve"> </w:t>
      </w:r>
      <w:r>
        <w:t>better</w:t>
      </w:r>
      <w:r w:rsidRPr="00D2364C">
        <w:rPr>
          <w:spacing w:val="-1"/>
        </w:rPr>
        <w:t xml:space="preserve"> </w:t>
      </w:r>
      <w:r w:rsidR="00D2364C">
        <w:t>ove</w:t>
      </w:r>
      <w:r>
        <w:t>rt</w:t>
      </w:r>
      <w:r w:rsidRPr="00D2364C">
        <w:rPr>
          <w:spacing w:val="-4"/>
        </w:rPr>
        <w:t xml:space="preserve"> </w:t>
      </w:r>
      <w:r>
        <w:t>efficacy</w:t>
      </w:r>
      <w:r w:rsidRPr="00D2364C">
        <w:rPr>
          <w:spacing w:val="-2"/>
        </w:rPr>
        <w:t xml:space="preserve"> </w:t>
      </w:r>
      <w:r>
        <w:t>and</w:t>
      </w:r>
      <w:r w:rsidRPr="00D2364C">
        <w:rPr>
          <w:spacing w:val="-3"/>
        </w:rPr>
        <w:t xml:space="preserve"> </w:t>
      </w:r>
      <w:r>
        <w:t>safety</w:t>
      </w:r>
      <w:r w:rsidRPr="00D2364C">
        <w:rPr>
          <w:spacing w:val="-2"/>
        </w:rPr>
        <w:t xml:space="preserve"> </w:t>
      </w:r>
      <w:proofErr w:type="gramStart"/>
      <w:r>
        <w:t>outcomes;</w:t>
      </w:r>
      <w:proofErr w:type="gramEnd"/>
    </w:p>
    <w:p w14:paraId="5C19B4C4" w14:textId="77777777" w:rsidR="009B7841" w:rsidRPr="00D2364C" w:rsidRDefault="00D2364C" w:rsidP="00D2364C">
      <w:pPr>
        <w:widowControl w:val="0"/>
        <w:tabs>
          <w:tab w:val="left" w:pos="2160"/>
        </w:tabs>
        <w:autoSpaceDE w:val="0"/>
        <w:autoSpaceDN w:val="0"/>
        <w:spacing w:before="0" w:after="0" w:line="240" w:lineRule="auto"/>
        <w:rPr>
          <w:rFonts w:ascii="Webdings" w:hAnsi="Webdings"/>
          <w:sz w:val="24"/>
        </w:rPr>
      </w:pPr>
      <w:r>
        <w:t xml:space="preserve">The Delegate also wished to highlight </w:t>
      </w:r>
      <w:r w:rsidR="009B7841">
        <w:t>there</w:t>
      </w:r>
      <w:r w:rsidR="009B7841" w:rsidRPr="00D2364C">
        <w:rPr>
          <w:spacing w:val="-2"/>
        </w:rPr>
        <w:t xml:space="preserve"> </w:t>
      </w:r>
      <w:r w:rsidR="009B7841">
        <w:t>may</w:t>
      </w:r>
      <w:r w:rsidR="009B7841" w:rsidRPr="00D2364C">
        <w:rPr>
          <w:spacing w:val="-2"/>
        </w:rPr>
        <w:t xml:space="preserve"> </w:t>
      </w:r>
      <w:r w:rsidR="009B7841">
        <w:t>be:</w:t>
      </w:r>
    </w:p>
    <w:p w14:paraId="6138ADC0" w14:textId="77777777" w:rsidR="009B7841" w:rsidRPr="00D2364C" w:rsidRDefault="009B7841" w:rsidP="00D2364C">
      <w:pPr>
        <w:pStyle w:val="ListBullet"/>
      </w:pPr>
      <w:r>
        <w:t xml:space="preserve">Studies seeking larger cohort population to confirm the use of </w:t>
      </w:r>
      <w:proofErr w:type="spellStart"/>
      <w:r>
        <w:t>Kiovig</w:t>
      </w:r>
      <w:proofErr w:type="spellEnd"/>
      <w:r>
        <w:t xml:space="preserve"> in CIDP </w:t>
      </w:r>
      <w:r w:rsidR="00D2364C">
        <w:t xml:space="preserve">for example, </w:t>
      </w:r>
      <w:proofErr w:type="spellStart"/>
      <w:proofErr w:type="gramStart"/>
      <w:r w:rsidR="00D2364C">
        <w:t>N.Nikolov</w:t>
      </w:r>
      <w:proofErr w:type="spellEnd"/>
      <w:proofErr w:type="gramEnd"/>
      <w:r w:rsidR="00D2364C">
        <w:t xml:space="preserve"> et al.; 2016, ‘</w:t>
      </w:r>
      <w:r w:rsidRPr="00D2364C">
        <w:t>10% liquid human immunoglobulin (KIOVIG) for</w:t>
      </w:r>
      <w:r w:rsidRPr="00D2364C">
        <w:rPr>
          <w:spacing w:val="1"/>
        </w:rPr>
        <w:t xml:space="preserve"> </w:t>
      </w:r>
      <w:r w:rsidRPr="00D2364C">
        <w:t>immunomodulation</w:t>
      </w:r>
      <w:r w:rsidRPr="00D2364C">
        <w:rPr>
          <w:spacing w:val="-4"/>
        </w:rPr>
        <w:t xml:space="preserve"> </w:t>
      </w:r>
      <w:r w:rsidRPr="00D2364C">
        <w:t>in</w:t>
      </w:r>
      <w:r w:rsidRPr="00D2364C">
        <w:rPr>
          <w:spacing w:val="-3"/>
        </w:rPr>
        <w:t xml:space="preserve"> </w:t>
      </w:r>
      <w:r w:rsidRPr="00D2364C">
        <w:t>autoimmune</w:t>
      </w:r>
      <w:r w:rsidRPr="00D2364C">
        <w:rPr>
          <w:spacing w:val="-2"/>
        </w:rPr>
        <w:t xml:space="preserve"> </w:t>
      </w:r>
      <w:r w:rsidR="00D2364C">
        <w:t>disorders’</w:t>
      </w:r>
      <w:r w:rsidRPr="00D2364C">
        <w:t>;</w:t>
      </w:r>
      <w:r w:rsidRPr="00D2364C">
        <w:rPr>
          <w:spacing w:val="-2"/>
        </w:rPr>
        <w:t xml:space="preserve"> </w:t>
      </w:r>
      <w:proofErr w:type="spellStart"/>
      <w:r w:rsidRPr="00D2364C">
        <w:t>Immunotherapy,Vol</w:t>
      </w:r>
      <w:proofErr w:type="spellEnd"/>
      <w:r w:rsidRPr="00D2364C">
        <w:rPr>
          <w:spacing w:val="-3"/>
        </w:rPr>
        <w:t xml:space="preserve"> </w:t>
      </w:r>
      <w:r w:rsidRPr="00D2364C">
        <w:t>8,</w:t>
      </w:r>
      <w:r w:rsidRPr="00D2364C">
        <w:rPr>
          <w:spacing w:val="-3"/>
        </w:rPr>
        <w:t xml:space="preserve"> </w:t>
      </w:r>
      <w:r w:rsidRPr="00D2364C">
        <w:t>No</w:t>
      </w:r>
      <w:r w:rsidRPr="00D2364C">
        <w:rPr>
          <w:spacing w:val="-3"/>
        </w:rPr>
        <w:t xml:space="preserve"> </w:t>
      </w:r>
      <w:r w:rsidRPr="00D2364C">
        <w:t>8;</w:t>
      </w:r>
    </w:p>
    <w:p w14:paraId="566E83D4" w14:textId="77777777" w:rsidR="009B7841" w:rsidRPr="00D2364C" w:rsidRDefault="009B7841" w:rsidP="00D2364C">
      <w:pPr>
        <w:pStyle w:val="ListBullet"/>
      </w:pPr>
      <w:r>
        <w:t xml:space="preserve">Upcoming Level I trials regarding the use of </w:t>
      </w:r>
      <w:proofErr w:type="spellStart"/>
      <w:r>
        <w:t>Kiovig</w:t>
      </w:r>
      <w:proofErr w:type="spellEnd"/>
      <w:r>
        <w:t xml:space="preserve"> in </w:t>
      </w:r>
      <w:r w:rsidR="00D2364C">
        <w:t>CIDP, for example,</w:t>
      </w:r>
      <w:r>
        <w:t xml:space="preserve"> </w:t>
      </w:r>
      <w:r w:rsidRPr="00D2364C">
        <w:t>proposed Phase III</w:t>
      </w:r>
      <w:r w:rsidRPr="00D2364C">
        <w:rPr>
          <w:spacing w:val="1"/>
        </w:rPr>
        <w:t xml:space="preserve"> </w:t>
      </w:r>
      <w:r w:rsidRPr="00D2364C">
        <w:t>Efficacy, Safety and Tolerability: Clin</w:t>
      </w:r>
      <w:r w:rsidR="00D2364C">
        <w:t xml:space="preserve">ical </w:t>
      </w:r>
      <w:r w:rsidRPr="00D2364C">
        <w:t xml:space="preserve">Study of </w:t>
      </w:r>
      <w:proofErr w:type="spellStart"/>
      <w:r w:rsidR="00D2364C" w:rsidRPr="00D2364C">
        <w:t>Hyqvia</w:t>
      </w:r>
      <w:proofErr w:type="spellEnd"/>
      <w:r w:rsidRPr="00D2364C">
        <w:t>/</w:t>
      </w:r>
      <w:proofErr w:type="spellStart"/>
      <w:r w:rsidRPr="00D2364C">
        <w:t>HyQvia</w:t>
      </w:r>
      <w:proofErr w:type="spellEnd"/>
      <w:r w:rsidRPr="00D2364C">
        <w:t xml:space="preserve"> and </w:t>
      </w:r>
      <w:proofErr w:type="spellStart"/>
      <w:r w:rsidR="00D2364C" w:rsidRPr="00D2364C">
        <w:t>Gammagard</w:t>
      </w:r>
      <w:proofErr w:type="spellEnd"/>
      <w:r w:rsidR="00D2364C" w:rsidRPr="00D2364C">
        <w:rPr>
          <w:spacing w:val="1"/>
        </w:rPr>
        <w:t xml:space="preserve"> </w:t>
      </w:r>
      <w:r w:rsidR="00D2364C">
        <w:t>Liquid/</w:t>
      </w:r>
      <w:proofErr w:type="spellStart"/>
      <w:r w:rsidR="00D2364C">
        <w:t>Kiovig</w:t>
      </w:r>
      <w:proofErr w:type="spellEnd"/>
      <w:r w:rsidR="00D2364C">
        <w:t xml:space="preserve"> in CIDP (</w:t>
      </w:r>
      <w:r w:rsidRPr="00D2364C">
        <w:t>US National Library o</w:t>
      </w:r>
      <w:r w:rsidR="00D2364C">
        <w:t xml:space="preserve">f Medicine: Clinical Trials.gov </w:t>
      </w:r>
      <w:proofErr w:type="spellStart"/>
      <w:r w:rsidR="00D2364C">
        <w:t>i</w:t>
      </w:r>
      <w:r w:rsidRPr="00D2364C">
        <w:t>dentier</w:t>
      </w:r>
      <w:proofErr w:type="spellEnd"/>
      <w:r w:rsidRPr="00D2364C">
        <w:t>:</w:t>
      </w:r>
      <w:r w:rsidRPr="00D2364C">
        <w:rPr>
          <w:spacing w:val="-46"/>
        </w:rPr>
        <w:t xml:space="preserve"> </w:t>
      </w:r>
      <w:r w:rsidR="00D2364C">
        <w:t>NCT02549170).</w:t>
      </w:r>
    </w:p>
    <w:p w14:paraId="68C43720" w14:textId="77777777" w:rsidR="009B7841" w:rsidRPr="00D2364C" w:rsidRDefault="009B7841" w:rsidP="00D2364C">
      <w:pPr>
        <w:rPr>
          <w:rFonts w:ascii="Wingdings" w:hAnsi="Wingdings"/>
        </w:rPr>
      </w:pPr>
      <w:r>
        <w:t>A</w:t>
      </w:r>
      <w:r w:rsidRPr="00D2364C">
        <w:rPr>
          <w:spacing w:val="1"/>
        </w:rPr>
        <w:t xml:space="preserve"> </w:t>
      </w:r>
      <w:r>
        <w:t xml:space="preserve">claim by the </w:t>
      </w:r>
      <w:r w:rsidR="00D2364C">
        <w:t>clinical evaluator</w:t>
      </w:r>
      <w:r>
        <w:t xml:space="preserve"> , having</w:t>
      </w:r>
      <w:r w:rsidRPr="00D2364C">
        <w:rPr>
          <w:spacing w:val="1"/>
        </w:rPr>
        <w:t xml:space="preserve"> </w:t>
      </w:r>
      <w:r>
        <w:t>initially acknowledged that the majority of the</w:t>
      </w:r>
      <w:r w:rsidRPr="00D2364C">
        <w:rPr>
          <w:spacing w:val="1"/>
        </w:rPr>
        <w:t xml:space="preserve"> </w:t>
      </w:r>
      <w:proofErr w:type="spellStart"/>
      <w:r>
        <w:t>IVIgs</w:t>
      </w:r>
      <w:proofErr w:type="spellEnd"/>
      <w:r w:rsidRPr="00D2364C">
        <w:rPr>
          <w:spacing w:val="1"/>
        </w:rPr>
        <w:t xml:space="preserve"> </w:t>
      </w:r>
      <w:r>
        <w:t>listed in the</w:t>
      </w:r>
      <w:r w:rsidRPr="00D2364C">
        <w:rPr>
          <w:spacing w:val="-46"/>
        </w:rPr>
        <w:t xml:space="preserve"> </w:t>
      </w:r>
      <w:r w:rsidR="00D2364C">
        <w:t xml:space="preserve"> literature based submission</w:t>
      </w:r>
      <w:r>
        <w:t xml:space="preserve"> studies relate to the </w:t>
      </w:r>
      <w:proofErr w:type="spellStart"/>
      <w:r>
        <w:t>Sandoglobulin</w:t>
      </w:r>
      <w:proofErr w:type="spellEnd"/>
      <w:r>
        <w:t xml:space="preserve"> brand</w:t>
      </w:r>
      <w:r w:rsidRPr="00D2364C">
        <w:rPr>
          <w:spacing w:val="1"/>
        </w:rPr>
        <w:t xml:space="preserve"> </w:t>
      </w:r>
      <w:r>
        <w:t>and</w:t>
      </w:r>
      <w:r w:rsidRPr="00D2364C">
        <w:rPr>
          <w:spacing w:val="1"/>
        </w:rPr>
        <w:t xml:space="preserve"> </w:t>
      </w:r>
      <w:r w:rsidR="00D2364C">
        <w:t xml:space="preserve">none to </w:t>
      </w:r>
      <w:proofErr w:type="spellStart"/>
      <w:r w:rsidR="00D2364C">
        <w:t>Intragam</w:t>
      </w:r>
      <w:proofErr w:type="spellEnd"/>
      <w:r w:rsidR="00D2364C">
        <w:t xml:space="preserve"> 10 (on the ARTG)</w:t>
      </w:r>
      <w:r>
        <w:t>, that</w:t>
      </w:r>
      <w:r w:rsidRPr="00D2364C">
        <w:rPr>
          <w:spacing w:val="1"/>
        </w:rPr>
        <w:t xml:space="preserve"> </w:t>
      </w:r>
      <w:r>
        <w:t xml:space="preserve">the </w:t>
      </w:r>
      <w:r w:rsidR="00D2364C">
        <w:t xml:space="preserve">literature based submission </w:t>
      </w:r>
      <w:r>
        <w:t xml:space="preserve">package submitted in support of the </w:t>
      </w:r>
      <w:proofErr w:type="spellStart"/>
      <w:r>
        <w:t>Kiovig</w:t>
      </w:r>
      <w:proofErr w:type="spellEnd"/>
      <w:r>
        <w:t xml:space="preserve"> application differed from the </w:t>
      </w:r>
      <w:proofErr w:type="spellStart"/>
      <w:r>
        <w:t>Intragam</w:t>
      </w:r>
      <w:proofErr w:type="spellEnd"/>
      <w:r w:rsidRPr="00D2364C">
        <w:rPr>
          <w:spacing w:val="1"/>
        </w:rPr>
        <w:t xml:space="preserve"> </w:t>
      </w:r>
      <w:r>
        <w:t>10</w:t>
      </w:r>
      <w:r w:rsidRPr="00D2364C">
        <w:rPr>
          <w:spacing w:val="-2"/>
        </w:rPr>
        <w:t xml:space="preserve"> </w:t>
      </w:r>
      <w:r w:rsidR="00D2364C">
        <w:t xml:space="preserve">literature based submission </w:t>
      </w:r>
      <w:r>
        <w:t>application</w:t>
      </w:r>
      <w:r w:rsidRPr="00D2364C">
        <w:rPr>
          <w:spacing w:val="-2"/>
        </w:rPr>
        <w:t xml:space="preserve"> </w:t>
      </w:r>
      <w:r>
        <w:t>by:</w:t>
      </w:r>
    </w:p>
    <w:p w14:paraId="4A83C208" w14:textId="77777777" w:rsidR="009B7841" w:rsidRDefault="009B7841" w:rsidP="00D2364C">
      <w:pPr>
        <w:pStyle w:val="ListBullet"/>
      </w:pPr>
      <w:r>
        <w:t>using</w:t>
      </w:r>
      <w:r w:rsidRPr="00D2364C">
        <w:rPr>
          <w:spacing w:val="-4"/>
        </w:rPr>
        <w:t xml:space="preserve"> </w:t>
      </w:r>
      <w:r>
        <w:t>more</w:t>
      </w:r>
      <w:r w:rsidRPr="00D2364C">
        <w:rPr>
          <w:spacing w:val="-4"/>
        </w:rPr>
        <w:t xml:space="preserve"> </w:t>
      </w:r>
      <w:r>
        <w:t>current</w:t>
      </w:r>
      <w:r w:rsidRPr="00D2364C">
        <w:rPr>
          <w:spacing w:val="-3"/>
        </w:rPr>
        <w:t xml:space="preserve"> </w:t>
      </w:r>
      <w:r>
        <w:t>publications</w:t>
      </w:r>
      <w:r w:rsidRPr="00D2364C">
        <w:rPr>
          <w:spacing w:val="-2"/>
        </w:rPr>
        <w:t xml:space="preserve"> </w:t>
      </w:r>
      <w:r>
        <w:t>[including</w:t>
      </w:r>
      <w:r w:rsidRPr="00D2364C">
        <w:rPr>
          <w:spacing w:val="-3"/>
        </w:rPr>
        <w:t xml:space="preserve"> </w:t>
      </w:r>
      <w:r>
        <w:t>guidelines</w:t>
      </w:r>
      <w:proofErr w:type="gramStart"/>
      <w:r>
        <w:t>];</w:t>
      </w:r>
      <w:proofErr w:type="gramEnd"/>
    </w:p>
    <w:p w14:paraId="3BB78CF7" w14:textId="7FB2B428" w:rsidR="00D2364C" w:rsidRDefault="009B7841" w:rsidP="00D2364C">
      <w:pPr>
        <w:pStyle w:val="ListBullet"/>
      </w:pPr>
      <w:r>
        <w:t>providing a detailed comparison of IVIg products app</w:t>
      </w:r>
      <w:r w:rsidR="00D2364C">
        <w:t>roved for CIDP in Australia. The clinical evaluator</w:t>
      </w:r>
      <w:r w:rsidRPr="00D2364C">
        <w:rPr>
          <w:spacing w:val="1"/>
        </w:rPr>
        <w:t xml:space="preserve"> </w:t>
      </w:r>
      <w:r>
        <w:t>went on to say</w:t>
      </w:r>
      <w:r w:rsidRPr="00D2364C">
        <w:rPr>
          <w:spacing w:val="1"/>
        </w:rPr>
        <w:t xml:space="preserve"> </w:t>
      </w:r>
      <w:r>
        <w:t xml:space="preserve">that in particular, </w:t>
      </w:r>
      <w:r w:rsidRPr="00D2364C">
        <w:t xml:space="preserve">the </w:t>
      </w:r>
      <w:proofErr w:type="spellStart"/>
      <w:r w:rsidRPr="00D2364C">
        <w:t>Kuitwaard</w:t>
      </w:r>
      <w:proofErr w:type="spellEnd"/>
      <w:r w:rsidRPr="00D2364C">
        <w:t xml:space="preserve"> et al (2010)</w:t>
      </w:r>
      <w:r w:rsidR="00D2364C" w:rsidRPr="00D2364C">
        <w:rPr>
          <w:vertAlign w:val="superscript"/>
        </w:rPr>
        <w:fldChar w:fldCharType="begin"/>
      </w:r>
      <w:r w:rsidR="00D2364C" w:rsidRPr="00D2364C">
        <w:rPr>
          <w:vertAlign w:val="superscript"/>
        </w:rPr>
        <w:instrText xml:space="preserve"> NOTEREF _Ref82804755 \h  \* MERGEFORMAT </w:instrText>
      </w:r>
      <w:r w:rsidR="00D2364C" w:rsidRPr="00D2364C">
        <w:rPr>
          <w:vertAlign w:val="superscript"/>
        </w:rPr>
      </w:r>
      <w:r w:rsidR="00D2364C" w:rsidRPr="00D2364C">
        <w:rPr>
          <w:vertAlign w:val="superscript"/>
        </w:rPr>
        <w:fldChar w:fldCharType="separate"/>
      </w:r>
      <w:r w:rsidR="00F81787">
        <w:rPr>
          <w:vertAlign w:val="superscript"/>
        </w:rPr>
        <w:t>8</w:t>
      </w:r>
      <w:r w:rsidR="00D2364C" w:rsidRPr="00D2364C">
        <w:rPr>
          <w:vertAlign w:val="superscript"/>
        </w:rPr>
        <w:fldChar w:fldCharType="end"/>
      </w:r>
      <w:r w:rsidRPr="00D2364C">
        <w:rPr>
          <w:i/>
        </w:rPr>
        <w:t xml:space="preserve"> </w:t>
      </w:r>
      <w:r>
        <w:t>publication was the only</w:t>
      </w:r>
      <w:r w:rsidRPr="00D2364C">
        <w:rPr>
          <w:spacing w:val="1"/>
        </w:rPr>
        <w:t xml:space="preserve"> </w:t>
      </w:r>
      <w:r>
        <w:t>published study of a direct head-to-head comparison o</w:t>
      </w:r>
      <w:r w:rsidR="00D2364C">
        <w:t>f two brands of IVIg (</w:t>
      </w:r>
      <w:proofErr w:type="spellStart"/>
      <w:r w:rsidR="00D2364C">
        <w:t>Kiovig</w:t>
      </w:r>
      <w:proofErr w:type="spellEnd"/>
      <w:r w:rsidR="00D2364C">
        <w:t xml:space="preserve"> versus </w:t>
      </w:r>
      <w:proofErr w:type="spellStart"/>
      <w:r>
        <w:t>Gammagard</w:t>
      </w:r>
      <w:proofErr w:type="spellEnd"/>
      <w:r>
        <w:t xml:space="preserve"> </w:t>
      </w:r>
      <w:r w:rsidR="00D2364C">
        <w:t>) in CIDP maintenance treatment</w:t>
      </w:r>
      <w:r>
        <w:t xml:space="preserve">. Furthermore, </w:t>
      </w:r>
      <w:r w:rsidRPr="00D2364C">
        <w:t>that</w:t>
      </w:r>
      <w:r w:rsidRPr="00D2364C">
        <w:rPr>
          <w:i/>
        </w:rPr>
        <w:t xml:space="preserve"> </w:t>
      </w:r>
      <w:r>
        <w:t>Vucic et al</w:t>
      </w:r>
      <w:r w:rsidR="00D2364C">
        <w:t>.;</w:t>
      </w:r>
      <w:r w:rsidR="00D2364C" w:rsidRPr="00D2364C">
        <w:rPr>
          <w:vertAlign w:val="superscript"/>
        </w:rPr>
        <w:fldChar w:fldCharType="begin"/>
      </w:r>
      <w:r w:rsidR="00D2364C" w:rsidRPr="00D2364C">
        <w:rPr>
          <w:vertAlign w:val="superscript"/>
        </w:rPr>
        <w:instrText xml:space="preserve"> NOTEREF _Ref84463667 \h </w:instrText>
      </w:r>
      <w:r w:rsidR="00D2364C">
        <w:rPr>
          <w:vertAlign w:val="superscript"/>
        </w:rPr>
        <w:instrText xml:space="preserve"> \* MERGEFORMAT </w:instrText>
      </w:r>
      <w:r w:rsidR="00D2364C" w:rsidRPr="00D2364C">
        <w:rPr>
          <w:vertAlign w:val="superscript"/>
        </w:rPr>
      </w:r>
      <w:r w:rsidR="00D2364C" w:rsidRPr="00D2364C">
        <w:rPr>
          <w:vertAlign w:val="superscript"/>
        </w:rPr>
        <w:fldChar w:fldCharType="separate"/>
      </w:r>
      <w:r w:rsidR="00F81787">
        <w:rPr>
          <w:vertAlign w:val="superscript"/>
        </w:rPr>
        <w:t>21</w:t>
      </w:r>
      <w:r w:rsidR="00D2364C" w:rsidRPr="00D2364C">
        <w:rPr>
          <w:vertAlign w:val="superscript"/>
        </w:rPr>
        <w:fldChar w:fldCharType="end"/>
      </w:r>
      <w:r>
        <w:t xml:space="preserve"> and Williams</w:t>
      </w:r>
      <w:r w:rsidRPr="00D2364C">
        <w:rPr>
          <w:spacing w:val="1"/>
        </w:rPr>
        <w:t xml:space="preserve"> </w:t>
      </w:r>
      <w:r>
        <w:t>et al</w:t>
      </w:r>
      <w:r w:rsidR="00D2364C">
        <w:t>.</w:t>
      </w:r>
      <w:r w:rsidR="00D2364C" w:rsidRPr="00D2364C">
        <w:rPr>
          <w:vertAlign w:val="superscript"/>
        </w:rPr>
        <w:fldChar w:fldCharType="begin"/>
      </w:r>
      <w:r w:rsidR="00D2364C" w:rsidRPr="00D2364C">
        <w:rPr>
          <w:vertAlign w:val="superscript"/>
        </w:rPr>
        <w:instrText xml:space="preserve"> NOTEREF _Ref84463696 \h </w:instrText>
      </w:r>
      <w:r w:rsidR="00D2364C">
        <w:rPr>
          <w:vertAlign w:val="superscript"/>
        </w:rPr>
        <w:instrText xml:space="preserve"> \* MERGEFORMAT </w:instrText>
      </w:r>
      <w:r w:rsidR="00D2364C" w:rsidRPr="00D2364C">
        <w:rPr>
          <w:vertAlign w:val="superscript"/>
        </w:rPr>
      </w:r>
      <w:r w:rsidR="00D2364C" w:rsidRPr="00D2364C">
        <w:rPr>
          <w:vertAlign w:val="superscript"/>
        </w:rPr>
        <w:fldChar w:fldCharType="separate"/>
      </w:r>
      <w:r w:rsidR="00F81787">
        <w:rPr>
          <w:vertAlign w:val="superscript"/>
        </w:rPr>
        <w:t>23</w:t>
      </w:r>
      <w:r w:rsidR="00D2364C" w:rsidRPr="00D2364C">
        <w:rPr>
          <w:vertAlign w:val="superscript"/>
        </w:rPr>
        <w:fldChar w:fldCharType="end"/>
      </w:r>
      <w:r>
        <w:t xml:space="preserve"> used </w:t>
      </w:r>
      <w:proofErr w:type="spellStart"/>
      <w:r>
        <w:t>Gammagard</w:t>
      </w:r>
      <w:proofErr w:type="spellEnd"/>
      <w:r>
        <w:t xml:space="preserve"> in their retrospective studies while, </w:t>
      </w:r>
      <w:proofErr w:type="spellStart"/>
      <w:r>
        <w:t>Kiovig</w:t>
      </w:r>
      <w:proofErr w:type="spellEnd"/>
      <w:r>
        <w:t xml:space="preserve"> was used in the study by</w:t>
      </w:r>
      <w:r w:rsidRPr="00D2364C">
        <w:rPr>
          <w:spacing w:val="-46"/>
        </w:rPr>
        <w:t xml:space="preserve"> </w:t>
      </w:r>
      <w:r w:rsidRPr="00D2364C">
        <w:rPr>
          <w:i/>
        </w:rPr>
        <w:t>Gallia et al</w:t>
      </w:r>
      <w:r>
        <w:t>. However, results from these publications were not presented by IVIg brand,</w:t>
      </w:r>
      <w:r w:rsidRPr="00D2364C">
        <w:rPr>
          <w:spacing w:val="1"/>
        </w:rPr>
        <w:t xml:space="preserve"> </w:t>
      </w:r>
      <w:r>
        <w:t>which</w:t>
      </w:r>
      <w:r w:rsidRPr="00D2364C">
        <w:rPr>
          <w:spacing w:val="-1"/>
        </w:rPr>
        <w:t xml:space="preserve"> </w:t>
      </w:r>
      <w:r>
        <w:t>limits their</w:t>
      </w:r>
      <w:r w:rsidRPr="00D2364C">
        <w:rPr>
          <w:spacing w:val="-4"/>
        </w:rPr>
        <w:t xml:space="preserve"> </w:t>
      </w:r>
      <w:r w:rsidR="00D2364C">
        <w:t>usefulness</w:t>
      </w:r>
      <w:proofErr w:type="gramStart"/>
      <w:r w:rsidR="00D2364C">
        <w:t>)</w:t>
      </w:r>
      <w:r>
        <w:t>;</w:t>
      </w:r>
      <w:proofErr w:type="gramEnd"/>
    </w:p>
    <w:p w14:paraId="0BA7B454" w14:textId="77777777" w:rsidR="009B7841" w:rsidRDefault="009B7841" w:rsidP="00D2364C">
      <w:pPr>
        <w:pStyle w:val="ListBullet"/>
      </w:pPr>
      <w:r>
        <w:t>providing</w:t>
      </w:r>
      <w:r w:rsidRPr="00D2364C">
        <w:rPr>
          <w:spacing w:val="-3"/>
        </w:rPr>
        <w:t xml:space="preserve"> </w:t>
      </w:r>
      <w:r>
        <w:t>brand-specific</w:t>
      </w:r>
      <w:r w:rsidRPr="00D2364C">
        <w:rPr>
          <w:spacing w:val="-2"/>
        </w:rPr>
        <w:t xml:space="preserve"> </w:t>
      </w:r>
      <w:r>
        <w:t>clinical</w:t>
      </w:r>
      <w:r w:rsidRPr="00D2364C">
        <w:rPr>
          <w:spacing w:val="-2"/>
        </w:rPr>
        <w:t xml:space="preserve"> </w:t>
      </w:r>
      <w:r>
        <w:t>data</w:t>
      </w:r>
      <w:r w:rsidRPr="00D2364C">
        <w:rPr>
          <w:spacing w:val="-4"/>
        </w:rPr>
        <w:t xml:space="preserve"> </w:t>
      </w:r>
      <w:r>
        <w:t>in</w:t>
      </w:r>
      <w:r w:rsidRPr="00D2364C">
        <w:rPr>
          <w:spacing w:val="-3"/>
        </w:rPr>
        <w:t xml:space="preserve"> </w:t>
      </w:r>
      <w:r>
        <w:t>support</w:t>
      </w:r>
      <w:r w:rsidRPr="00D2364C">
        <w:rPr>
          <w:spacing w:val="-2"/>
        </w:rPr>
        <w:t xml:space="preserve"> </w:t>
      </w:r>
      <w:r>
        <w:t>of</w:t>
      </w:r>
      <w:r w:rsidRPr="00D2364C">
        <w:rPr>
          <w:spacing w:val="-2"/>
        </w:rPr>
        <w:t xml:space="preserve"> </w:t>
      </w:r>
      <w:r>
        <w:t>the</w:t>
      </w:r>
      <w:r w:rsidRPr="00D2364C">
        <w:rPr>
          <w:spacing w:val="-2"/>
        </w:rPr>
        <w:t xml:space="preserve"> </w:t>
      </w:r>
      <w:r>
        <w:t>application.</w:t>
      </w:r>
    </w:p>
    <w:p w14:paraId="3BBDB0C4" w14:textId="77777777" w:rsidR="00D2364C" w:rsidRDefault="009B7841" w:rsidP="00D2364C">
      <w:pPr>
        <w:pStyle w:val="BodyText"/>
      </w:pPr>
      <w:r>
        <w:t>To</w:t>
      </w:r>
      <w:r>
        <w:rPr>
          <w:spacing w:val="-2"/>
        </w:rPr>
        <w:t xml:space="preserve"> </w:t>
      </w:r>
      <w:r>
        <w:t>the</w:t>
      </w:r>
      <w:r>
        <w:rPr>
          <w:spacing w:val="-3"/>
        </w:rPr>
        <w:t xml:space="preserve"> </w:t>
      </w:r>
      <w:r>
        <w:t>above,</w:t>
      </w:r>
      <w:r>
        <w:rPr>
          <w:spacing w:val="-1"/>
        </w:rPr>
        <w:t xml:space="preserve"> </w:t>
      </w:r>
      <w:r>
        <w:t>the</w:t>
      </w:r>
      <w:r>
        <w:rPr>
          <w:spacing w:val="-2"/>
        </w:rPr>
        <w:t xml:space="preserve"> </w:t>
      </w:r>
      <w:r w:rsidR="00D2364C">
        <w:t>D</w:t>
      </w:r>
      <w:r>
        <w:t>elegate</w:t>
      </w:r>
      <w:r>
        <w:rPr>
          <w:spacing w:val="-3"/>
        </w:rPr>
        <w:t xml:space="preserve"> </w:t>
      </w:r>
      <w:r>
        <w:t>makes the</w:t>
      </w:r>
      <w:r>
        <w:rPr>
          <w:spacing w:val="-1"/>
        </w:rPr>
        <w:t xml:space="preserve"> </w:t>
      </w:r>
      <w:r>
        <w:t>following</w:t>
      </w:r>
      <w:r>
        <w:rPr>
          <w:spacing w:val="-3"/>
        </w:rPr>
        <w:t xml:space="preserve"> </w:t>
      </w:r>
      <w:r>
        <w:t>comments:</w:t>
      </w:r>
    </w:p>
    <w:p w14:paraId="77331628" w14:textId="77777777" w:rsidR="00D2364C" w:rsidRDefault="00D2364C" w:rsidP="00D2364C">
      <w:pPr>
        <w:pStyle w:val="ListBullet"/>
      </w:pPr>
      <w:r>
        <w:t>It is w</w:t>
      </w:r>
      <w:r w:rsidR="009B7841">
        <w:t>orth commenting that</w:t>
      </w:r>
      <w:r w:rsidR="009B7841" w:rsidRPr="00D2364C">
        <w:rPr>
          <w:spacing w:val="1"/>
        </w:rPr>
        <w:t xml:space="preserve"> </w:t>
      </w:r>
      <w:proofErr w:type="spellStart"/>
      <w:r w:rsidR="009B7841">
        <w:t>Intragam</w:t>
      </w:r>
      <w:proofErr w:type="spellEnd"/>
      <w:r w:rsidR="009B7841">
        <w:t xml:space="preserve"> 10 and </w:t>
      </w:r>
      <w:r w:rsidRPr="00D2364C">
        <w:rPr>
          <w:i/>
        </w:rPr>
        <w:t>not</w:t>
      </w:r>
      <w:r>
        <w:t xml:space="preserve"> </w:t>
      </w:r>
      <w:proofErr w:type="spellStart"/>
      <w:r w:rsidR="009B7841">
        <w:t>Sandoglobulin</w:t>
      </w:r>
      <w:proofErr w:type="spellEnd"/>
      <w:r w:rsidR="009B7841">
        <w:t xml:space="preserve"> is listed on </w:t>
      </w:r>
      <w:r w:rsidR="009B7841" w:rsidRPr="00D2364C">
        <w:t xml:space="preserve">the </w:t>
      </w:r>
      <w:proofErr w:type="gramStart"/>
      <w:r w:rsidR="009B7841" w:rsidRPr="00D2364C">
        <w:t>ARTG;</w:t>
      </w:r>
      <w:proofErr w:type="gramEnd"/>
    </w:p>
    <w:p w14:paraId="7DE5FD41" w14:textId="77777777" w:rsidR="00D2364C" w:rsidRDefault="009B7841" w:rsidP="00D2364C">
      <w:pPr>
        <w:pStyle w:val="ListBullet"/>
      </w:pPr>
      <w:r>
        <w:t>Contrary to what is stated, only a comparison of IVIg products for CIDP in Australia in</w:t>
      </w:r>
      <w:r w:rsidRPr="00D2364C">
        <w:rPr>
          <w:spacing w:val="1"/>
        </w:rPr>
        <w:t xml:space="preserve"> </w:t>
      </w:r>
      <w:r>
        <w:t>terms of excipient composition was provided. Even then, as previously mentioned, there</w:t>
      </w:r>
      <w:r w:rsidRPr="00D2364C">
        <w:rPr>
          <w:spacing w:val="-46"/>
        </w:rPr>
        <w:t xml:space="preserve"> </w:t>
      </w:r>
      <w:r>
        <w:t>were differences in the various IVIg excipients. There was no actual head to head</w:t>
      </w:r>
      <w:r w:rsidRPr="00D2364C">
        <w:rPr>
          <w:spacing w:val="1"/>
        </w:rPr>
        <w:t xml:space="preserve"> </w:t>
      </w:r>
      <w:r>
        <w:t>comparable</w:t>
      </w:r>
      <w:r w:rsidRPr="00D2364C">
        <w:rPr>
          <w:spacing w:val="-4"/>
        </w:rPr>
        <w:t xml:space="preserve"> </w:t>
      </w:r>
      <w:r>
        <w:t>clinical</w:t>
      </w:r>
      <w:r w:rsidRPr="00D2364C">
        <w:rPr>
          <w:spacing w:val="-1"/>
        </w:rPr>
        <w:t xml:space="preserve"> </w:t>
      </w:r>
      <w:r>
        <w:t>trial</w:t>
      </w:r>
      <w:r w:rsidRPr="00D2364C">
        <w:rPr>
          <w:spacing w:val="-1"/>
        </w:rPr>
        <w:t xml:space="preserve"> </w:t>
      </w:r>
      <w:r>
        <w:t>study</w:t>
      </w:r>
      <w:r w:rsidRPr="00D2364C">
        <w:rPr>
          <w:spacing w:val="-3"/>
        </w:rPr>
        <w:t xml:space="preserve"> </w:t>
      </w:r>
      <w:r>
        <w:t>provided</w:t>
      </w:r>
      <w:r w:rsidRPr="00D2364C">
        <w:rPr>
          <w:spacing w:val="-1"/>
        </w:rPr>
        <w:t xml:space="preserve"> </w:t>
      </w:r>
      <w:r>
        <w:t>with respect</w:t>
      </w:r>
      <w:r w:rsidRPr="00D2364C">
        <w:rPr>
          <w:spacing w:val="-2"/>
        </w:rPr>
        <w:t xml:space="preserve"> </w:t>
      </w:r>
      <w:r>
        <w:t>to</w:t>
      </w:r>
      <w:r w:rsidRPr="00D2364C">
        <w:rPr>
          <w:spacing w:val="-1"/>
        </w:rPr>
        <w:t xml:space="preserve"> </w:t>
      </w:r>
      <w:r>
        <w:t>ARTG</w:t>
      </w:r>
      <w:r w:rsidRPr="00D2364C">
        <w:rPr>
          <w:spacing w:val="-1"/>
        </w:rPr>
        <w:t xml:space="preserve"> </w:t>
      </w:r>
      <w:r>
        <w:t>listed</w:t>
      </w:r>
      <w:r w:rsidRPr="00D2364C">
        <w:rPr>
          <w:spacing w:val="-2"/>
        </w:rPr>
        <w:t xml:space="preserve"> </w:t>
      </w:r>
      <w:proofErr w:type="spellStart"/>
      <w:proofErr w:type="gramStart"/>
      <w:r>
        <w:t>IVIgs</w:t>
      </w:r>
      <w:proofErr w:type="spellEnd"/>
      <w:r>
        <w:t>;</w:t>
      </w:r>
      <w:proofErr w:type="gramEnd"/>
    </w:p>
    <w:p w14:paraId="7B31A936" w14:textId="77777777" w:rsidR="00A73B1C" w:rsidRDefault="00D2364C" w:rsidP="00A73B1C">
      <w:pPr>
        <w:pStyle w:val="ListBullet"/>
      </w:pPr>
      <w:r>
        <w:t xml:space="preserve">The Delegate </w:t>
      </w:r>
      <w:r w:rsidR="009B7841">
        <w:t>believe</w:t>
      </w:r>
      <w:r w:rsidR="00A73B1C">
        <w:t>s</w:t>
      </w:r>
      <w:r w:rsidR="009B7841">
        <w:t xml:space="preserve"> that there was quite a limitation of brand-specific clinical data in the</w:t>
      </w:r>
      <w:r w:rsidR="009B7841" w:rsidRPr="00D2364C">
        <w:rPr>
          <w:spacing w:val="-46"/>
        </w:rPr>
        <w:t xml:space="preserve"> </w:t>
      </w:r>
      <w:r w:rsidR="00A73B1C">
        <w:t>submission. The Delegate can only</w:t>
      </w:r>
      <w:r w:rsidR="009B7841">
        <w:t xml:space="preserve"> recognise </w:t>
      </w:r>
      <w:proofErr w:type="spellStart"/>
      <w:r w:rsidR="009B7841">
        <w:t>Gammagard</w:t>
      </w:r>
      <w:proofErr w:type="spellEnd"/>
      <w:r w:rsidR="009B7841">
        <w:t xml:space="preserve"> S/D (not on ARTG) and </w:t>
      </w:r>
      <w:proofErr w:type="spellStart"/>
      <w:r w:rsidR="009B7841">
        <w:t>Gamunex</w:t>
      </w:r>
      <w:proofErr w:type="spellEnd"/>
      <w:r w:rsidR="009B7841">
        <w:t xml:space="preserve"> (on</w:t>
      </w:r>
      <w:r w:rsidR="009B7841" w:rsidRPr="00D2364C">
        <w:rPr>
          <w:spacing w:val="1"/>
        </w:rPr>
        <w:t xml:space="preserve"> </w:t>
      </w:r>
      <w:r w:rsidR="00A73B1C">
        <w:rPr>
          <w:spacing w:val="1"/>
        </w:rPr>
        <w:t xml:space="preserve">the </w:t>
      </w:r>
      <w:r w:rsidR="009B7841">
        <w:t>ARTG</w:t>
      </w:r>
      <w:proofErr w:type="gramStart"/>
      <w:r w:rsidR="009B7841">
        <w:t>);</w:t>
      </w:r>
      <w:proofErr w:type="gramEnd"/>
    </w:p>
    <w:p w14:paraId="3B356D89" w14:textId="41F66C75" w:rsidR="00A73B1C" w:rsidRDefault="009B7841" w:rsidP="00A73B1C">
      <w:pPr>
        <w:pStyle w:val="ListBullet"/>
      </w:pPr>
      <w:r>
        <w:t xml:space="preserve">To reinforce, </w:t>
      </w:r>
      <w:proofErr w:type="spellStart"/>
      <w:r w:rsidRPr="00A73B1C">
        <w:t>Kuitwaard</w:t>
      </w:r>
      <w:proofErr w:type="spellEnd"/>
      <w:r w:rsidRPr="00A73B1C">
        <w:t xml:space="preserve"> et al</w:t>
      </w:r>
      <w:r w:rsidR="00A73B1C">
        <w:t>.</w:t>
      </w:r>
      <w:r w:rsidRPr="00A73B1C">
        <w:t xml:space="preserve"> (2010)</w:t>
      </w:r>
      <w:r w:rsidR="00A73B1C" w:rsidRPr="00A73B1C">
        <w:rPr>
          <w:vertAlign w:val="superscript"/>
        </w:rPr>
        <w:fldChar w:fldCharType="begin"/>
      </w:r>
      <w:r w:rsidR="00A73B1C" w:rsidRPr="00A73B1C">
        <w:rPr>
          <w:vertAlign w:val="superscript"/>
        </w:rPr>
        <w:instrText xml:space="preserve"> NOTEREF _Ref82804755 \h </w:instrText>
      </w:r>
      <w:r w:rsidR="00A73B1C">
        <w:rPr>
          <w:vertAlign w:val="superscript"/>
        </w:rPr>
        <w:instrText xml:space="preserve"> \* MERGEFORMAT </w:instrText>
      </w:r>
      <w:r w:rsidR="00A73B1C" w:rsidRPr="00A73B1C">
        <w:rPr>
          <w:vertAlign w:val="superscript"/>
        </w:rPr>
      </w:r>
      <w:r w:rsidR="00A73B1C" w:rsidRPr="00A73B1C">
        <w:rPr>
          <w:vertAlign w:val="superscript"/>
        </w:rPr>
        <w:fldChar w:fldCharType="separate"/>
      </w:r>
      <w:r w:rsidR="00F81787">
        <w:rPr>
          <w:vertAlign w:val="superscript"/>
        </w:rPr>
        <w:t>8</w:t>
      </w:r>
      <w:r w:rsidR="00A73B1C" w:rsidRPr="00A73B1C">
        <w:rPr>
          <w:vertAlign w:val="superscript"/>
        </w:rPr>
        <w:fldChar w:fldCharType="end"/>
      </w:r>
      <w:r w:rsidRPr="00A73B1C">
        <w:rPr>
          <w:i/>
        </w:rPr>
        <w:t xml:space="preserve"> </w:t>
      </w:r>
      <w:r>
        <w:t>publication was a direct head-to-head comparison of</w:t>
      </w:r>
      <w:r w:rsidRPr="00A73B1C">
        <w:rPr>
          <w:spacing w:val="-46"/>
        </w:rPr>
        <w:t xml:space="preserve"> </w:t>
      </w:r>
      <w:r w:rsidR="00A73B1C">
        <w:t>two brands of IVIg (</w:t>
      </w:r>
      <w:proofErr w:type="spellStart"/>
      <w:r w:rsidR="00A73B1C">
        <w:t>Kiovig</w:t>
      </w:r>
      <w:proofErr w:type="spellEnd"/>
      <w:r w:rsidR="00A73B1C">
        <w:t xml:space="preserve"> versus</w:t>
      </w:r>
      <w:r>
        <w:t xml:space="preserve"> </w:t>
      </w:r>
      <w:proofErr w:type="spellStart"/>
      <w:r>
        <w:t>Gammagard</w:t>
      </w:r>
      <w:proofErr w:type="spellEnd"/>
      <w:r>
        <w:t xml:space="preserve"> S/D) in CIDP, maintenance, </w:t>
      </w:r>
      <w:r w:rsidR="00A73B1C" w:rsidRPr="00A73B1C">
        <w:rPr>
          <w:i/>
        </w:rPr>
        <w:t>not acute,</w:t>
      </w:r>
      <w:r w:rsidR="00A73B1C" w:rsidRPr="00A73B1C">
        <w:rPr>
          <w:spacing w:val="1"/>
        </w:rPr>
        <w:t xml:space="preserve"> </w:t>
      </w:r>
      <w:r>
        <w:t>treatment</w:t>
      </w:r>
      <w:r w:rsidRPr="00A73B1C">
        <w:rPr>
          <w:spacing w:val="-2"/>
        </w:rPr>
        <w:t xml:space="preserve"> </w:t>
      </w:r>
      <w:r>
        <w:t>only.</w:t>
      </w:r>
    </w:p>
    <w:p w14:paraId="0BB7F06C" w14:textId="77777777" w:rsidR="009B7841" w:rsidRDefault="009B7841" w:rsidP="00A73B1C">
      <w:pPr>
        <w:pStyle w:val="ListBullet"/>
      </w:pPr>
      <w:r>
        <w:t>While it is accepted that the brands of IVIg are not identical since IVIg is sourced from</w:t>
      </w:r>
      <w:r w:rsidRPr="00A73B1C">
        <w:rPr>
          <w:spacing w:val="1"/>
        </w:rPr>
        <w:t xml:space="preserve"> </w:t>
      </w:r>
      <w:r>
        <w:t>thousands of human donors, the standard pharmacopeia monograph specifications reflect</w:t>
      </w:r>
      <w:r w:rsidRPr="00A73B1C">
        <w:rPr>
          <w:spacing w:val="-46"/>
        </w:rPr>
        <w:t xml:space="preserve"> </w:t>
      </w:r>
      <w:r>
        <w:t>this fact and therefore provide an acceptable range of IgG subclass values, which in turn</w:t>
      </w:r>
      <w:r w:rsidRPr="00A73B1C">
        <w:rPr>
          <w:spacing w:val="1"/>
        </w:rPr>
        <w:t xml:space="preserve"> </w:t>
      </w:r>
      <w:r>
        <w:t>closely</w:t>
      </w:r>
      <w:r w:rsidRPr="00A73B1C">
        <w:rPr>
          <w:spacing w:val="-3"/>
        </w:rPr>
        <w:t xml:space="preserve"> </w:t>
      </w:r>
      <w:r>
        <w:t>resembles normal</w:t>
      </w:r>
      <w:r w:rsidRPr="00A73B1C">
        <w:rPr>
          <w:spacing w:val="-2"/>
        </w:rPr>
        <w:t xml:space="preserve"> </w:t>
      </w:r>
      <w:r>
        <w:t>human</w:t>
      </w:r>
      <w:r w:rsidRPr="00A73B1C">
        <w:rPr>
          <w:spacing w:val="-2"/>
        </w:rPr>
        <w:t xml:space="preserve"> </w:t>
      </w:r>
      <w:r>
        <w:t>plasma.</w:t>
      </w:r>
      <w:r w:rsidRPr="00A73B1C">
        <w:rPr>
          <w:spacing w:val="-2"/>
        </w:rPr>
        <w:t xml:space="preserve"> </w:t>
      </w:r>
      <w:r>
        <w:t>There</w:t>
      </w:r>
      <w:r w:rsidRPr="00A73B1C">
        <w:rPr>
          <w:spacing w:val="-1"/>
        </w:rPr>
        <w:t xml:space="preserve"> </w:t>
      </w:r>
      <w:r>
        <w:t>appears</w:t>
      </w:r>
      <w:r w:rsidRPr="00A73B1C">
        <w:rPr>
          <w:spacing w:val="-1"/>
        </w:rPr>
        <w:t xml:space="preserve"> </w:t>
      </w:r>
      <w:r>
        <w:t>to</w:t>
      </w:r>
      <w:r w:rsidRPr="00A73B1C">
        <w:rPr>
          <w:spacing w:val="-2"/>
        </w:rPr>
        <w:t xml:space="preserve"> </w:t>
      </w:r>
      <w:r>
        <w:t>be</w:t>
      </w:r>
      <w:r w:rsidRPr="00A73B1C">
        <w:rPr>
          <w:spacing w:val="1"/>
        </w:rPr>
        <w:t xml:space="preserve"> </w:t>
      </w:r>
      <w:r>
        <w:t>an</w:t>
      </w:r>
      <w:r w:rsidRPr="00A73B1C">
        <w:rPr>
          <w:spacing w:val="-3"/>
        </w:rPr>
        <w:t xml:space="preserve"> </w:t>
      </w:r>
      <w:r>
        <w:t>expectation</w:t>
      </w:r>
      <w:r w:rsidRPr="00A73B1C">
        <w:rPr>
          <w:spacing w:val="-4"/>
        </w:rPr>
        <w:t xml:space="preserve"> </w:t>
      </w:r>
      <w:r>
        <w:lastRenderedPageBreak/>
        <w:t>that</w:t>
      </w:r>
      <w:r w:rsidRPr="00A73B1C">
        <w:rPr>
          <w:spacing w:val="-1"/>
        </w:rPr>
        <w:t xml:space="preserve"> </w:t>
      </w:r>
      <w:r>
        <w:t>the</w:t>
      </w:r>
      <w:r w:rsidR="00A73B1C">
        <w:rPr>
          <w:rFonts w:cs="Cambria"/>
          <w:lang w:val="en-US"/>
        </w:rPr>
        <w:t>d</w:t>
      </w:r>
      <w:proofErr w:type="spellStart"/>
      <w:r>
        <w:t>ifferent</w:t>
      </w:r>
      <w:proofErr w:type="spellEnd"/>
      <w:r>
        <w:t xml:space="preserve"> branded products of IVIg that meet the accepted specifications will have</w:t>
      </w:r>
      <w:r>
        <w:rPr>
          <w:spacing w:val="-46"/>
        </w:rPr>
        <w:t xml:space="preserve"> </w:t>
      </w:r>
      <w:r>
        <w:t>‘equivalence</w:t>
      </w:r>
      <w:r>
        <w:rPr>
          <w:spacing w:val="-2"/>
        </w:rPr>
        <w:t xml:space="preserve"> </w:t>
      </w:r>
      <w:r>
        <w:t>of</w:t>
      </w:r>
      <w:r>
        <w:rPr>
          <w:spacing w:val="-1"/>
        </w:rPr>
        <w:t xml:space="preserve"> </w:t>
      </w:r>
      <w:r>
        <w:t>efficacy’.</w:t>
      </w:r>
    </w:p>
    <w:p w14:paraId="2A8F15EF" w14:textId="77777777" w:rsidR="009B7841" w:rsidRDefault="009B7841" w:rsidP="00A73B1C">
      <w:pPr>
        <w:pStyle w:val="BodyText"/>
      </w:pPr>
      <w:r>
        <w:t>To</w:t>
      </w:r>
      <w:r>
        <w:rPr>
          <w:spacing w:val="-2"/>
        </w:rPr>
        <w:t xml:space="preserve"> </w:t>
      </w:r>
      <w:r>
        <w:t>the</w:t>
      </w:r>
      <w:r>
        <w:rPr>
          <w:spacing w:val="-3"/>
        </w:rPr>
        <w:t xml:space="preserve"> </w:t>
      </w:r>
      <w:r>
        <w:t>above,</w:t>
      </w:r>
      <w:r>
        <w:rPr>
          <w:spacing w:val="-1"/>
        </w:rPr>
        <w:t xml:space="preserve"> </w:t>
      </w:r>
      <w:r>
        <w:t>the</w:t>
      </w:r>
      <w:r>
        <w:rPr>
          <w:spacing w:val="-2"/>
        </w:rPr>
        <w:t xml:space="preserve"> </w:t>
      </w:r>
      <w:r w:rsidR="00A73B1C">
        <w:t>D</w:t>
      </w:r>
      <w:r>
        <w:t>elegate</w:t>
      </w:r>
      <w:r>
        <w:rPr>
          <w:spacing w:val="-3"/>
        </w:rPr>
        <w:t xml:space="preserve"> </w:t>
      </w:r>
      <w:r>
        <w:t>makes the</w:t>
      </w:r>
      <w:r>
        <w:rPr>
          <w:spacing w:val="-1"/>
        </w:rPr>
        <w:t xml:space="preserve"> </w:t>
      </w:r>
      <w:r>
        <w:t>following</w:t>
      </w:r>
      <w:r>
        <w:rPr>
          <w:spacing w:val="-3"/>
        </w:rPr>
        <w:t xml:space="preserve"> </w:t>
      </w:r>
      <w:r>
        <w:t>comments:</w:t>
      </w:r>
    </w:p>
    <w:p w14:paraId="4E493C3A" w14:textId="77777777" w:rsidR="009B7841" w:rsidRPr="00A73B1C" w:rsidRDefault="009B7841" w:rsidP="00A73B1C">
      <w:pPr>
        <w:pStyle w:val="ListBullet"/>
        <w:rPr>
          <w:rFonts w:ascii="Webdings" w:hAnsi="Webdings"/>
        </w:rPr>
      </w:pPr>
      <w:r>
        <w:t xml:space="preserve">The acknowledgement that the different brands of </w:t>
      </w:r>
      <w:proofErr w:type="spellStart"/>
      <w:r>
        <w:t>IVIgs</w:t>
      </w:r>
      <w:proofErr w:type="spellEnd"/>
      <w:r>
        <w:t xml:space="preserve"> are not identical is noted. Any</w:t>
      </w:r>
      <w:r w:rsidRPr="00A73B1C">
        <w:rPr>
          <w:spacing w:val="1"/>
        </w:rPr>
        <w:t xml:space="preserve"> </w:t>
      </w:r>
      <w:r>
        <w:t>expectation, that the different branded products of IVIg that meet the accepted</w:t>
      </w:r>
      <w:r w:rsidRPr="00A73B1C">
        <w:rPr>
          <w:spacing w:val="1"/>
        </w:rPr>
        <w:t xml:space="preserve"> </w:t>
      </w:r>
      <w:r>
        <w:t xml:space="preserve">specifications will have ‘equivalence of efficacy’ </w:t>
      </w:r>
      <w:r w:rsidR="00A73B1C">
        <w:t>that is, therapeutic equivalence (and safety)</w:t>
      </w:r>
      <w:r w:rsidRPr="00A73B1C">
        <w:rPr>
          <w:spacing w:val="1"/>
        </w:rPr>
        <w:t xml:space="preserve"> </w:t>
      </w:r>
      <w:r>
        <w:t>based on accepted standard pharmacopeia monograph sounds like an assumption.</w:t>
      </w:r>
      <w:r w:rsidRPr="00A73B1C">
        <w:rPr>
          <w:spacing w:val="1"/>
        </w:rPr>
        <w:t xml:space="preserve"> </w:t>
      </w:r>
      <w:r>
        <w:t>Well-</w:t>
      </w:r>
      <w:r w:rsidRPr="00A73B1C">
        <w:rPr>
          <w:spacing w:val="-46"/>
        </w:rPr>
        <w:t xml:space="preserve"> </w:t>
      </w:r>
      <w:r>
        <w:t xml:space="preserve">designed comparable study of </w:t>
      </w:r>
      <w:proofErr w:type="spellStart"/>
      <w:r>
        <w:t>Kiovig</w:t>
      </w:r>
      <w:proofErr w:type="spellEnd"/>
      <w:r>
        <w:t xml:space="preserve"> with a listed ARTG IVIg for the CIDP indication will</w:t>
      </w:r>
      <w:r w:rsidRPr="00A73B1C">
        <w:rPr>
          <w:spacing w:val="1"/>
        </w:rPr>
        <w:t xml:space="preserve"> </w:t>
      </w:r>
      <w:r w:rsidRPr="00A73B1C">
        <w:t>have</w:t>
      </w:r>
      <w:r w:rsidRPr="00A73B1C">
        <w:rPr>
          <w:spacing w:val="-2"/>
        </w:rPr>
        <w:t xml:space="preserve"> </w:t>
      </w:r>
      <w:r w:rsidRPr="00A73B1C">
        <w:t>been</w:t>
      </w:r>
      <w:r w:rsidRPr="00A73B1C">
        <w:rPr>
          <w:spacing w:val="-2"/>
        </w:rPr>
        <w:t xml:space="preserve"> </w:t>
      </w:r>
      <w:r w:rsidRPr="00A73B1C">
        <w:t>more</w:t>
      </w:r>
      <w:r w:rsidRPr="00A73B1C">
        <w:rPr>
          <w:spacing w:val="-1"/>
        </w:rPr>
        <w:t xml:space="preserve"> </w:t>
      </w:r>
      <w:r w:rsidRPr="00A73B1C">
        <w:t>convincing</w:t>
      </w:r>
      <w:r w:rsidRPr="00A73B1C">
        <w:rPr>
          <w:spacing w:val="-2"/>
        </w:rPr>
        <w:t xml:space="preserve"> </w:t>
      </w:r>
      <w:r w:rsidRPr="00A73B1C">
        <w:t>/</w:t>
      </w:r>
      <w:proofErr w:type="gramStart"/>
      <w:r w:rsidRPr="00A73B1C">
        <w:t>decisive;</w:t>
      </w:r>
      <w:proofErr w:type="gramEnd"/>
    </w:p>
    <w:p w14:paraId="6A986512" w14:textId="77777777" w:rsidR="009B7841" w:rsidRPr="00A73B1C" w:rsidRDefault="009B7841" w:rsidP="00A73B1C">
      <w:pPr>
        <w:pStyle w:val="ListBullet"/>
      </w:pPr>
      <w:r w:rsidRPr="00A73B1C">
        <w:t xml:space="preserve">This statement from the </w:t>
      </w:r>
      <w:r w:rsidR="00A73B1C">
        <w:t>National Blood Authority</w:t>
      </w:r>
      <w:r w:rsidRPr="00A73B1C">
        <w:t xml:space="preserve"> website</w:t>
      </w:r>
      <w:r w:rsidR="00A73B1C">
        <w:t>: ‘</w:t>
      </w:r>
      <w:r w:rsidRPr="00A73B1C">
        <w:t>Products available under current contracts will continue to be available and patients already receiving ongoing treatment with particular Ig products are not expected to be required to switch product brands</w:t>
      </w:r>
      <w:r w:rsidR="00A73B1C">
        <w:t>’</w:t>
      </w:r>
      <w:r w:rsidRPr="00A73B1C">
        <w:t xml:space="preserve"> will seem to be mooting that </w:t>
      </w:r>
      <w:proofErr w:type="spellStart"/>
      <w:r w:rsidRPr="00A73B1C">
        <w:t>IVIgs</w:t>
      </w:r>
      <w:proofErr w:type="spellEnd"/>
      <w:r w:rsidRPr="00A73B1C">
        <w:t xml:space="preserve"> are strictly </w:t>
      </w:r>
      <w:r w:rsidR="00A73B1C" w:rsidRPr="00A73B1C">
        <w:rPr>
          <w:i/>
        </w:rPr>
        <w:t>not</w:t>
      </w:r>
      <w:r w:rsidR="00A73B1C" w:rsidRPr="00A73B1C">
        <w:t xml:space="preserve"> </w:t>
      </w:r>
      <w:r w:rsidRPr="00A73B1C">
        <w:t xml:space="preserve">interchangeable biological medicine generics </w:t>
      </w:r>
      <w:r w:rsidR="00A73B1C">
        <w:t xml:space="preserve">(in contrast to </w:t>
      </w:r>
      <w:r w:rsidRPr="00A73B1C">
        <w:t xml:space="preserve">biosimilars in the Australia </w:t>
      </w:r>
      <w:r w:rsidR="00A73B1C">
        <w:t>context)</w:t>
      </w:r>
      <w:r w:rsidRPr="00A73B1C">
        <w:t>.</w:t>
      </w:r>
    </w:p>
    <w:p w14:paraId="736A41DF" w14:textId="77777777" w:rsidR="009B7841" w:rsidRPr="00A73B1C" w:rsidRDefault="009B7841" w:rsidP="00A73B1C">
      <w:pPr>
        <w:pStyle w:val="ListBullet"/>
        <w:rPr>
          <w:rFonts w:ascii="Wingdings" w:hAnsi="Wingdings"/>
        </w:rPr>
      </w:pPr>
      <w:r>
        <w:t xml:space="preserve">While the evidence to support </w:t>
      </w:r>
      <w:proofErr w:type="spellStart"/>
      <w:r>
        <w:t>Kiovig</w:t>
      </w:r>
      <w:proofErr w:type="spellEnd"/>
      <w:r>
        <w:t xml:space="preserve"> in an acute/induction phase of treatment is limited,</w:t>
      </w:r>
      <w:r w:rsidRPr="00A73B1C">
        <w:rPr>
          <w:spacing w:val="1"/>
        </w:rPr>
        <w:t xml:space="preserve"> </w:t>
      </w:r>
      <w:r>
        <w:t xml:space="preserve">there is no clear reason to expect that there would be a concern during initiation of </w:t>
      </w:r>
      <w:proofErr w:type="spellStart"/>
      <w:r>
        <w:t>Kiovig</w:t>
      </w:r>
      <w:proofErr w:type="spellEnd"/>
      <w:r w:rsidRPr="00A73B1C">
        <w:rPr>
          <w:spacing w:val="-46"/>
        </w:rPr>
        <w:t xml:space="preserve"> </w:t>
      </w:r>
      <w:r>
        <w:t>treatment.</w:t>
      </w:r>
    </w:p>
    <w:p w14:paraId="4E6DFC26" w14:textId="77777777" w:rsidR="009B7841" w:rsidRDefault="009B7841" w:rsidP="00A73B1C">
      <w:pPr>
        <w:pStyle w:val="BodyText"/>
      </w:pPr>
      <w:r>
        <w:t>To</w:t>
      </w:r>
      <w:r>
        <w:rPr>
          <w:spacing w:val="-2"/>
        </w:rPr>
        <w:t xml:space="preserve"> </w:t>
      </w:r>
      <w:r>
        <w:t>the</w:t>
      </w:r>
      <w:r>
        <w:rPr>
          <w:spacing w:val="-3"/>
        </w:rPr>
        <w:t xml:space="preserve"> </w:t>
      </w:r>
      <w:r>
        <w:t>above,</w:t>
      </w:r>
      <w:r>
        <w:rPr>
          <w:spacing w:val="-1"/>
        </w:rPr>
        <w:t xml:space="preserve"> </w:t>
      </w:r>
      <w:r>
        <w:t>the</w:t>
      </w:r>
      <w:r>
        <w:rPr>
          <w:spacing w:val="-2"/>
        </w:rPr>
        <w:t xml:space="preserve"> </w:t>
      </w:r>
      <w:r w:rsidR="00A73B1C">
        <w:t>D</w:t>
      </w:r>
      <w:r>
        <w:t>elegate</w:t>
      </w:r>
      <w:r>
        <w:rPr>
          <w:spacing w:val="-3"/>
        </w:rPr>
        <w:t xml:space="preserve"> </w:t>
      </w:r>
      <w:r>
        <w:t>makes the</w:t>
      </w:r>
      <w:r>
        <w:rPr>
          <w:spacing w:val="-1"/>
        </w:rPr>
        <w:t xml:space="preserve"> </w:t>
      </w:r>
      <w:r>
        <w:t>following</w:t>
      </w:r>
      <w:r>
        <w:rPr>
          <w:spacing w:val="-3"/>
        </w:rPr>
        <w:t xml:space="preserve"> </w:t>
      </w:r>
      <w:r>
        <w:t>comments:</w:t>
      </w:r>
    </w:p>
    <w:p w14:paraId="6C6F2C9F" w14:textId="77777777" w:rsidR="009B7841" w:rsidRPr="00A73B1C" w:rsidRDefault="009B7841" w:rsidP="00A73B1C">
      <w:pPr>
        <w:pStyle w:val="ListBullet"/>
        <w:rPr>
          <w:rFonts w:ascii="Webdings" w:hAnsi="Webdings"/>
        </w:rPr>
      </w:pPr>
      <w:r>
        <w:t xml:space="preserve">It is not factual to state that the evidence to support </w:t>
      </w:r>
      <w:proofErr w:type="spellStart"/>
      <w:r>
        <w:t>Kiovig</w:t>
      </w:r>
      <w:proofErr w:type="spellEnd"/>
      <w:r>
        <w:t xml:space="preserve"> in an acute/induction phase</w:t>
      </w:r>
      <w:r w:rsidRPr="00A73B1C">
        <w:rPr>
          <w:spacing w:val="-46"/>
        </w:rPr>
        <w:t xml:space="preserve"> </w:t>
      </w:r>
      <w:r>
        <w:t>of</w:t>
      </w:r>
      <w:r w:rsidRPr="00A73B1C">
        <w:rPr>
          <w:spacing w:val="47"/>
        </w:rPr>
        <w:t xml:space="preserve"> </w:t>
      </w:r>
      <w:r>
        <w:t>CIDP</w:t>
      </w:r>
      <w:r w:rsidRPr="00A73B1C">
        <w:rPr>
          <w:spacing w:val="-3"/>
        </w:rPr>
        <w:t xml:space="preserve"> </w:t>
      </w:r>
      <w:r>
        <w:t>treatment</w:t>
      </w:r>
      <w:r w:rsidRPr="00A73B1C">
        <w:rPr>
          <w:spacing w:val="-1"/>
        </w:rPr>
        <w:t xml:space="preserve"> </w:t>
      </w:r>
      <w:r>
        <w:t>is limited</w:t>
      </w:r>
      <w:r w:rsidRPr="00A73B1C">
        <w:rPr>
          <w:spacing w:val="-1"/>
        </w:rPr>
        <w:t xml:space="preserve"> </w:t>
      </w:r>
      <w:r>
        <w:t>when</w:t>
      </w:r>
      <w:r w:rsidRPr="00A73B1C">
        <w:rPr>
          <w:spacing w:val="-2"/>
        </w:rPr>
        <w:t xml:space="preserve"> </w:t>
      </w:r>
      <w:r>
        <w:t>in</w:t>
      </w:r>
      <w:r w:rsidRPr="00A73B1C">
        <w:rPr>
          <w:spacing w:val="-2"/>
        </w:rPr>
        <w:t xml:space="preserve"> </w:t>
      </w:r>
      <w:r>
        <w:t>fact,</w:t>
      </w:r>
      <w:r w:rsidRPr="00A73B1C">
        <w:rPr>
          <w:spacing w:val="-2"/>
        </w:rPr>
        <w:t xml:space="preserve"> </w:t>
      </w:r>
      <w:r>
        <w:t>there</w:t>
      </w:r>
      <w:r w:rsidRPr="00A73B1C">
        <w:rPr>
          <w:spacing w:val="-1"/>
        </w:rPr>
        <w:t xml:space="preserve"> </w:t>
      </w:r>
      <w:r>
        <w:t>is virtually</w:t>
      </w:r>
      <w:r w:rsidRPr="00A73B1C">
        <w:rPr>
          <w:spacing w:val="-2"/>
        </w:rPr>
        <w:t xml:space="preserve"> </w:t>
      </w:r>
      <w:r w:rsidR="00A73B1C">
        <w:t>none.</w:t>
      </w:r>
    </w:p>
    <w:p w14:paraId="000FC268" w14:textId="77777777" w:rsidR="009B7841" w:rsidRPr="00A73B1C" w:rsidRDefault="009B7841" w:rsidP="00A73B1C">
      <w:pPr>
        <w:pStyle w:val="ListBullet"/>
        <w:rPr>
          <w:rFonts w:ascii="Wingdings" w:hAnsi="Wingdings"/>
          <w:sz w:val="21"/>
        </w:rPr>
      </w:pPr>
      <w:r>
        <w:t xml:space="preserve">Although long-term efficacy and safety data for </w:t>
      </w:r>
      <w:proofErr w:type="spellStart"/>
      <w:r>
        <w:t>Kiovig</w:t>
      </w:r>
      <w:proofErr w:type="spellEnd"/>
      <w:r>
        <w:t xml:space="preserve"> in CIDP treatment is limited, the</w:t>
      </w:r>
      <w:r w:rsidRPr="00A73B1C">
        <w:rPr>
          <w:spacing w:val="-46"/>
        </w:rPr>
        <w:t xml:space="preserve"> </w:t>
      </w:r>
      <w:r>
        <w:t xml:space="preserve">advice provided in the PI helps to mitigate risk of longer-term </w:t>
      </w:r>
      <w:proofErr w:type="spellStart"/>
      <w:r>
        <w:t>Kiovig</w:t>
      </w:r>
      <w:proofErr w:type="spellEnd"/>
      <w:r>
        <w:t xml:space="preserve"> treatment by</w:t>
      </w:r>
      <w:r w:rsidRPr="00A73B1C">
        <w:rPr>
          <w:spacing w:val="1"/>
        </w:rPr>
        <w:t xml:space="preserve"> </w:t>
      </w:r>
      <w:r>
        <w:t>recommendation of treatment based on the clinical need of the patient and their</w:t>
      </w:r>
      <w:r w:rsidRPr="00A73B1C">
        <w:rPr>
          <w:spacing w:val="1"/>
        </w:rPr>
        <w:t xml:space="preserve"> </w:t>
      </w:r>
      <w:r>
        <w:t>responsiveness</w:t>
      </w:r>
      <w:r w:rsidRPr="00A73B1C">
        <w:rPr>
          <w:spacing w:val="-1"/>
        </w:rPr>
        <w:t xml:space="preserve"> </w:t>
      </w:r>
      <w:r>
        <w:t>to</w:t>
      </w:r>
      <w:r w:rsidRPr="00A73B1C">
        <w:rPr>
          <w:spacing w:val="-1"/>
        </w:rPr>
        <w:t xml:space="preserve"> </w:t>
      </w:r>
      <w:r>
        <w:t>treatment.</w:t>
      </w:r>
    </w:p>
    <w:p w14:paraId="77A1BFF5" w14:textId="77777777" w:rsidR="009B7841" w:rsidRPr="00A73B1C" w:rsidRDefault="009B7841" w:rsidP="00A73B1C">
      <w:pPr>
        <w:pStyle w:val="ListBullet"/>
        <w:rPr>
          <w:rFonts w:ascii="Webdings" w:hAnsi="Webdings"/>
        </w:rPr>
      </w:pPr>
      <w:r>
        <w:t xml:space="preserve">Again, long-term efficacy and safety data for </w:t>
      </w:r>
      <w:proofErr w:type="spellStart"/>
      <w:r>
        <w:t>Kiovig</w:t>
      </w:r>
      <w:proofErr w:type="spellEnd"/>
      <w:r>
        <w:t xml:space="preserve"> in CI</w:t>
      </w:r>
      <w:r w:rsidR="00A73B1C">
        <w:t xml:space="preserve">DP treatment is not just limited </w:t>
      </w:r>
      <w:r>
        <w:t>but</w:t>
      </w:r>
      <w:r w:rsidRPr="00A73B1C">
        <w:rPr>
          <w:spacing w:val="-1"/>
        </w:rPr>
        <w:t xml:space="preserve"> </w:t>
      </w:r>
      <w:r>
        <w:t>actually</w:t>
      </w:r>
      <w:r w:rsidRPr="00A73B1C">
        <w:rPr>
          <w:spacing w:val="-2"/>
        </w:rPr>
        <w:t xml:space="preserve"> </w:t>
      </w:r>
      <w:proofErr w:type="gramStart"/>
      <w:r>
        <w:t>absent;</w:t>
      </w:r>
      <w:proofErr w:type="gramEnd"/>
    </w:p>
    <w:p w14:paraId="134E1258" w14:textId="77777777" w:rsidR="00A73B1C" w:rsidRDefault="009B7841" w:rsidP="00A73B1C">
      <w:pPr>
        <w:pStyle w:val="ListBullet"/>
        <w:rPr>
          <w:spacing w:val="1"/>
        </w:rPr>
      </w:pPr>
      <w:r>
        <w:t>With respect to the above, it is worth noting the Health Canada’s statement</w:t>
      </w:r>
      <w:r w:rsidRPr="00A73B1C">
        <w:rPr>
          <w:spacing w:val="1"/>
        </w:rPr>
        <w:t xml:space="preserve"> </w:t>
      </w:r>
      <w:r>
        <w:t>regarding</w:t>
      </w:r>
      <w:r w:rsidRPr="00A73B1C">
        <w:rPr>
          <w:spacing w:val="1"/>
        </w:rPr>
        <w:t xml:space="preserve"> </w:t>
      </w:r>
      <w:r>
        <w:t>the use of IVIg</w:t>
      </w:r>
      <w:r w:rsidRPr="00A73B1C">
        <w:rPr>
          <w:spacing w:val="1"/>
        </w:rPr>
        <w:t xml:space="preserve"> </w:t>
      </w:r>
      <w:r w:rsidR="00A73B1C">
        <w:t>in CIDP</w:t>
      </w:r>
      <w:r>
        <w:t>:</w:t>
      </w:r>
    </w:p>
    <w:p w14:paraId="3522704B" w14:textId="77777777" w:rsidR="009B7841" w:rsidRPr="00A73B1C" w:rsidRDefault="009B7841" w:rsidP="00A73B1C">
      <w:pPr>
        <w:ind w:left="360"/>
        <w:rPr>
          <w:rFonts w:ascii="Webdings" w:hAnsi="Webdings"/>
          <w:i/>
        </w:rPr>
      </w:pPr>
      <w:r w:rsidRPr="00A73B1C">
        <w:rPr>
          <w:i/>
        </w:rPr>
        <w:t>If IVIg is to be used in the long-term management of CIDP,</w:t>
      </w:r>
      <w:r w:rsidRPr="00A73B1C">
        <w:rPr>
          <w:i/>
          <w:spacing w:val="1"/>
        </w:rPr>
        <w:t xml:space="preserve"> </w:t>
      </w:r>
      <w:r w:rsidRPr="00A73B1C">
        <w:rPr>
          <w:i/>
        </w:rPr>
        <w:t>the patient should be under the care of a qualified expert with specialised knowledge of</w:t>
      </w:r>
      <w:r w:rsidRPr="00A73B1C">
        <w:rPr>
          <w:i/>
          <w:spacing w:val="-46"/>
        </w:rPr>
        <w:t xml:space="preserve"> </w:t>
      </w:r>
      <w:r w:rsidRPr="00A73B1C">
        <w:rPr>
          <w:i/>
        </w:rPr>
        <w:t>CIDP</w:t>
      </w:r>
      <w:r w:rsidRPr="00A73B1C">
        <w:rPr>
          <w:i/>
          <w:spacing w:val="-3"/>
        </w:rPr>
        <w:t xml:space="preserve"> </w:t>
      </w:r>
      <w:r w:rsidRPr="00A73B1C">
        <w:rPr>
          <w:i/>
        </w:rPr>
        <w:t>and</w:t>
      </w:r>
      <w:r w:rsidRPr="00A73B1C">
        <w:rPr>
          <w:i/>
          <w:spacing w:val="-1"/>
        </w:rPr>
        <w:t xml:space="preserve"> </w:t>
      </w:r>
      <w:r w:rsidRPr="00A73B1C">
        <w:rPr>
          <w:i/>
        </w:rPr>
        <w:t>a</w:t>
      </w:r>
      <w:r w:rsidRPr="00A73B1C">
        <w:rPr>
          <w:i/>
          <w:spacing w:val="-4"/>
        </w:rPr>
        <w:t xml:space="preserve"> </w:t>
      </w:r>
      <w:r w:rsidRPr="00A73B1C">
        <w:rPr>
          <w:i/>
        </w:rPr>
        <w:t>systematic</w:t>
      </w:r>
      <w:r w:rsidRPr="00A73B1C">
        <w:rPr>
          <w:i/>
          <w:spacing w:val="46"/>
        </w:rPr>
        <w:t xml:space="preserve"> </w:t>
      </w:r>
      <w:r w:rsidRPr="00A73B1C">
        <w:rPr>
          <w:i/>
        </w:rPr>
        <w:t>approach be</w:t>
      </w:r>
      <w:r w:rsidRPr="00A73B1C">
        <w:rPr>
          <w:i/>
          <w:spacing w:val="-2"/>
        </w:rPr>
        <w:t xml:space="preserve"> </w:t>
      </w:r>
      <w:r w:rsidRPr="00A73B1C">
        <w:rPr>
          <w:i/>
        </w:rPr>
        <w:t>taken</w:t>
      </w:r>
      <w:r w:rsidRPr="00A73B1C">
        <w:rPr>
          <w:i/>
          <w:spacing w:val="-2"/>
        </w:rPr>
        <w:t xml:space="preserve"> </w:t>
      </w:r>
      <w:r w:rsidRPr="00A73B1C">
        <w:rPr>
          <w:i/>
        </w:rPr>
        <w:t>to</w:t>
      </w:r>
      <w:r w:rsidRPr="00A73B1C">
        <w:rPr>
          <w:i/>
          <w:spacing w:val="-2"/>
        </w:rPr>
        <w:t xml:space="preserve"> </w:t>
      </w:r>
      <w:r w:rsidRPr="00A73B1C">
        <w:rPr>
          <w:i/>
        </w:rPr>
        <w:t>determine</w:t>
      </w:r>
      <w:r w:rsidRPr="00A73B1C">
        <w:rPr>
          <w:i/>
          <w:spacing w:val="-1"/>
        </w:rPr>
        <w:t xml:space="preserve"> </w:t>
      </w:r>
      <w:r w:rsidRPr="00A73B1C">
        <w:rPr>
          <w:i/>
        </w:rPr>
        <w:t>the</w:t>
      </w:r>
      <w:r w:rsidRPr="00A73B1C">
        <w:rPr>
          <w:i/>
          <w:spacing w:val="-2"/>
        </w:rPr>
        <w:t xml:space="preserve"> </w:t>
      </w:r>
      <w:r w:rsidRPr="00A73B1C">
        <w:rPr>
          <w:i/>
        </w:rPr>
        <w:t>minimal</w:t>
      </w:r>
      <w:r w:rsidRPr="00A73B1C">
        <w:rPr>
          <w:i/>
          <w:spacing w:val="-1"/>
        </w:rPr>
        <w:t xml:space="preserve"> </w:t>
      </w:r>
      <w:r w:rsidRPr="00A73B1C">
        <w:rPr>
          <w:i/>
        </w:rPr>
        <w:t>effective</w:t>
      </w:r>
      <w:r w:rsidRPr="00A73B1C">
        <w:rPr>
          <w:i/>
          <w:spacing w:val="46"/>
        </w:rPr>
        <w:t xml:space="preserve"> </w:t>
      </w:r>
      <w:proofErr w:type="gramStart"/>
      <w:r w:rsidR="00A73B1C" w:rsidRPr="00A73B1C">
        <w:rPr>
          <w:i/>
        </w:rPr>
        <w:t>dose</w:t>
      </w:r>
      <w:r w:rsidRPr="00A73B1C">
        <w:rPr>
          <w:i/>
        </w:rPr>
        <w:t>;</w:t>
      </w:r>
      <w:proofErr w:type="gramEnd"/>
    </w:p>
    <w:p w14:paraId="053ABB2D" w14:textId="77777777" w:rsidR="009B7841" w:rsidRPr="00A73B1C" w:rsidRDefault="00A73B1C" w:rsidP="00A73B1C">
      <w:pPr>
        <w:rPr>
          <w:rFonts w:ascii="Wingdings" w:hAnsi="Wingdings"/>
        </w:rPr>
      </w:pPr>
      <w:r>
        <w:t>The clinical evaluator stated that t</w:t>
      </w:r>
      <w:r w:rsidR="009B7841">
        <w:t xml:space="preserve">he </w:t>
      </w:r>
      <w:proofErr w:type="gramStart"/>
      <w:r>
        <w:t>literature based</w:t>
      </w:r>
      <w:proofErr w:type="gramEnd"/>
      <w:r>
        <w:t xml:space="preserve"> submission </w:t>
      </w:r>
      <w:r w:rsidR="00FE6FD8">
        <w:t>studies provided by the s</w:t>
      </w:r>
      <w:r w:rsidR="009B7841">
        <w:t>ponsor is as fully comprehensive and current as</w:t>
      </w:r>
      <w:r w:rsidR="009B7841" w:rsidRPr="00A73B1C">
        <w:rPr>
          <w:spacing w:val="1"/>
        </w:rPr>
        <w:t xml:space="preserve"> </w:t>
      </w:r>
      <w:r w:rsidR="009B7841">
        <w:t xml:space="preserve">practicably possible. The latter also included some supportive studies using the </w:t>
      </w:r>
      <w:proofErr w:type="spellStart"/>
      <w:r w:rsidR="009B7841">
        <w:t>Kiovig</w:t>
      </w:r>
      <w:proofErr w:type="spellEnd"/>
      <w:r w:rsidR="009B7841">
        <w:t xml:space="preserve"> (or</w:t>
      </w:r>
      <w:r w:rsidR="009B7841" w:rsidRPr="00A73B1C">
        <w:rPr>
          <w:spacing w:val="1"/>
        </w:rPr>
        <w:t xml:space="preserve"> </w:t>
      </w:r>
      <w:r w:rsidR="009B7841">
        <w:t>equivalent) brand, in accordance with scientific advice provided in Section 2.6. On balance,</w:t>
      </w:r>
      <w:r w:rsidR="009B7841" w:rsidRPr="00A73B1C">
        <w:rPr>
          <w:spacing w:val="1"/>
        </w:rPr>
        <w:t xml:space="preserve"> </w:t>
      </w:r>
      <w:r w:rsidR="009B7841">
        <w:t>the clinical evaluator considers, taking the totality of the information provided in the clinical</w:t>
      </w:r>
      <w:r w:rsidR="009B7841" w:rsidRPr="00A73B1C">
        <w:rPr>
          <w:spacing w:val="-46"/>
        </w:rPr>
        <w:t xml:space="preserve"> </w:t>
      </w:r>
      <w:r w:rsidR="009B7841">
        <w:t>dossier into consideration that the Sponsor has ‘adequately justified’ extrapolation of the</w:t>
      </w:r>
      <w:r w:rsidR="009B7841" w:rsidRPr="00A73B1C">
        <w:rPr>
          <w:spacing w:val="1"/>
        </w:rPr>
        <w:t xml:space="preserve"> </w:t>
      </w:r>
      <w:r w:rsidR="009B7841">
        <w:t>available published clinical data to the proposed indication, as outlined in the EU Guideline.</w:t>
      </w:r>
      <w:r w:rsidR="009B7841" w:rsidRPr="00A73B1C">
        <w:rPr>
          <w:spacing w:val="1"/>
        </w:rPr>
        <w:t xml:space="preserve"> </w:t>
      </w:r>
      <w:r w:rsidR="009B7841">
        <w:t>Hence,</w:t>
      </w:r>
      <w:r w:rsidR="009B7841" w:rsidRPr="00A73B1C">
        <w:rPr>
          <w:spacing w:val="-2"/>
        </w:rPr>
        <w:t xml:space="preserve"> </w:t>
      </w:r>
      <w:r w:rsidR="009B7841">
        <w:t>the</w:t>
      </w:r>
      <w:r w:rsidR="009B7841" w:rsidRPr="00A73B1C">
        <w:rPr>
          <w:spacing w:val="-1"/>
        </w:rPr>
        <w:t xml:space="preserve"> </w:t>
      </w:r>
      <w:r w:rsidR="009B7841">
        <w:t>benefit-risk</w:t>
      </w:r>
      <w:r w:rsidR="009B7841" w:rsidRPr="00A73B1C">
        <w:rPr>
          <w:spacing w:val="-3"/>
        </w:rPr>
        <w:t xml:space="preserve"> </w:t>
      </w:r>
      <w:r w:rsidR="009B7841">
        <w:t>balance</w:t>
      </w:r>
      <w:r w:rsidR="009B7841" w:rsidRPr="00A73B1C">
        <w:rPr>
          <w:spacing w:val="-1"/>
        </w:rPr>
        <w:t xml:space="preserve"> </w:t>
      </w:r>
      <w:r w:rsidR="009B7841">
        <w:t>is</w:t>
      </w:r>
      <w:r w:rsidR="009B7841" w:rsidRPr="00A73B1C">
        <w:rPr>
          <w:spacing w:val="-1"/>
        </w:rPr>
        <w:t xml:space="preserve"> </w:t>
      </w:r>
      <w:r w:rsidR="009B7841">
        <w:t>favourable</w:t>
      </w:r>
      <w:r w:rsidR="009B7841" w:rsidRPr="00A73B1C">
        <w:rPr>
          <w:spacing w:val="-1"/>
        </w:rPr>
        <w:t xml:space="preserve"> </w:t>
      </w:r>
      <w:r w:rsidR="009B7841">
        <w:t>for</w:t>
      </w:r>
      <w:r w:rsidR="009B7841" w:rsidRPr="00A73B1C">
        <w:rPr>
          <w:spacing w:val="-2"/>
        </w:rPr>
        <w:t xml:space="preserve"> </w:t>
      </w:r>
      <w:proofErr w:type="spellStart"/>
      <w:r w:rsidR="009B7841">
        <w:t>Kiovig</w:t>
      </w:r>
      <w:proofErr w:type="spellEnd"/>
      <w:r w:rsidR="009B7841" w:rsidRPr="00A73B1C">
        <w:rPr>
          <w:spacing w:val="-2"/>
        </w:rPr>
        <w:t xml:space="preserve"> </w:t>
      </w:r>
      <w:r w:rsidR="009B7841">
        <w:t>for</w:t>
      </w:r>
      <w:r w:rsidR="009B7841" w:rsidRPr="00A73B1C">
        <w:rPr>
          <w:spacing w:val="-2"/>
        </w:rPr>
        <w:t xml:space="preserve"> </w:t>
      </w:r>
      <w:r w:rsidR="009B7841">
        <w:t>the</w:t>
      </w:r>
      <w:r w:rsidR="009B7841" w:rsidRPr="00A73B1C">
        <w:rPr>
          <w:spacing w:val="-1"/>
        </w:rPr>
        <w:t xml:space="preserve"> </w:t>
      </w:r>
      <w:r w:rsidR="009B7841">
        <w:t>proposed</w:t>
      </w:r>
      <w:r w:rsidR="009B7841" w:rsidRPr="00A73B1C">
        <w:rPr>
          <w:spacing w:val="-2"/>
        </w:rPr>
        <w:t xml:space="preserve"> </w:t>
      </w:r>
      <w:r w:rsidR="009B7841">
        <w:t>indication.</w:t>
      </w:r>
    </w:p>
    <w:p w14:paraId="392B5D3A" w14:textId="77777777" w:rsidR="009B7841" w:rsidRPr="00A73B1C" w:rsidRDefault="009B7841" w:rsidP="00A73B1C">
      <w:r>
        <w:t>To</w:t>
      </w:r>
      <w:r>
        <w:rPr>
          <w:spacing w:val="-2"/>
        </w:rPr>
        <w:t xml:space="preserve"> </w:t>
      </w:r>
      <w:r>
        <w:t>the</w:t>
      </w:r>
      <w:r>
        <w:rPr>
          <w:spacing w:val="-3"/>
        </w:rPr>
        <w:t xml:space="preserve"> </w:t>
      </w:r>
      <w:r>
        <w:t>above, the</w:t>
      </w:r>
      <w:r>
        <w:rPr>
          <w:spacing w:val="-2"/>
        </w:rPr>
        <w:t xml:space="preserve"> </w:t>
      </w:r>
      <w:r w:rsidR="00A73B1C">
        <w:t>D</w:t>
      </w:r>
      <w:r>
        <w:t>elegate</w:t>
      </w:r>
      <w:r>
        <w:rPr>
          <w:spacing w:val="-3"/>
        </w:rPr>
        <w:t xml:space="preserve"> </w:t>
      </w:r>
      <w:r>
        <w:t>makes the</w:t>
      </w:r>
      <w:r>
        <w:rPr>
          <w:spacing w:val="-1"/>
        </w:rPr>
        <w:t xml:space="preserve"> </w:t>
      </w:r>
      <w:r>
        <w:t>following</w:t>
      </w:r>
      <w:r>
        <w:rPr>
          <w:spacing w:val="-3"/>
        </w:rPr>
        <w:t xml:space="preserve"> </w:t>
      </w:r>
      <w:r>
        <w:t>comments:</w:t>
      </w:r>
    </w:p>
    <w:p w14:paraId="4FA45688" w14:textId="77777777" w:rsidR="009B7841" w:rsidRPr="00A73B1C" w:rsidRDefault="00A73B1C" w:rsidP="00A73B1C">
      <w:pPr>
        <w:pStyle w:val="ListBullet"/>
        <w:rPr>
          <w:rFonts w:ascii="Webdings" w:hAnsi="Webdings"/>
        </w:rPr>
      </w:pPr>
      <w:r>
        <w:t>The D</w:t>
      </w:r>
      <w:r w:rsidR="009B7841">
        <w:t>elegate prov</w:t>
      </w:r>
      <w:r>
        <w:t xml:space="preserve">ided scientific advice on two clinical </w:t>
      </w:r>
      <w:r w:rsidR="009B7841">
        <w:t>issues in the submission</w:t>
      </w:r>
      <w:r w:rsidR="009B7841" w:rsidRPr="00A73B1C">
        <w:rPr>
          <w:spacing w:val="1"/>
        </w:rPr>
        <w:t xml:space="preserve"> </w:t>
      </w:r>
      <w:r w:rsidR="009B7841">
        <w:t>assessment</w:t>
      </w:r>
      <w:r w:rsidR="009B7841" w:rsidRPr="00A73B1C">
        <w:rPr>
          <w:spacing w:val="1"/>
        </w:rPr>
        <w:t xml:space="preserve"> </w:t>
      </w:r>
      <w:r w:rsidR="009B7841">
        <w:t>form correspondence (</w:t>
      </w:r>
      <w:r w:rsidR="009B7841" w:rsidRPr="00A73B1C">
        <w:rPr>
          <w:i/>
        </w:rPr>
        <w:t>Response to questions</w:t>
      </w:r>
      <w:r w:rsidR="009B7841">
        <w:t>) to the</w:t>
      </w:r>
      <w:r w:rsidR="009B7841" w:rsidRPr="00A73B1C">
        <w:rPr>
          <w:spacing w:val="1"/>
        </w:rPr>
        <w:t xml:space="preserve"> </w:t>
      </w:r>
      <w:r>
        <w:t>s</w:t>
      </w:r>
      <w:r w:rsidR="009B7841">
        <w:t>ponsor, dated</w:t>
      </w:r>
      <w:r w:rsidR="009B7841" w:rsidRPr="00A73B1C">
        <w:rPr>
          <w:spacing w:val="-46"/>
        </w:rPr>
        <w:t xml:space="preserve"> </w:t>
      </w:r>
      <w:r w:rsidR="009B7841">
        <w:t>15</w:t>
      </w:r>
      <w:r w:rsidR="009B7841" w:rsidRPr="00A73B1C">
        <w:rPr>
          <w:spacing w:val="-2"/>
        </w:rPr>
        <w:t xml:space="preserve"> </w:t>
      </w:r>
      <w:r w:rsidR="009B7841">
        <w:t>June</w:t>
      </w:r>
      <w:r w:rsidR="009B7841" w:rsidRPr="00A73B1C">
        <w:rPr>
          <w:spacing w:val="-1"/>
        </w:rPr>
        <w:t xml:space="preserve"> </w:t>
      </w:r>
      <w:r w:rsidR="009B7841">
        <w:t>2020</w:t>
      </w:r>
      <w:r w:rsidR="009B7841" w:rsidRPr="00A73B1C">
        <w:rPr>
          <w:spacing w:val="-1"/>
        </w:rPr>
        <w:t xml:space="preserve"> </w:t>
      </w:r>
      <w:r w:rsidR="009B7841">
        <w:t>(Issue</w:t>
      </w:r>
      <w:r w:rsidR="009B7841" w:rsidRPr="00A73B1C">
        <w:rPr>
          <w:spacing w:val="-4"/>
        </w:rPr>
        <w:t xml:space="preserve"> </w:t>
      </w:r>
      <w:r w:rsidR="009B7841">
        <w:t>1)</w:t>
      </w:r>
      <w:r w:rsidR="009B7841" w:rsidRPr="00A73B1C">
        <w:rPr>
          <w:spacing w:val="-1"/>
        </w:rPr>
        <w:t xml:space="preserve"> </w:t>
      </w:r>
      <w:r w:rsidR="009B7841">
        <w:t>and</w:t>
      </w:r>
      <w:r w:rsidR="009B7841" w:rsidRPr="00A73B1C">
        <w:rPr>
          <w:spacing w:val="-1"/>
        </w:rPr>
        <w:t xml:space="preserve"> </w:t>
      </w:r>
      <w:r w:rsidR="009B7841">
        <w:t>25</w:t>
      </w:r>
      <w:r w:rsidR="009B7841" w:rsidRPr="00A73B1C">
        <w:rPr>
          <w:spacing w:val="-1"/>
        </w:rPr>
        <w:t xml:space="preserve"> </w:t>
      </w:r>
      <w:r w:rsidR="009B7841">
        <w:t>June</w:t>
      </w:r>
      <w:r w:rsidR="009B7841" w:rsidRPr="00A73B1C">
        <w:rPr>
          <w:spacing w:val="-3"/>
        </w:rPr>
        <w:t xml:space="preserve"> </w:t>
      </w:r>
      <w:r w:rsidR="009B7841">
        <w:t>2020</w:t>
      </w:r>
      <w:r w:rsidR="009B7841" w:rsidRPr="00A73B1C">
        <w:rPr>
          <w:spacing w:val="-2"/>
        </w:rPr>
        <w:t xml:space="preserve"> </w:t>
      </w:r>
      <w:r w:rsidR="009B7841">
        <w:t>(Issue</w:t>
      </w:r>
      <w:r w:rsidR="009B7841" w:rsidRPr="00A73B1C">
        <w:rPr>
          <w:spacing w:val="-1"/>
        </w:rPr>
        <w:t xml:space="preserve"> </w:t>
      </w:r>
      <w:r w:rsidR="009B7841">
        <w:t>2):</w:t>
      </w:r>
    </w:p>
    <w:p w14:paraId="6E987ECA" w14:textId="77777777" w:rsidR="00FE6FD8" w:rsidRDefault="009B7841" w:rsidP="00FE6FD8">
      <w:pPr>
        <w:ind w:left="360"/>
      </w:pPr>
      <w:r w:rsidRPr="00FE6FD8">
        <w:rPr>
          <w:i/>
        </w:rPr>
        <w:t>Issue 1</w:t>
      </w:r>
      <w:r w:rsidRPr="00FE6FD8">
        <w:t xml:space="preserve">: In the absence of a bridging study or insufficient published </w:t>
      </w:r>
      <w:proofErr w:type="spellStart"/>
      <w:r w:rsidRPr="00FE6FD8">
        <w:t>Kiovig</w:t>
      </w:r>
      <w:proofErr w:type="spellEnd"/>
      <w:r w:rsidRPr="00FE6FD8">
        <w:t>-specific</w:t>
      </w:r>
      <w:r w:rsidR="00A73B1C" w:rsidRPr="00FE6FD8">
        <w:t xml:space="preserve"> efficacy</w:t>
      </w:r>
      <w:r w:rsidRPr="00FE6FD8">
        <w:t xml:space="preserve"> and safety data to support the </w:t>
      </w:r>
      <w:r w:rsidR="00FE6FD8">
        <w:t>extension of indications</w:t>
      </w:r>
      <w:r w:rsidRPr="00FE6FD8">
        <w:t xml:space="preserve"> application in its entirety, use of non-</w:t>
      </w:r>
      <w:proofErr w:type="spellStart"/>
      <w:r w:rsidRPr="00FE6FD8">
        <w:t>Kiovig</w:t>
      </w:r>
      <w:proofErr w:type="spellEnd"/>
      <w:r w:rsidRPr="00FE6FD8">
        <w:t xml:space="preserve"> data would be acceptable, provided the IVIg brand was specified in</w:t>
      </w:r>
      <w:r w:rsidR="00FE6FD8">
        <w:t xml:space="preserve"> </w:t>
      </w:r>
      <w:r w:rsidRPr="00FE6FD8">
        <w:t xml:space="preserve">the publication. For the latter, robust rationale for inclusion of each </w:t>
      </w:r>
      <w:r w:rsidRPr="00FE6FD8">
        <w:lastRenderedPageBreak/>
        <w:t xml:space="preserve">publication was required, since all </w:t>
      </w:r>
      <w:proofErr w:type="spellStart"/>
      <w:r w:rsidRPr="00FE6FD8">
        <w:t>IVIgs</w:t>
      </w:r>
      <w:proofErr w:type="spellEnd"/>
      <w:r w:rsidRPr="00FE6FD8">
        <w:t xml:space="preserve"> are not identical. Unspecified IVIg data were not acceptable for an </w:t>
      </w:r>
      <w:r w:rsidR="00FE6FD8">
        <w:t xml:space="preserve">extension of </w:t>
      </w:r>
      <w:proofErr w:type="gramStart"/>
      <w:r w:rsidR="00FE6FD8">
        <w:t>indication;</w:t>
      </w:r>
      <w:proofErr w:type="gramEnd"/>
    </w:p>
    <w:p w14:paraId="6B44EDFC" w14:textId="77777777" w:rsidR="009B7841" w:rsidRDefault="00FE6FD8" w:rsidP="00FE6FD8">
      <w:pPr>
        <w:pStyle w:val="ListBullet"/>
      </w:pPr>
      <w:r>
        <w:t>It now appears that the s</w:t>
      </w:r>
      <w:r w:rsidR="009B7841">
        <w:t xml:space="preserve">ponsor did not satisfactorily resolve </w:t>
      </w:r>
      <w:r w:rsidR="009B7841" w:rsidRPr="00FE6FD8">
        <w:rPr>
          <w:i/>
        </w:rPr>
        <w:t>Issue 1</w:t>
      </w:r>
      <w:r w:rsidR="009B7841" w:rsidRPr="00FE6FD8">
        <w:rPr>
          <w:spacing w:val="1"/>
        </w:rPr>
        <w:t xml:space="preserve"> </w:t>
      </w:r>
      <w:r w:rsidR="009B7841">
        <w:t>above prior to submitting the application, as the bulk of the IVIg brand</w:t>
      </w:r>
      <w:r w:rsidR="009B7841" w:rsidRPr="00FE6FD8">
        <w:rPr>
          <w:spacing w:val="1"/>
        </w:rPr>
        <w:t xml:space="preserve"> </w:t>
      </w:r>
      <w:r w:rsidR="009B7841">
        <w:t>used in the submitted non-</w:t>
      </w:r>
      <w:proofErr w:type="spellStart"/>
      <w:r w:rsidR="009B7841">
        <w:t>Kiovig</w:t>
      </w:r>
      <w:proofErr w:type="spellEnd"/>
      <w:r w:rsidR="009B7841">
        <w:t xml:space="preserve"> publication data was not specified.</w:t>
      </w:r>
      <w:r w:rsidR="009B7841" w:rsidRPr="00FE6FD8">
        <w:rPr>
          <w:spacing w:val="1"/>
        </w:rPr>
        <w:t xml:space="preserve"> </w:t>
      </w:r>
      <w:r>
        <w:t xml:space="preserve">The </w:t>
      </w:r>
      <w:r w:rsidR="009B7841">
        <w:t xml:space="preserve">hope was that the specification/identification of those </w:t>
      </w:r>
      <w:proofErr w:type="spellStart"/>
      <w:r w:rsidR="009B7841">
        <w:t>IVIgs</w:t>
      </w:r>
      <w:proofErr w:type="spellEnd"/>
      <w:r w:rsidR="009B7841">
        <w:t xml:space="preserve"> would turn</w:t>
      </w:r>
      <w:r w:rsidR="009B7841" w:rsidRPr="00FE6FD8">
        <w:rPr>
          <w:spacing w:val="1"/>
        </w:rPr>
        <w:t xml:space="preserve"> </w:t>
      </w:r>
      <w:r w:rsidR="009B7841">
        <w:t>out to be those listed on the ARTG and being used, in reputable</w:t>
      </w:r>
      <w:r w:rsidR="009B7841" w:rsidRPr="00FE6FD8">
        <w:rPr>
          <w:spacing w:val="1"/>
        </w:rPr>
        <w:t xml:space="preserve"> </w:t>
      </w:r>
      <w:r w:rsidR="009B7841">
        <w:t>publications. The inclusion of each publication was also not robustly</w:t>
      </w:r>
      <w:r w:rsidR="009B7841" w:rsidRPr="00FE6FD8">
        <w:rPr>
          <w:spacing w:val="1"/>
        </w:rPr>
        <w:t xml:space="preserve"> </w:t>
      </w:r>
      <w:r w:rsidR="009B7841">
        <w:t>justified.</w:t>
      </w:r>
    </w:p>
    <w:p w14:paraId="4E6ADE3F" w14:textId="77777777" w:rsidR="00FE6FD8" w:rsidRDefault="009B7841" w:rsidP="00FE6FD8">
      <w:pPr>
        <w:ind w:left="360"/>
      </w:pPr>
      <w:r w:rsidRPr="00FE6FD8">
        <w:rPr>
          <w:i/>
        </w:rPr>
        <w:t>Issue 2</w:t>
      </w:r>
      <w:r w:rsidRPr="00FE6FD8">
        <w:t xml:space="preserve">: </w:t>
      </w:r>
      <w:r w:rsidR="00FE6FD8">
        <w:t>The Delegate advised the s</w:t>
      </w:r>
      <w:r w:rsidRPr="00FE6FD8">
        <w:t xml:space="preserve">ponsor, that a deficiency in a previously approved </w:t>
      </w:r>
      <w:proofErr w:type="gramStart"/>
      <w:r w:rsidR="00FE6FD8">
        <w:t>literature based</w:t>
      </w:r>
      <w:proofErr w:type="gramEnd"/>
      <w:r w:rsidR="00FE6FD8">
        <w:t xml:space="preserve"> submission application for an IVIg (</w:t>
      </w:r>
      <w:proofErr w:type="spellStart"/>
      <w:r w:rsidR="00FE6FD8">
        <w:t>Intragam</w:t>
      </w:r>
      <w:proofErr w:type="spellEnd"/>
      <w:r w:rsidR="00FE6FD8">
        <w:t xml:space="preserve"> 10NF)</w:t>
      </w:r>
      <w:r w:rsidRPr="00FE6FD8">
        <w:t xml:space="preserve"> CIDP treatment indication negated its use as a precedent in this </w:t>
      </w:r>
      <w:r w:rsidR="00FE6FD8">
        <w:t xml:space="preserve">literature based submission </w:t>
      </w:r>
      <w:r w:rsidRPr="00FE6FD8">
        <w:t>application.</w:t>
      </w:r>
    </w:p>
    <w:p w14:paraId="74DD00E8" w14:textId="77777777" w:rsidR="009B7841" w:rsidRPr="00FE6FD8" w:rsidRDefault="00FE6FD8" w:rsidP="00FE6FD8">
      <w:pPr>
        <w:pStyle w:val="ListBullet"/>
      </w:pPr>
      <w:r>
        <w:t>Despite the above advice, the s</w:t>
      </w:r>
      <w:r w:rsidR="009B7841">
        <w:t>ponsor has cited a ‘</w:t>
      </w:r>
      <w:r w:rsidR="009B7841" w:rsidRPr="00FE6FD8">
        <w:t>precedent of the TGA</w:t>
      </w:r>
      <w:r w:rsidR="009B7841" w:rsidRPr="00FE6FD8">
        <w:rPr>
          <w:spacing w:val="1"/>
        </w:rPr>
        <w:t xml:space="preserve"> </w:t>
      </w:r>
      <w:r w:rsidR="009B7841" w:rsidRPr="00FE6FD8">
        <w:t>approval in March 2011 of the application filed by CSL Behring to extend the</w:t>
      </w:r>
      <w:r w:rsidR="009B7841" w:rsidRPr="00FE6FD8">
        <w:rPr>
          <w:spacing w:val="-46"/>
        </w:rPr>
        <w:t xml:space="preserve"> </w:t>
      </w:r>
      <w:r w:rsidR="009B7841" w:rsidRPr="00FE6FD8">
        <w:t xml:space="preserve">indication of </w:t>
      </w:r>
      <w:proofErr w:type="spellStart"/>
      <w:r w:rsidR="009B7841" w:rsidRPr="00FE6FD8">
        <w:t>Intragam</w:t>
      </w:r>
      <w:proofErr w:type="spellEnd"/>
      <w:r w:rsidR="009B7841" w:rsidRPr="00FE6FD8">
        <w:t xml:space="preserve"> 10NF to CIDP.’ </w:t>
      </w:r>
      <w:r w:rsidR="009B7841">
        <w:t>The Sponsor stated that the</w:t>
      </w:r>
      <w:r w:rsidR="009B7841" w:rsidRPr="00FE6FD8">
        <w:rPr>
          <w:spacing w:val="1"/>
        </w:rPr>
        <w:t xml:space="preserve"> </w:t>
      </w:r>
      <w:r w:rsidR="009B7841">
        <w:t>application was ‘</w:t>
      </w:r>
      <w:r w:rsidR="009B7841" w:rsidRPr="00FE6FD8">
        <w:t xml:space="preserve">supported by a </w:t>
      </w:r>
      <w:proofErr w:type="gramStart"/>
      <w:r>
        <w:t>literature based</w:t>
      </w:r>
      <w:proofErr w:type="gramEnd"/>
      <w:r>
        <w:t xml:space="preserve"> submission </w:t>
      </w:r>
      <w:r w:rsidR="009B7841" w:rsidRPr="00FE6FD8">
        <w:t>without a bridging study or brand-</w:t>
      </w:r>
      <w:r w:rsidR="009B7841" w:rsidRPr="00FE6FD8">
        <w:rPr>
          <w:spacing w:val="1"/>
        </w:rPr>
        <w:t xml:space="preserve"> </w:t>
      </w:r>
      <w:r w:rsidR="009B7841" w:rsidRPr="00FE6FD8">
        <w:t>specific</w:t>
      </w:r>
      <w:r w:rsidR="009B7841" w:rsidRPr="00FE6FD8">
        <w:rPr>
          <w:spacing w:val="-2"/>
        </w:rPr>
        <w:t xml:space="preserve"> </w:t>
      </w:r>
      <w:r w:rsidR="009B7841" w:rsidRPr="00FE6FD8">
        <w:t>data</w:t>
      </w:r>
      <w:r w:rsidR="009B7841">
        <w:t>,’</w:t>
      </w:r>
      <w:r w:rsidR="009B7841" w:rsidRPr="00FE6FD8">
        <w:rPr>
          <w:spacing w:val="-2"/>
        </w:rPr>
        <w:t xml:space="preserve"> </w:t>
      </w:r>
      <w:r w:rsidR="009B7841">
        <w:t>as well</w:t>
      </w:r>
      <w:r w:rsidR="009B7841" w:rsidRPr="00FE6FD8">
        <w:rPr>
          <w:spacing w:val="-1"/>
        </w:rPr>
        <w:t xml:space="preserve"> </w:t>
      </w:r>
      <w:r w:rsidR="009B7841">
        <w:t>as</w:t>
      </w:r>
      <w:r w:rsidR="009B7841" w:rsidRPr="00FE6FD8">
        <w:rPr>
          <w:spacing w:val="-1"/>
        </w:rPr>
        <w:t xml:space="preserve"> </w:t>
      </w:r>
      <w:r w:rsidR="009B7841">
        <w:t>reference</w:t>
      </w:r>
      <w:r w:rsidR="009B7841" w:rsidRPr="00FE6FD8">
        <w:rPr>
          <w:spacing w:val="-1"/>
        </w:rPr>
        <w:t xml:space="preserve"> </w:t>
      </w:r>
      <w:r w:rsidR="00FD352F">
        <w:t>to a</w:t>
      </w:r>
      <w:r w:rsidR="009B7841" w:rsidRPr="00FE6FD8">
        <w:rPr>
          <w:spacing w:val="-2"/>
        </w:rPr>
        <w:t xml:space="preserve"> </w:t>
      </w:r>
      <w:r>
        <w:t>National Blood Authority</w:t>
      </w:r>
      <w:r w:rsidR="009B7841" w:rsidRPr="00FE6FD8">
        <w:rPr>
          <w:spacing w:val="-2"/>
        </w:rPr>
        <w:t xml:space="preserve"> </w:t>
      </w:r>
      <w:r>
        <w:t>publication.</w:t>
      </w:r>
    </w:p>
    <w:p w14:paraId="5D78C54E" w14:textId="77777777" w:rsidR="009B7841" w:rsidRPr="00FE6FD8" w:rsidRDefault="009B7841" w:rsidP="00FE6FD8">
      <w:r w:rsidRPr="00FE6FD8">
        <w:t>As p</w:t>
      </w:r>
      <w:r w:rsidR="00FE6FD8">
        <w:t>reviously stated, the s</w:t>
      </w:r>
      <w:r w:rsidRPr="00FE6FD8">
        <w:t>ponsor did not provide adequate detailed justification to extrapolate efficacy and safety data from established indications as suggested in the EU guidance document. The strength of the justification provided below is considered inferential and does not fulfil the stipulated detailed extrapolation justification</w:t>
      </w:r>
      <w:r w:rsidR="00FE6FD8">
        <w:t>:</w:t>
      </w:r>
    </w:p>
    <w:p w14:paraId="7D363971" w14:textId="77777777" w:rsidR="009B7841" w:rsidRDefault="009B7841" w:rsidP="00FE6FD8">
      <w:pPr>
        <w:pStyle w:val="ListBullet"/>
      </w:pPr>
      <w:r>
        <w:t>The</w:t>
      </w:r>
      <w:r>
        <w:rPr>
          <w:spacing w:val="-2"/>
        </w:rPr>
        <w:t xml:space="preserve"> </w:t>
      </w:r>
      <w:r>
        <w:t>EU CIDP</w:t>
      </w:r>
      <w:r>
        <w:rPr>
          <w:spacing w:val="-3"/>
        </w:rPr>
        <w:t xml:space="preserve"> </w:t>
      </w:r>
      <w:r>
        <w:t>indication</w:t>
      </w:r>
      <w:r>
        <w:rPr>
          <w:spacing w:val="-2"/>
        </w:rPr>
        <w:t xml:space="preserve"> </w:t>
      </w:r>
      <w:r>
        <w:t>was</w:t>
      </w:r>
      <w:r>
        <w:rPr>
          <w:spacing w:val="-1"/>
        </w:rPr>
        <w:t xml:space="preserve"> </w:t>
      </w:r>
      <w:r>
        <w:t>mainly</w:t>
      </w:r>
      <w:r>
        <w:rPr>
          <w:spacing w:val="-2"/>
        </w:rPr>
        <w:t xml:space="preserve"> </w:t>
      </w:r>
      <w:r>
        <w:t>based on</w:t>
      </w:r>
      <w:r>
        <w:rPr>
          <w:spacing w:val="-3"/>
        </w:rPr>
        <w:t xml:space="preserve"> </w:t>
      </w:r>
      <w:r>
        <w:t>literature</w:t>
      </w:r>
      <w:r>
        <w:rPr>
          <w:spacing w:val="-1"/>
        </w:rPr>
        <w:t xml:space="preserve"> </w:t>
      </w:r>
      <w:r>
        <w:t>data</w:t>
      </w:r>
      <w:r>
        <w:rPr>
          <w:spacing w:val="-2"/>
        </w:rPr>
        <w:t xml:space="preserve"> </w:t>
      </w:r>
      <w:r>
        <w:t>and,</w:t>
      </w:r>
      <w:r>
        <w:rPr>
          <w:spacing w:val="-3"/>
        </w:rPr>
        <w:t xml:space="preserve"> </w:t>
      </w:r>
      <w:r>
        <w:t>multiple</w:t>
      </w:r>
      <w:r>
        <w:rPr>
          <w:spacing w:val="-3"/>
        </w:rPr>
        <w:t xml:space="preserve"> </w:t>
      </w:r>
      <w:r>
        <w:t>countries</w:t>
      </w:r>
      <w:r>
        <w:rPr>
          <w:spacing w:val="-46"/>
        </w:rPr>
        <w:t xml:space="preserve"> </w:t>
      </w:r>
      <w:r>
        <w:t>had</w:t>
      </w:r>
      <w:r>
        <w:rPr>
          <w:spacing w:val="-2"/>
        </w:rPr>
        <w:t xml:space="preserve"> </w:t>
      </w:r>
      <w:r>
        <w:t>CIDP</w:t>
      </w:r>
      <w:r>
        <w:rPr>
          <w:spacing w:val="-3"/>
        </w:rPr>
        <w:t xml:space="preserve"> </w:t>
      </w:r>
      <w:r>
        <w:t>approved</w:t>
      </w:r>
      <w:r>
        <w:rPr>
          <w:spacing w:val="-1"/>
        </w:rPr>
        <w:t xml:space="preserve"> </w:t>
      </w:r>
      <w:r>
        <w:t>as</w:t>
      </w:r>
      <w:r>
        <w:rPr>
          <w:spacing w:val="-1"/>
        </w:rPr>
        <w:t xml:space="preserve"> </w:t>
      </w:r>
      <w:r>
        <w:t>an</w:t>
      </w:r>
      <w:r>
        <w:rPr>
          <w:spacing w:val="-2"/>
        </w:rPr>
        <w:t xml:space="preserve"> </w:t>
      </w:r>
      <w:r>
        <w:t>indication</w:t>
      </w:r>
      <w:r>
        <w:rPr>
          <w:spacing w:val="-3"/>
        </w:rPr>
        <w:t xml:space="preserve"> </w:t>
      </w:r>
      <w:r>
        <w:t>based</w:t>
      </w:r>
      <w:r>
        <w:rPr>
          <w:spacing w:val="-1"/>
        </w:rPr>
        <w:t xml:space="preserve"> </w:t>
      </w:r>
      <w:r>
        <w:t>on</w:t>
      </w:r>
      <w:r>
        <w:rPr>
          <w:spacing w:val="-3"/>
        </w:rPr>
        <w:t xml:space="preserve"> </w:t>
      </w:r>
      <w:r>
        <w:t>the</w:t>
      </w:r>
      <w:r>
        <w:rPr>
          <w:spacing w:val="-3"/>
        </w:rPr>
        <w:t xml:space="preserve"> </w:t>
      </w:r>
      <w:r>
        <w:t>same</w:t>
      </w:r>
      <w:r>
        <w:rPr>
          <w:spacing w:val="-2"/>
        </w:rPr>
        <w:t xml:space="preserve"> </w:t>
      </w:r>
      <w:r>
        <w:t>literature</w:t>
      </w:r>
      <w:r>
        <w:rPr>
          <w:spacing w:val="-1"/>
        </w:rPr>
        <w:t xml:space="preserve"> </w:t>
      </w:r>
      <w:r>
        <w:t>data</w:t>
      </w:r>
      <w:r>
        <w:rPr>
          <w:spacing w:val="-2"/>
        </w:rPr>
        <w:t xml:space="preserve"> </w:t>
      </w:r>
      <w:r>
        <w:t>package.</w:t>
      </w:r>
    </w:p>
    <w:p w14:paraId="2446AAC6" w14:textId="77777777" w:rsidR="009B7841" w:rsidRPr="00FD352F" w:rsidRDefault="009B7841" w:rsidP="00FD352F">
      <w:bookmarkStart w:id="63" w:name="Recommendation_regarding_authorisation_a"/>
      <w:bookmarkEnd w:id="63"/>
      <w:r>
        <w:t>Recommendation</w:t>
      </w:r>
      <w:r>
        <w:rPr>
          <w:spacing w:val="-4"/>
        </w:rPr>
        <w:t xml:space="preserve"> </w:t>
      </w:r>
      <w:r>
        <w:t>regarding</w:t>
      </w:r>
      <w:r>
        <w:rPr>
          <w:spacing w:val="-3"/>
        </w:rPr>
        <w:t xml:space="preserve"> </w:t>
      </w:r>
      <w:r>
        <w:t>authorisation</w:t>
      </w:r>
      <w:r>
        <w:rPr>
          <w:spacing w:val="-4"/>
        </w:rPr>
        <w:t xml:space="preserve"> </w:t>
      </w:r>
      <w:r>
        <w:t>as</w:t>
      </w:r>
      <w:r>
        <w:rPr>
          <w:spacing w:val="-1"/>
        </w:rPr>
        <w:t xml:space="preserve"> </w:t>
      </w:r>
      <w:r>
        <w:t>per</w:t>
      </w:r>
      <w:r>
        <w:rPr>
          <w:spacing w:val="-2"/>
        </w:rPr>
        <w:t xml:space="preserve"> </w:t>
      </w:r>
      <w:r>
        <w:t>the</w:t>
      </w:r>
      <w:r>
        <w:rPr>
          <w:spacing w:val="-3"/>
        </w:rPr>
        <w:t xml:space="preserve"> </w:t>
      </w:r>
      <w:r w:rsidR="00FD352F">
        <w:t>clinical evaluator</w:t>
      </w:r>
      <w:r>
        <w:rPr>
          <w:spacing w:val="-2"/>
        </w:rPr>
        <w:t xml:space="preserve"> </w:t>
      </w:r>
      <w:r>
        <w:t>(first</w:t>
      </w:r>
      <w:r>
        <w:rPr>
          <w:spacing w:val="-2"/>
        </w:rPr>
        <w:t xml:space="preserve"> </w:t>
      </w:r>
      <w:r>
        <w:t>round)</w:t>
      </w:r>
      <w:r>
        <w:rPr>
          <w:spacing w:val="-2"/>
        </w:rPr>
        <w:t xml:space="preserve"> </w:t>
      </w:r>
      <w:r>
        <w:t>was</w:t>
      </w:r>
      <w:r w:rsidR="00FD352F">
        <w:t>:</w:t>
      </w:r>
    </w:p>
    <w:p w14:paraId="4612382F" w14:textId="77777777" w:rsidR="009B7841" w:rsidRDefault="009B7841" w:rsidP="00FD352F">
      <w:pPr>
        <w:pStyle w:val="ListBullet"/>
      </w:pPr>
      <w:r w:rsidRPr="00FD352F">
        <w:t xml:space="preserve">Clinical data supported </w:t>
      </w:r>
      <w:proofErr w:type="spellStart"/>
      <w:r w:rsidRPr="00FD352F">
        <w:t>Kiovig</w:t>
      </w:r>
      <w:proofErr w:type="spellEnd"/>
      <w:r w:rsidRPr="00FD352F">
        <w:t xml:space="preserve"> use in the </w:t>
      </w:r>
      <w:r>
        <w:t>maintenance of effect in the treatment of adult</w:t>
      </w:r>
      <w:r>
        <w:rPr>
          <w:spacing w:val="1"/>
        </w:rPr>
        <w:t xml:space="preserve"> </w:t>
      </w:r>
      <w:r>
        <w:t xml:space="preserve">CIDP. There is no indication that </w:t>
      </w:r>
      <w:proofErr w:type="spellStart"/>
      <w:r>
        <w:t>Kiovig</w:t>
      </w:r>
      <w:proofErr w:type="spellEnd"/>
      <w:r>
        <w:t xml:space="preserve"> would not be effica</w:t>
      </w:r>
      <w:r w:rsidR="00FD352F">
        <w:t xml:space="preserve">cious in the induction (initial) </w:t>
      </w:r>
      <w:r>
        <w:t>phase</w:t>
      </w:r>
      <w:r>
        <w:rPr>
          <w:spacing w:val="-2"/>
        </w:rPr>
        <w:t xml:space="preserve"> </w:t>
      </w:r>
      <w:r>
        <w:t>of</w:t>
      </w:r>
      <w:r>
        <w:rPr>
          <w:spacing w:val="-1"/>
        </w:rPr>
        <w:t xml:space="preserve"> </w:t>
      </w:r>
      <w:proofErr w:type="gramStart"/>
      <w:r>
        <w:t>treatment;</w:t>
      </w:r>
      <w:proofErr w:type="gramEnd"/>
    </w:p>
    <w:p w14:paraId="44023D23" w14:textId="77777777" w:rsidR="00FD352F" w:rsidRDefault="009B7841" w:rsidP="00FD352F">
      <w:pPr>
        <w:pStyle w:val="ListBullet"/>
      </w:pPr>
      <w:r>
        <w:t>International and national guidelines and expert consensus indicate that there are no</w:t>
      </w:r>
      <w:r>
        <w:rPr>
          <w:spacing w:val="-46"/>
        </w:rPr>
        <w:t xml:space="preserve"> </w:t>
      </w:r>
      <w:r>
        <w:t>clinically meaningful differences between brands of IVIg, in terms of efficacy or safety</w:t>
      </w:r>
      <w:r>
        <w:rPr>
          <w:spacing w:val="-46"/>
        </w:rPr>
        <w:t xml:space="preserve"> </w:t>
      </w:r>
      <w:r>
        <w:t>for</w:t>
      </w:r>
      <w:r>
        <w:rPr>
          <w:spacing w:val="-1"/>
        </w:rPr>
        <w:t xml:space="preserve"> </w:t>
      </w:r>
      <w:r>
        <w:t>use</w:t>
      </w:r>
      <w:r>
        <w:rPr>
          <w:spacing w:val="-1"/>
        </w:rPr>
        <w:t xml:space="preserve"> </w:t>
      </w:r>
      <w:r>
        <w:t>of</w:t>
      </w:r>
      <w:r>
        <w:rPr>
          <w:spacing w:val="-1"/>
        </w:rPr>
        <w:t xml:space="preserve"> </w:t>
      </w:r>
      <w:r>
        <w:t>IVIg</w:t>
      </w:r>
      <w:r>
        <w:rPr>
          <w:spacing w:val="-2"/>
        </w:rPr>
        <w:t xml:space="preserve"> </w:t>
      </w:r>
      <w:r>
        <w:t>in</w:t>
      </w:r>
      <w:r>
        <w:rPr>
          <w:spacing w:val="-2"/>
        </w:rPr>
        <w:t xml:space="preserve"> </w:t>
      </w:r>
      <w:proofErr w:type="gramStart"/>
      <w:r>
        <w:t>CIDP;</w:t>
      </w:r>
      <w:proofErr w:type="gramEnd"/>
    </w:p>
    <w:p w14:paraId="24F04E4B" w14:textId="77777777" w:rsidR="00FD352F" w:rsidRDefault="009B7841" w:rsidP="00FD352F">
      <w:pPr>
        <w:pStyle w:val="ListBullet"/>
      </w:pPr>
      <w:r>
        <w:t xml:space="preserve">The safety profile of </w:t>
      </w:r>
      <w:proofErr w:type="spellStart"/>
      <w:r>
        <w:t>Kiovig</w:t>
      </w:r>
      <w:proofErr w:type="spellEnd"/>
      <w:r>
        <w:t xml:space="preserve"> has been reasonably well characterised in ITP and PID, using</w:t>
      </w:r>
      <w:r w:rsidRPr="00FD352F">
        <w:rPr>
          <w:spacing w:val="-46"/>
        </w:rPr>
        <w:t xml:space="preserve"> </w:t>
      </w:r>
      <w:r>
        <w:t>data derived from robust controlled clinical trials. The safety concerns listed in the</w:t>
      </w:r>
      <w:r w:rsidRPr="00FD352F">
        <w:rPr>
          <w:spacing w:val="1"/>
        </w:rPr>
        <w:t xml:space="preserve"> </w:t>
      </w:r>
      <w:r>
        <w:t xml:space="preserve">Summary of Safety Concerns in the RMP are primarily class effects of </w:t>
      </w:r>
      <w:proofErr w:type="spellStart"/>
      <w:r>
        <w:t>IVIgs</w:t>
      </w:r>
      <w:proofErr w:type="spellEnd"/>
      <w:r>
        <w:t>. No new</w:t>
      </w:r>
      <w:r w:rsidRPr="00FD352F">
        <w:rPr>
          <w:spacing w:val="1"/>
        </w:rPr>
        <w:t xml:space="preserve"> </w:t>
      </w:r>
      <w:r>
        <w:t>safety signals have been identified specifically in IVIg treatment in CIDP. Any rare</w:t>
      </w:r>
      <w:r w:rsidRPr="00FD352F">
        <w:rPr>
          <w:spacing w:val="1"/>
        </w:rPr>
        <w:t xml:space="preserve"> </w:t>
      </w:r>
      <w:r>
        <w:t>adverse events that may be specific to treatment of CIDP patients should become clearer</w:t>
      </w:r>
      <w:r w:rsidRPr="00FD352F">
        <w:rPr>
          <w:spacing w:val="-46"/>
        </w:rPr>
        <w:t xml:space="preserve"> </w:t>
      </w:r>
      <w:r>
        <w:t>during</w:t>
      </w:r>
      <w:r w:rsidRPr="00FD352F">
        <w:rPr>
          <w:spacing w:val="-3"/>
        </w:rPr>
        <w:t xml:space="preserve"> </w:t>
      </w:r>
      <w:r>
        <w:t>routine</w:t>
      </w:r>
      <w:r w:rsidRPr="00FD352F">
        <w:rPr>
          <w:spacing w:val="-1"/>
        </w:rPr>
        <w:t xml:space="preserve"> </w:t>
      </w:r>
      <w:r>
        <w:t>post-market</w:t>
      </w:r>
      <w:r w:rsidRPr="00FD352F">
        <w:rPr>
          <w:spacing w:val="-1"/>
        </w:rPr>
        <w:t xml:space="preserve"> </w:t>
      </w:r>
      <w:r>
        <w:t>surveillance</w:t>
      </w:r>
      <w:r w:rsidRPr="00FD352F">
        <w:rPr>
          <w:spacing w:val="-1"/>
        </w:rPr>
        <w:t xml:space="preserve"> </w:t>
      </w:r>
      <w:r>
        <w:t>monitoring</w:t>
      </w:r>
      <w:r w:rsidRPr="00FD352F">
        <w:rPr>
          <w:spacing w:val="-2"/>
        </w:rPr>
        <w:t xml:space="preserve"> </w:t>
      </w:r>
      <w:r>
        <w:t>activities.</w:t>
      </w:r>
    </w:p>
    <w:p w14:paraId="31F86046" w14:textId="77777777" w:rsidR="009B7841" w:rsidRDefault="009B7841" w:rsidP="00FD352F">
      <w:r>
        <w:t>To</w:t>
      </w:r>
      <w:r w:rsidRPr="00FD352F">
        <w:rPr>
          <w:spacing w:val="-2"/>
        </w:rPr>
        <w:t xml:space="preserve"> </w:t>
      </w:r>
      <w:r>
        <w:t>the</w:t>
      </w:r>
      <w:r w:rsidRPr="00FD352F">
        <w:rPr>
          <w:spacing w:val="-3"/>
        </w:rPr>
        <w:t xml:space="preserve"> </w:t>
      </w:r>
      <w:r>
        <w:t>above,</w:t>
      </w:r>
      <w:r w:rsidRPr="00FD352F">
        <w:rPr>
          <w:spacing w:val="-1"/>
        </w:rPr>
        <w:t xml:space="preserve"> </w:t>
      </w:r>
      <w:r>
        <w:t>the</w:t>
      </w:r>
      <w:r w:rsidRPr="00FD352F">
        <w:rPr>
          <w:spacing w:val="-2"/>
        </w:rPr>
        <w:t xml:space="preserve"> </w:t>
      </w:r>
      <w:r w:rsidR="00FD352F">
        <w:t>D</w:t>
      </w:r>
      <w:r>
        <w:t>elegate</w:t>
      </w:r>
      <w:r w:rsidRPr="00FD352F">
        <w:rPr>
          <w:spacing w:val="-3"/>
        </w:rPr>
        <w:t xml:space="preserve"> </w:t>
      </w:r>
      <w:r>
        <w:t>makes the</w:t>
      </w:r>
      <w:r w:rsidRPr="00FD352F">
        <w:rPr>
          <w:spacing w:val="-1"/>
        </w:rPr>
        <w:t xml:space="preserve"> </w:t>
      </w:r>
      <w:r>
        <w:t>following</w:t>
      </w:r>
      <w:r w:rsidRPr="00FD352F">
        <w:rPr>
          <w:spacing w:val="-3"/>
        </w:rPr>
        <w:t xml:space="preserve"> </w:t>
      </w:r>
      <w:r>
        <w:t>comments:</w:t>
      </w:r>
    </w:p>
    <w:p w14:paraId="20922CC8" w14:textId="77777777" w:rsidR="00FD352F" w:rsidRPr="00FD352F" w:rsidRDefault="00FD352F" w:rsidP="00FD352F">
      <w:pPr>
        <w:pStyle w:val="ListBullet"/>
        <w:rPr>
          <w:rFonts w:ascii="Webdings" w:hAnsi="Webdings"/>
        </w:rPr>
      </w:pPr>
      <w:r>
        <w:t>Despite the s</w:t>
      </w:r>
      <w:r w:rsidR="009B7841">
        <w:t xml:space="preserve">ponsor’s claim of </w:t>
      </w:r>
      <w:proofErr w:type="spellStart"/>
      <w:r w:rsidR="009B7841">
        <w:t>Kiovig</w:t>
      </w:r>
      <w:proofErr w:type="spellEnd"/>
      <w:r w:rsidR="009B7841">
        <w:t xml:space="preserve"> being registered and used widely for CIDP in</w:t>
      </w:r>
      <w:r w:rsidR="009B7841" w:rsidRPr="00FD352F">
        <w:rPr>
          <w:spacing w:val="1"/>
        </w:rPr>
        <w:t xml:space="preserve"> </w:t>
      </w:r>
      <w:r w:rsidR="009B7841">
        <w:t xml:space="preserve">Europe and other countries except </w:t>
      </w:r>
      <w:r>
        <w:t xml:space="preserve">the </w:t>
      </w:r>
      <w:r w:rsidR="009B7841">
        <w:t>US</w:t>
      </w:r>
      <w:r>
        <w:t>A</w:t>
      </w:r>
      <w:r w:rsidR="009B7841">
        <w:t xml:space="preserve">, the submitted </w:t>
      </w:r>
      <w:r>
        <w:t xml:space="preserve">published clinical data were far </w:t>
      </w:r>
      <w:r w:rsidR="009B7841">
        <w:t>from</w:t>
      </w:r>
      <w:r w:rsidR="009B7841" w:rsidRPr="00FD352F">
        <w:rPr>
          <w:spacing w:val="-1"/>
        </w:rPr>
        <w:t xml:space="preserve"> </w:t>
      </w:r>
      <w:r w:rsidR="009B7841">
        <w:t>being</w:t>
      </w:r>
      <w:r w:rsidR="009B7841" w:rsidRPr="00FD352F">
        <w:rPr>
          <w:spacing w:val="-2"/>
        </w:rPr>
        <w:t xml:space="preserve"> </w:t>
      </w:r>
      <w:r w:rsidR="009B7841">
        <w:t>specifically</w:t>
      </w:r>
      <w:r w:rsidR="009B7841" w:rsidRPr="00FD352F">
        <w:rPr>
          <w:spacing w:val="-2"/>
        </w:rPr>
        <w:t xml:space="preserve"> </w:t>
      </w:r>
      <w:r w:rsidR="009B7841">
        <w:t>related</w:t>
      </w:r>
      <w:r w:rsidR="009B7841" w:rsidRPr="00FD352F">
        <w:rPr>
          <w:spacing w:val="-1"/>
        </w:rPr>
        <w:t xml:space="preserve"> </w:t>
      </w:r>
      <w:r w:rsidR="009B7841">
        <w:t>to</w:t>
      </w:r>
      <w:r w:rsidR="009B7841" w:rsidRPr="00FD352F">
        <w:rPr>
          <w:spacing w:val="-1"/>
        </w:rPr>
        <w:t xml:space="preserve"> </w:t>
      </w:r>
      <w:proofErr w:type="spellStart"/>
      <w:proofErr w:type="gramStart"/>
      <w:r w:rsidR="009B7841">
        <w:t>Kiovig</w:t>
      </w:r>
      <w:proofErr w:type="spellEnd"/>
      <w:r w:rsidR="009B7841">
        <w:t>;</w:t>
      </w:r>
      <w:proofErr w:type="gramEnd"/>
    </w:p>
    <w:p w14:paraId="22CCB5D9" w14:textId="77777777" w:rsidR="00FD352F" w:rsidRPr="00FD352F" w:rsidRDefault="009B7841" w:rsidP="00FD352F">
      <w:pPr>
        <w:pStyle w:val="ListBullet"/>
        <w:rPr>
          <w:rFonts w:ascii="Webdings" w:hAnsi="Webdings"/>
        </w:rPr>
      </w:pPr>
      <w:r>
        <w:t>There was no specific data</w:t>
      </w:r>
      <w:r w:rsidRPr="00FD352F">
        <w:rPr>
          <w:spacing w:val="1"/>
        </w:rPr>
        <w:t xml:space="preserve"> </w:t>
      </w:r>
      <w:r>
        <w:t>submitted on the initiation of</w:t>
      </w:r>
      <w:r w:rsidRPr="00FD352F">
        <w:rPr>
          <w:spacing w:val="1"/>
        </w:rPr>
        <w:t xml:space="preserve"> </w:t>
      </w:r>
      <w:proofErr w:type="spellStart"/>
      <w:r>
        <w:t>Kiovig</w:t>
      </w:r>
      <w:proofErr w:type="spellEnd"/>
      <w:r w:rsidRPr="00FD352F">
        <w:rPr>
          <w:spacing w:val="1"/>
        </w:rPr>
        <w:t xml:space="preserve"> </w:t>
      </w:r>
      <w:r>
        <w:t>for CIDP</w:t>
      </w:r>
      <w:r w:rsidRPr="00FD352F">
        <w:rPr>
          <w:spacing w:val="1"/>
        </w:rPr>
        <w:t xml:space="preserve"> </w:t>
      </w:r>
      <w:r>
        <w:t>treatment,</w:t>
      </w:r>
      <w:r w:rsidRPr="00FD352F">
        <w:rPr>
          <w:spacing w:val="1"/>
        </w:rPr>
        <w:t xml:space="preserve"> </w:t>
      </w:r>
      <w:r>
        <w:t>unlike the robust controlled clinical trials</w:t>
      </w:r>
      <w:r w:rsidRPr="00FD352F">
        <w:rPr>
          <w:spacing w:val="1"/>
        </w:rPr>
        <w:t xml:space="preserve"> </w:t>
      </w:r>
      <w:r>
        <w:t>submitted</w:t>
      </w:r>
      <w:r w:rsidRPr="00FD352F">
        <w:rPr>
          <w:spacing w:val="1"/>
        </w:rPr>
        <w:t xml:space="preserve"> </w:t>
      </w:r>
      <w:r>
        <w:t xml:space="preserve">for both ITP and </w:t>
      </w:r>
      <w:r w:rsidR="00E87A72">
        <w:t>PID</w:t>
      </w:r>
      <w:r>
        <w:t>, as stated by</w:t>
      </w:r>
      <w:r w:rsidRPr="00FD352F">
        <w:rPr>
          <w:spacing w:val="-46"/>
        </w:rPr>
        <w:t xml:space="preserve"> </w:t>
      </w:r>
      <w:r>
        <w:t>the</w:t>
      </w:r>
      <w:r w:rsidRPr="00FD352F">
        <w:rPr>
          <w:spacing w:val="-1"/>
        </w:rPr>
        <w:t xml:space="preserve"> </w:t>
      </w:r>
      <w:r w:rsidR="00FD352F">
        <w:t xml:space="preserve">clinical </w:t>
      </w:r>
      <w:proofErr w:type="gramStart"/>
      <w:r w:rsidR="00FD352F">
        <w:t>evaluator</w:t>
      </w:r>
      <w:r>
        <w:t>;</w:t>
      </w:r>
      <w:proofErr w:type="gramEnd"/>
    </w:p>
    <w:p w14:paraId="2268FA5C" w14:textId="77777777" w:rsidR="00FD352F" w:rsidRPr="00FD352F" w:rsidRDefault="009B7841" w:rsidP="00FD352F">
      <w:pPr>
        <w:pStyle w:val="ListBullet"/>
        <w:rPr>
          <w:rFonts w:ascii="Webdings" w:hAnsi="Webdings"/>
        </w:rPr>
      </w:pPr>
      <w:r>
        <w:t>The EU</w:t>
      </w:r>
      <w:r w:rsidR="00E87A72">
        <w:t xml:space="preserve"> guideline simply states that:</w:t>
      </w:r>
      <w:r>
        <w:t xml:space="preserve"> ‘</w:t>
      </w:r>
      <w:r w:rsidRPr="00FD352F">
        <w:rPr>
          <w:i/>
        </w:rPr>
        <w:t xml:space="preserve">If the efficacy </w:t>
      </w:r>
      <w:r>
        <w:t xml:space="preserve">[of an IVIg] </w:t>
      </w:r>
      <w:r w:rsidRPr="00FD352F">
        <w:rPr>
          <w:i/>
        </w:rPr>
        <w:t>in primary</w:t>
      </w:r>
      <w:r w:rsidRPr="00FD352F">
        <w:rPr>
          <w:i/>
          <w:spacing w:val="1"/>
        </w:rPr>
        <w:t xml:space="preserve"> </w:t>
      </w:r>
      <w:r w:rsidRPr="00FD352F">
        <w:rPr>
          <w:i/>
        </w:rPr>
        <w:t>immunodeficiency disorders (PID) and in ITP is established, then an extrapolation to GBS,</w:t>
      </w:r>
      <w:r w:rsidRPr="00FD352F">
        <w:rPr>
          <w:i/>
          <w:spacing w:val="1"/>
        </w:rPr>
        <w:t xml:space="preserve"> </w:t>
      </w:r>
      <w:r w:rsidRPr="00FD352F">
        <w:rPr>
          <w:i/>
        </w:rPr>
        <w:t>Kawasaki disease, MMN and CIDP might be possible without the need to pe</w:t>
      </w:r>
      <w:r w:rsidR="00FD352F">
        <w:rPr>
          <w:i/>
        </w:rPr>
        <w:t xml:space="preserve">rform separate </w:t>
      </w:r>
      <w:r w:rsidRPr="00FD352F">
        <w:rPr>
          <w:i/>
        </w:rPr>
        <w:t xml:space="preserve">clinical trials in these indications, if adequately justified’ </w:t>
      </w:r>
      <w:r>
        <w:t>(evaluator’s emphasis). For</w:t>
      </w:r>
      <w:r w:rsidRPr="00FD352F">
        <w:rPr>
          <w:spacing w:val="1"/>
        </w:rPr>
        <w:t xml:space="preserve"> </w:t>
      </w:r>
      <w:proofErr w:type="spellStart"/>
      <w:r w:rsidR="00FD352F">
        <w:t>Kiovig</w:t>
      </w:r>
      <w:proofErr w:type="spellEnd"/>
      <w:r w:rsidR="00FD352F">
        <w:t xml:space="preserve"> however, the s</w:t>
      </w:r>
      <w:r>
        <w:t xml:space="preserve">ponsor did not provide adequate detailed </w:t>
      </w:r>
      <w:r>
        <w:lastRenderedPageBreak/>
        <w:t>justification to</w:t>
      </w:r>
      <w:r w:rsidRPr="00FD352F">
        <w:rPr>
          <w:spacing w:val="1"/>
        </w:rPr>
        <w:t xml:space="preserve"> </w:t>
      </w:r>
      <w:r>
        <w:t>extrapolate efficacy and safety data from established indications, as s</w:t>
      </w:r>
      <w:r w:rsidR="00FD352F">
        <w:t>uggested in the EU g</w:t>
      </w:r>
      <w:r>
        <w:t>uidan</w:t>
      </w:r>
      <w:r w:rsidR="00FD352F">
        <w:t>ce document referred to by the sponsor</w:t>
      </w:r>
      <w:r w:rsidR="00E87A72">
        <w:t>. The Delegate notes that the sponsor has no proposal f</w:t>
      </w:r>
      <w:r>
        <w:t>or</w:t>
      </w:r>
      <w:r w:rsidRPr="00FD352F">
        <w:rPr>
          <w:spacing w:val="-2"/>
        </w:rPr>
        <w:t xml:space="preserve"> </w:t>
      </w:r>
      <w:r>
        <w:t>a</w:t>
      </w:r>
      <w:r w:rsidRPr="00FD352F">
        <w:rPr>
          <w:spacing w:val="-1"/>
        </w:rPr>
        <w:t xml:space="preserve"> </w:t>
      </w:r>
      <w:r>
        <w:t>bridging</w:t>
      </w:r>
      <w:r w:rsidRPr="00FD352F">
        <w:rPr>
          <w:spacing w:val="-2"/>
        </w:rPr>
        <w:t xml:space="preserve"> </w:t>
      </w:r>
      <w:r w:rsidR="00FD352F">
        <w:t>study</w:t>
      </w:r>
      <w:proofErr w:type="gramStart"/>
      <w:r w:rsidR="00FD352F">
        <w:t>)</w:t>
      </w:r>
      <w:r>
        <w:t>;</w:t>
      </w:r>
      <w:proofErr w:type="gramEnd"/>
    </w:p>
    <w:p w14:paraId="30595B90" w14:textId="77777777" w:rsidR="00E87A72" w:rsidRPr="00E87A72" w:rsidRDefault="009B7841" w:rsidP="00E87A72">
      <w:pPr>
        <w:pStyle w:val="ListBullet"/>
        <w:rPr>
          <w:rFonts w:ascii="Webdings" w:hAnsi="Webdings"/>
        </w:rPr>
      </w:pPr>
      <w:r>
        <w:t>Health Canada’s statement</w:t>
      </w:r>
      <w:r w:rsidRPr="00FD352F">
        <w:rPr>
          <w:spacing w:val="1"/>
        </w:rPr>
        <w:t xml:space="preserve"> </w:t>
      </w:r>
      <w:r>
        <w:t>regarding the use of IVIg</w:t>
      </w:r>
      <w:r w:rsidRPr="00FD352F">
        <w:rPr>
          <w:spacing w:val="1"/>
        </w:rPr>
        <w:t xml:space="preserve"> </w:t>
      </w:r>
      <w:r w:rsidR="00E87A72">
        <w:t>in CIDP was that</w:t>
      </w:r>
      <w:r>
        <w:t>:</w:t>
      </w:r>
      <w:r w:rsidRPr="00FD352F">
        <w:rPr>
          <w:spacing w:val="1"/>
        </w:rPr>
        <w:t xml:space="preserve"> </w:t>
      </w:r>
      <w:r w:rsidR="00E87A72">
        <w:t>‘</w:t>
      </w:r>
      <w:r w:rsidRPr="00E87A72">
        <w:rPr>
          <w:i/>
        </w:rPr>
        <w:t>If IVIg is to be</w:t>
      </w:r>
      <w:r w:rsidRPr="00E87A72">
        <w:rPr>
          <w:i/>
          <w:spacing w:val="-46"/>
        </w:rPr>
        <w:t xml:space="preserve"> </w:t>
      </w:r>
      <w:r w:rsidRPr="00E87A72">
        <w:rPr>
          <w:i/>
        </w:rPr>
        <w:t>used in the long-term management of CIDP, the patient should be under the care of a</w:t>
      </w:r>
      <w:r w:rsidRPr="00E87A72">
        <w:rPr>
          <w:i/>
          <w:spacing w:val="1"/>
        </w:rPr>
        <w:t xml:space="preserve"> </w:t>
      </w:r>
      <w:r w:rsidRPr="00E87A72">
        <w:rPr>
          <w:i/>
        </w:rPr>
        <w:t>qualified</w:t>
      </w:r>
      <w:r w:rsidRPr="00E87A72">
        <w:rPr>
          <w:i/>
          <w:spacing w:val="-2"/>
        </w:rPr>
        <w:t xml:space="preserve"> </w:t>
      </w:r>
      <w:r w:rsidRPr="00E87A72">
        <w:rPr>
          <w:i/>
        </w:rPr>
        <w:t>expert</w:t>
      </w:r>
      <w:r w:rsidRPr="00E87A72">
        <w:rPr>
          <w:i/>
          <w:spacing w:val="46"/>
        </w:rPr>
        <w:t xml:space="preserve"> </w:t>
      </w:r>
      <w:r w:rsidRPr="00E87A72">
        <w:rPr>
          <w:i/>
        </w:rPr>
        <w:t>with specialised</w:t>
      </w:r>
      <w:r w:rsidRPr="00E87A72">
        <w:rPr>
          <w:i/>
          <w:spacing w:val="-1"/>
        </w:rPr>
        <w:t xml:space="preserve"> </w:t>
      </w:r>
      <w:r w:rsidRPr="00E87A72">
        <w:rPr>
          <w:i/>
        </w:rPr>
        <w:t>knowledge</w:t>
      </w:r>
      <w:r w:rsidRPr="00E87A72">
        <w:rPr>
          <w:i/>
          <w:spacing w:val="-3"/>
        </w:rPr>
        <w:t xml:space="preserve"> </w:t>
      </w:r>
      <w:r w:rsidRPr="00E87A72">
        <w:rPr>
          <w:i/>
        </w:rPr>
        <w:t>of</w:t>
      </w:r>
      <w:r w:rsidRPr="00E87A72">
        <w:rPr>
          <w:i/>
          <w:spacing w:val="-1"/>
        </w:rPr>
        <w:t xml:space="preserve"> </w:t>
      </w:r>
      <w:r w:rsidRPr="00E87A72">
        <w:rPr>
          <w:i/>
        </w:rPr>
        <w:t>CIDP</w:t>
      </w:r>
      <w:r w:rsidRPr="00E87A72">
        <w:rPr>
          <w:i/>
          <w:spacing w:val="-3"/>
        </w:rPr>
        <w:t xml:space="preserve"> </w:t>
      </w:r>
      <w:r w:rsidRPr="00E87A72">
        <w:rPr>
          <w:i/>
        </w:rPr>
        <w:t>and</w:t>
      </w:r>
      <w:r w:rsidRPr="00E87A72">
        <w:rPr>
          <w:i/>
          <w:spacing w:val="-1"/>
        </w:rPr>
        <w:t xml:space="preserve"> </w:t>
      </w:r>
      <w:r w:rsidRPr="00E87A72">
        <w:rPr>
          <w:i/>
        </w:rPr>
        <w:t>a</w:t>
      </w:r>
      <w:r w:rsidRPr="00E87A72">
        <w:rPr>
          <w:i/>
          <w:spacing w:val="-1"/>
        </w:rPr>
        <w:t xml:space="preserve"> </w:t>
      </w:r>
      <w:r w:rsidRPr="00E87A72">
        <w:rPr>
          <w:i/>
        </w:rPr>
        <w:t>systematic</w:t>
      </w:r>
      <w:r w:rsidR="00E87A72" w:rsidRPr="00E87A72">
        <w:rPr>
          <w:i/>
        </w:rPr>
        <w:t xml:space="preserve"> </w:t>
      </w:r>
      <w:r w:rsidRPr="00E87A72">
        <w:rPr>
          <w:i/>
        </w:rPr>
        <w:t>approach</w:t>
      </w:r>
      <w:r w:rsidRPr="00E87A72">
        <w:rPr>
          <w:i/>
          <w:spacing w:val="-2"/>
        </w:rPr>
        <w:t xml:space="preserve"> </w:t>
      </w:r>
      <w:r w:rsidRPr="00E87A72">
        <w:rPr>
          <w:i/>
        </w:rPr>
        <w:t>be</w:t>
      </w:r>
      <w:r w:rsidRPr="00E87A72">
        <w:rPr>
          <w:i/>
          <w:spacing w:val="-2"/>
        </w:rPr>
        <w:t xml:space="preserve"> </w:t>
      </w:r>
      <w:r w:rsidRPr="00E87A72">
        <w:rPr>
          <w:i/>
        </w:rPr>
        <w:t>taken</w:t>
      </w:r>
      <w:r w:rsidRPr="00E87A72">
        <w:rPr>
          <w:i/>
          <w:spacing w:val="-4"/>
        </w:rPr>
        <w:t xml:space="preserve"> </w:t>
      </w:r>
      <w:r w:rsidRPr="00E87A72">
        <w:rPr>
          <w:i/>
        </w:rPr>
        <w:t>to</w:t>
      </w:r>
      <w:r w:rsidRPr="00E87A72">
        <w:rPr>
          <w:i/>
          <w:spacing w:val="-2"/>
        </w:rPr>
        <w:t xml:space="preserve"> </w:t>
      </w:r>
      <w:r w:rsidRPr="00E87A72">
        <w:rPr>
          <w:i/>
        </w:rPr>
        <w:t>determine</w:t>
      </w:r>
      <w:r w:rsidRPr="00E87A72">
        <w:rPr>
          <w:i/>
          <w:spacing w:val="-2"/>
        </w:rPr>
        <w:t xml:space="preserve"> </w:t>
      </w:r>
      <w:r w:rsidRPr="00E87A72">
        <w:rPr>
          <w:i/>
        </w:rPr>
        <w:t>the</w:t>
      </w:r>
      <w:r w:rsidRPr="00E87A72">
        <w:rPr>
          <w:i/>
          <w:spacing w:val="-3"/>
        </w:rPr>
        <w:t xml:space="preserve"> </w:t>
      </w:r>
      <w:r w:rsidRPr="00E87A72">
        <w:rPr>
          <w:i/>
        </w:rPr>
        <w:t>minimal</w:t>
      </w:r>
      <w:r w:rsidRPr="00E87A72">
        <w:rPr>
          <w:i/>
          <w:spacing w:val="-4"/>
        </w:rPr>
        <w:t xml:space="preserve"> </w:t>
      </w:r>
      <w:r w:rsidRPr="00E87A72">
        <w:rPr>
          <w:i/>
        </w:rPr>
        <w:t>effective</w:t>
      </w:r>
      <w:r w:rsidRPr="00E87A72">
        <w:rPr>
          <w:i/>
          <w:spacing w:val="-2"/>
        </w:rPr>
        <w:t xml:space="preserve"> </w:t>
      </w:r>
      <w:r w:rsidR="00E87A72">
        <w:rPr>
          <w:i/>
        </w:rPr>
        <w:t>dose</w:t>
      </w:r>
      <w:r w:rsidRPr="00E87A72">
        <w:rPr>
          <w:i/>
        </w:rPr>
        <w:t>;</w:t>
      </w:r>
    </w:p>
    <w:p w14:paraId="6F1A695E" w14:textId="77777777" w:rsidR="00E87A72" w:rsidRPr="00E87A72" w:rsidRDefault="009B7841" w:rsidP="00E87A72">
      <w:pPr>
        <w:pStyle w:val="ListBullet"/>
        <w:rPr>
          <w:rFonts w:ascii="Webdings" w:hAnsi="Webdings"/>
        </w:rPr>
      </w:pPr>
      <w:r>
        <w:t>The role of National Blood Authority in Australia is simply to provide an adequate, safe,</w:t>
      </w:r>
      <w:r w:rsidRPr="00E87A72">
        <w:rPr>
          <w:spacing w:val="-46"/>
        </w:rPr>
        <w:t xml:space="preserve"> </w:t>
      </w:r>
      <w:proofErr w:type="gramStart"/>
      <w:r>
        <w:t>secure</w:t>
      </w:r>
      <w:proofErr w:type="gramEnd"/>
      <w:r>
        <w:t xml:space="preserve"> and affordable supply of blood products, blood related products and blood</w:t>
      </w:r>
      <w:r w:rsidRPr="00E87A72">
        <w:rPr>
          <w:spacing w:val="1"/>
        </w:rPr>
        <w:t xml:space="preserve"> </w:t>
      </w:r>
      <w:r>
        <w:t>related services. It does not engage in clinical trials documenting efficacy and safety of</w:t>
      </w:r>
      <w:r w:rsidRPr="00E87A72">
        <w:rPr>
          <w:spacing w:val="1"/>
        </w:rPr>
        <w:t xml:space="preserve"> </w:t>
      </w:r>
      <w:r>
        <w:t>any</w:t>
      </w:r>
      <w:r w:rsidRPr="00E87A72">
        <w:rPr>
          <w:spacing w:val="-2"/>
        </w:rPr>
        <w:t xml:space="preserve"> </w:t>
      </w:r>
      <w:r>
        <w:t>blood</w:t>
      </w:r>
      <w:r w:rsidRPr="00E87A72">
        <w:rPr>
          <w:spacing w:val="-2"/>
        </w:rPr>
        <w:t xml:space="preserve"> </w:t>
      </w:r>
      <w:r>
        <w:t>product</w:t>
      </w:r>
      <w:r w:rsidRPr="00E87A72">
        <w:rPr>
          <w:spacing w:val="-1"/>
        </w:rPr>
        <w:t xml:space="preserve"> </w:t>
      </w:r>
      <w:r>
        <w:t>per</w:t>
      </w:r>
      <w:r w:rsidRPr="00E87A72">
        <w:rPr>
          <w:spacing w:val="-1"/>
        </w:rPr>
        <w:t xml:space="preserve"> </w:t>
      </w:r>
      <w:proofErr w:type="gramStart"/>
      <w:r>
        <w:t>se;</w:t>
      </w:r>
      <w:proofErr w:type="gramEnd"/>
    </w:p>
    <w:p w14:paraId="634934FB" w14:textId="77777777" w:rsidR="00E87A72" w:rsidRPr="00E87A72" w:rsidRDefault="009B7841" w:rsidP="00E87A72">
      <w:pPr>
        <w:pStyle w:val="ListBullet"/>
      </w:pPr>
      <w:r w:rsidRPr="00E87A72">
        <w:t xml:space="preserve">There </w:t>
      </w:r>
      <w:proofErr w:type="gramStart"/>
      <w:r w:rsidRPr="00E87A72">
        <w:t>are</w:t>
      </w:r>
      <w:proofErr w:type="gramEnd"/>
      <w:r w:rsidRPr="00E87A72">
        <w:t xml:space="preserve"> available literature documenting that all brands of IVIg are neither equal nor</w:t>
      </w:r>
      <w:r w:rsidR="00E87A72" w:rsidRPr="00E87A72">
        <w:t xml:space="preserve"> are </w:t>
      </w:r>
      <w:r w:rsidRPr="00E87A72">
        <w:t>equally tolerat</w:t>
      </w:r>
      <w:r w:rsidR="00E87A72" w:rsidRPr="00E87A72">
        <w:t>ed:</w:t>
      </w:r>
    </w:p>
    <w:p w14:paraId="0A826883" w14:textId="77777777" w:rsidR="00E87A72" w:rsidRPr="00E87A72" w:rsidRDefault="009B7841" w:rsidP="00E87A72">
      <w:pPr>
        <w:pStyle w:val="ListBullet2"/>
        <w:rPr>
          <w:rFonts w:ascii="Webdings" w:hAnsi="Webdings"/>
        </w:rPr>
      </w:pPr>
      <w:proofErr w:type="spellStart"/>
      <w:r w:rsidRPr="00E87A72">
        <w:t>Stiehm</w:t>
      </w:r>
      <w:proofErr w:type="spellEnd"/>
      <w:r w:rsidRPr="00E87A72">
        <w:t xml:space="preserve"> ER. Lessons from Kawasaki Disease: All Brands of IVIG are not Equal. The</w:t>
      </w:r>
      <w:r w:rsidRPr="00E87A72">
        <w:rPr>
          <w:spacing w:val="-46"/>
        </w:rPr>
        <w:t xml:space="preserve"> </w:t>
      </w:r>
      <w:r w:rsidRPr="00E87A72">
        <w:t>Journal</w:t>
      </w:r>
      <w:r w:rsidRPr="00E87A72">
        <w:rPr>
          <w:spacing w:val="-1"/>
        </w:rPr>
        <w:t xml:space="preserve"> </w:t>
      </w:r>
      <w:r w:rsidRPr="00E87A72">
        <w:t>of</w:t>
      </w:r>
      <w:r w:rsidRPr="00E87A72">
        <w:rPr>
          <w:spacing w:val="-1"/>
        </w:rPr>
        <w:t xml:space="preserve"> </w:t>
      </w:r>
      <w:proofErr w:type="spellStart"/>
      <w:r w:rsidRPr="00E87A72">
        <w:t>Pediatr</w:t>
      </w:r>
      <w:proofErr w:type="spellEnd"/>
      <w:r w:rsidRPr="00E87A72">
        <w:t>.</w:t>
      </w:r>
      <w:r w:rsidRPr="00E87A72">
        <w:rPr>
          <w:spacing w:val="-2"/>
        </w:rPr>
        <w:t xml:space="preserve"> </w:t>
      </w:r>
      <w:r w:rsidRPr="00E87A72">
        <w:t>2006;</w:t>
      </w:r>
      <w:r w:rsidRPr="00E87A72">
        <w:rPr>
          <w:spacing w:val="-1"/>
        </w:rPr>
        <w:t xml:space="preserve"> </w:t>
      </w:r>
      <w:r w:rsidRPr="00E87A72">
        <w:t>48:6-8.</w:t>
      </w:r>
    </w:p>
    <w:p w14:paraId="47F02F93" w14:textId="77777777" w:rsidR="009B7841" w:rsidRPr="00E87A72" w:rsidRDefault="009B7841" w:rsidP="00E87A72">
      <w:pPr>
        <w:pStyle w:val="ListBullet2"/>
        <w:rPr>
          <w:rFonts w:ascii="Webdings" w:hAnsi="Webdings"/>
        </w:rPr>
      </w:pPr>
      <w:proofErr w:type="spellStart"/>
      <w:r w:rsidRPr="00E87A72">
        <w:t>Skvaril</w:t>
      </w:r>
      <w:proofErr w:type="spellEnd"/>
      <w:r w:rsidRPr="00E87A72">
        <w:t xml:space="preserve"> F, </w:t>
      </w:r>
      <w:proofErr w:type="spellStart"/>
      <w:r w:rsidRPr="00E87A72">
        <w:t>Gardi</w:t>
      </w:r>
      <w:proofErr w:type="spellEnd"/>
      <w:r w:rsidRPr="00E87A72">
        <w:t xml:space="preserve"> A. Differences among available immunoglobulin preparations</w:t>
      </w:r>
      <w:r w:rsidRPr="00E87A72">
        <w:rPr>
          <w:spacing w:val="-46"/>
        </w:rPr>
        <w:t xml:space="preserve"> </w:t>
      </w:r>
      <w:r w:rsidRPr="00E87A72">
        <w:t>for</w:t>
      </w:r>
      <w:r w:rsidRPr="00E87A72">
        <w:rPr>
          <w:spacing w:val="-3"/>
        </w:rPr>
        <w:t xml:space="preserve"> </w:t>
      </w:r>
      <w:r w:rsidRPr="00E87A72">
        <w:t>intravenous</w:t>
      </w:r>
      <w:r w:rsidRPr="00E87A72">
        <w:rPr>
          <w:spacing w:val="-1"/>
        </w:rPr>
        <w:t xml:space="preserve"> </w:t>
      </w:r>
      <w:r w:rsidRPr="00E87A72">
        <w:t>use.</w:t>
      </w:r>
      <w:r w:rsidRPr="00E87A72">
        <w:rPr>
          <w:spacing w:val="-1"/>
        </w:rPr>
        <w:t xml:space="preserve"> </w:t>
      </w:r>
      <w:proofErr w:type="spellStart"/>
      <w:r w:rsidRPr="00E87A72">
        <w:t>Pediatr</w:t>
      </w:r>
      <w:proofErr w:type="spellEnd"/>
      <w:r w:rsidRPr="00E87A72">
        <w:rPr>
          <w:spacing w:val="-2"/>
        </w:rPr>
        <w:t xml:space="preserve"> </w:t>
      </w:r>
      <w:r w:rsidRPr="00E87A72">
        <w:t>Infect Dis</w:t>
      </w:r>
      <w:r w:rsidRPr="00E87A72">
        <w:rPr>
          <w:spacing w:val="-2"/>
        </w:rPr>
        <w:t xml:space="preserve"> </w:t>
      </w:r>
      <w:r w:rsidRPr="00E87A72">
        <w:t>J.</w:t>
      </w:r>
      <w:r w:rsidRPr="00E87A72">
        <w:rPr>
          <w:spacing w:val="-1"/>
        </w:rPr>
        <w:t xml:space="preserve"> </w:t>
      </w:r>
      <w:r w:rsidRPr="00E87A72">
        <w:t>1988;</w:t>
      </w:r>
      <w:r w:rsidRPr="00E87A72">
        <w:rPr>
          <w:spacing w:val="-3"/>
        </w:rPr>
        <w:t xml:space="preserve"> </w:t>
      </w:r>
      <w:r w:rsidRPr="00E87A72">
        <w:t>7:</w:t>
      </w:r>
      <w:r w:rsidRPr="00E87A72">
        <w:rPr>
          <w:spacing w:val="-1"/>
        </w:rPr>
        <w:t xml:space="preserve"> </w:t>
      </w:r>
      <w:r w:rsidRPr="00E87A72">
        <w:t>S43-S48.</w:t>
      </w:r>
    </w:p>
    <w:p w14:paraId="645DE6E7" w14:textId="77777777" w:rsidR="009B7841" w:rsidRPr="009B7841" w:rsidRDefault="009B7841" w:rsidP="009B7841">
      <w:pPr>
        <w:pStyle w:val="ListBullet2"/>
      </w:pPr>
      <w:proofErr w:type="spellStart"/>
      <w:r w:rsidRPr="00E87A72">
        <w:t>Feldmeyer</w:t>
      </w:r>
      <w:proofErr w:type="spellEnd"/>
      <w:r w:rsidRPr="00E87A72">
        <w:t xml:space="preserve"> L, </w:t>
      </w:r>
      <w:proofErr w:type="spellStart"/>
      <w:r w:rsidRPr="00E87A72">
        <w:t>Benden</w:t>
      </w:r>
      <w:proofErr w:type="spellEnd"/>
      <w:r w:rsidRPr="00E87A72">
        <w:t xml:space="preserve"> C, Haile SR, et al. Not All Intravenous Immunoglobulin</w:t>
      </w:r>
      <w:r w:rsidRPr="00E87A72">
        <w:rPr>
          <w:spacing w:val="1"/>
        </w:rPr>
        <w:t xml:space="preserve"> </w:t>
      </w:r>
      <w:r w:rsidRPr="00E87A72">
        <w:t>Preparations</w:t>
      </w:r>
      <w:r w:rsidRPr="00E87A72">
        <w:rPr>
          <w:spacing w:val="-3"/>
        </w:rPr>
        <w:t xml:space="preserve"> </w:t>
      </w:r>
      <w:r w:rsidRPr="00E87A72">
        <w:t>are</w:t>
      </w:r>
      <w:r w:rsidRPr="00E87A72">
        <w:rPr>
          <w:spacing w:val="-3"/>
        </w:rPr>
        <w:t xml:space="preserve"> </w:t>
      </w:r>
      <w:r w:rsidRPr="00E87A72">
        <w:t>Equally</w:t>
      </w:r>
      <w:r w:rsidRPr="00E87A72">
        <w:rPr>
          <w:spacing w:val="-4"/>
        </w:rPr>
        <w:t xml:space="preserve"> </w:t>
      </w:r>
      <w:r w:rsidRPr="00E87A72">
        <w:t>Well</w:t>
      </w:r>
      <w:r w:rsidRPr="00E87A72">
        <w:rPr>
          <w:spacing w:val="-2"/>
        </w:rPr>
        <w:t xml:space="preserve"> </w:t>
      </w:r>
      <w:r w:rsidRPr="00E87A72">
        <w:t>Tolerated.</w:t>
      </w:r>
      <w:r w:rsidRPr="00E87A72">
        <w:rPr>
          <w:spacing w:val="-3"/>
        </w:rPr>
        <w:t xml:space="preserve"> </w:t>
      </w:r>
      <w:r w:rsidRPr="00E87A72">
        <w:t>Acta</w:t>
      </w:r>
      <w:r w:rsidRPr="00E87A72">
        <w:rPr>
          <w:spacing w:val="-4"/>
        </w:rPr>
        <w:t xml:space="preserve"> </w:t>
      </w:r>
      <w:proofErr w:type="spellStart"/>
      <w:r w:rsidRPr="00E87A72">
        <w:t>Derm</w:t>
      </w:r>
      <w:proofErr w:type="spellEnd"/>
      <w:r w:rsidRPr="00E87A72">
        <w:rPr>
          <w:spacing w:val="-4"/>
        </w:rPr>
        <w:t xml:space="preserve"> </w:t>
      </w:r>
      <w:proofErr w:type="spellStart"/>
      <w:r w:rsidRPr="00E87A72">
        <w:t>Venereol</w:t>
      </w:r>
      <w:proofErr w:type="spellEnd"/>
      <w:r w:rsidRPr="00E87A72">
        <w:t>.</w:t>
      </w:r>
      <w:r w:rsidRPr="00E87A72">
        <w:rPr>
          <w:spacing w:val="-4"/>
        </w:rPr>
        <w:t xml:space="preserve"> </w:t>
      </w:r>
      <w:r w:rsidRPr="00E87A72">
        <w:t>2010;</w:t>
      </w:r>
      <w:r w:rsidRPr="00E87A72">
        <w:rPr>
          <w:spacing w:val="-2"/>
        </w:rPr>
        <w:t xml:space="preserve"> </w:t>
      </w:r>
      <w:r w:rsidRPr="00E87A72">
        <w:t>90(5):494-7.</w:t>
      </w:r>
    </w:p>
    <w:p w14:paraId="01701738" w14:textId="77777777" w:rsidR="00F818CF" w:rsidRPr="0038494B" w:rsidRDefault="00F818CF" w:rsidP="00F818CF">
      <w:pPr>
        <w:pStyle w:val="Heading5"/>
      </w:pPr>
      <w:r w:rsidRPr="0038494B">
        <w:t xml:space="preserve">Proposed </w:t>
      </w:r>
      <w:r>
        <w:t xml:space="preserve">wording for the </w:t>
      </w:r>
      <w:r w:rsidRPr="0038494B">
        <w:t xml:space="preserve">extension of </w:t>
      </w:r>
      <w:r>
        <w:t>indication</w:t>
      </w:r>
    </w:p>
    <w:p w14:paraId="44377704" w14:textId="77777777" w:rsidR="00F818CF" w:rsidRPr="0038494B" w:rsidRDefault="00F818CF" w:rsidP="00F818CF">
      <w:r w:rsidRPr="0038494B">
        <w:t>As per the sponsor:</w:t>
      </w:r>
    </w:p>
    <w:p w14:paraId="1EDDACB9" w14:textId="77777777" w:rsidR="00F818CF" w:rsidRPr="00F818CF" w:rsidRDefault="00F818CF" w:rsidP="00F818CF">
      <w:pPr>
        <w:ind w:left="720"/>
        <w:rPr>
          <w:i/>
        </w:rPr>
      </w:pPr>
      <w:proofErr w:type="spellStart"/>
      <w:r w:rsidRPr="00F818CF">
        <w:rPr>
          <w:i/>
        </w:rPr>
        <w:t>Kiovig</w:t>
      </w:r>
      <w:proofErr w:type="spellEnd"/>
      <w:r w:rsidRPr="00F818CF">
        <w:rPr>
          <w:i/>
        </w:rPr>
        <w:t xml:space="preserve"> administered intravenously is indicated for:</w:t>
      </w:r>
    </w:p>
    <w:p w14:paraId="3937F319" w14:textId="77777777" w:rsidR="00F818CF" w:rsidRPr="00F818CF" w:rsidRDefault="00F818CF" w:rsidP="00F818CF">
      <w:pPr>
        <w:ind w:left="720" w:firstLine="720"/>
        <w:rPr>
          <w:i/>
        </w:rPr>
      </w:pPr>
      <w:r w:rsidRPr="00F818CF">
        <w:rPr>
          <w:i/>
        </w:rPr>
        <w:t>Chronic inflammatory demyelinating polyradiculoneuropathy (CIDP).</w:t>
      </w:r>
    </w:p>
    <w:p w14:paraId="3275E145" w14:textId="77777777" w:rsidR="00F818CF" w:rsidRPr="00F818CF" w:rsidRDefault="00F818CF" w:rsidP="00F818CF">
      <w:r w:rsidRPr="00F818CF">
        <w:t xml:space="preserve">As per the </w:t>
      </w:r>
      <w:r>
        <w:t>D</w:t>
      </w:r>
      <w:r w:rsidRPr="00F818CF">
        <w:t>elegate</w:t>
      </w:r>
      <w:r>
        <w:t>:</w:t>
      </w:r>
    </w:p>
    <w:p w14:paraId="6F4FF013" w14:textId="77777777" w:rsidR="00F818CF" w:rsidRDefault="00F818CF" w:rsidP="00F818CF">
      <w:pPr>
        <w:ind w:left="720" w:firstLine="720"/>
      </w:pPr>
      <w:r w:rsidRPr="00F818CF">
        <w:rPr>
          <w:i/>
        </w:rPr>
        <w:t>Chronic inflammatory demyelinating polyradiculoneuropathy (CIDP) in adults</w:t>
      </w:r>
      <w:r>
        <w:t>.</w:t>
      </w:r>
    </w:p>
    <w:p w14:paraId="68BA0B33" w14:textId="77777777" w:rsidR="00F818CF" w:rsidRPr="00F818CF" w:rsidRDefault="00F818CF" w:rsidP="00F818CF">
      <w:r>
        <w:t>The r</w:t>
      </w:r>
      <w:r w:rsidRPr="00F818CF">
        <w:t>ationale</w:t>
      </w:r>
      <w:r>
        <w:t xml:space="preserve"> for this, is</w:t>
      </w:r>
      <w:r w:rsidRPr="00F818CF">
        <w:t xml:space="preserve">: Lack of paediatric data </w:t>
      </w:r>
      <w:r>
        <w:t>(</w:t>
      </w:r>
      <w:r w:rsidRPr="00F818CF">
        <w:t xml:space="preserve">as accepted by the </w:t>
      </w:r>
      <w:r>
        <w:t>sponsor)</w:t>
      </w:r>
      <w:r w:rsidRPr="00F818CF">
        <w:t>.</w:t>
      </w:r>
    </w:p>
    <w:p w14:paraId="444C9EEF" w14:textId="77777777" w:rsidR="00F818CF" w:rsidRPr="0038494B" w:rsidRDefault="00F818CF" w:rsidP="00F818CF">
      <w:pPr>
        <w:pStyle w:val="Heading5"/>
      </w:pPr>
      <w:r w:rsidRPr="00F818CF">
        <w:t>Deficiency</w:t>
      </w:r>
      <w:r w:rsidRPr="0038494B">
        <w:t xml:space="preserve"> of the </w:t>
      </w:r>
      <w:r>
        <w:t>data</w:t>
      </w:r>
    </w:p>
    <w:p w14:paraId="4A7A16E2" w14:textId="77777777" w:rsidR="00F818CF" w:rsidRPr="0038494B" w:rsidRDefault="00F818CF" w:rsidP="00F818CF">
      <w:r w:rsidRPr="00F818CF">
        <w:t>Essentially</w:t>
      </w:r>
      <w:r w:rsidRPr="0038494B">
        <w:t xml:space="preserve"> lack of a bridging comparable study of </w:t>
      </w:r>
      <w:proofErr w:type="spellStart"/>
      <w:r w:rsidRPr="0038494B">
        <w:t>Kiovig</w:t>
      </w:r>
      <w:proofErr w:type="spellEnd"/>
      <w:r w:rsidRPr="0038494B">
        <w:t xml:space="preserve"> with an IVIg listed on the ARTG for the CIDP indication in the absence of a Level 1 class, adequate clinical data for the proposed CIDP extension of indication.</w:t>
      </w:r>
    </w:p>
    <w:p w14:paraId="48CCB0B2" w14:textId="77777777" w:rsidR="00F818CF" w:rsidRDefault="00F818CF" w:rsidP="00F818CF">
      <w:pPr>
        <w:pStyle w:val="Heading5"/>
      </w:pPr>
      <w:bookmarkStart w:id="64" w:name="Conditions_of_registration,_if_contempla"/>
      <w:bookmarkEnd w:id="64"/>
      <w:r w:rsidRPr="0038494B">
        <w:t>Conditions of registration</w:t>
      </w:r>
    </w:p>
    <w:p w14:paraId="6FA37946" w14:textId="77777777" w:rsidR="00F818CF" w:rsidRPr="00F818CF" w:rsidRDefault="00F818CF" w:rsidP="00F818CF">
      <w:r>
        <w:t>I</w:t>
      </w:r>
      <w:r w:rsidRPr="0038494B">
        <w:t>f contemplated</w:t>
      </w:r>
      <w:r>
        <w:t>: n</w:t>
      </w:r>
      <w:r w:rsidRPr="00F818CF">
        <w:t>on-interchangeability with the other IVIg products</w:t>
      </w:r>
      <w:r>
        <w:t>.</w:t>
      </w:r>
    </w:p>
    <w:p w14:paraId="6D705FBF" w14:textId="77777777" w:rsidR="00F818CF" w:rsidRPr="0038494B" w:rsidRDefault="00F818CF" w:rsidP="00F818CF">
      <w:pPr>
        <w:pStyle w:val="Heading5"/>
      </w:pPr>
      <w:r w:rsidRPr="0038494B">
        <w:t>Outstanding issue</w:t>
      </w:r>
    </w:p>
    <w:p w14:paraId="0B162331" w14:textId="4405C436" w:rsidR="00F818CF" w:rsidRPr="0038494B" w:rsidRDefault="00F818CF" w:rsidP="00F818CF">
      <w:r>
        <w:t>The s</w:t>
      </w:r>
      <w:r w:rsidRPr="0038494B">
        <w:t xml:space="preserve">ponsor did not provide adequate detailed justification to extrapolate efficacy and safety data from established indications for the proposed </w:t>
      </w:r>
      <w:r w:rsidR="008E7164">
        <w:t>extension of indications to include</w:t>
      </w:r>
      <w:r w:rsidRPr="0038494B">
        <w:t xml:space="preserve"> CIDP, as suggested in the E</w:t>
      </w:r>
      <w:r>
        <w:t xml:space="preserve">U </w:t>
      </w:r>
      <w:r w:rsidRPr="0038494B">
        <w:t>guidan</w:t>
      </w:r>
      <w:r>
        <w:t>ce document referred to by the s</w:t>
      </w:r>
      <w:r w:rsidRPr="0038494B">
        <w:t xml:space="preserve">ponsor. Apart from the latter, any favourable benefit associated with the IVIg treatment over placebo in adults with CIDP is neither a panacea nor absolute evidence to granting </w:t>
      </w:r>
      <w:proofErr w:type="spellStart"/>
      <w:r w:rsidRPr="0038494B">
        <w:t>Kiovig</w:t>
      </w:r>
      <w:proofErr w:type="spellEnd"/>
      <w:r w:rsidRPr="0038494B">
        <w:t xml:space="preserve"> the proposed CIDP indication, </w:t>
      </w:r>
      <w:proofErr w:type="gramStart"/>
      <w:r w:rsidRPr="0038494B">
        <w:t>at this point in time</w:t>
      </w:r>
      <w:proofErr w:type="gramEnd"/>
      <w:r w:rsidRPr="0038494B">
        <w:t>.</w:t>
      </w:r>
    </w:p>
    <w:p w14:paraId="6B50CB91" w14:textId="77777777" w:rsidR="008D6764" w:rsidRPr="008D6764" w:rsidRDefault="008D6764" w:rsidP="008D6764">
      <w:r w:rsidRPr="008D6764">
        <w:t xml:space="preserve">The </w:t>
      </w:r>
      <w:proofErr w:type="gramStart"/>
      <w:r>
        <w:t>literature based</w:t>
      </w:r>
      <w:proofErr w:type="gramEnd"/>
      <w:r w:rsidRPr="008D6764">
        <w:t xml:space="preserve"> studies do not satisfactorily contain </w:t>
      </w:r>
      <w:proofErr w:type="spellStart"/>
      <w:r w:rsidRPr="008D6764">
        <w:t>Kiovig</w:t>
      </w:r>
      <w:proofErr w:type="spellEnd"/>
      <w:r w:rsidRPr="008D6764">
        <w:t xml:space="preserve"> specific data for the proposed CIDP e</w:t>
      </w:r>
      <w:r>
        <w:t>xtension of indication and the s</w:t>
      </w:r>
      <w:r w:rsidRPr="008D6764">
        <w:t>ponsor did not submit any bridging data to that effect.</w:t>
      </w:r>
    </w:p>
    <w:p w14:paraId="77BFCC35" w14:textId="77777777" w:rsidR="008D6764" w:rsidRPr="008D6764" w:rsidRDefault="008D6764" w:rsidP="008D6764">
      <w:r>
        <w:lastRenderedPageBreak/>
        <w:t>The D</w:t>
      </w:r>
      <w:r w:rsidRPr="008D6764">
        <w:t xml:space="preserve">elegate will greatly appreciate the expert’s advice of the </w:t>
      </w:r>
      <w:r w:rsidR="00F818CF">
        <w:t>Advisory Committee on Medicines (</w:t>
      </w:r>
      <w:r w:rsidRPr="008D6764">
        <w:t>ACM</w:t>
      </w:r>
      <w:r w:rsidR="00F818CF">
        <w:t>)</w:t>
      </w:r>
      <w:r w:rsidRPr="008D6764">
        <w:t xml:space="preserve"> in this regard, for future guidance on IVIg submissions.</w:t>
      </w:r>
    </w:p>
    <w:p w14:paraId="140A17E0" w14:textId="77777777" w:rsidR="00D23139" w:rsidRDefault="00D23139" w:rsidP="00D23139">
      <w:pPr>
        <w:pStyle w:val="Heading4"/>
      </w:pPr>
      <w:r w:rsidRPr="00D23139">
        <w:t>Proposed action</w:t>
      </w:r>
    </w:p>
    <w:p w14:paraId="6242A159" w14:textId="77777777" w:rsidR="00F818CF" w:rsidRDefault="00F818CF" w:rsidP="00F818CF">
      <w:r>
        <w:t>Taking the gamut of the previously mentioned comments into account, the Delegate is proposing the following options regarding the application:</w:t>
      </w:r>
    </w:p>
    <w:p w14:paraId="3134BD48" w14:textId="77777777" w:rsidR="00F818CF" w:rsidRDefault="00F818CF" w:rsidP="00F818CF">
      <w:pPr>
        <w:pStyle w:val="ListBullet"/>
      </w:pPr>
      <w:r>
        <w:t xml:space="preserve">Non-approvability at this point in time of </w:t>
      </w:r>
      <w:proofErr w:type="spellStart"/>
      <w:r>
        <w:t>Kiovig</w:t>
      </w:r>
      <w:proofErr w:type="spellEnd"/>
      <w:r>
        <w:t xml:space="preserve"> for the CIDP indication until either a bridging comparable study of </w:t>
      </w:r>
      <w:proofErr w:type="spellStart"/>
      <w:r>
        <w:t>Kiovig</w:t>
      </w:r>
      <w:proofErr w:type="spellEnd"/>
      <w:r>
        <w:t xml:space="preserve"> with an IVIg listed on the ARTG for the CIDP indication is at hand or Level 1 class, adequate clinical data for proposed CIDP extension of indication is submitted;</w:t>
      </w:r>
    </w:p>
    <w:p w14:paraId="4F4E46DA" w14:textId="77777777" w:rsidR="00F818CF" w:rsidRDefault="00F818CF" w:rsidP="00F818CF">
      <w:pPr>
        <w:pStyle w:val="ListBullet"/>
      </w:pPr>
      <w:r>
        <w:t xml:space="preserve">Approvability now of </w:t>
      </w:r>
      <w:proofErr w:type="spellStart"/>
      <w:r>
        <w:t>Kiovig</w:t>
      </w:r>
      <w:proofErr w:type="spellEnd"/>
      <w:r>
        <w:t xml:space="preserve"> for the CIDP indication with the qualification that, like other </w:t>
      </w:r>
      <w:proofErr w:type="spellStart"/>
      <w:r>
        <w:t>IVIgs</w:t>
      </w:r>
      <w:proofErr w:type="spellEnd"/>
      <w:r>
        <w:t xml:space="preserve">, </w:t>
      </w:r>
      <w:proofErr w:type="spellStart"/>
      <w:r>
        <w:t>Kiovig</w:t>
      </w:r>
      <w:proofErr w:type="spellEnd"/>
      <w:r>
        <w:t xml:space="preserve"> as a biological product is neither a generic nor interchangeable with the other </w:t>
      </w:r>
      <w:proofErr w:type="spellStart"/>
      <w:r>
        <w:t>IVIgs</w:t>
      </w:r>
      <w:proofErr w:type="spellEnd"/>
      <w:r>
        <w:t>. The latter can be made out like a class statement.</w:t>
      </w:r>
    </w:p>
    <w:p w14:paraId="0900EEEB" w14:textId="77777777" w:rsidR="00F818CF" w:rsidRDefault="00F818CF" w:rsidP="00F818CF">
      <w:r>
        <w:t xml:space="preserve">The Delegate opined that there is no urgency to fast tract </w:t>
      </w:r>
      <w:proofErr w:type="spellStart"/>
      <w:r>
        <w:t>Kiovig</w:t>
      </w:r>
      <w:proofErr w:type="spellEnd"/>
      <w:r>
        <w:t xml:space="preserve"> approval for the proposed CIDP indication now given, that there are other </w:t>
      </w:r>
      <w:proofErr w:type="spellStart"/>
      <w:r>
        <w:t>IVIgs</w:t>
      </w:r>
      <w:proofErr w:type="spellEnd"/>
      <w:r>
        <w:t xml:space="preserve"> listed on the ARTG for CIDP. If however, the advice for approval is being contemplated in the absence of either a bridging comparable study or </w:t>
      </w:r>
      <w:proofErr w:type="spellStart"/>
      <w:r>
        <w:t>Kiovig</w:t>
      </w:r>
      <w:proofErr w:type="spellEnd"/>
      <w:r>
        <w:t xml:space="preserve"> specific data, then the advice of ACM is sought as to the need for TGA to continue requesting for the usual gamut of data dossier in future:</w:t>
      </w:r>
    </w:p>
    <w:p w14:paraId="03DA590F" w14:textId="77777777" w:rsidR="00E87A72" w:rsidRDefault="00F818CF" w:rsidP="00F818CF">
      <w:pPr>
        <w:pStyle w:val="ListBullet"/>
      </w:pPr>
      <w:r>
        <w:t xml:space="preserve">when a sponsor either wishes to register an </w:t>
      </w:r>
      <w:r w:rsidR="00E87A72">
        <w:t>extension of indications</w:t>
      </w:r>
      <w:r>
        <w:t xml:space="preserve"> f</w:t>
      </w:r>
      <w:r w:rsidR="00E87A72">
        <w:t xml:space="preserve">or its commercial brand of </w:t>
      </w:r>
      <w:proofErr w:type="gramStart"/>
      <w:r w:rsidR="00E87A72">
        <w:t>IVIg;</w:t>
      </w:r>
      <w:proofErr w:type="gramEnd"/>
    </w:p>
    <w:p w14:paraId="6A9743F4" w14:textId="77777777" w:rsidR="00E87A72" w:rsidRDefault="00F818CF" w:rsidP="00F818CF">
      <w:pPr>
        <w:pStyle w:val="ListBullet"/>
      </w:pPr>
      <w:r>
        <w:t xml:space="preserve">if that proposed </w:t>
      </w:r>
      <w:r w:rsidR="00E87A72">
        <w:t>extension of indications</w:t>
      </w:r>
      <w:r>
        <w:t xml:space="preserve"> is already approved for an existing IVIg brand, whether or not that particular brand is on the ARTG </w:t>
      </w:r>
      <w:proofErr w:type="gramStart"/>
      <w:r>
        <w:t>or;</w:t>
      </w:r>
      <w:proofErr w:type="gramEnd"/>
    </w:p>
    <w:p w14:paraId="4816C7A0" w14:textId="77777777" w:rsidR="00F818CF" w:rsidRPr="00F818CF" w:rsidRDefault="00F818CF" w:rsidP="00F818CF">
      <w:pPr>
        <w:pStyle w:val="ListBullet"/>
      </w:pPr>
      <w:r>
        <w:t xml:space="preserve">if the proposed brand of IVIg already has approval for other indications </w:t>
      </w:r>
      <w:r w:rsidR="00E87A72">
        <w:t>for example, ITP and</w:t>
      </w:r>
      <w:r>
        <w:t xml:space="preserve"> PID.</w:t>
      </w:r>
    </w:p>
    <w:p w14:paraId="2CF512C1"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32"/>
      </w:r>
    </w:p>
    <w:p w14:paraId="50DD307B" w14:textId="77777777" w:rsidR="00744121" w:rsidRDefault="00744121" w:rsidP="00744121">
      <w:pPr>
        <w:rPr>
          <w:bCs/>
        </w:rPr>
      </w:pPr>
      <w:bookmarkStart w:id="65" w:name="_Toc247691532"/>
      <w:bookmarkStart w:id="66" w:name="_Toc314842516"/>
      <w:bookmarkEnd w:id="31"/>
      <w:bookmarkEnd w:id="61"/>
      <w:bookmarkEnd w:id="62"/>
      <w:r w:rsidRPr="00456765">
        <w:rPr>
          <w:bCs/>
        </w:rPr>
        <w:t>The Advisory Committee on Medicines (ACM), having considered the evaluations and the Delegate’s overview, as well as the sponsor’s response to these documents, advised the following</w:t>
      </w:r>
      <w:r>
        <w:rPr>
          <w:bCs/>
        </w:rPr>
        <w:t>.</w:t>
      </w:r>
    </w:p>
    <w:p w14:paraId="5099CBA1" w14:textId="77777777" w:rsidR="00744121" w:rsidRDefault="00744121" w:rsidP="00744121">
      <w:pPr>
        <w:pStyle w:val="Heading5"/>
      </w:pPr>
      <w:r>
        <w:t>Specific advice to the Delegate</w:t>
      </w:r>
    </w:p>
    <w:p w14:paraId="3725BD60" w14:textId="77777777" w:rsidR="00B333B7" w:rsidRPr="00B333B7" w:rsidRDefault="00B333B7" w:rsidP="00FE6FD8">
      <w:pPr>
        <w:pStyle w:val="Numberbullet0"/>
        <w:numPr>
          <w:ilvl w:val="0"/>
          <w:numId w:val="5"/>
        </w:numPr>
        <w:rPr>
          <w:b/>
          <w:i/>
        </w:rPr>
      </w:pPr>
      <w:r w:rsidRPr="00B333B7">
        <w:rPr>
          <w:b/>
          <w:i/>
        </w:rPr>
        <w:t xml:space="preserve">Consideration of non-approvability/approvability of </w:t>
      </w:r>
      <w:proofErr w:type="spellStart"/>
      <w:r w:rsidRPr="00B333B7">
        <w:rPr>
          <w:b/>
          <w:i/>
        </w:rPr>
        <w:t>Kiovig</w:t>
      </w:r>
      <w:proofErr w:type="spellEnd"/>
      <w:r w:rsidRPr="00B333B7">
        <w:rPr>
          <w:b/>
          <w:i/>
        </w:rPr>
        <w:t xml:space="preserve"> now, given the outstanding issues raised.</w:t>
      </w:r>
    </w:p>
    <w:p w14:paraId="3DDED634" w14:textId="77777777" w:rsidR="00B333B7" w:rsidRPr="00B333B7" w:rsidRDefault="00B333B7" w:rsidP="00B333B7">
      <w:r w:rsidRPr="00B333B7">
        <w:t xml:space="preserve">The ACM acknowledged that the </w:t>
      </w:r>
      <w:proofErr w:type="gramStart"/>
      <w:r w:rsidRPr="00B333B7">
        <w:t>literature based</w:t>
      </w:r>
      <w:proofErr w:type="gramEnd"/>
      <w:r w:rsidRPr="00B333B7">
        <w:t xml:space="preserve"> submission under consideration had limited data on the use of </w:t>
      </w:r>
      <w:proofErr w:type="spellStart"/>
      <w:r w:rsidRPr="00B333B7">
        <w:t>Kiovig</w:t>
      </w:r>
      <w:proofErr w:type="spellEnd"/>
      <w:r w:rsidRPr="00B333B7">
        <w:t xml:space="preserve"> and was lacking a pivotal study.</w:t>
      </w:r>
    </w:p>
    <w:p w14:paraId="28CC69ED" w14:textId="465BEB51" w:rsidR="00B333B7" w:rsidRDefault="00B333B7" w:rsidP="00B333B7">
      <w:r w:rsidRPr="00B333B7">
        <w:t>However, on balance the ACM were of the view that the application is approvable, stating that the safety and efficacy of IVIg in CIDP is well established and noting that other IVIg</w:t>
      </w:r>
      <w:r>
        <w:t xml:space="preserve"> products have been approved by the TGA for the treatment of CIDP. The ACM advised that it is acceptable to extrapolate evidence from an immunomodulatory indication to CIDP, </w:t>
      </w:r>
      <w:r>
        <w:lastRenderedPageBreak/>
        <w:t>and were of the opinion that the extrapolation has been adequately justified by the sponsor as per the EMA guideline on the clinical investigation of human normal immunoglobulin for intravenous administration.</w:t>
      </w:r>
      <w:r w:rsidRPr="00B333B7">
        <w:rPr>
          <w:vertAlign w:val="superscript"/>
        </w:rPr>
        <w:fldChar w:fldCharType="begin"/>
      </w:r>
      <w:r w:rsidRPr="00B333B7">
        <w:rPr>
          <w:vertAlign w:val="superscript"/>
        </w:rPr>
        <w:instrText xml:space="preserve"> NOTEREF _Ref82138845 \h </w:instrText>
      </w:r>
      <w:r>
        <w:rPr>
          <w:vertAlign w:val="superscript"/>
        </w:rPr>
        <w:instrText xml:space="preserve"> \* MERGEFORMAT </w:instrText>
      </w:r>
      <w:r w:rsidRPr="00B333B7">
        <w:rPr>
          <w:vertAlign w:val="superscript"/>
        </w:rPr>
      </w:r>
      <w:r w:rsidRPr="00B333B7">
        <w:rPr>
          <w:vertAlign w:val="superscript"/>
        </w:rPr>
        <w:fldChar w:fldCharType="separate"/>
      </w:r>
      <w:r w:rsidR="00F81787">
        <w:rPr>
          <w:vertAlign w:val="superscript"/>
        </w:rPr>
        <w:t>3</w:t>
      </w:r>
      <w:r w:rsidRPr="00B333B7">
        <w:rPr>
          <w:vertAlign w:val="superscript"/>
        </w:rPr>
        <w:fldChar w:fldCharType="end"/>
      </w:r>
      <w:r>
        <w:t xml:space="preserve"> The ACM commented that the EMA guideline implies recognition of a class effect of </w:t>
      </w:r>
      <w:proofErr w:type="spellStart"/>
      <w:r>
        <w:t>IVIgs</w:t>
      </w:r>
      <w:proofErr w:type="spellEnd"/>
      <w:r>
        <w:t xml:space="preserve"> in CIDP and other immunomodulatory indications. The ACM were also of the view that the safety of </w:t>
      </w:r>
      <w:proofErr w:type="spellStart"/>
      <w:r>
        <w:t>Kiovig</w:t>
      </w:r>
      <w:proofErr w:type="spellEnd"/>
      <w:r>
        <w:t xml:space="preserve"> has been established by wide post-marketing experience.</w:t>
      </w:r>
    </w:p>
    <w:p w14:paraId="45086531" w14:textId="77777777" w:rsidR="00B333B7" w:rsidRDefault="00B333B7" w:rsidP="00B333B7">
      <w:pPr>
        <w:pStyle w:val="Numberbullet0"/>
        <w:rPr>
          <w:b/>
          <w:i/>
        </w:rPr>
      </w:pPr>
      <w:r w:rsidRPr="00B333B7">
        <w:rPr>
          <w:b/>
          <w:i/>
        </w:rPr>
        <w:t>If appro</w:t>
      </w:r>
      <w:r>
        <w:rPr>
          <w:b/>
          <w:i/>
        </w:rPr>
        <w:t>vable now, consideration of:</w:t>
      </w:r>
    </w:p>
    <w:p w14:paraId="6E1ED633" w14:textId="77777777" w:rsidR="00B333B7" w:rsidRPr="00B333B7" w:rsidRDefault="00B333B7" w:rsidP="00B333B7">
      <w:pPr>
        <w:pStyle w:val="Numberbullet2"/>
        <w:rPr>
          <w:b/>
          <w:i/>
        </w:rPr>
      </w:pPr>
      <w:r w:rsidRPr="00B333B7">
        <w:rPr>
          <w:b/>
          <w:i/>
        </w:rPr>
        <w:t>Probable class statement requirement on non-interchangeability of IVIg products.</w:t>
      </w:r>
    </w:p>
    <w:p w14:paraId="300C54B8" w14:textId="77777777" w:rsidR="00B333B7" w:rsidRDefault="00B333B7" w:rsidP="00B333B7">
      <w:r>
        <w:t xml:space="preserve">The ACM emphasised that blood products are quite different from traditional drug products in the way they are manufactured, </w:t>
      </w:r>
      <w:proofErr w:type="gramStart"/>
      <w:r>
        <w:t>supplied</w:t>
      </w:r>
      <w:proofErr w:type="gramEnd"/>
      <w:r>
        <w:t xml:space="preserve"> and used. The ACM advised that in current clinical practice in Australia, IVIg products are used interchangeably based on National Blood Authority recommendations and funding, availability, and preference of the prescriber.</w:t>
      </w:r>
    </w:p>
    <w:p w14:paraId="641AE9CA" w14:textId="77777777" w:rsidR="00B333B7" w:rsidRDefault="00B333B7" w:rsidP="00B333B7">
      <w:r>
        <w:t>The ACM discussed the difference between the terms ‘interchangeable’ and ‘equivalent</w:t>
      </w:r>
      <w:proofErr w:type="gramStart"/>
      <w:r>
        <w:t>’, and</w:t>
      </w:r>
      <w:proofErr w:type="gramEnd"/>
      <w:r>
        <w:t xml:space="preserve"> emphasised that while IVIg products are interchangeable they are not considered to be equivalent, and have different side effect profiles.</w:t>
      </w:r>
    </w:p>
    <w:p w14:paraId="7787C724" w14:textId="77777777" w:rsidR="00B333B7" w:rsidRDefault="00B333B7" w:rsidP="00B333B7">
      <w:r>
        <w:t>The ACM were of the view that a class statement on the non-interchangeability of IVIg products is not required. If such a class statement were to be implemented by the TGA, the ACM advised that the wording would have to be carefully considered to account for current clinical practice in Australia. Potential wording for the PI could include:</w:t>
      </w:r>
    </w:p>
    <w:p w14:paraId="2EEFAB56" w14:textId="77777777" w:rsidR="00B333B7" w:rsidRPr="00B333B7" w:rsidRDefault="00B333B7" w:rsidP="00B333B7">
      <w:pPr>
        <w:ind w:left="720"/>
        <w:rPr>
          <w:i/>
        </w:rPr>
      </w:pPr>
      <w:r w:rsidRPr="00B333B7">
        <w:rPr>
          <w:i/>
        </w:rPr>
        <w:t xml:space="preserve">‘While </w:t>
      </w:r>
      <w:proofErr w:type="spellStart"/>
      <w:r w:rsidRPr="00B333B7">
        <w:rPr>
          <w:i/>
        </w:rPr>
        <w:t>IVIgs</w:t>
      </w:r>
      <w:proofErr w:type="spellEnd"/>
      <w:r w:rsidRPr="00B333B7">
        <w:rPr>
          <w:i/>
        </w:rPr>
        <w:t xml:space="preserve"> are interchangeable, they are not therapeutically equivalent in terms of efficacy and safety profiles.’</w:t>
      </w:r>
    </w:p>
    <w:p w14:paraId="3B8CD470" w14:textId="77777777" w:rsidR="00B333B7" w:rsidRPr="00B333B7" w:rsidRDefault="00B333B7" w:rsidP="00B333B7">
      <w:pPr>
        <w:pStyle w:val="Numberbullet2"/>
        <w:rPr>
          <w:b/>
          <w:i/>
        </w:rPr>
      </w:pPr>
      <w:r w:rsidRPr="00B333B7">
        <w:rPr>
          <w:b/>
          <w:i/>
        </w:rPr>
        <w:t>The requirement / necessity for the sponsor to produce data in similar situation for an IVIg product on the ARTG, going for extension of indication.</w:t>
      </w:r>
    </w:p>
    <w:p w14:paraId="24BEB07E" w14:textId="1B0CAFBA" w:rsidR="00B333B7" w:rsidRDefault="00B333B7" w:rsidP="00B333B7">
      <w:r>
        <w:t>The ACM advised that they are satisfied that the EMA guideline has been fulfilled by the current submission;</w:t>
      </w:r>
      <w:r w:rsidRPr="00B333B7">
        <w:rPr>
          <w:vertAlign w:val="superscript"/>
        </w:rPr>
        <w:fldChar w:fldCharType="begin"/>
      </w:r>
      <w:r w:rsidRPr="00B333B7">
        <w:rPr>
          <w:vertAlign w:val="superscript"/>
        </w:rPr>
        <w:instrText xml:space="preserve"> NOTEREF _Ref82138845 \h </w:instrText>
      </w:r>
      <w:r>
        <w:rPr>
          <w:vertAlign w:val="superscript"/>
        </w:rPr>
        <w:instrText xml:space="preserve"> \* MERGEFORMAT </w:instrText>
      </w:r>
      <w:r w:rsidRPr="00B333B7">
        <w:rPr>
          <w:vertAlign w:val="superscript"/>
        </w:rPr>
      </w:r>
      <w:r w:rsidRPr="00B333B7">
        <w:rPr>
          <w:vertAlign w:val="superscript"/>
        </w:rPr>
        <w:fldChar w:fldCharType="separate"/>
      </w:r>
      <w:r w:rsidR="00F81787">
        <w:rPr>
          <w:vertAlign w:val="superscript"/>
        </w:rPr>
        <w:t>3</w:t>
      </w:r>
      <w:r w:rsidRPr="00B333B7">
        <w:rPr>
          <w:vertAlign w:val="superscript"/>
        </w:rPr>
        <w:fldChar w:fldCharType="end"/>
      </w:r>
      <w:r>
        <w:t xml:space="preserve"> and that further data is not required from the sponsor for approval of the product. The ACM acknowledged that this could set a precedent for future extension of indication applications for other IVIg products, however ‘adequate justification’ (as per the EMA guideline) would need to be provided with each submission and considered by the TGA on a case-by-case basis, and would ideally include product-specific data.</w:t>
      </w:r>
    </w:p>
    <w:p w14:paraId="4285A984" w14:textId="77777777" w:rsidR="00B333B7" w:rsidRPr="00B333B7" w:rsidRDefault="00B333B7" w:rsidP="00B333B7">
      <w:pPr>
        <w:pStyle w:val="Numberbullet2"/>
        <w:rPr>
          <w:b/>
          <w:i/>
        </w:rPr>
      </w:pPr>
      <w:r w:rsidRPr="00B333B7">
        <w:rPr>
          <w:b/>
          <w:i/>
        </w:rPr>
        <w:t>Slight modification of the proposed indication to:</w:t>
      </w:r>
    </w:p>
    <w:p w14:paraId="1CC4FB55" w14:textId="77777777" w:rsidR="00B333B7" w:rsidRPr="00E87A72" w:rsidRDefault="00B333B7" w:rsidP="00B333B7">
      <w:pPr>
        <w:rPr>
          <w:i/>
        </w:rPr>
      </w:pPr>
      <w:r w:rsidRPr="00E87A72">
        <w:rPr>
          <w:i/>
        </w:rPr>
        <w:t>Chronic inflammatory demyelinating polyradiculoneuropathy (CIDP) in adults.</w:t>
      </w:r>
    </w:p>
    <w:p w14:paraId="4BEA9F34" w14:textId="77777777" w:rsidR="00B333B7" w:rsidRPr="00B333B7" w:rsidRDefault="00B333B7" w:rsidP="00B333B7">
      <w:r>
        <w:t>The ACM agreed that a CIDP indication is appropriate.</w:t>
      </w:r>
    </w:p>
    <w:p w14:paraId="02EA77FE" w14:textId="77777777" w:rsidR="00744121" w:rsidRDefault="00744121" w:rsidP="00744121">
      <w:pPr>
        <w:pStyle w:val="Heading5"/>
      </w:pPr>
      <w:r>
        <w:t>Conclusion</w:t>
      </w:r>
    </w:p>
    <w:p w14:paraId="780A068A" w14:textId="77777777" w:rsidR="00E137CF" w:rsidRPr="00E137CF" w:rsidRDefault="00E137CF" w:rsidP="00E137CF">
      <w:r>
        <w:t>The ACM considered this product to have an overall positive benefit-risk profile for a chronic inflammatory demyelinating polyradiculoneuropathy (CIDP) indication.</w:t>
      </w:r>
    </w:p>
    <w:p w14:paraId="33A9CFFA" w14:textId="77777777" w:rsidR="008E7846" w:rsidRPr="002E238E" w:rsidRDefault="008E7846" w:rsidP="008E7846">
      <w:pPr>
        <w:pStyle w:val="Heading3"/>
      </w:pPr>
      <w:bookmarkStart w:id="67" w:name="_Toc89339106"/>
      <w:r>
        <w:t>Outcome</w:t>
      </w:r>
      <w:bookmarkEnd w:id="65"/>
      <w:bookmarkEnd w:id="66"/>
      <w:bookmarkEnd w:id="67"/>
    </w:p>
    <w:p w14:paraId="149C6D55" w14:textId="77777777" w:rsidR="00744121" w:rsidRDefault="00744121" w:rsidP="00744121">
      <w:bookmarkStart w:id="68" w:name="_Toc247691533"/>
      <w:bookmarkStart w:id="69" w:name="_Toc314842517"/>
      <w:r>
        <w:t xml:space="preserve">Based on a review of quality, safety and efficacy, the TGA approved the registration of </w:t>
      </w:r>
      <w:proofErr w:type="spellStart"/>
      <w:r w:rsidR="00AB7BD4">
        <w:t>Kiovig</w:t>
      </w:r>
      <w:proofErr w:type="spellEnd"/>
      <w:r w:rsidR="00AB7BD4">
        <w:t xml:space="preserve"> (normal haemoglobin, human) 1 g/10 mL, 2.5 g/25mL, 5 g/50 mL, 10 g/100 mL, 20 g/200 mL, and 30 g/300 mL solution for injection (vial)</w:t>
      </w:r>
      <w:r w:rsidRPr="00250271">
        <w:t xml:space="preserve"> </w:t>
      </w:r>
      <w:r>
        <w:t>indicated for the following extension of indications:</w:t>
      </w:r>
    </w:p>
    <w:p w14:paraId="501B229B" w14:textId="77777777" w:rsidR="00AB7BD4" w:rsidRDefault="00AB7BD4" w:rsidP="00AB7BD4">
      <w:pPr>
        <w:ind w:left="720"/>
        <w:rPr>
          <w:i/>
        </w:rPr>
      </w:pPr>
      <w:proofErr w:type="spellStart"/>
      <w:r w:rsidRPr="00AB7BD4">
        <w:rPr>
          <w:i/>
        </w:rPr>
        <w:t>Kiovig</w:t>
      </w:r>
      <w:proofErr w:type="spellEnd"/>
      <w:r w:rsidRPr="00AB7BD4">
        <w:rPr>
          <w:i/>
        </w:rPr>
        <w:t xml:space="preserve"> administered intravenously is indicated for the treatment of Chronic inflammatory demyelinating polyradiculoneuropathy (CIDP) in adults</w:t>
      </w:r>
      <w:r>
        <w:rPr>
          <w:i/>
        </w:rPr>
        <w:t>.</w:t>
      </w:r>
    </w:p>
    <w:p w14:paraId="3C0B6E26" w14:textId="77777777" w:rsidR="00AB7BD4" w:rsidRPr="00AB7BD4" w:rsidRDefault="00AB7BD4" w:rsidP="00AB7BD4">
      <w:r>
        <w:t xml:space="preserve">As such, the full indications </w:t>
      </w:r>
      <w:proofErr w:type="gramStart"/>
      <w:r>
        <w:t>at this time</w:t>
      </w:r>
      <w:proofErr w:type="gramEnd"/>
      <w:r>
        <w:t xml:space="preserve"> were:</w:t>
      </w:r>
    </w:p>
    <w:p w14:paraId="1D8D797B" w14:textId="77777777" w:rsidR="00AB7BD4" w:rsidRPr="00C34350" w:rsidRDefault="00AB7BD4" w:rsidP="00AB7BD4">
      <w:pPr>
        <w:ind w:left="720"/>
        <w:rPr>
          <w:i/>
        </w:rPr>
      </w:pPr>
      <w:proofErr w:type="spellStart"/>
      <w:r w:rsidRPr="00C34350">
        <w:rPr>
          <w:i/>
        </w:rPr>
        <w:lastRenderedPageBreak/>
        <w:t>Kiovig</w:t>
      </w:r>
      <w:proofErr w:type="spellEnd"/>
      <w:r w:rsidR="00540FEB" w:rsidRPr="00C34350">
        <w:rPr>
          <w:i/>
        </w:rPr>
        <w:t xml:space="preserve"> administered </w:t>
      </w:r>
      <w:r w:rsidRPr="00C34350">
        <w:rPr>
          <w:i/>
        </w:rPr>
        <w:t>intravenously is indicated for:</w:t>
      </w:r>
    </w:p>
    <w:p w14:paraId="577A16B5" w14:textId="77777777" w:rsidR="00AB7BD4" w:rsidRPr="00C34350" w:rsidRDefault="00AB7BD4" w:rsidP="00FE6FD8">
      <w:pPr>
        <w:pStyle w:val="ListParagraph"/>
        <w:numPr>
          <w:ilvl w:val="0"/>
          <w:numId w:val="6"/>
        </w:numPr>
        <w:rPr>
          <w:i/>
        </w:rPr>
      </w:pPr>
      <w:r w:rsidRPr="00C34350">
        <w:rPr>
          <w:i/>
        </w:rPr>
        <w:t>Replacement therapy indications</w:t>
      </w:r>
    </w:p>
    <w:p w14:paraId="01C61259" w14:textId="77777777" w:rsidR="00AB7BD4" w:rsidRPr="00C34350" w:rsidRDefault="00540FEB" w:rsidP="00990E3E">
      <w:pPr>
        <w:ind w:left="1080"/>
        <w:rPr>
          <w:i/>
        </w:rPr>
      </w:pPr>
      <w:r w:rsidRPr="00C34350">
        <w:rPr>
          <w:i/>
        </w:rPr>
        <w:t>− Primary im</w:t>
      </w:r>
      <w:r w:rsidR="00AB7BD4" w:rsidRPr="00C34350">
        <w:rPr>
          <w:i/>
        </w:rPr>
        <w:t>munodeficiency disorders (PID</w:t>
      </w:r>
      <w:proofErr w:type="gramStart"/>
      <w:r w:rsidR="00AB7BD4" w:rsidRPr="00C34350">
        <w:rPr>
          <w:i/>
        </w:rPr>
        <w:t>);</w:t>
      </w:r>
      <w:proofErr w:type="gramEnd"/>
    </w:p>
    <w:p w14:paraId="26BA85B9" w14:textId="77777777" w:rsidR="00C34350" w:rsidRPr="00C34350" w:rsidRDefault="00540FEB" w:rsidP="00990E3E">
      <w:pPr>
        <w:ind w:left="1080"/>
        <w:rPr>
          <w:i/>
        </w:rPr>
      </w:pPr>
      <w:r w:rsidRPr="00C34350">
        <w:rPr>
          <w:i/>
        </w:rPr>
        <w:t xml:space="preserve">− Symptomatic </w:t>
      </w:r>
      <w:proofErr w:type="spellStart"/>
      <w:r w:rsidRPr="00C34350">
        <w:rPr>
          <w:i/>
        </w:rPr>
        <w:t>hypogammaglobulinaemia</w:t>
      </w:r>
      <w:proofErr w:type="spellEnd"/>
      <w:r w:rsidRPr="00C34350">
        <w:rPr>
          <w:i/>
        </w:rPr>
        <w:t xml:space="preserve"> secondary to u</w:t>
      </w:r>
      <w:r w:rsidR="00AB7BD4" w:rsidRPr="00C34350">
        <w:rPr>
          <w:i/>
        </w:rPr>
        <w:t>nderlying disease or treatment.</w:t>
      </w:r>
    </w:p>
    <w:p w14:paraId="5CA8D62F" w14:textId="77777777" w:rsidR="00C34350" w:rsidRPr="00C34350" w:rsidRDefault="00C34350" w:rsidP="00FE6FD8">
      <w:pPr>
        <w:pStyle w:val="ListParagraph"/>
        <w:numPr>
          <w:ilvl w:val="0"/>
          <w:numId w:val="6"/>
        </w:numPr>
        <w:rPr>
          <w:i/>
        </w:rPr>
      </w:pPr>
      <w:r w:rsidRPr="00C34350">
        <w:rPr>
          <w:i/>
        </w:rPr>
        <w:t>Immunomodulation indications</w:t>
      </w:r>
    </w:p>
    <w:p w14:paraId="542DC0F5" w14:textId="77777777" w:rsidR="00C34350" w:rsidRPr="00C34350" w:rsidRDefault="00540FEB" w:rsidP="00990E3E">
      <w:pPr>
        <w:ind w:left="1080"/>
        <w:rPr>
          <w:i/>
        </w:rPr>
      </w:pPr>
      <w:r w:rsidRPr="00C34350">
        <w:rPr>
          <w:i/>
        </w:rPr>
        <w:t>− Idiopathic thrombocytopenia purpura (ITP), in patients at high risk of bleeding or prior to surgery</w:t>
      </w:r>
      <w:r w:rsidR="00C34350" w:rsidRPr="00C34350">
        <w:rPr>
          <w:i/>
        </w:rPr>
        <w:t xml:space="preserve"> to correct the platelet </w:t>
      </w:r>
      <w:proofErr w:type="gramStart"/>
      <w:r w:rsidR="00C34350" w:rsidRPr="00C34350">
        <w:rPr>
          <w:i/>
        </w:rPr>
        <w:t>count;</w:t>
      </w:r>
      <w:proofErr w:type="gramEnd"/>
    </w:p>
    <w:p w14:paraId="7A5068D1" w14:textId="77777777" w:rsidR="00C34350" w:rsidRPr="00C34350" w:rsidRDefault="00540FEB" w:rsidP="00990E3E">
      <w:pPr>
        <w:ind w:left="1080"/>
        <w:rPr>
          <w:i/>
        </w:rPr>
      </w:pPr>
      <w:r w:rsidRPr="00C34350">
        <w:rPr>
          <w:i/>
        </w:rPr>
        <w:t>−</w:t>
      </w:r>
      <w:r w:rsidR="00C34350" w:rsidRPr="00C34350">
        <w:rPr>
          <w:i/>
        </w:rPr>
        <w:t xml:space="preserve"> Guillain Barré </w:t>
      </w:r>
      <w:proofErr w:type="gramStart"/>
      <w:r w:rsidR="00C34350" w:rsidRPr="00C34350">
        <w:rPr>
          <w:i/>
        </w:rPr>
        <w:t>Syndrome;</w:t>
      </w:r>
      <w:proofErr w:type="gramEnd"/>
    </w:p>
    <w:p w14:paraId="79D216C1" w14:textId="77777777" w:rsidR="00C34350" w:rsidRPr="00C34350" w:rsidRDefault="00540FEB" w:rsidP="00990E3E">
      <w:pPr>
        <w:ind w:left="1080"/>
        <w:rPr>
          <w:i/>
        </w:rPr>
      </w:pPr>
      <w:r w:rsidRPr="00C34350">
        <w:rPr>
          <w:i/>
        </w:rPr>
        <w:t>−</w:t>
      </w:r>
      <w:r w:rsidR="00C34350" w:rsidRPr="00C34350">
        <w:rPr>
          <w:i/>
        </w:rPr>
        <w:t xml:space="preserve"> Kawasaki </w:t>
      </w:r>
      <w:proofErr w:type="gramStart"/>
      <w:r w:rsidR="00C34350" w:rsidRPr="00C34350">
        <w:rPr>
          <w:i/>
        </w:rPr>
        <w:t>Disease;</w:t>
      </w:r>
      <w:proofErr w:type="gramEnd"/>
    </w:p>
    <w:p w14:paraId="0BBFDBA2" w14:textId="77777777" w:rsidR="00C34350" w:rsidRPr="00C34350" w:rsidRDefault="00540FEB" w:rsidP="00990E3E">
      <w:pPr>
        <w:ind w:left="1080"/>
        <w:rPr>
          <w:i/>
        </w:rPr>
      </w:pPr>
      <w:r w:rsidRPr="00C34350">
        <w:rPr>
          <w:i/>
        </w:rPr>
        <w:t>− Chronic inflammatory demyelinating polyradic</w:t>
      </w:r>
      <w:r w:rsidR="00C34350" w:rsidRPr="00C34350">
        <w:rPr>
          <w:i/>
        </w:rPr>
        <w:t>uloneuropathy (CIDP) in adults.</w:t>
      </w:r>
    </w:p>
    <w:p w14:paraId="5A599085" w14:textId="77777777" w:rsidR="00C34350" w:rsidRPr="00C34350" w:rsidRDefault="00540FEB" w:rsidP="00990E3E">
      <w:pPr>
        <w:ind w:left="1080"/>
        <w:rPr>
          <w:i/>
        </w:rPr>
      </w:pPr>
      <w:r w:rsidRPr="00C34350">
        <w:rPr>
          <w:i/>
        </w:rPr>
        <w:t>− Multi</w:t>
      </w:r>
      <w:r w:rsidR="00C34350" w:rsidRPr="00C34350">
        <w:rPr>
          <w:i/>
        </w:rPr>
        <w:t>focal Motor Neuropathy (MMN).</w:t>
      </w:r>
    </w:p>
    <w:p w14:paraId="390A20C6" w14:textId="77777777" w:rsidR="00C34350" w:rsidRPr="00C34350" w:rsidRDefault="00C34350" w:rsidP="00C34350">
      <w:pPr>
        <w:ind w:firstLine="720"/>
        <w:rPr>
          <w:i/>
        </w:rPr>
      </w:pPr>
      <w:proofErr w:type="spellStart"/>
      <w:r w:rsidRPr="00C34350">
        <w:rPr>
          <w:i/>
        </w:rPr>
        <w:t>Kiovig</w:t>
      </w:r>
      <w:proofErr w:type="spellEnd"/>
      <w:r w:rsidRPr="00C34350">
        <w:rPr>
          <w:i/>
        </w:rPr>
        <w:t xml:space="preserve"> </w:t>
      </w:r>
      <w:r w:rsidR="00540FEB" w:rsidRPr="00C34350">
        <w:rPr>
          <w:i/>
        </w:rPr>
        <w:t>administered s</w:t>
      </w:r>
      <w:r w:rsidRPr="00C34350">
        <w:rPr>
          <w:i/>
        </w:rPr>
        <w:t>ubcutaneously is indicated for:</w:t>
      </w:r>
    </w:p>
    <w:p w14:paraId="54981954" w14:textId="77777777" w:rsidR="00C34350" w:rsidRPr="00C34350" w:rsidRDefault="00C34350" w:rsidP="00FE6FD8">
      <w:pPr>
        <w:pStyle w:val="ListParagraph"/>
        <w:numPr>
          <w:ilvl w:val="0"/>
          <w:numId w:val="7"/>
        </w:numPr>
        <w:rPr>
          <w:i/>
        </w:rPr>
      </w:pPr>
      <w:r w:rsidRPr="00C34350">
        <w:rPr>
          <w:i/>
        </w:rPr>
        <w:t>Replacement therapy indications</w:t>
      </w:r>
    </w:p>
    <w:p w14:paraId="6A109DB4" w14:textId="77777777" w:rsidR="007D53B6" w:rsidRPr="00C34350" w:rsidRDefault="00540FEB" w:rsidP="00990E3E">
      <w:pPr>
        <w:ind w:left="1080"/>
        <w:rPr>
          <w:i/>
        </w:rPr>
      </w:pPr>
      <w:r w:rsidRPr="00C34350">
        <w:rPr>
          <w:i/>
        </w:rPr>
        <w:t>− Primary im</w:t>
      </w:r>
      <w:r w:rsidR="00C34350" w:rsidRPr="00C34350">
        <w:rPr>
          <w:i/>
        </w:rPr>
        <w:t>munodeficiency disorders (PID).</w:t>
      </w:r>
    </w:p>
    <w:p w14:paraId="1A7EFBB4" w14:textId="77777777" w:rsidR="00D23139" w:rsidRDefault="00D23139" w:rsidP="00D23139">
      <w:pPr>
        <w:pStyle w:val="Heading4"/>
      </w:pPr>
      <w:r w:rsidRPr="00D23139">
        <w:t>Specific conditions of registration applying to these goods</w:t>
      </w:r>
    </w:p>
    <w:p w14:paraId="148ADECB" w14:textId="77777777" w:rsidR="00AB7BD4" w:rsidRDefault="00AB7BD4" w:rsidP="00AB7BD4">
      <w:r>
        <w:t xml:space="preserve">This approval does not impose any requirement for the submission of periodic safety update reports (PSUR). You should note that it is a requirement that all existing requirements for the submission of PSURs </w:t>
      </w:r>
      <w:proofErr w:type="gramStart"/>
      <w:r>
        <w:t>as a consequence of</w:t>
      </w:r>
      <w:proofErr w:type="gramEnd"/>
      <w:r>
        <w:t xml:space="preserve"> the initial registration or subsequent changes must be completed. You are reminded that sections 29A and 29AA of the Therapeutic Goods Act 1989 provide for penalties where there has been failure to inform the Secretary in writing, as soon as a person has become aware, of:</w:t>
      </w:r>
    </w:p>
    <w:p w14:paraId="2E91C047" w14:textId="77777777" w:rsidR="00AB7BD4" w:rsidRDefault="00AB7BD4" w:rsidP="00AB7BD4">
      <w:r>
        <w:t xml:space="preserve">(a) information that contradicts information already given by the person under this </w:t>
      </w:r>
      <w:proofErr w:type="gramStart"/>
      <w:r>
        <w:t>Act;</w:t>
      </w:r>
      <w:proofErr w:type="gramEnd"/>
    </w:p>
    <w:p w14:paraId="288A35EB" w14:textId="77777777" w:rsidR="00AB7BD4" w:rsidRDefault="00AB7BD4" w:rsidP="00AB7BD4">
      <w:r>
        <w:t xml:space="preserve">(b) information that indicates that the use of the goods in accordance with the recommendations for their use may have an unintended harmful </w:t>
      </w:r>
      <w:proofErr w:type="gramStart"/>
      <w:r>
        <w:t>effect;</w:t>
      </w:r>
      <w:proofErr w:type="gramEnd"/>
    </w:p>
    <w:p w14:paraId="59432ED8" w14:textId="77777777" w:rsidR="00AB7BD4" w:rsidRDefault="00AB7BD4" w:rsidP="00AB7BD4">
      <w:r>
        <w:t>(c) information that indicates that the goods, when used in accordance with the recommendations for their use, may not be as effective as the application for registration or listing of the goods or information already given by the person under this Act suggests;</w:t>
      </w:r>
    </w:p>
    <w:p w14:paraId="0168F056" w14:textId="77777777" w:rsidR="00AB7BD4" w:rsidRPr="00AB7BD4" w:rsidRDefault="00AB7BD4" w:rsidP="00AB7BD4">
      <w:r>
        <w:t xml:space="preserve">(d) information that indicates that the quality, </w:t>
      </w:r>
      <w:proofErr w:type="gramStart"/>
      <w:r>
        <w:t>safety</w:t>
      </w:r>
      <w:proofErr w:type="gramEnd"/>
      <w:r>
        <w:t xml:space="preserve"> or efficacy of the goods is unacceptable.</w:t>
      </w:r>
    </w:p>
    <w:p w14:paraId="31D8BAE1" w14:textId="77777777" w:rsidR="008E7846" w:rsidRDefault="00A80B5B" w:rsidP="00D23139">
      <w:pPr>
        <w:pStyle w:val="Heading2"/>
      </w:pPr>
      <w:bookmarkStart w:id="70" w:name="_Toc89339107"/>
      <w:r>
        <w:t xml:space="preserve">Attachment 1. </w:t>
      </w:r>
      <w:r w:rsidR="008E7846">
        <w:t xml:space="preserve">Product </w:t>
      </w:r>
      <w:r w:rsidR="00AA0ED0">
        <w:t>I</w:t>
      </w:r>
      <w:r w:rsidR="008E7846">
        <w:t>nformation</w:t>
      </w:r>
      <w:bookmarkEnd w:id="68"/>
      <w:bookmarkEnd w:id="69"/>
      <w:bookmarkEnd w:id="70"/>
    </w:p>
    <w:p w14:paraId="628626F3" w14:textId="2AAC5554" w:rsidR="00291957" w:rsidRPr="006A73A4" w:rsidRDefault="006136D7" w:rsidP="006A73A4">
      <w:pPr>
        <w:rPr>
          <w:color w:val="000000"/>
          <w:lang w:eastAsia="en-AU"/>
        </w:rPr>
      </w:pPr>
      <w:r w:rsidRPr="002B3624">
        <w:t xml:space="preserve">The </w:t>
      </w:r>
      <w:r>
        <w:t>PI</w:t>
      </w:r>
      <w:r w:rsidRPr="002B3624">
        <w:t xml:space="preserve"> for </w:t>
      </w:r>
      <w:proofErr w:type="spellStart"/>
      <w:r w:rsidR="00AB7BD4">
        <w:t>Kiovig</w:t>
      </w:r>
      <w:proofErr w:type="spellEnd"/>
      <w:r w:rsidR="00AB7BD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2" w:history="1">
        <w:r w:rsidR="007C6B9B" w:rsidRPr="007C6B9B">
          <w:rPr>
            <w:rStyle w:val="Hyperlink"/>
          </w:rPr>
          <w:t>https://www.tga.gov.au/product-information-pi</w:t>
        </w:r>
      </w:hyperlink>
      <w:r w:rsidR="00AB7BD4">
        <w:t>&gt;.</w:t>
      </w:r>
    </w:p>
    <w:p w14:paraId="4F911C1E" w14:textId="77777777" w:rsidR="00744121" w:rsidRDefault="00744121" w:rsidP="00744121">
      <w:pPr>
        <w:rPr>
          <w:lang w:eastAsia="ja-JP"/>
        </w:rPr>
      </w:pPr>
    </w:p>
    <w:p w14:paraId="0CF09959" w14:textId="77777777" w:rsidR="00C80137" w:rsidRPr="001D043B" w:rsidRDefault="00C80137" w:rsidP="003A7F6C">
      <w:pPr>
        <w:pStyle w:val="TableTitle"/>
        <w:sectPr w:rsidR="00C80137" w:rsidRPr="001D043B" w:rsidSect="00B452CE">
          <w:headerReference w:type="even" r:id="rId23"/>
          <w:headerReference w:type="default" r:id="rId24"/>
          <w:headerReference w:type="first" r:id="rId25"/>
          <w:footerReference w:type="first" r:id="rId2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0530E33" w14:textId="77777777" w:rsidTr="00A05FA4">
        <w:trPr>
          <w:trHeight w:hRule="exact" w:val="704"/>
        </w:trPr>
        <w:tc>
          <w:tcPr>
            <w:tcW w:w="9175" w:type="dxa"/>
          </w:tcPr>
          <w:p w14:paraId="053794C5" w14:textId="77777777" w:rsidR="001C32CD" w:rsidRPr="00487162" w:rsidRDefault="001C32CD" w:rsidP="00A05FA4">
            <w:pPr>
              <w:pStyle w:val="TGASignoff"/>
            </w:pPr>
            <w:r w:rsidRPr="00487162">
              <w:lastRenderedPageBreak/>
              <w:t>Therapeutic Goods Administration</w:t>
            </w:r>
          </w:p>
        </w:tc>
      </w:tr>
      <w:tr w:rsidR="001C32CD" w:rsidRPr="004C239D" w14:paraId="24A4F92E" w14:textId="77777777" w:rsidTr="00A05FA4">
        <w:trPr>
          <w:trHeight w:val="1221"/>
        </w:trPr>
        <w:tc>
          <w:tcPr>
            <w:tcW w:w="9175" w:type="dxa"/>
            <w:tcMar>
              <w:top w:w="28" w:type="dxa"/>
            </w:tcMar>
          </w:tcPr>
          <w:p w14:paraId="4D54A30D" w14:textId="77777777" w:rsidR="001C32CD" w:rsidRPr="00487162" w:rsidRDefault="001C32CD" w:rsidP="00A05FA4">
            <w:pPr>
              <w:pStyle w:val="Address"/>
            </w:pPr>
            <w:r w:rsidRPr="00487162">
              <w:t>PO Box 100 Woden ACT 2606 Australia</w:t>
            </w:r>
          </w:p>
          <w:p w14:paraId="43001279" w14:textId="30524B49" w:rsidR="001C32CD" w:rsidRPr="00487162" w:rsidRDefault="001C32CD" w:rsidP="00A05FA4">
            <w:pPr>
              <w:pStyle w:val="Address"/>
            </w:pPr>
            <w:r w:rsidRPr="00487162">
              <w:t xml:space="preserve">Email: </w:t>
            </w:r>
            <w:hyperlink r:id="rId27"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74D1833F" w14:textId="601F0C34" w:rsidR="001C32CD" w:rsidRPr="004C239D" w:rsidRDefault="005137AB" w:rsidP="00A05FA4">
            <w:pPr>
              <w:pStyle w:val="Address"/>
              <w:spacing w:line="260" w:lineRule="atLeast"/>
              <w:rPr>
                <w:b/>
                <w:color w:val="0000FF"/>
                <w:u w:val="single"/>
              </w:rPr>
            </w:pPr>
            <w:hyperlink r:id="rId28" w:history="1">
              <w:r w:rsidR="007C6B9B" w:rsidRPr="007C6B9B">
                <w:rPr>
                  <w:rStyle w:val="Hyperlink"/>
                  <w:b/>
                </w:rPr>
                <w:t>https://www.tga.gov.au</w:t>
              </w:r>
            </w:hyperlink>
          </w:p>
        </w:tc>
      </w:tr>
    </w:tbl>
    <w:p w14:paraId="67F825C3" w14:textId="77777777" w:rsidR="00774E1D" w:rsidRPr="008A5E0B" w:rsidRDefault="00774E1D" w:rsidP="004C239D"/>
    <w:sectPr w:rsidR="00774E1D" w:rsidRPr="008A5E0B" w:rsidSect="001C32CD">
      <w:headerReference w:type="even" r:id="rId29"/>
      <w:headerReference w:type="default" r:id="rId30"/>
      <w:footerReference w:type="default" r:id="rId31"/>
      <w:headerReference w:type="first" r:id="rId32"/>
      <w:footerReference w:type="first" r:id="rId3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281A3A" w14:textId="77777777" w:rsidR="00D23A82" w:rsidRDefault="00D23A82" w:rsidP="00C40A36">
      <w:pPr>
        <w:spacing w:after="0"/>
      </w:pPr>
      <w:r>
        <w:separator/>
      </w:r>
    </w:p>
  </w:endnote>
  <w:endnote w:type="continuationSeparator" w:id="0">
    <w:p w14:paraId="75AC70AA" w14:textId="77777777" w:rsidR="00D23A82" w:rsidRDefault="00D23A8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SourceSansPro-Regular">
    <w:altName w:val="Calibri"/>
    <w:panose1 w:val="00000000000000000000"/>
    <w:charset w:val="00"/>
    <w:family w:val="modern"/>
    <w:notTrueType/>
    <w:pitch w:val="default"/>
    <w:sig w:usb0="00000003" w:usb1="00000000" w:usb2="00000000" w:usb3="00000000" w:csb0="00000001" w:csb1="00000000"/>
  </w:font>
  <w:font w:name="SourceSansPro-It">
    <w:altName w:val="Calibri"/>
    <w:panose1 w:val="00000000000000000000"/>
    <w:charset w:val="00"/>
    <w:family w:val="modern"/>
    <w:notTrueType/>
    <w:pitch w:val="default"/>
    <w:sig w:usb0="00000003" w:usb1="00000000" w:usb2="00000000" w:usb3="00000000" w:csb0="00000001" w:csb1="00000000"/>
  </w:font>
  <w:font w:name="SourceSansPro-Bold">
    <w:altName w:val="Calibri"/>
    <w:panose1 w:val="00000000000000000000"/>
    <w:charset w:val="00"/>
    <w:family w:val="moder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2AAAF" w14:textId="77777777" w:rsidR="00D23A82" w:rsidRDefault="00D23A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D23A82" w:rsidRPr="00487162" w14:paraId="0853A4FA" w14:textId="77777777" w:rsidTr="00DB750B">
      <w:trPr>
        <w:trHeight w:val="269"/>
      </w:trPr>
      <w:tc>
        <w:tcPr>
          <w:tcW w:w="7371" w:type="dxa"/>
          <w:tcMar>
            <w:top w:w="142" w:type="dxa"/>
            <w:bottom w:w="0" w:type="dxa"/>
          </w:tcMar>
        </w:tcPr>
        <w:p w14:paraId="1660F3BE" w14:textId="467ABF1F" w:rsidR="00D23A82" w:rsidRPr="00487162" w:rsidRDefault="00D23A82" w:rsidP="00330668">
          <w:pPr>
            <w:pStyle w:val="Footer"/>
          </w:pPr>
          <w:proofErr w:type="spellStart"/>
          <w:r w:rsidRPr="00487162">
            <w:t>AusPA</w:t>
          </w:r>
          <w:r>
            <w:t>R</w:t>
          </w:r>
          <w:proofErr w:type="spellEnd"/>
          <w:r>
            <w:t xml:space="preserve"> - </w:t>
          </w:r>
          <w:proofErr w:type="spellStart"/>
          <w:r>
            <w:t>Kiovig</w:t>
          </w:r>
          <w:proofErr w:type="spellEnd"/>
          <w:r w:rsidRPr="00460036">
            <w:t xml:space="preserve"> </w:t>
          </w:r>
          <w:r>
            <w:t>– normal immunoglobulin (human) – Takeda Pharmaceuticals Australia Pty Ltd Sponsor PM-2020-02469-1-1</w:t>
          </w:r>
          <w:r>
            <w:br/>
            <w:t>FINAL 24 November 2021</w:t>
          </w:r>
        </w:p>
      </w:tc>
      <w:tc>
        <w:tcPr>
          <w:tcW w:w="1490" w:type="dxa"/>
          <w:tcMar>
            <w:top w:w="142" w:type="dxa"/>
            <w:bottom w:w="0" w:type="dxa"/>
          </w:tcMar>
        </w:tcPr>
        <w:p w14:paraId="207374C6" w14:textId="3B640DAD" w:rsidR="00D23A82" w:rsidRPr="00487162" w:rsidRDefault="00D23A82" w:rsidP="00DB750B">
          <w:pPr>
            <w:pStyle w:val="Footer"/>
            <w:jc w:val="right"/>
          </w:pPr>
          <w:r w:rsidRPr="00487162">
            <w:t xml:space="preserve">Page </w:t>
          </w:r>
          <w:r>
            <w:fldChar w:fldCharType="begin"/>
          </w:r>
          <w:r>
            <w:instrText xml:space="preserve"> PAGE  \* Arabic </w:instrText>
          </w:r>
          <w:r>
            <w:fldChar w:fldCharType="separate"/>
          </w:r>
          <w:r>
            <w:rPr>
              <w:noProof/>
            </w:rPr>
            <w:t>4</w:t>
          </w:r>
          <w:r>
            <w:fldChar w:fldCharType="end"/>
          </w:r>
          <w:r w:rsidRPr="00487162">
            <w:t xml:space="preserve"> of </w:t>
          </w:r>
          <w:r w:rsidR="005137AB">
            <w:fldChar w:fldCharType="begin"/>
          </w:r>
          <w:r w:rsidR="005137AB">
            <w:instrText xml:space="preserve"> NUMPAGES  \* Arabic </w:instrText>
          </w:r>
          <w:r w:rsidR="005137AB">
            <w:fldChar w:fldCharType="separate"/>
          </w:r>
          <w:r>
            <w:rPr>
              <w:noProof/>
            </w:rPr>
            <w:t>56</w:t>
          </w:r>
          <w:r w:rsidR="005137AB">
            <w:rPr>
              <w:noProof/>
            </w:rPr>
            <w:fldChar w:fldCharType="end"/>
          </w:r>
        </w:p>
      </w:tc>
    </w:tr>
  </w:tbl>
  <w:p w14:paraId="0BECC485" w14:textId="77777777" w:rsidR="00D23A82" w:rsidRDefault="00D23A82"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74A1D" w14:textId="77777777" w:rsidR="00D23A82" w:rsidRDefault="00D23A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23A82" w:rsidRPr="00487162" w14:paraId="767D134B" w14:textId="77777777" w:rsidTr="00E45619">
      <w:trPr>
        <w:trHeight w:val="269"/>
      </w:trPr>
      <w:tc>
        <w:tcPr>
          <w:tcW w:w="4519" w:type="dxa"/>
          <w:tcBorders>
            <w:top w:val="single" w:sz="4" w:space="0" w:color="auto"/>
          </w:tcBorders>
          <w:tcMar>
            <w:top w:w="142" w:type="dxa"/>
            <w:bottom w:w="0" w:type="dxa"/>
          </w:tcMar>
        </w:tcPr>
        <w:p w14:paraId="22B1B635" w14:textId="77777777" w:rsidR="00D23A82" w:rsidRPr="00487162" w:rsidRDefault="00D23A82" w:rsidP="00FE1DEE">
          <w:pPr>
            <w:pStyle w:val="Footer"/>
          </w:pPr>
          <w:r w:rsidRPr="00487162">
            <w:t>Document title, Part #, Section # - Section title</w:t>
          </w:r>
        </w:p>
        <w:p w14:paraId="16A7C92D" w14:textId="77777777" w:rsidR="00D23A82" w:rsidRPr="00487162" w:rsidRDefault="00D23A82" w:rsidP="00FE1DEE">
          <w:pPr>
            <w:pStyle w:val="Footer"/>
          </w:pPr>
          <w:r w:rsidRPr="00487162">
            <w:t>V1.0 October 2010</w:t>
          </w:r>
        </w:p>
      </w:tc>
      <w:tc>
        <w:tcPr>
          <w:tcW w:w="4342" w:type="dxa"/>
          <w:tcBorders>
            <w:top w:val="single" w:sz="4" w:space="0" w:color="auto"/>
          </w:tcBorders>
          <w:tcMar>
            <w:top w:w="142" w:type="dxa"/>
            <w:bottom w:w="0" w:type="dxa"/>
          </w:tcMar>
        </w:tcPr>
        <w:p w14:paraId="3DDD867C" w14:textId="77777777" w:rsidR="00D23A82" w:rsidRPr="00487162" w:rsidRDefault="00D23A8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5137AB">
            <w:fldChar w:fldCharType="begin"/>
          </w:r>
          <w:r w:rsidR="005137AB">
            <w:instrText xml:space="preserve"> NUMPAGES  </w:instrText>
          </w:r>
          <w:r w:rsidR="005137AB">
            <w:fldChar w:fldCharType="separate"/>
          </w:r>
          <w:r>
            <w:rPr>
              <w:noProof/>
            </w:rPr>
            <w:t>3</w:t>
          </w:r>
          <w:r w:rsidR="005137AB">
            <w:rPr>
              <w:noProof/>
            </w:rPr>
            <w:fldChar w:fldCharType="end"/>
          </w:r>
        </w:p>
      </w:tc>
    </w:tr>
  </w:tbl>
  <w:p w14:paraId="375A12B1" w14:textId="77777777" w:rsidR="00D23A82" w:rsidRDefault="00D23A82">
    <w:pPr>
      <w:pStyle w:val="Footer"/>
    </w:pPr>
  </w:p>
  <w:p w14:paraId="158BE041" w14:textId="77777777" w:rsidR="00D23A82" w:rsidRDefault="00D23A82"/>
  <w:p w14:paraId="3226C9D2" w14:textId="77777777" w:rsidR="00D23A82" w:rsidRDefault="00D23A82"/>
  <w:p w14:paraId="15195D93" w14:textId="77777777" w:rsidR="00D23A82" w:rsidRDefault="00D23A82"/>
  <w:p w14:paraId="0927938B" w14:textId="77777777" w:rsidR="00D23A82" w:rsidRDefault="00D23A82"/>
  <w:p w14:paraId="4E53E561" w14:textId="77777777" w:rsidR="00D23A82" w:rsidRDefault="00D23A82"/>
  <w:p w14:paraId="0393A8B0" w14:textId="77777777" w:rsidR="00D23A82" w:rsidRDefault="00D23A82"/>
  <w:p w14:paraId="52BB115F" w14:textId="77777777" w:rsidR="00D23A82" w:rsidRDefault="00D23A82"/>
  <w:p w14:paraId="6D965482" w14:textId="77777777" w:rsidR="00D23A82" w:rsidRDefault="00D23A82"/>
  <w:p w14:paraId="3B34E7C1" w14:textId="77777777" w:rsidR="00D23A82" w:rsidRDefault="00D23A8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6CC3C" w14:textId="77777777" w:rsidR="00D23A82" w:rsidRPr="001C32CD" w:rsidRDefault="00D23A82"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23A82" w14:paraId="23C676F6" w14:textId="77777777" w:rsidTr="0010601F">
      <w:trPr>
        <w:trHeight w:val="108"/>
      </w:trPr>
      <w:tc>
        <w:tcPr>
          <w:tcW w:w="8875" w:type="dxa"/>
          <w:gridSpan w:val="2"/>
          <w:tcBorders>
            <w:bottom w:val="single" w:sz="4" w:space="0" w:color="auto"/>
          </w:tcBorders>
          <w:tcMar>
            <w:right w:w="284" w:type="dxa"/>
          </w:tcMar>
        </w:tcPr>
        <w:p w14:paraId="48354D0D" w14:textId="77777777" w:rsidR="00D23A82" w:rsidRDefault="00D23A82" w:rsidP="006E08B3">
          <w:pPr>
            <w:pStyle w:val="Heading3"/>
          </w:pPr>
          <w:r>
            <w:t>Copyright</w:t>
          </w:r>
        </w:p>
        <w:p w14:paraId="3FD9DA2B" w14:textId="77777777" w:rsidR="00D23A82" w:rsidRDefault="00D23A82" w:rsidP="006E08B3">
          <w:r>
            <w:rPr>
              <w:rFonts w:cs="Arial"/>
            </w:rPr>
            <w:t>©</w:t>
          </w:r>
          <w:r>
            <w:t xml:space="preserve"> Commonwealth of Australia [add year]</w:t>
          </w:r>
        </w:p>
        <w:p w14:paraId="2393736C" w14:textId="77777777" w:rsidR="00D23A82" w:rsidRDefault="00D23A82" w:rsidP="006E08B3"/>
        <w:p w14:paraId="6ABFBADE" w14:textId="77777777" w:rsidR="00D23A82" w:rsidRDefault="00D23A8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5870BF2C" w14:textId="77777777" w:rsidR="00D23A82" w:rsidRDefault="00D23A82" w:rsidP="006E08B3"/>
        <w:p w14:paraId="7862E3BB" w14:textId="77777777" w:rsidR="00D23A82" w:rsidRDefault="00D23A82" w:rsidP="006E08B3">
          <w:pPr>
            <w:pStyle w:val="Heading3"/>
          </w:pPr>
          <w:r>
            <w:t>Confidentiality</w:t>
          </w:r>
        </w:p>
        <w:p w14:paraId="04C77A98" w14:textId="77777777" w:rsidR="00D23A82" w:rsidRDefault="00D23A8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3B6BDDB" w14:textId="77777777" w:rsidR="00D23A82" w:rsidRDefault="00D23A82" w:rsidP="006E08B3"/>
        <w:p w14:paraId="449E73F1" w14:textId="77777777" w:rsidR="00D23A82" w:rsidRDefault="00D23A82" w:rsidP="006E08B3">
          <w:r>
            <w:t>For submission made by individuals, all personal details, other than your name, will be removed from your submission before it is published on the TGA’s Internet site.</w:t>
          </w:r>
        </w:p>
        <w:p w14:paraId="0DD2C849" w14:textId="77777777" w:rsidR="00D23A82" w:rsidRDefault="00D23A82" w:rsidP="006E08B3"/>
        <w:p w14:paraId="6A5A42ED" w14:textId="77777777" w:rsidR="00D23A82" w:rsidRDefault="00D23A8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23A82" w14:paraId="50BFF48C" w14:textId="77777777" w:rsidTr="0010601F">
      <w:trPr>
        <w:trHeight w:val="417"/>
      </w:trPr>
      <w:tc>
        <w:tcPr>
          <w:tcW w:w="4519" w:type="dxa"/>
          <w:tcBorders>
            <w:top w:val="single" w:sz="4" w:space="0" w:color="auto"/>
          </w:tcBorders>
          <w:tcMar>
            <w:top w:w="142" w:type="dxa"/>
            <w:bottom w:w="0" w:type="dxa"/>
          </w:tcMar>
        </w:tcPr>
        <w:p w14:paraId="0FCE6E52" w14:textId="77777777" w:rsidR="00D23A82" w:rsidRDefault="00D23A82" w:rsidP="006E08B3">
          <w:r>
            <w:t>Document title, Part #, Section # - Section title</w:t>
          </w:r>
        </w:p>
        <w:p w14:paraId="7D6B070B" w14:textId="77777777" w:rsidR="00D23A82" w:rsidRDefault="00D23A82" w:rsidP="006E08B3">
          <w:r>
            <w:t>V1.0 October 2010</w:t>
          </w:r>
        </w:p>
      </w:tc>
      <w:tc>
        <w:tcPr>
          <w:tcW w:w="4356" w:type="dxa"/>
          <w:tcBorders>
            <w:top w:val="single" w:sz="4" w:space="0" w:color="auto"/>
          </w:tcBorders>
          <w:tcMar>
            <w:top w:w="142" w:type="dxa"/>
            <w:bottom w:w="0" w:type="dxa"/>
          </w:tcMar>
        </w:tcPr>
        <w:p w14:paraId="0DFA273D" w14:textId="77777777" w:rsidR="00D23A82" w:rsidRDefault="00D23A8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5137AB">
            <w:fldChar w:fldCharType="begin"/>
          </w:r>
          <w:r w:rsidR="005137AB">
            <w:instrText xml:space="preserve"> NUMPAGES  \* Arabic </w:instrText>
          </w:r>
          <w:r w:rsidR="005137AB">
            <w:fldChar w:fldCharType="separate"/>
          </w:r>
          <w:r>
            <w:rPr>
              <w:noProof/>
            </w:rPr>
            <w:t>3</w:t>
          </w:r>
          <w:r w:rsidR="005137AB">
            <w:rPr>
              <w:noProof/>
            </w:rPr>
            <w:fldChar w:fldCharType="end"/>
          </w:r>
          <w:r>
            <w:t xml:space="preserve">  </w:t>
          </w:r>
        </w:p>
      </w:tc>
    </w:tr>
  </w:tbl>
  <w:p w14:paraId="6F159133" w14:textId="77777777" w:rsidR="00D23A82" w:rsidRDefault="00D23A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C3AF6" w14:textId="77777777" w:rsidR="00D23A82" w:rsidRDefault="00D23A82" w:rsidP="00C40A36">
      <w:pPr>
        <w:spacing w:after="0"/>
      </w:pPr>
      <w:r>
        <w:separator/>
      </w:r>
    </w:p>
  </w:footnote>
  <w:footnote w:type="continuationSeparator" w:id="0">
    <w:p w14:paraId="271BEB1B" w14:textId="77777777" w:rsidR="00D23A82" w:rsidRDefault="00D23A82" w:rsidP="00C40A36">
      <w:pPr>
        <w:spacing w:after="0"/>
      </w:pPr>
      <w:r>
        <w:continuationSeparator/>
      </w:r>
    </w:p>
  </w:footnote>
  <w:footnote w:id="1">
    <w:p w14:paraId="44DE75ED" w14:textId="77777777" w:rsidR="00D23A82" w:rsidRDefault="00D23A82">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255EDCEA" w14:textId="77777777" w:rsidR="00D23A82" w:rsidRPr="00D616D6" w:rsidRDefault="00D23A82">
      <w:pPr>
        <w:pStyle w:val="FootnoteText"/>
        <w:rPr>
          <w:lang w:val="en-US"/>
        </w:rPr>
      </w:pPr>
      <w:r>
        <w:rPr>
          <w:rStyle w:val="FootnoteReference"/>
        </w:rPr>
        <w:footnoteRef/>
      </w:r>
      <w:r>
        <w:t xml:space="preserve"> Note, the original sponsor at the time of submission was Shire Australia Pty Ltd. During the timeframe in which this submission was considered for approval, the named sponsor for this submission changed to Takeda Pharmaceuticals Australia Pty Ltd. For clarity and ease of understanding, Takeda Pharmaceuticals Australia Pty Ltd has been used as throughout this AusPAR.</w:t>
      </w:r>
    </w:p>
  </w:footnote>
  <w:footnote w:id="3">
    <w:p w14:paraId="434DD25A" w14:textId="77777777" w:rsidR="00D23A82" w:rsidRPr="00725847" w:rsidRDefault="00D23A82">
      <w:pPr>
        <w:pStyle w:val="FootnoteText"/>
        <w:rPr>
          <w:lang w:val="en-US"/>
        </w:rPr>
      </w:pPr>
      <w:r>
        <w:rPr>
          <w:rStyle w:val="FootnoteReference"/>
        </w:rPr>
        <w:footnoteRef/>
      </w:r>
      <w:r>
        <w:t xml:space="preserve"> European Medicines Agency (EMA): </w:t>
      </w:r>
      <w:r w:rsidRPr="00725847">
        <w:t>EMA/CHMP/BPWP/94033/2007 rev. 4 Guideline on the clinical investigation of human normal immunoglobulin for intravenous ad</w:t>
      </w:r>
      <w:r>
        <w:t>ministration (IVIg) (draft), 17 September </w:t>
      </w:r>
      <w:r w:rsidRPr="00725847">
        <w:t>2020</w:t>
      </w:r>
      <w:r>
        <w:t xml:space="preserve">. Available at: </w:t>
      </w:r>
      <w:r w:rsidRPr="00725847">
        <w:t>https://www.ema.europa.eu/en/documents/scientific-guideline/draft-guideline-clinical-investigation-human-normal-immunoglobulin-intravenous-administration-ivig_en-1.pdf</w:t>
      </w:r>
    </w:p>
  </w:footnote>
  <w:footnote w:id="4">
    <w:p w14:paraId="1B8B9C44" w14:textId="77777777" w:rsidR="00D23A82" w:rsidRPr="001F4171" w:rsidRDefault="00D23A82">
      <w:pPr>
        <w:pStyle w:val="FootnoteText"/>
        <w:rPr>
          <w:lang w:val="en-US"/>
        </w:rPr>
      </w:pPr>
      <w:r>
        <w:rPr>
          <w:rStyle w:val="FootnoteReference"/>
        </w:rPr>
        <w:footnoteRef/>
      </w:r>
      <w:r>
        <w:t xml:space="preserve"> TGA: Literature-based submissions. Therapeutic Goods Administration, Canberra.</w:t>
      </w:r>
      <w:r>
        <w:br/>
        <w:t xml:space="preserve">Available at: </w:t>
      </w:r>
      <w:r w:rsidRPr="001F4171">
        <w:t>https://www.tga.gov.au/publication/literature-based-submissions</w:t>
      </w:r>
    </w:p>
  </w:footnote>
  <w:footnote w:id="5">
    <w:p w14:paraId="55F6A0D0" w14:textId="77777777" w:rsidR="00D23A82" w:rsidRPr="00FE045D" w:rsidRDefault="00D23A82">
      <w:pPr>
        <w:pStyle w:val="FootnoteText"/>
        <w:rPr>
          <w:lang w:val="en-US"/>
        </w:rPr>
      </w:pPr>
      <w:r>
        <w:rPr>
          <w:rStyle w:val="FootnoteReference"/>
        </w:rPr>
        <w:footnoteRef/>
      </w:r>
      <w:r>
        <w:t xml:space="preserve"> European Medicines Agency </w:t>
      </w:r>
      <w:r w:rsidRPr="00FE045D">
        <w:t>(EMA) Guideline on clinical trials in small populations (CHMP/EWP/83561/2005: 27 July 2006).</w:t>
      </w:r>
    </w:p>
  </w:footnote>
  <w:footnote w:id="6">
    <w:p w14:paraId="718429AB" w14:textId="77777777" w:rsidR="00D23A82" w:rsidRDefault="00D23A82" w:rsidP="00FE045D">
      <w:pPr>
        <w:pStyle w:val="FootnoteText"/>
      </w:pPr>
      <w:r>
        <w:rPr>
          <w:rStyle w:val="FootnoteReference"/>
        </w:rPr>
        <w:footnoteRef/>
      </w:r>
      <w:r>
        <w:t xml:space="preserve"> European Medicines Agency (EMA) Points to consider on application with 1. Meta-analyses; 2. One pivotal study (CPMP/EWP/2330/99: 31 May 2001).</w:t>
      </w:r>
    </w:p>
    <w:p w14:paraId="763F8AB7" w14:textId="77777777" w:rsidR="00D23A82" w:rsidRPr="00FE045D" w:rsidRDefault="00D23A82" w:rsidP="00FE045D">
      <w:pPr>
        <w:pStyle w:val="FootnoteText"/>
        <w:rPr>
          <w:lang w:val="en-US"/>
        </w:rPr>
      </w:pPr>
      <w:r>
        <w:t>https://www.ema.europa.eu/en/documents/scientific-guideline/points-consider-application-1meta-analyses-2one-pivotal-study_en.pdf</w:t>
      </w:r>
    </w:p>
  </w:footnote>
  <w:footnote w:id="7">
    <w:p w14:paraId="7EB98996" w14:textId="77777777" w:rsidR="00D23A82" w:rsidRPr="003C29E6" w:rsidRDefault="00D23A82">
      <w:pPr>
        <w:pStyle w:val="FootnoteText"/>
        <w:rPr>
          <w:lang w:val="en-US"/>
        </w:rPr>
      </w:pPr>
      <w:r>
        <w:rPr>
          <w:rStyle w:val="FootnoteReference"/>
        </w:rPr>
        <w:footnoteRef/>
      </w:r>
      <w:r>
        <w:t xml:space="preserve"> </w:t>
      </w:r>
      <w:r w:rsidRPr="003C29E6">
        <w:t xml:space="preserve">Hughes RA, Donofrio P, </w:t>
      </w:r>
      <w:proofErr w:type="spellStart"/>
      <w:r w:rsidRPr="003C29E6">
        <w:t>Bril</w:t>
      </w:r>
      <w:proofErr w:type="spellEnd"/>
      <w:r w:rsidRPr="003C29E6">
        <w:t xml:space="preserve"> V, et al. Intravenous immune globulin (10% caprylate-chromatography purified) for the treatment of chronic inflammatory demyelinating polyradiculoneuropathy (ICE study): a randomised placebo-controlled trial [published corr</w:t>
      </w:r>
      <w:r>
        <w:t xml:space="preserve">ection appears in </w:t>
      </w:r>
      <w:r w:rsidRPr="003C29E6">
        <w:rPr>
          <w:i/>
        </w:rPr>
        <w:t>Lancet Neurology</w:t>
      </w:r>
      <w:r w:rsidRPr="003C29E6">
        <w:t xml:space="preserve"> 2008 Sep;7(9):771]. </w:t>
      </w:r>
      <w:r w:rsidRPr="003C29E6">
        <w:rPr>
          <w:i/>
        </w:rPr>
        <w:t>Lancet Neurol</w:t>
      </w:r>
      <w:r>
        <w:rPr>
          <w:i/>
        </w:rPr>
        <w:t>ogy</w:t>
      </w:r>
      <w:r w:rsidRPr="003C29E6">
        <w:rPr>
          <w:i/>
        </w:rPr>
        <w:t>.</w:t>
      </w:r>
      <w:r>
        <w:t xml:space="preserve"> 2008;7(2):136-144.</w:t>
      </w:r>
    </w:p>
  </w:footnote>
  <w:footnote w:id="8">
    <w:p w14:paraId="2EE02A1E" w14:textId="77777777" w:rsidR="00D23A82" w:rsidRPr="00E137CF" w:rsidRDefault="00D23A82">
      <w:pPr>
        <w:pStyle w:val="FootnoteText"/>
        <w:rPr>
          <w:lang w:val="en-US"/>
        </w:rPr>
      </w:pPr>
      <w:r>
        <w:rPr>
          <w:rStyle w:val="FootnoteReference"/>
        </w:rPr>
        <w:footnoteRef/>
      </w:r>
      <w:r>
        <w:t xml:space="preserve"> </w:t>
      </w:r>
      <w:proofErr w:type="spellStart"/>
      <w:r w:rsidRPr="00E137CF">
        <w:t>Kuitwaard</w:t>
      </w:r>
      <w:proofErr w:type="spellEnd"/>
      <w:r w:rsidRPr="00E137CF">
        <w:t xml:space="preserve"> K, et al. Randomised controlled trial comparing two different intravenous immunoglobulins in chronic inflammatory demyelinating polyradiculoneuropathy. J Neurol </w:t>
      </w:r>
      <w:proofErr w:type="spellStart"/>
      <w:r w:rsidRPr="00E137CF">
        <w:t>Neurosurg</w:t>
      </w:r>
      <w:proofErr w:type="spellEnd"/>
      <w:r w:rsidRPr="00E137CF">
        <w:t xml:space="preserve"> Psychiatry. 2010 Dec;81(12): 1374-1379.</w:t>
      </w:r>
    </w:p>
  </w:footnote>
  <w:footnote w:id="9">
    <w:p w14:paraId="68BC86A8" w14:textId="77777777" w:rsidR="00D23A82" w:rsidRPr="00390DF9" w:rsidRDefault="00D23A82">
      <w:pPr>
        <w:pStyle w:val="FootnoteText"/>
        <w:rPr>
          <w:lang w:val="en-US"/>
        </w:rPr>
      </w:pPr>
      <w:r>
        <w:rPr>
          <w:rStyle w:val="FootnoteReference"/>
        </w:rPr>
        <w:footnoteRef/>
      </w:r>
      <w:r>
        <w:t xml:space="preserve"> </w:t>
      </w:r>
      <w:proofErr w:type="spellStart"/>
      <w:r w:rsidRPr="00390DF9">
        <w:t>Kuitwaard</w:t>
      </w:r>
      <w:proofErr w:type="spellEnd"/>
      <w:r w:rsidRPr="00390DF9">
        <w:t xml:space="preserve"> K et al. Serum IgG levels in IV immunoglobulin treated chronic inflammatory demyelinating polyneuropathy. Journal of Neurology, Neurosurgery and Psychiatry. 2013;84(8):859-861</w:t>
      </w:r>
    </w:p>
  </w:footnote>
  <w:footnote w:id="10">
    <w:p w14:paraId="2386B8FE" w14:textId="77777777" w:rsidR="00D23A82" w:rsidRPr="00915D5C" w:rsidRDefault="00D23A82">
      <w:pPr>
        <w:pStyle w:val="FootnoteText"/>
        <w:rPr>
          <w:lang w:val="en-US"/>
        </w:rPr>
      </w:pPr>
      <w:r>
        <w:rPr>
          <w:rStyle w:val="FootnoteReference"/>
        </w:rPr>
        <w:footnoteRef/>
      </w:r>
      <w:r>
        <w:t xml:space="preserve"> </w:t>
      </w:r>
      <w:r w:rsidRPr="00915D5C">
        <w:t>The two ODSS measurements, assessed immediately before infusion one (</w:t>
      </w:r>
      <w:proofErr w:type="spellStart"/>
      <w:r w:rsidRPr="00915D5C">
        <w:t>Gammagard</w:t>
      </w:r>
      <w:proofErr w:type="spellEnd"/>
      <w:r w:rsidRPr="00915D5C">
        <w:t xml:space="preserve">) and two (first blinded infusion), were averaged and the mean value was taken as a baseline measurement. Range 0 to 12: Higher values indicate more limitations. This is reported by </w:t>
      </w:r>
      <w:proofErr w:type="spellStart"/>
      <w:r w:rsidRPr="00915D5C">
        <w:t>Merkies</w:t>
      </w:r>
      <w:proofErr w:type="spellEnd"/>
      <w:r w:rsidRPr="00915D5C">
        <w:t xml:space="preserve"> et al (2002) as a validated method in CIDP and GBS.</w:t>
      </w:r>
    </w:p>
  </w:footnote>
  <w:footnote w:id="11">
    <w:p w14:paraId="0273B993" w14:textId="77777777" w:rsidR="00D23A82" w:rsidRPr="00E137CF" w:rsidRDefault="00D23A82">
      <w:pPr>
        <w:pStyle w:val="FootnoteText"/>
        <w:rPr>
          <w:lang w:val="en-US"/>
        </w:rPr>
      </w:pPr>
      <w:r>
        <w:rPr>
          <w:rStyle w:val="FootnoteReference"/>
        </w:rPr>
        <w:footnoteRef/>
      </w:r>
      <w:r>
        <w:t xml:space="preserve"> </w:t>
      </w:r>
      <w:r w:rsidRPr="00E137CF">
        <w:t>Hahn AF et al. Intravenous immunoglobulin treatment in chronic inflammatory demyelinating polyneuropathy. A double-blind, placebo-controlled, cross-over study. Brain. 1996; 119(4): 1067-1077.</w:t>
      </w:r>
    </w:p>
  </w:footnote>
  <w:footnote w:id="12">
    <w:p w14:paraId="2CA2F2F4" w14:textId="77777777" w:rsidR="00D23A82" w:rsidRPr="00E137CF" w:rsidRDefault="00D23A82" w:rsidP="00E137CF">
      <w:pPr>
        <w:pStyle w:val="FootnoteText"/>
      </w:pPr>
      <w:r>
        <w:rPr>
          <w:rStyle w:val="FootnoteReference"/>
        </w:rPr>
        <w:footnoteRef/>
      </w:r>
      <w:r>
        <w:t xml:space="preserve"> </w:t>
      </w:r>
      <w:proofErr w:type="spellStart"/>
      <w:r>
        <w:t>Mendell</w:t>
      </w:r>
      <w:proofErr w:type="spellEnd"/>
      <w:r>
        <w:t xml:space="preserve"> JR, et al. Randomized controlled trial of mg in untreated chronic inflammatory demyelinating polyradiculoneuropathy. Neurology. 2001;56(4):445-449.</w:t>
      </w:r>
    </w:p>
  </w:footnote>
  <w:footnote w:id="13">
    <w:p w14:paraId="024F371D" w14:textId="77777777" w:rsidR="00D23A82" w:rsidRPr="00E137CF" w:rsidRDefault="00D23A82">
      <w:pPr>
        <w:pStyle w:val="FootnoteText"/>
        <w:rPr>
          <w:lang w:val="en-US"/>
        </w:rPr>
      </w:pPr>
      <w:r>
        <w:rPr>
          <w:rStyle w:val="FootnoteReference"/>
        </w:rPr>
        <w:footnoteRef/>
      </w:r>
      <w:r>
        <w:t xml:space="preserve"> </w:t>
      </w:r>
      <w:r w:rsidRPr="00E137CF">
        <w:t>Vermeulen M et al. Intravenous immunoglobulin treatment in patients with chronic inflammatory demyelinating polyneuropathy: A double blind, placebo-controlled study. Journal of Neurology Neurosurgery and Psychiatry. 1993;56(1):36-39.</w:t>
      </w:r>
    </w:p>
  </w:footnote>
  <w:footnote w:id="14">
    <w:p w14:paraId="34020E0E" w14:textId="77777777" w:rsidR="00D23A82" w:rsidRPr="00B44933" w:rsidRDefault="00D23A82" w:rsidP="00390DF9">
      <w:pPr>
        <w:pStyle w:val="Default"/>
        <w:rPr>
          <w:sz w:val="18"/>
          <w:szCs w:val="18"/>
        </w:rPr>
      </w:pPr>
      <w:r w:rsidRPr="00B44933">
        <w:rPr>
          <w:rStyle w:val="FootnoteReference"/>
          <w:sz w:val="18"/>
          <w:szCs w:val="18"/>
        </w:rPr>
        <w:footnoteRef/>
      </w:r>
      <w:r w:rsidRPr="00B44933">
        <w:rPr>
          <w:sz w:val="18"/>
          <w:szCs w:val="18"/>
        </w:rPr>
        <w:t xml:space="preserve"> Dyck PJ et al. A plasma exchange versus immune globulin infusion trial in chronic inflammatory demyelinating polyradiculoneuropathy. Annals of neurology. 1994;36(6):838-845</w:t>
      </w:r>
    </w:p>
  </w:footnote>
  <w:footnote w:id="15">
    <w:p w14:paraId="4DE2039B" w14:textId="77777777" w:rsidR="00D23A82" w:rsidRPr="00B44933" w:rsidRDefault="00D23A82" w:rsidP="00390DF9">
      <w:pPr>
        <w:pStyle w:val="Default"/>
        <w:rPr>
          <w:color w:val="auto"/>
          <w:sz w:val="18"/>
          <w:szCs w:val="18"/>
        </w:rPr>
      </w:pPr>
      <w:r w:rsidRPr="00B44933">
        <w:rPr>
          <w:rStyle w:val="FootnoteReference"/>
          <w:sz w:val="18"/>
          <w:szCs w:val="18"/>
        </w:rPr>
        <w:footnoteRef/>
      </w:r>
      <w:r w:rsidRPr="00B44933">
        <w:rPr>
          <w:sz w:val="18"/>
          <w:szCs w:val="18"/>
        </w:rPr>
        <w:t xml:space="preserve"> Hughes R et al. Randomized controlled trial of intravenous immunoglobulin versus oral prednisolone in chronic inflammatory demyelinating polyradiculoneuropathy. Annals of Neurology. </w:t>
      </w:r>
      <w:r w:rsidRPr="00B44933">
        <w:rPr>
          <w:color w:val="auto"/>
          <w:sz w:val="18"/>
          <w:szCs w:val="18"/>
        </w:rPr>
        <w:t>2001;50(2):195-201</w:t>
      </w:r>
    </w:p>
  </w:footnote>
  <w:footnote w:id="16">
    <w:p w14:paraId="72B13DF4" w14:textId="77777777" w:rsidR="00D23A82" w:rsidRPr="00B44933" w:rsidRDefault="00D23A82" w:rsidP="00495615">
      <w:pPr>
        <w:pStyle w:val="Default"/>
        <w:rPr>
          <w:color w:val="auto"/>
          <w:sz w:val="18"/>
          <w:szCs w:val="18"/>
        </w:rPr>
      </w:pPr>
      <w:r w:rsidRPr="00B44933">
        <w:rPr>
          <w:rStyle w:val="FootnoteReference"/>
          <w:sz w:val="18"/>
          <w:szCs w:val="18"/>
        </w:rPr>
        <w:footnoteRef/>
      </w:r>
      <w:r w:rsidRPr="00B44933">
        <w:rPr>
          <w:sz w:val="18"/>
          <w:szCs w:val="18"/>
        </w:rPr>
        <w:t xml:space="preserve"> </w:t>
      </w:r>
      <w:r w:rsidRPr="00B44933">
        <w:rPr>
          <w:color w:val="auto"/>
          <w:sz w:val="18"/>
          <w:szCs w:val="18"/>
        </w:rPr>
        <w:t>Nobile-</w:t>
      </w:r>
      <w:proofErr w:type="spellStart"/>
      <w:r w:rsidRPr="00B44933">
        <w:rPr>
          <w:color w:val="auto"/>
          <w:sz w:val="18"/>
          <w:szCs w:val="18"/>
        </w:rPr>
        <w:t>Orazio</w:t>
      </w:r>
      <w:proofErr w:type="spellEnd"/>
      <w:r w:rsidRPr="00B44933">
        <w:rPr>
          <w:color w:val="auto"/>
          <w:sz w:val="18"/>
          <w:szCs w:val="18"/>
        </w:rPr>
        <w:t xml:space="preserve"> E et al (2010). Intravenous immunoglobulin versus intravenous methylprednisolone for chronic inflammatory demyelinating polyradiculoneuropathy: a randomised controlled trial. Lancet </w:t>
      </w:r>
      <w:proofErr w:type="spellStart"/>
      <w:r w:rsidRPr="00B44933">
        <w:rPr>
          <w:color w:val="auto"/>
          <w:sz w:val="18"/>
          <w:szCs w:val="18"/>
        </w:rPr>
        <w:t>Neurol</w:t>
      </w:r>
      <w:proofErr w:type="spellEnd"/>
      <w:r w:rsidRPr="00B44933">
        <w:rPr>
          <w:color w:val="auto"/>
          <w:sz w:val="18"/>
          <w:szCs w:val="18"/>
        </w:rPr>
        <w:t xml:space="preserve"> 11: 493-502</w:t>
      </w:r>
    </w:p>
  </w:footnote>
  <w:footnote w:id="17">
    <w:p w14:paraId="14A2A205" w14:textId="77777777" w:rsidR="00D23A82" w:rsidRPr="00B44933" w:rsidRDefault="00D23A82">
      <w:pPr>
        <w:pStyle w:val="FootnoteText"/>
        <w:rPr>
          <w:szCs w:val="18"/>
          <w:lang w:val="en-US"/>
        </w:rPr>
      </w:pPr>
      <w:r w:rsidRPr="00B44933">
        <w:rPr>
          <w:rStyle w:val="FootnoteReference"/>
          <w:szCs w:val="18"/>
        </w:rPr>
        <w:footnoteRef/>
      </w:r>
      <w:r w:rsidRPr="00B44933">
        <w:rPr>
          <w:szCs w:val="18"/>
        </w:rPr>
        <w:t xml:space="preserve"> Thompson N et al (1996). A novel trial to study the effect of intravenous immunoglobulin in CIDP J Neurol 243:280-285</w:t>
      </w:r>
    </w:p>
  </w:footnote>
  <w:footnote w:id="18">
    <w:p w14:paraId="3E2E4E57" w14:textId="77777777" w:rsidR="00D23A82" w:rsidRPr="00B44933" w:rsidRDefault="00D23A82" w:rsidP="00495615">
      <w:pPr>
        <w:pStyle w:val="Default"/>
        <w:rPr>
          <w:sz w:val="18"/>
          <w:szCs w:val="18"/>
        </w:rPr>
      </w:pPr>
      <w:r w:rsidRPr="00B44933">
        <w:rPr>
          <w:rStyle w:val="FootnoteReference"/>
          <w:sz w:val="18"/>
          <w:szCs w:val="18"/>
        </w:rPr>
        <w:footnoteRef/>
      </w:r>
      <w:r w:rsidRPr="00B44933">
        <w:rPr>
          <w:sz w:val="18"/>
          <w:szCs w:val="18"/>
        </w:rPr>
        <w:t xml:space="preserve"> Jann S et al. Intravenous immunoglobulin is effective in patients with diabetes and with chronic inflammatory demyelinating polyneuropathy: Long term follow-up. Journal of Neurology, Neurosurgery and Psychiatry. 2009;80(1):70-73</w:t>
      </w:r>
    </w:p>
  </w:footnote>
  <w:footnote w:id="19">
    <w:p w14:paraId="1180461C" w14:textId="77777777" w:rsidR="00D23A82" w:rsidRPr="00B44933" w:rsidRDefault="00D23A82">
      <w:pPr>
        <w:pStyle w:val="FootnoteText"/>
        <w:rPr>
          <w:szCs w:val="18"/>
          <w:lang w:val="en-US"/>
        </w:rPr>
      </w:pPr>
      <w:r w:rsidRPr="00B44933">
        <w:rPr>
          <w:rStyle w:val="FootnoteReference"/>
          <w:szCs w:val="18"/>
        </w:rPr>
        <w:footnoteRef/>
      </w:r>
      <w:r w:rsidRPr="00B44933">
        <w:rPr>
          <w:szCs w:val="18"/>
        </w:rPr>
        <w:t xml:space="preserve"> </w:t>
      </w:r>
      <w:proofErr w:type="spellStart"/>
      <w:r w:rsidRPr="00B44933">
        <w:rPr>
          <w:szCs w:val="18"/>
        </w:rPr>
        <w:t>Nemni</w:t>
      </w:r>
      <w:proofErr w:type="spellEnd"/>
      <w:r w:rsidRPr="00B44933">
        <w:rPr>
          <w:szCs w:val="18"/>
        </w:rPr>
        <w:t xml:space="preserve"> R et al. Intravenous immunoglobulin treatment in patients with chronic inflammatory demyelinating neuropathy not responsive to other treatments. Journal of neurology, neurosurgery, and psychiatry. 1994;57 Suppl (Suppl):43-45</w:t>
      </w:r>
    </w:p>
  </w:footnote>
  <w:footnote w:id="20">
    <w:p w14:paraId="010E663C" w14:textId="77777777" w:rsidR="00D23A82" w:rsidRPr="00B44933" w:rsidRDefault="00D23A82">
      <w:pPr>
        <w:pStyle w:val="FootnoteText"/>
        <w:rPr>
          <w:szCs w:val="18"/>
          <w:lang w:val="en-US"/>
        </w:rPr>
      </w:pPr>
      <w:r w:rsidRPr="00B44933">
        <w:rPr>
          <w:rStyle w:val="FootnoteReference"/>
          <w:szCs w:val="18"/>
        </w:rPr>
        <w:footnoteRef/>
      </w:r>
      <w:r w:rsidRPr="00B44933">
        <w:rPr>
          <w:szCs w:val="18"/>
        </w:rPr>
        <w:t xml:space="preserve"> Gallia F et al. Efficacy and tolerability of different brands of intravenous immunoglobulin in the maintenance treatment of chronic immune-mediated neuropathies. Journal of the Peripheral Nervous System. 2016;21(2):82-84.</w:t>
      </w:r>
    </w:p>
  </w:footnote>
  <w:footnote w:id="21">
    <w:p w14:paraId="2074B8E8" w14:textId="77777777" w:rsidR="00D23A82" w:rsidRPr="00B44933" w:rsidRDefault="00D23A82">
      <w:pPr>
        <w:pStyle w:val="FootnoteText"/>
        <w:rPr>
          <w:szCs w:val="18"/>
          <w:lang w:val="en-US"/>
        </w:rPr>
      </w:pPr>
      <w:r w:rsidRPr="00B44933">
        <w:rPr>
          <w:rStyle w:val="FootnoteReference"/>
          <w:szCs w:val="18"/>
        </w:rPr>
        <w:footnoteRef/>
      </w:r>
      <w:r w:rsidRPr="00B44933">
        <w:rPr>
          <w:szCs w:val="18"/>
        </w:rPr>
        <w:t xml:space="preserve"> Vucic S et al. Long-term effects of intravenous immunoglobulin in CIDP. Clinical Neurophysiology. 2007;118(9):1980-1984</w:t>
      </w:r>
    </w:p>
  </w:footnote>
  <w:footnote w:id="22">
    <w:p w14:paraId="38E65D19" w14:textId="77777777" w:rsidR="00D23A82" w:rsidRPr="00B44933" w:rsidRDefault="00D23A82">
      <w:pPr>
        <w:pStyle w:val="FootnoteText"/>
        <w:rPr>
          <w:szCs w:val="18"/>
          <w:lang w:val="en-US"/>
        </w:rPr>
      </w:pPr>
      <w:r w:rsidRPr="00B44933">
        <w:rPr>
          <w:rStyle w:val="FootnoteReference"/>
          <w:szCs w:val="18"/>
        </w:rPr>
        <w:footnoteRef/>
      </w:r>
      <w:r w:rsidRPr="00B44933">
        <w:rPr>
          <w:szCs w:val="18"/>
        </w:rPr>
        <w:t xml:space="preserve"> </w:t>
      </w:r>
      <w:proofErr w:type="spellStart"/>
      <w:r w:rsidRPr="00B44933">
        <w:rPr>
          <w:szCs w:val="18"/>
        </w:rPr>
        <w:t>Ellrichmann</w:t>
      </w:r>
      <w:proofErr w:type="spellEnd"/>
      <w:r w:rsidRPr="00B44933">
        <w:rPr>
          <w:szCs w:val="18"/>
        </w:rPr>
        <w:t xml:space="preserve"> G et al. Two years' long-term follow up in chronic inflammatory demyelinating polyradiculoneuropathy: Efficacy of intravenous immunoglobulin treatment. Therapeutic Advances in Neurological Disorders. 2017;10(2):91-101</w:t>
      </w:r>
    </w:p>
  </w:footnote>
  <w:footnote w:id="23">
    <w:p w14:paraId="788E4BA0" w14:textId="77777777" w:rsidR="00D23A82" w:rsidRPr="00B44933" w:rsidRDefault="00D23A82">
      <w:pPr>
        <w:pStyle w:val="FootnoteText"/>
        <w:rPr>
          <w:szCs w:val="18"/>
          <w:lang w:val="en-US"/>
        </w:rPr>
      </w:pPr>
      <w:r w:rsidRPr="00B44933">
        <w:rPr>
          <w:rStyle w:val="FootnoteReference"/>
          <w:szCs w:val="18"/>
        </w:rPr>
        <w:footnoteRef/>
      </w:r>
      <w:r w:rsidRPr="00B44933">
        <w:rPr>
          <w:szCs w:val="18"/>
        </w:rPr>
        <w:t xml:space="preserve"> Williams T et al. Real-world use of IVIG in U.S. regional healthcare plans. Journal of Managed Care and Specialty Pharmacy. 2018; 24: S103. (abstract</w:t>
      </w:r>
      <w:r>
        <w:rPr>
          <w:szCs w:val="18"/>
        </w:rPr>
        <w:t>)</w:t>
      </w:r>
    </w:p>
  </w:footnote>
  <w:footnote w:id="24">
    <w:p w14:paraId="05F842D9" w14:textId="77777777" w:rsidR="00D23A82" w:rsidRPr="00E51BD1" w:rsidRDefault="00D23A82">
      <w:pPr>
        <w:pStyle w:val="FootnoteText"/>
        <w:rPr>
          <w:lang w:val="en-US"/>
        </w:rPr>
      </w:pPr>
      <w:r>
        <w:rPr>
          <w:rStyle w:val="FootnoteReference"/>
        </w:rPr>
        <w:footnoteRef/>
      </w:r>
      <w:r>
        <w:t xml:space="preserve"> </w:t>
      </w:r>
      <w:proofErr w:type="spellStart"/>
      <w:r>
        <w:t>Eftimov</w:t>
      </w:r>
      <w:proofErr w:type="spellEnd"/>
      <w:r>
        <w:t xml:space="preserve"> F, Winer JB, Vermeulen M, de </w:t>
      </w:r>
      <w:proofErr w:type="spellStart"/>
      <w:r>
        <w:t>Haan</w:t>
      </w:r>
      <w:proofErr w:type="spellEnd"/>
      <w:r>
        <w:t xml:space="preserve"> R, van Schaik </w:t>
      </w:r>
      <w:r w:rsidRPr="00E51BD1">
        <w:t>IN. Intravenous immunoglobulin for chronic inflammatory demyelinating polyradiculoneuropathy. Cochrane Database of Systematic Reviews 2013, Issue 12. Art. No.: CD001797.</w:t>
      </w:r>
    </w:p>
  </w:footnote>
  <w:footnote w:id="25">
    <w:p w14:paraId="20292CEA" w14:textId="77777777" w:rsidR="00D23A82" w:rsidRPr="00405DAF" w:rsidRDefault="00D23A82" w:rsidP="00405DAF">
      <w:pPr>
        <w:pStyle w:val="Default"/>
        <w:rPr>
          <w:lang w:eastAsia="ja-JP"/>
        </w:rPr>
      </w:pPr>
      <w:r>
        <w:rPr>
          <w:rStyle w:val="FootnoteReference"/>
        </w:rPr>
        <w:footnoteRef/>
      </w:r>
      <w:r>
        <w:t xml:space="preserve"> </w:t>
      </w:r>
      <w:r w:rsidRPr="00153D46">
        <w:rPr>
          <w:rFonts w:cs="SourceSansPro-Regular"/>
          <w:sz w:val="22"/>
          <w:szCs w:val="22"/>
        </w:rPr>
        <w:t>World Health Organisation. Appropriate uses of human</w:t>
      </w:r>
      <w:r w:rsidRPr="00153D46">
        <w:rPr>
          <w:rFonts w:cs="SourceSansPro-Regular"/>
        </w:rPr>
        <w:t xml:space="preserve"> </w:t>
      </w:r>
      <w:r w:rsidRPr="00153D46">
        <w:rPr>
          <w:rFonts w:cs="SourceSansPro-Regular"/>
          <w:sz w:val="22"/>
          <w:szCs w:val="22"/>
        </w:rPr>
        <w:t>immunoglobulin in clinical practice: memorandum from an</w:t>
      </w:r>
      <w:r w:rsidRPr="00153D46">
        <w:rPr>
          <w:rFonts w:cs="SourceSansPro-Regular"/>
        </w:rPr>
        <w:t xml:space="preserve"> </w:t>
      </w:r>
      <w:r w:rsidRPr="00153D46">
        <w:rPr>
          <w:rFonts w:cs="SourceSansPro-Regular"/>
          <w:sz w:val="22"/>
          <w:szCs w:val="22"/>
        </w:rPr>
        <w:t xml:space="preserve">IUIS/WHO meeting. </w:t>
      </w:r>
      <w:r w:rsidRPr="00153D46">
        <w:rPr>
          <w:rFonts w:cs="SourceSansPro-It"/>
          <w:i/>
          <w:iCs/>
          <w:sz w:val="22"/>
          <w:szCs w:val="22"/>
        </w:rPr>
        <w:t>Bulletin of the World Health Organisation</w:t>
      </w:r>
      <w:r w:rsidRPr="00153D46">
        <w:rPr>
          <w:rFonts w:cs="SourceSansPro-It"/>
          <w:i/>
          <w:iCs/>
        </w:rPr>
        <w:t xml:space="preserve"> </w:t>
      </w:r>
      <w:r w:rsidRPr="00153D46">
        <w:rPr>
          <w:rFonts w:cs="SourceSansPro-Regular"/>
          <w:sz w:val="22"/>
          <w:szCs w:val="22"/>
        </w:rPr>
        <w:t>1982;</w:t>
      </w:r>
      <w:r w:rsidRPr="00153D46">
        <w:rPr>
          <w:rFonts w:cs="SourceSansPro-Regular"/>
        </w:rPr>
        <w:t xml:space="preserve"> </w:t>
      </w:r>
      <w:r w:rsidRPr="00153D46">
        <w:rPr>
          <w:rFonts w:cs="SourceSansPro-Bold"/>
          <w:sz w:val="22"/>
          <w:szCs w:val="22"/>
        </w:rPr>
        <w:t>60</w:t>
      </w:r>
      <w:r w:rsidRPr="00153D46">
        <w:rPr>
          <w:rFonts w:cs="SourceSansPro-Regular"/>
          <w:sz w:val="22"/>
          <w:szCs w:val="22"/>
        </w:rPr>
        <w:t>:</w:t>
      </w:r>
      <w:r w:rsidRPr="00153D46">
        <w:rPr>
          <w:rFonts w:cs="SourceSansPro-Regular"/>
        </w:rPr>
        <w:t xml:space="preserve"> </w:t>
      </w:r>
      <w:r w:rsidRPr="00153D46">
        <w:rPr>
          <w:rFonts w:cs="SourceSansPro-Regular"/>
          <w:sz w:val="22"/>
          <w:szCs w:val="22"/>
        </w:rPr>
        <w:t>43-7</w:t>
      </w:r>
    </w:p>
  </w:footnote>
  <w:footnote w:id="26">
    <w:p w14:paraId="66ACDBAE" w14:textId="77777777" w:rsidR="00D23A82" w:rsidRPr="005657A0" w:rsidRDefault="00D23A82" w:rsidP="005657A0">
      <w:pPr>
        <w:pStyle w:val="FootnoteText"/>
      </w:pPr>
      <w:r>
        <w:rPr>
          <w:rStyle w:val="FootnoteReference"/>
        </w:rPr>
        <w:footnoteRef/>
      </w:r>
      <w:r>
        <w:t xml:space="preserve"> Clinical Investigation of Medicinal Products for Long-Term Use: Directive 75/318/EEC as amended (last revised: February 1987). https://www.tga.gov.au/sites/default/files/vol3cc6aen.pdf</w:t>
      </w:r>
    </w:p>
  </w:footnote>
  <w:footnote w:id="27">
    <w:p w14:paraId="107497C7" w14:textId="77777777" w:rsidR="00D23A82" w:rsidRDefault="00D23A82">
      <w:pPr>
        <w:pStyle w:val="FootnoteText"/>
      </w:pPr>
      <w:r>
        <w:rPr>
          <w:rStyle w:val="FootnoteReference"/>
        </w:rPr>
        <w:footnoteRef/>
      </w:r>
      <w:r>
        <w:t xml:space="preserve"> </w:t>
      </w:r>
      <w:r w:rsidRPr="007D53B6">
        <w:t>The sponsor must still comply with routine product vigilance and risk minimisation requirements.</w:t>
      </w:r>
    </w:p>
  </w:footnote>
  <w:footnote w:id="28">
    <w:p w14:paraId="63EF608B" w14:textId="77777777" w:rsidR="00D23A82" w:rsidRPr="00E51BD1" w:rsidRDefault="00D23A82">
      <w:pPr>
        <w:pStyle w:val="FootnoteText"/>
        <w:rPr>
          <w:lang w:val="en-US"/>
        </w:rPr>
      </w:pPr>
      <w:r>
        <w:rPr>
          <w:rStyle w:val="FootnoteReference"/>
        </w:rPr>
        <w:footnoteRef/>
      </w:r>
      <w:r>
        <w:t xml:space="preserve"> </w:t>
      </w:r>
      <w:proofErr w:type="spellStart"/>
      <w:r>
        <w:t>Stiehm</w:t>
      </w:r>
      <w:proofErr w:type="spellEnd"/>
      <w:r>
        <w:t xml:space="preserve"> ER. </w:t>
      </w:r>
      <w:r w:rsidRPr="001B4EB2">
        <w:t xml:space="preserve">Lessons </w:t>
      </w:r>
      <w:proofErr w:type="gramStart"/>
      <w:r w:rsidRPr="001B4EB2">
        <w:t>From</w:t>
      </w:r>
      <w:proofErr w:type="gramEnd"/>
      <w:r w:rsidRPr="001B4EB2">
        <w:t xml:space="preserve"> Kawa</w:t>
      </w:r>
      <w:r>
        <w:t>saki Disease: All Brands Of IVIg</w:t>
      </w:r>
      <w:r w:rsidRPr="001B4EB2">
        <w:t xml:space="preserve"> Are Not Equal</w:t>
      </w:r>
      <w:r>
        <w:t xml:space="preserve">. </w:t>
      </w:r>
      <w:r w:rsidRPr="00E51BD1">
        <w:t xml:space="preserve">The Journal of </w:t>
      </w:r>
      <w:proofErr w:type="spellStart"/>
      <w:r w:rsidRPr="00E51BD1">
        <w:t>Pediatr</w:t>
      </w:r>
      <w:r>
        <w:t>ics</w:t>
      </w:r>
      <w:proofErr w:type="spellEnd"/>
      <w:r>
        <w:t xml:space="preserve"> </w:t>
      </w:r>
      <w:proofErr w:type="gramStart"/>
      <w:r>
        <w:t>2006;148:6</w:t>
      </w:r>
      <w:proofErr w:type="gramEnd"/>
      <w:r>
        <w:t>-8.</w:t>
      </w:r>
    </w:p>
  </w:footnote>
  <w:footnote w:id="29">
    <w:p w14:paraId="715797A0" w14:textId="77777777" w:rsidR="00D23A82" w:rsidRPr="001B4EB2" w:rsidRDefault="00D23A82">
      <w:pPr>
        <w:pStyle w:val="FootnoteText"/>
        <w:rPr>
          <w:lang w:val="en-US"/>
        </w:rPr>
      </w:pPr>
      <w:r>
        <w:rPr>
          <w:rStyle w:val="FootnoteReference"/>
        </w:rPr>
        <w:footnoteRef/>
      </w:r>
      <w:r>
        <w:t xml:space="preserve"> </w:t>
      </w:r>
      <w:proofErr w:type="spellStart"/>
      <w:r>
        <w:t>Skvaril</w:t>
      </w:r>
      <w:proofErr w:type="spellEnd"/>
      <w:r>
        <w:t xml:space="preserve"> F, </w:t>
      </w:r>
      <w:proofErr w:type="spellStart"/>
      <w:r w:rsidRPr="00E51BD1">
        <w:t>Gardi</w:t>
      </w:r>
      <w:proofErr w:type="spellEnd"/>
      <w:r w:rsidRPr="00E51BD1">
        <w:t xml:space="preserve"> A.</w:t>
      </w:r>
      <w:r>
        <w:t xml:space="preserve"> </w:t>
      </w:r>
      <w:r w:rsidRPr="001B4EB2">
        <w:t>Differences among available immunoglobulin preparations for intravenous use</w:t>
      </w:r>
      <w:r>
        <w:t xml:space="preserve">. The </w:t>
      </w:r>
      <w:proofErr w:type="spellStart"/>
      <w:r>
        <w:t>Pediatric</w:t>
      </w:r>
      <w:proofErr w:type="spellEnd"/>
      <w:r>
        <w:t xml:space="preserve"> Infectious Disease Journal</w:t>
      </w:r>
      <w:r w:rsidRPr="00E51BD1">
        <w:t>. 1988; 7: S43-S48</w:t>
      </w:r>
    </w:p>
  </w:footnote>
  <w:footnote w:id="30">
    <w:p w14:paraId="4860BAE1" w14:textId="77777777" w:rsidR="00D23A82" w:rsidRPr="001B4EB2" w:rsidRDefault="00D23A82">
      <w:pPr>
        <w:pStyle w:val="FootnoteText"/>
        <w:rPr>
          <w:lang w:val="en-US"/>
        </w:rPr>
      </w:pPr>
      <w:r>
        <w:rPr>
          <w:rStyle w:val="FootnoteReference"/>
        </w:rPr>
        <w:footnoteRef/>
      </w:r>
      <w:r>
        <w:t xml:space="preserve"> </w:t>
      </w:r>
      <w:proofErr w:type="spellStart"/>
      <w:r>
        <w:t>Feldmeyer</w:t>
      </w:r>
      <w:proofErr w:type="spellEnd"/>
      <w:r>
        <w:t xml:space="preserve"> L, </w:t>
      </w:r>
      <w:proofErr w:type="spellStart"/>
      <w:r>
        <w:t>Benden</w:t>
      </w:r>
      <w:proofErr w:type="spellEnd"/>
      <w:r>
        <w:t xml:space="preserve"> C, Haile SR, </w:t>
      </w:r>
      <w:proofErr w:type="spellStart"/>
      <w:r>
        <w:t>Boehler</w:t>
      </w:r>
      <w:proofErr w:type="spellEnd"/>
      <w:r>
        <w:t xml:space="preserve"> A, </w:t>
      </w:r>
      <w:proofErr w:type="spellStart"/>
      <w:r>
        <w:t>Speich</w:t>
      </w:r>
      <w:proofErr w:type="spellEnd"/>
      <w:r>
        <w:t xml:space="preserve"> R, French LE, </w:t>
      </w:r>
      <w:proofErr w:type="spellStart"/>
      <w:r>
        <w:t>Hofbauer</w:t>
      </w:r>
      <w:proofErr w:type="spellEnd"/>
      <w:r>
        <w:t xml:space="preserve"> GF</w:t>
      </w:r>
      <w:r w:rsidRPr="001B4EB2">
        <w:t xml:space="preserve"> (2010). Not all intravenous immunoglobulin preparations are equally well tolerated. Acta dermato-</w:t>
      </w:r>
      <w:proofErr w:type="spellStart"/>
      <w:r w:rsidRPr="001B4EB2">
        <w:t>venereologica</w:t>
      </w:r>
      <w:proofErr w:type="spellEnd"/>
      <w:r w:rsidRPr="001B4EB2">
        <w:t>, 90(5), 494–497.</w:t>
      </w:r>
    </w:p>
  </w:footnote>
  <w:footnote w:id="31">
    <w:p w14:paraId="41EE16FD" w14:textId="77777777" w:rsidR="00D23A82" w:rsidRPr="007E6B8F" w:rsidRDefault="00D23A82" w:rsidP="007E6B8F">
      <w:pPr>
        <w:pStyle w:val="FootnoteText"/>
      </w:pPr>
      <w:r>
        <w:rPr>
          <w:rStyle w:val="FootnoteReference"/>
        </w:rPr>
        <w:footnoteRef/>
      </w:r>
      <w:r>
        <w:t xml:space="preserve"> Australian regulatory guidelines for biologicals (ARGB; 2020). Available at: https://www.tga.gov.au/publication/australian-regulatory-guidelines-biologicals-argb</w:t>
      </w:r>
    </w:p>
  </w:footnote>
  <w:footnote w:id="32">
    <w:p w14:paraId="65F4CC2A" w14:textId="77777777" w:rsidR="00D23A82" w:rsidRDefault="00D23A82"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7B494271" w14:textId="77777777" w:rsidR="00D23A82" w:rsidRPr="00456765" w:rsidRDefault="00D23A82"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xml:space="preserve">. ACM encompass </w:t>
      </w:r>
      <w:proofErr w:type="gramStart"/>
      <w:r>
        <w:t>pre</w:t>
      </w:r>
      <w:proofErr w:type="gramEnd"/>
      <w:r>
        <w:t xml:space="preserv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w:t>
      </w:r>
      <w:proofErr w:type="gramStart"/>
      <w:r>
        <w:t>medical</w:t>
      </w:r>
      <w:proofErr w:type="gramEnd"/>
      <w:r>
        <w:t xml:space="preserve">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2943B" w14:textId="77777777" w:rsidR="00D23A82" w:rsidRDefault="00D23A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B74F6" w14:textId="77777777" w:rsidR="00D23A82" w:rsidRDefault="00D23A82"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C6779" w14:textId="77777777" w:rsidR="00D23A82" w:rsidRDefault="00D23A82">
    <w:pPr>
      <w:rPr>
        <w:noProof/>
        <w:lang w:eastAsia="en-AU"/>
      </w:rPr>
    </w:pPr>
    <w:r w:rsidRPr="00347824">
      <w:rPr>
        <w:noProof/>
        <w:lang w:val="en-GB" w:eastAsia="en-GB"/>
      </w:rPr>
      <w:drawing>
        <wp:anchor distT="0" distB="0" distL="114300" distR="114300" simplePos="0" relativeHeight="251658240" behindDoc="1" locked="0" layoutInCell="1" allowOverlap="1" wp14:anchorId="5DEAC145" wp14:editId="12056164">
          <wp:simplePos x="0" y="0"/>
          <wp:positionH relativeFrom="column">
            <wp:posOffset>-1089660</wp:posOffset>
          </wp:positionH>
          <wp:positionV relativeFrom="paragraph">
            <wp:posOffset>-585470</wp:posOffset>
          </wp:positionV>
          <wp:extent cx="7572375" cy="10706100"/>
          <wp:effectExtent l="19050" t="0" r="0" b="0"/>
          <wp:wrapNone/>
          <wp:docPr id="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0DA53EB" w14:textId="77777777" w:rsidR="00D23A82" w:rsidRDefault="00D23A82" w:rsidP="00593AD1">
    <w:pPr>
      <w:pStyle w:val="HeaderNoLine"/>
    </w:pPr>
    <w:r>
      <w:rPr>
        <w:noProof/>
        <w:lang w:val="en-GB" w:eastAsia="en-GB"/>
      </w:rPr>
      <w:drawing>
        <wp:inline distT="0" distB="0" distL="0" distR="0" wp14:anchorId="7375ED53" wp14:editId="0E1E8B9B">
          <wp:extent cx="5400675" cy="7639050"/>
          <wp:effectExtent l="0" t="0" r="9525" b="0"/>
          <wp:docPr id="8" name="Picture 8"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7A299" w14:textId="77777777" w:rsidR="00D23A82" w:rsidRDefault="00D23A82">
    <w:pPr>
      <w:pStyle w:val="Header"/>
    </w:pPr>
  </w:p>
  <w:p w14:paraId="05C5B5F5" w14:textId="77777777" w:rsidR="00D23A82" w:rsidRDefault="00D23A82"/>
  <w:p w14:paraId="0CE21A79" w14:textId="77777777" w:rsidR="00D23A82" w:rsidRDefault="00D23A82"/>
  <w:p w14:paraId="591E5CB6" w14:textId="77777777" w:rsidR="00D23A82" w:rsidRDefault="00D23A82"/>
  <w:p w14:paraId="7CD79A44" w14:textId="77777777" w:rsidR="00D23A82" w:rsidRDefault="00D23A82"/>
  <w:p w14:paraId="76460EF9" w14:textId="77777777" w:rsidR="00D23A82" w:rsidRDefault="00D23A82"/>
  <w:p w14:paraId="78B9526D" w14:textId="77777777" w:rsidR="00D23A82" w:rsidRDefault="00D23A82"/>
  <w:p w14:paraId="789C160E" w14:textId="77777777" w:rsidR="00D23A82" w:rsidRDefault="00D23A82"/>
  <w:p w14:paraId="17071E09" w14:textId="77777777" w:rsidR="00D23A82" w:rsidRDefault="00D23A82"/>
  <w:p w14:paraId="0717F7FE" w14:textId="77777777" w:rsidR="00D23A82" w:rsidRDefault="00D23A8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B1C30" w14:textId="77777777" w:rsidR="00D23A82" w:rsidRDefault="00D23A82" w:rsidP="00B333B7">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73975" w14:textId="77777777" w:rsidR="00D23A82" w:rsidRDefault="00D23A82">
    <w:pPr>
      <w:pStyle w:val="Header"/>
    </w:pPr>
    <w:r>
      <w:t>Therapeutic Goods Administration</w:t>
    </w:r>
  </w:p>
  <w:p w14:paraId="4D943F47" w14:textId="77777777" w:rsidR="00D23A82" w:rsidRDefault="00D23A82"/>
  <w:p w14:paraId="4B4C77B6" w14:textId="77777777" w:rsidR="00D23A82" w:rsidRDefault="00D23A82"/>
  <w:p w14:paraId="4F9950B1" w14:textId="77777777" w:rsidR="00D23A82" w:rsidRDefault="00D23A82"/>
  <w:p w14:paraId="47B96C65" w14:textId="77777777" w:rsidR="00D23A82" w:rsidRDefault="00D23A82"/>
  <w:p w14:paraId="2F802D38" w14:textId="77777777" w:rsidR="00D23A82" w:rsidRDefault="00D23A82"/>
  <w:p w14:paraId="63537E9B" w14:textId="77777777" w:rsidR="00D23A82" w:rsidRDefault="00D23A82"/>
  <w:p w14:paraId="152CE22B" w14:textId="77777777" w:rsidR="00D23A82" w:rsidRDefault="00D23A82"/>
  <w:p w14:paraId="75ED47A3" w14:textId="77777777" w:rsidR="00D23A82" w:rsidRDefault="00D23A82"/>
  <w:p w14:paraId="2AE22503" w14:textId="77777777" w:rsidR="00D23A82" w:rsidRDefault="00D23A8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F7AAA" w14:textId="77777777" w:rsidR="00D23A82" w:rsidRDefault="00D23A8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650D9" w14:textId="77777777" w:rsidR="00D23A82" w:rsidRDefault="00D23A82"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B63A2" w14:textId="77777777" w:rsidR="00D23A82" w:rsidRDefault="00D23A82" w:rsidP="006E08B3">
    <w:r>
      <w:t>Therapeutic Goods Administration</w:t>
    </w:r>
  </w:p>
  <w:p w14:paraId="715A0C00" w14:textId="77777777" w:rsidR="00D23A82" w:rsidRDefault="00D23A82"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80814"/>
    <w:multiLevelType w:val="hybridMultilevel"/>
    <w:tmpl w:val="09C40904"/>
    <w:lvl w:ilvl="0" w:tplc="414A10C4">
      <w:numFmt w:val="bullet"/>
      <w:lvlText w:val=""/>
      <w:lvlJc w:val="left"/>
      <w:pPr>
        <w:ind w:left="2160" w:hanging="361"/>
      </w:pPr>
      <w:rPr>
        <w:rFonts w:ascii="Symbol" w:eastAsia="Symbol" w:hAnsi="Symbol" w:cs="Symbol" w:hint="default"/>
        <w:b w:val="0"/>
        <w:bCs w:val="0"/>
        <w:i w:val="0"/>
        <w:iCs w:val="0"/>
        <w:w w:val="100"/>
        <w:sz w:val="22"/>
        <w:szCs w:val="22"/>
      </w:rPr>
    </w:lvl>
    <w:lvl w:ilvl="1" w:tplc="87265D36">
      <w:numFmt w:val="bullet"/>
      <w:lvlText w:val="•"/>
      <w:lvlJc w:val="left"/>
      <w:pPr>
        <w:ind w:left="3134" w:hanging="361"/>
      </w:pPr>
      <w:rPr>
        <w:rFonts w:hint="default"/>
      </w:rPr>
    </w:lvl>
    <w:lvl w:ilvl="2" w:tplc="4D2ABF00">
      <w:numFmt w:val="bullet"/>
      <w:lvlText w:val="•"/>
      <w:lvlJc w:val="left"/>
      <w:pPr>
        <w:ind w:left="4109" w:hanging="361"/>
      </w:pPr>
      <w:rPr>
        <w:rFonts w:hint="default"/>
      </w:rPr>
    </w:lvl>
    <w:lvl w:ilvl="3" w:tplc="DADE1930">
      <w:numFmt w:val="bullet"/>
      <w:lvlText w:val="•"/>
      <w:lvlJc w:val="left"/>
      <w:pPr>
        <w:ind w:left="5083" w:hanging="361"/>
      </w:pPr>
      <w:rPr>
        <w:rFonts w:hint="default"/>
      </w:rPr>
    </w:lvl>
    <w:lvl w:ilvl="4" w:tplc="B5AE619C">
      <w:numFmt w:val="bullet"/>
      <w:lvlText w:val="•"/>
      <w:lvlJc w:val="left"/>
      <w:pPr>
        <w:ind w:left="6058" w:hanging="361"/>
      </w:pPr>
      <w:rPr>
        <w:rFonts w:hint="default"/>
      </w:rPr>
    </w:lvl>
    <w:lvl w:ilvl="5" w:tplc="31501BEE">
      <w:numFmt w:val="bullet"/>
      <w:lvlText w:val="•"/>
      <w:lvlJc w:val="left"/>
      <w:pPr>
        <w:ind w:left="7033" w:hanging="361"/>
      </w:pPr>
      <w:rPr>
        <w:rFonts w:hint="default"/>
      </w:rPr>
    </w:lvl>
    <w:lvl w:ilvl="6" w:tplc="F4505DB6">
      <w:numFmt w:val="bullet"/>
      <w:lvlText w:val="•"/>
      <w:lvlJc w:val="left"/>
      <w:pPr>
        <w:ind w:left="8007" w:hanging="361"/>
      </w:pPr>
      <w:rPr>
        <w:rFonts w:hint="default"/>
      </w:rPr>
    </w:lvl>
    <w:lvl w:ilvl="7" w:tplc="84B0C138">
      <w:numFmt w:val="bullet"/>
      <w:lvlText w:val="•"/>
      <w:lvlJc w:val="left"/>
      <w:pPr>
        <w:ind w:left="8982" w:hanging="361"/>
      </w:pPr>
      <w:rPr>
        <w:rFonts w:hint="default"/>
      </w:rPr>
    </w:lvl>
    <w:lvl w:ilvl="8" w:tplc="FB603B6A">
      <w:numFmt w:val="bullet"/>
      <w:lvlText w:val="•"/>
      <w:lvlJc w:val="left"/>
      <w:pPr>
        <w:ind w:left="9957" w:hanging="361"/>
      </w:pPr>
      <w:rPr>
        <w:rFonts w:hint="default"/>
      </w:rPr>
    </w:lvl>
  </w:abstractNum>
  <w:abstractNum w:abstractNumId="1" w15:restartNumberingAfterBreak="0">
    <w:nsid w:val="0CE436C0"/>
    <w:multiLevelType w:val="hybridMultilevel"/>
    <w:tmpl w:val="6860BE68"/>
    <w:lvl w:ilvl="0" w:tplc="1B62DD78">
      <w:numFmt w:val="bullet"/>
      <w:lvlText w:val=""/>
      <w:lvlJc w:val="left"/>
      <w:pPr>
        <w:ind w:left="1799" w:hanging="360"/>
      </w:pPr>
      <w:rPr>
        <w:rFonts w:ascii="Wingdings" w:eastAsia="Wingdings" w:hAnsi="Wingdings" w:cs="Wingdings" w:hint="default"/>
        <w:w w:val="100"/>
      </w:rPr>
    </w:lvl>
    <w:lvl w:ilvl="1" w:tplc="C0423E24">
      <w:numFmt w:val="bullet"/>
      <w:lvlText w:val=""/>
      <w:lvlJc w:val="left"/>
      <w:pPr>
        <w:ind w:left="2202" w:hanging="339"/>
      </w:pPr>
      <w:rPr>
        <w:rFonts w:ascii="Webdings" w:eastAsia="Webdings" w:hAnsi="Webdings" w:cs="Webdings" w:hint="default"/>
        <w:w w:val="100"/>
      </w:rPr>
    </w:lvl>
    <w:lvl w:ilvl="2" w:tplc="7F2AED46">
      <w:numFmt w:val="bullet"/>
      <w:lvlText w:val="-"/>
      <w:lvlJc w:val="left"/>
      <w:pPr>
        <w:ind w:left="2433" w:hanging="286"/>
      </w:pPr>
      <w:rPr>
        <w:rFonts w:ascii="Verdana" w:eastAsia="Verdana" w:hAnsi="Verdana" w:cs="Verdana" w:hint="default"/>
        <w:b w:val="0"/>
        <w:bCs w:val="0"/>
        <w:i w:val="0"/>
        <w:iCs w:val="0"/>
        <w:w w:val="100"/>
        <w:sz w:val="22"/>
        <w:szCs w:val="22"/>
      </w:rPr>
    </w:lvl>
    <w:lvl w:ilvl="3" w:tplc="5C4AD8CA">
      <w:numFmt w:val="bullet"/>
      <w:lvlText w:val=""/>
      <w:lvlJc w:val="left"/>
      <w:pPr>
        <w:ind w:left="3424" w:hanging="284"/>
      </w:pPr>
      <w:rPr>
        <w:rFonts w:ascii="Wingdings" w:eastAsia="Wingdings" w:hAnsi="Wingdings" w:cs="Wingdings" w:hint="default"/>
        <w:b w:val="0"/>
        <w:bCs w:val="0"/>
        <w:i w:val="0"/>
        <w:iCs w:val="0"/>
        <w:w w:val="100"/>
        <w:sz w:val="22"/>
        <w:szCs w:val="22"/>
      </w:rPr>
    </w:lvl>
    <w:lvl w:ilvl="4" w:tplc="520AA2EE">
      <w:numFmt w:val="bullet"/>
      <w:lvlText w:val="•"/>
      <w:lvlJc w:val="left"/>
      <w:pPr>
        <w:ind w:left="2160" w:hanging="284"/>
      </w:pPr>
      <w:rPr>
        <w:rFonts w:hint="default"/>
      </w:rPr>
    </w:lvl>
    <w:lvl w:ilvl="5" w:tplc="1890C6A2">
      <w:numFmt w:val="bullet"/>
      <w:lvlText w:val="•"/>
      <w:lvlJc w:val="left"/>
      <w:pPr>
        <w:ind w:left="2200" w:hanging="284"/>
      </w:pPr>
      <w:rPr>
        <w:rFonts w:hint="default"/>
      </w:rPr>
    </w:lvl>
    <w:lvl w:ilvl="6" w:tplc="E02214EC">
      <w:numFmt w:val="bullet"/>
      <w:lvlText w:val="•"/>
      <w:lvlJc w:val="left"/>
      <w:pPr>
        <w:ind w:left="2440" w:hanging="284"/>
      </w:pPr>
      <w:rPr>
        <w:rFonts w:hint="default"/>
      </w:rPr>
    </w:lvl>
    <w:lvl w:ilvl="7" w:tplc="FC9446B6">
      <w:numFmt w:val="bullet"/>
      <w:lvlText w:val="•"/>
      <w:lvlJc w:val="left"/>
      <w:pPr>
        <w:ind w:left="3420" w:hanging="284"/>
      </w:pPr>
      <w:rPr>
        <w:rFonts w:hint="default"/>
      </w:rPr>
    </w:lvl>
    <w:lvl w:ilvl="8" w:tplc="017C526C">
      <w:numFmt w:val="bullet"/>
      <w:lvlText w:val="•"/>
      <w:lvlJc w:val="left"/>
      <w:pPr>
        <w:ind w:left="6248" w:hanging="284"/>
      </w:pPr>
      <w:rPr>
        <w:rFonts w:hint="default"/>
      </w:rPr>
    </w:lvl>
  </w:abstractNum>
  <w:abstractNum w:abstractNumId="2"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68F13E9"/>
    <w:multiLevelType w:val="multilevel"/>
    <w:tmpl w:val="63366A06"/>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294B5878"/>
    <w:multiLevelType w:val="hybridMultilevel"/>
    <w:tmpl w:val="4FE67C4A"/>
    <w:lvl w:ilvl="0" w:tplc="5EE4EB1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4F303FC"/>
    <w:multiLevelType w:val="hybridMultilevel"/>
    <w:tmpl w:val="FDAAFEC4"/>
    <w:lvl w:ilvl="0" w:tplc="5D248F1A">
      <w:numFmt w:val="bullet"/>
      <w:lvlText w:val=""/>
      <w:lvlJc w:val="left"/>
      <w:pPr>
        <w:ind w:left="2147" w:hanging="425"/>
      </w:pPr>
      <w:rPr>
        <w:rFonts w:ascii="Symbol" w:eastAsia="Symbol" w:hAnsi="Symbol" w:cs="Symbol" w:hint="default"/>
        <w:b w:val="0"/>
        <w:bCs w:val="0"/>
        <w:i w:val="0"/>
        <w:iCs w:val="0"/>
        <w:w w:val="100"/>
        <w:sz w:val="22"/>
        <w:szCs w:val="22"/>
      </w:rPr>
    </w:lvl>
    <w:lvl w:ilvl="1" w:tplc="3B268FC4">
      <w:numFmt w:val="bullet"/>
      <w:lvlText w:val="•"/>
      <w:lvlJc w:val="left"/>
      <w:pPr>
        <w:ind w:left="3116" w:hanging="425"/>
      </w:pPr>
      <w:rPr>
        <w:rFonts w:hint="default"/>
      </w:rPr>
    </w:lvl>
    <w:lvl w:ilvl="2" w:tplc="D520DCC2">
      <w:numFmt w:val="bullet"/>
      <w:lvlText w:val="•"/>
      <w:lvlJc w:val="left"/>
      <w:pPr>
        <w:ind w:left="4093" w:hanging="425"/>
      </w:pPr>
      <w:rPr>
        <w:rFonts w:hint="default"/>
      </w:rPr>
    </w:lvl>
    <w:lvl w:ilvl="3" w:tplc="96D4A796">
      <w:numFmt w:val="bullet"/>
      <w:lvlText w:val="•"/>
      <w:lvlJc w:val="left"/>
      <w:pPr>
        <w:ind w:left="5069" w:hanging="425"/>
      </w:pPr>
      <w:rPr>
        <w:rFonts w:hint="default"/>
      </w:rPr>
    </w:lvl>
    <w:lvl w:ilvl="4" w:tplc="C144D89C">
      <w:numFmt w:val="bullet"/>
      <w:lvlText w:val="•"/>
      <w:lvlJc w:val="left"/>
      <w:pPr>
        <w:ind w:left="6046" w:hanging="425"/>
      </w:pPr>
      <w:rPr>
        <w:rFonts w:hint="default"/>
      </w:rPr>
    </w:lvl>
    <w:lvl w:ilvl="5" w:tplc="6CE861D0">
      <w:numFmt w:val="bullet"/>
      <w:lvlText w:val="•"/>
      <w:lvlJc w:val="left"/>
      <w:pPr>
        <w:ind w:left="7023" w:hanging="425"/>
      </w:pPr>
      <w:rPr>
        <w:rFonts w:hint="default"/>
      </w:rPr>
    </w:lvl>
    <w:lvl w:ilvl="6" w:tplc="C4800820">
      <w:numFmt w:val="bullet"/>
      <w:lvlText w:val="•"/>
      <w:lvlJc w:val="left"/>
      <w:pPr>
        <w:ind w:left="7999" w:hanging="425"/>
      </w:pPr>
      <w:rPr>
        <w:rFonts w:hint="default"/>
      </w:rPr>
    </w:lvl>
    <w:lvl w:ilvl="7" w:tplc="FBA6D55A">
      <w:numFmt w:val="bullet"/>
      <w:lvlText w:val="•"/>
      <w:lvlJc w:val="left"/>
      <w:pPr>
        <w:ind w:left="8976" w:hanging="425"/>
      </w:pPr>
      <w:rPr>
        <w:rFonts w:hint="default"/>
      </w:rPr>
    </w:lvl>
    <w:lvl w:ilvl="8" w:tplc="9F24AC06">
      <w:numFmt w:val="bullet"/>
      <w:lvlText w:val="•"/>
      <w:lvlJc w:val="left"/>
      <w:pPr>
        <w:ind w:left="9953" w:hanging="425"/>
      </w:pPr>
      <w:rPr>
        <w:rFonts w:hint="default"/>
      </w:rPr>
    </w:lvl>
  </w:abstractNum>
  <w:abstractNum w:abstractNumId="6" w15:restartNumberingAfterBreak="0">
    <w:nsid w:val="67FC083E"/>
    <w:multiLevelType w:val="hybridMultilevel"/>
    <w:tmpl w:val="FDC88A48"/>
    <w:lvl w:ilvl="0" w:tplc="4F1449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2"/>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num>
  <w:num w:numId="8">
    <w:abstractNumId w:val="5"/>
  </w:num>
  <w:num w:numId="9">
    <w:abstractNumId w:val="0"/>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44BF"/>
    <w:rsid w:val="00002031"/>
    <w:rsid w:val="00004734"/>
    <w:rsid w:val="00006B22"/>
    <w:rsid w:val="00006FAB"/>
    <w:rsid w:val="0001276A"/>
    <w:rsid w:val="0002160A"/>
    <w:rsid w:val="000246AE"/>
    <w:rsid w:val="00025C67"/>
    <w:rsid w:val="00044772"/>
    <w:rsid w:val="0004541C"/>
    <w:rsid w:val="00052CB4"/>
    <w:rsid w:val="0005559E"/>
    <w:rsid w:val="000604D6"/>
    <w:rsid w:val="000734D8"/>
    <w:rsid w:val="000739E2"/>
    <w:rsid w:val="000748E7"/>
    <w:rsid w:val="00077775"/>
    <w:rsid w:val="00080D41"/>
    <w:rsid w:val="00090471"/>
    <w:rsid w:val="00093AF4"/>
    <w:rsid w:val="00096AA7"/>
    <w:rsid w:val="000A3AED"/>
    <w:rsid w:val="000B3532"/>
    <w:rsid w:val="000B3A75"/>
    <w:rsid w:val="000C00C2"/>
    <w:rsid w:val="000C690F"/>
    <w:rsid w:val="000D1295"/>
    <w:rsid w:val="000D391B"/>
    <w:rsid w:val="000D3D6D"/>
    <w:rsid w:val="000D4FC7"/>
    <w:rsid w:val="000E6196"/>
    <w:rsid w:val="000F2C63"/>
    <w:rsid w:val="000F4869"/>
    <w:rsid w:val="000F5B42"/>
    <w:rsid w:val="000F6E6F"/>
    <w:rsid w:val="0010601F"/>
    <w:rsid w:val="0010788A"/>
    <w:rsid w:val="00107A31"/>
    <w:rsid w:val="00110EA5"/>
    <w:rsid w:val="00112F56"/>
    <w:rsid w:val="00114945"/>
    <w:rsid w:val="00122C2E"/>
    <w:rsid w:val="00122C90"/>
    <w:rsid w:val="00124ACD"/>
    <w:rsid w:val="00125318"/>
    <w:rsid w:val="001279A9"/>
    <w:rsid w:val="001305A2"/>
    <w:rsid w:val="00133238"/>
    <w:rsid w:val="00133A1B"/>
    <w:rsid w:val="0014197B"/>
    <w:rsid w:val="001447CD"/>
    <w:rsid w:val="0014706E"/>
    <w:rsid w:val="001516B1"/>
    <w:rsid w:val="00153D51"/>
    <w:rsid w:val="00154EBB"/>
    <w:rsid w:val="00156316"/>
    <w:rsid w:val="00161181"/>
    <w:rsid w:val="00162D14"/>
    <w:rsid w:val="00163780"/>
    <w:rsid w:val="00165389"/>
    <w:rsid w:val="00170F6A"/>
    <w:rsid w:val="0017693F"/>
    <w:rsid w:val="0018110E"/>
    <w:rsid w:val="00181684"/>
    <w:rsid w:val="001843C6"/>
    <w:rsid w:val="001850E0"/>
    <w:rsid w:val="001A03AF"/>
    <w:rsid w:val="001A2158"/>
    <w:rsid w:val="001A525F"/>
    <w:rsid w:val="001A6AB6"/>
    <w:rsid w:val="001B09F9"/>
    <w:rsid w:val="001B4EB2"/>
    <w:rsid w:val="001B5C90"/>
    <w:rsid w:val="001B6448"/>
    <w:rsid w:val="001B7359"/>
    <w:rsid w:val="001C32CD"/>
    <w:rsid w:val="001C3920"/>
    <w:rsid w:val="001D2984"/>
    <w:rsid w:val="001D79BC"/>
    <w:rsid w:val="001E07CF"/>
    <w:rsid w:val="001E59F1"/>
    <w:rsid w:val="001F2CEE"/>
    <w:rsid w:val="001F4171"/>
    <w:rsid w:val="001F49EB"/>
    <w:rsid w:val="001F6CBA"/>
    <w:rsid w:val="00201D4E"/>
    <w:rsid w:val="002076C9"/>
    <w:rsid w:val="00214E3B"/>
    <w:rsid w:val="00220B8A"/>
    <w:rsid w:val="00222E86"/>
    <w:rsid w:val="002257F3"/>
    <w:rsid w:val="0023242C"/>
    <w:rsid w:val="00233416"/>
    <w:rsid w:val="00233456"/>
    <w:rsid w:val="002339A5"/>
    <w:rsid w:val="00250271"/>
    <w:rsid w:val="00257848"/>
    <w:rsid w:val="002578E8"/>
    <w:rsid w:val="002619D4"/>
    <w:rsid w:val="002621E5"/>
    <w:rsid w:val="002652C0"/>
    <w:rsid w:val="0027084A"/>
    <w:rsid w:val="00273E4A"/>
    <w:rsid w:val="00280265"/>
    <w:rsid w:val="00282D2E"/>
    <w:rsid w:val="00283521"/>
    <w:rsid w:val="0028503F"/>
    <w:rsid w:val="00286434"/>
    <w:rsid w:val="00286C59"/>
    <w:rsid w:val="00291957"/>
    <w:rsid w:val="002942D1"/>
    <w:rsid w:val="0029501A"/>
    <w:rsid w:val="002A2B7B"/>
    <w:rsid w:val="002A3721"/>
    <w:rsid w:val="002B1638"/>
    <w:rsid w:val="002B3624"/>
    <w:rsid w:val="002C06D3"/>
    <w:rsid w:val="002C6EF5"/>
    <w:rsid w:val="002D0952"/>
    <w:rsid w:val="002D098C"/>
    <w:rsid w:val="002D364D"/>
    <w:rsid w:val="002E40B3"/>
    <w:rsid w:val="002E4C9A"/>
    <w:rsid w:val="002F11F8"/>
    <w:rsid w:val="002F3F56"/>
    <w:rsid w:val="002F44B5"/>
    <w:rsid w:val="002F5122"/>
    <w:rsid w:val="002F5941"/>
    <w:rsid w:val="00302181"/>
    <w:rsid w:val="00311AC0"/>
    <w:rsid w:val="003132CB"/>
    <w:rsid w:val="003171A1"/>
    <w:rsid w:val="003176FC"/>
    <w:rsid w:val="00324E45"/>
    <w:rsid w:val="0032583B"/>
    <w:rsid w:val="00325B9E"/>
    <w:rsid w:val="00327883"/>
    <w:rsid w:val="00330668"/>
    <w:rsid w:val="00335504"/>
    <w:rsid w:val="00340C18"/>
    <w:rsid w:val="003442FD"/>
    <w:rsid w:val="00347824"/>
    <w:rsid w:val="00350567"/>
    <w:rsid w:val="003521E8"/>
    <w:rsid w:val="00370CE3"/>
    <w:rsid w:val="00371965"/>
    <w:rsid w:val="003728F3"/>
    <w:rsid w:val="003735BC"/>
    <w:rsid w:val="0037496E"/>
    <w:rsid w:val="00383221"/>
    <w:rsid w:val="00386150"/>
    <w:rsid w:val="003874CE"/>
    <w:rsid w:val="00390900"/>
    <w:rsid w:val="00390DF9"/>
    <w:rsid w:val="003A2882"/>
    <w:rsid w:val="003A7F6C"/>
    <w:rsid w:val="003B1AB1"/>
    <w:rsid w:val="003B4D60"/>
    <w:rsid w:val="003B7E39"/>
    <w:rsid w:val="003C29E6"/>
    <w:rsid w:val="003C58DC"/>
    <w:rsid w:val="003D1E62"/>
    <w:rsid w:val="003E0B99"/>
    <w:rsid w:val="003E2486"/>
    <w:rsid w:val="003E3208"/>
    <w:rsid w:val="003E35D2"/>
    <w:rsid w:val="003F0B04"/>
    <w:rsid w:val="003F59E5"/>
    <w:rsid w:val="0040134E"/>
    <w:rsid w:val="00405DAF"/>
    <w:rsid w:val="00431C61"/>
    <w:rsid w:val="004334C7"/>
    <w:rsid w:val="00436797"/>
    <w:rsid w:val="00440A2D"/>
    <w:rsid w:val="00441C3F"/>
    <w:rsid w:val="00444D1A"/>
    <w:rsid w:val="0045186A"/>
    <w:rsid w:val="00455CA4"/>
    <w:rsid w:val="004564A7"/>
    <w:rsid w:val="00456765"/>
    <w:rsid w:val="00456F06"/>
    <w:rsid w:val="00460036"/>
    <w:rsid w:val="004617BF"/>
    <w:rsid w:val="00463658"/>
    <w:rsid w:val="004637A0"/>
    <w:rsid w:val="0046771B"/>
    <w:rsid w:val="004722CC"/>
    <w:rsid w:val="00475BB9"/>
    <w:rsid w:val="00476D80"/>
    <w:rsid w:val="0048236C"/>
    <w:rsid w:val="00486AA8"/>
    <w:rsid w:val="004872C0"/>
    <w:rsid w:val="00490483"/>
    <w:rsid w:val="004936E4"/>
    <w:rsid w:val="00494E60"/>
    <w:rsid w:val="00495615"/>
    <w:rsid w:val="00497487"/>
    <w:rsid w:val="004A168F"/>
    <w:rsid w:val="004A2771"/>
    <w:rsid w:val="004A6189"/>
    <w:rsid w:val="004A7390"/>
    <w:rsid w:val="004B0D5D"/>
    <w:rsid w:val="004B3F73"/>
    <w:rsid w:val="004B5B87"/>
    <w:rsid w:val="004B7B76"/>
    <w:rsid w:val="004C239D"/>
    <w:rsid w:val="004C245D"/>
    <w:rsid w:val="004C29D0"/>
    <w:rsid w:val="004C2DCA"/>
    <w:rsid w:val="004C4FBE"/>
    <w:rsid w:val="004C61D2"/>
    <w:rsid w:val="004D44BF"/>
    <w:rsid w:val="004D762F"/>
    <w:rsid w:val="004F0C4A"/>
    <w:rsid w:val="004F0F38"/>
    <w:rsid w:val="004F47D6"/>
    <w:rsid w:val="00500337"/>
    <w:rsid w:val="00501921"/>
    <w:rsid w:val="005137AB"/>
    <w:rsid w:val="00530354"/>
    <w:rsid w:val="00531F70"/>
    <w:rsid w:val="0053625B"/>
    <w:rsid w:val="00540FEB"/>
    <w:rsid w:val="005434C6"/>
    <w:rsid w:val="00543B39"/>
    <w:rsid w:val="00544275"/>
    <w:rsid w:val="00546154"/>
    <w:rsid w:val="00550096"/>
    <w:rsid w:val="00555280"/>
    <w:rsid w:val="00557FF9"/>
    <w:rsid w:val="00562327"/>
    <w:rsid w:val="005642CF"/>
    <w:rsid w:val="005657A0"/>
    <w:rsid w:val="005711D5"/>
    <w:rsid w:val="00571C48"/>
    <w:rsid w:val="00576378"/>
    <w:rsid w:val="00577130"/>
    <w:rsid w:val="00577945"/>
    <w:rsid w:val="00577E38"/>
    <w:rsid w:val="00585322"/>
    <w:rsid w:val="005857C6"/>
    <w:rsid w:val="00591E14"/>
    <w:rsid w:val="00592F6E"/>
    <w:rsid w:val="00593AD1"/>
    <w:rsid w:val="005A68B6"/>
    <w:rsid w:val="005C5570"/>
    <w:rsid w:val="005C5B66"/>
    <w:rsid w:val="005C79A4"/>
    <w:rsid w:val="005D5442"/>
    <w:rsid w:val="005D7146"/>
    <w:rsid w:val="00603F32"/>
    <w:rsid w:val="00605AD4"/>
    <w:rsid w:val="00613524"/>
    <w:rsid w:val="006136D7"/>
    <w:rsid w:val="00625A6E"/>
    <w:rsid w:val="00632398"/>
    <w:rsid w:val="00640FC3"/>
    <w:rsid w:val="00642020"/>
    <w:rsid w:val="006430EE"/>
    <w:rsid w:val="0065337B"/>
    <w:rsid w:val="0065419D"/>
    <w:rsid w:val="00657889"/>
    <w:rsid w:val="006603BC"/>
    <w:rsid w:val="006604D8"/>
    <w:rsid w:val="00664A5B"/>
    <w:rsid w:val="0066735C"/>
    <w:rsid w:val="006763D2"/>
    <w:rsid w:val="00680C08"/>
    <w:rsid w:val="00687A44"/>
    <w:rsid w:val="00690ABE"/>
    <w:rsid w:val="006916A0"/>
    <w:rsid w:val="006931B1"/>
    <w:rsid w:val="006A15C0"/>
    <w:rsid w:val="006A58A8"/>
    <w:rsid w:val="006A73A4"/>
    <w:rsid w:val="006C3E2A"/>
    <w:rsid w:val="006C642F"/>
    <w:rsid w:val="006D03E5"/>
    <w:rsid w:val="006D4AEB"/>
    <w:rsid w:val="006D5D3E"/>
    <w:rsid w:val="006E08B3"/>
    <w:rsid w:val="006F17AC"/>
    <w:rsid w:val="006F25B8"/>
    <w:rsid w:val="006F572E"/>
    <w:rsid w:val="007046D6"/>
    <w:rsid w:val="00705DB0"/>
    <w:rsid w:val="00722B57"/>
    <w:rsid w:val="007233A7"/>
    <w:rsid w:val="00725847"/>
    <w:rsid w:val="00730F8A"/>
    <w:rsid w:val="00735A8C"/>
    <w:rsid w:val="00737DD3"/>
    <w:rsid w:val="0074253D"/>
    <w:rsid w:val="007432A4"/>
    <w:rsid w:val="00744121"/>
    <w:rsid w:val="0074429B"/>
    <w:rsid w:val="007615BC"/>
    <w:rsid w:val="00762F05"/>
    <w:rsid w:val="007635F4"/>
    <w:rsid w:val="007652FF"/>
    <w:rsid w:val="00770CAC"/>
    <w:rsid w:val="00770EF1"/>
    <w:rsid w:val="00773EF7"/>
    <w:rsid w:val="00774473"/>
    <w:rsid w:val="00774E1D"/>
    <w:rsid w:val="007765D8"/>
    <w:rsid w:val="0077675A"/>
    <w:rsid w:val="00780355"/>
    <w:rsid w:val="007803C3"/>
    <w:rsid w:val="007819FD"/>
    <w:rsid w:val="00785717"/>
    <w:rsid w:val="00785721"/>
    <w:rsid w:val="00793A59"/>
    <w:rsid w:val="007A46F5"/>
    <w:rsid w:val="007A6505"/>
    <w:rsid w:val="007B1693"/>
    <w:rsid w:val="007B279C"/>
    <w:rsid w:val="007B6132"/>
    <w:rsid w:val="007B62A8"/>
    <w:rsid w:val="007B6E9F"/>
    <w:rsid w:val="007C0E39"/>
    <w:rsid w:val="007C1216"/>
    <w:rsid w:val="007C1AF7"/>
    <w:rsid w:val="007C6B9B"/>
    <w:rsid w:val="007D539A"/>
    <w:rsid w:val="007D53B6"/>
    <w:rsid w:val="007E6B8F"/>
    <w:rsid w:val="00805D27"/>
    <w:rsid w:val="00806DCB"/>
    <w:rsid w:val="00821776"/>
    <w:rsid w:val="00821BB7"/>
    <w:rsid w:val="0082330E"/>
    <w:rsid w:val="0082476B"/>
    <w:rsid w:val="008321F5"/>
    <w:rsid w:val="00832369"/>
    <w:rsid w:val="00834660"/>
    <w:rsid w:val="00836BC2"/>
    <w:rsid w:val="00837EEC"/>
    <w:rsid w:val="00851420"/>
    <w:rsid w:val="0085156D"/>
    <w:rsid w:val="00852B28"/>
    <w:rsid w:val="0085641B"/>
    <w:rsid w:val="00857136"/>
    <w:rsid w:val="00875A6B"/>
    <w:rsid w:val="00885B11"/>
    <w:rsid w:val="00886D15"/>
    <w:rsid w:val="00887DD8"/>
    <w:rsid w:val="00891BA9"/>
    <w:rsid w:val="00893358"/>
    <w:rsid w:val="00896018"/>
    <w:rsid w:val="008960DD"/>
    <w:rsid w:val="0089635C"/>
    <w:rsid w:val="008A2B9D"/>
    <w:rsid w:val="008A3D9F"/>
    <w:rsid w:val="008A5E0B"/>
    <w:rsid w:val="008A6D59"/>
    <w:rsid w:val="008B4B03"/>
    <w:rsid w:val="008B596F"/>
    <w:rsid w:val="008C159F"/>
    <w:rsid w:val="008C1623"/>
    <w:rsid w:val="008C1850"/>
    <w:rsid w:val="008C51A9"/>
    <w:rsid w:val="008D6764"/>
    <w:rsid w:val="008E1388"/>
    <w:rsid w:val="008E7164"/>
    <w:rsid w:val="008E7846"/>
    <w:rsid w:val="008F02E5"/>
    <w:rsid w:val="008F1BD9"/>
    <w:rsid w:val="008F1CCC"/>
    <w:rsid w:val="008F2967"/>
    <w:rsid w:val="008F64AF"/>
    <w:rsid w:val="008F6943"/>
    <w:rsid w:val="00902A21"/>
    <w:rsid w:val="0091039A"/>
    <w:rsid w:val="0091523F"/>
    <w:rsid w:val="00915D5C"/>
    <w:rsid w:val="00920035"/>
    <w:rsid w:val="00920330"/>
    <w:rsid w:val="009219D7"/>
    <w:rsid w:val="00922D53"/>
    <w:rsid w:val="00923B70"/>
    <w:rsid w:val="00924482"/>
    <w:rsid w:val="00930237"/>
    <w:rsid w:val="00937C17"/>
    <w:rsid w:val="00940A89"/>
    <w:rsid w:val="00941F77"/>
    <w:rsid w:val="00946EA5"/>
    <w:rsid w:val="009535F0"/>
    <w:rsid w:val="00957327"/>
    <w:rsid w:val="00960520"/>
    <w:rsid w:val="00963C08"/>
    <w:rsid w:val="00967C43"/>
    <w:rsid w:val="009709D6"/>
    <w:rsid w:val="009752A5"/>
    <w:rsid w:val="00981E40"/>
    <w:rsid w:val="0098585A"/>
    <w:rsid w:val="00990E3E"/>
    <w:rsid w:val="00991896"/>
    <w:rsid w:val="009958FF"/>
    <w:rsid w:val="009A4A01"/>
    <w:rsid w:val="009A4CED"/>
    <w:rsid w:val="009A690D"/>
    <w:rsid w:val="009B147F"/>
    <w:rsid w:val="009B1D12"/>
    <w:rsid w:val="009B416B"/>
    <w:rsid w:val="009B7841"/>
    <w:rsid w:val="009C4BD5"/>
    <w:rsid w:val="009D1955"/>
    <w:rsid w:val="009D7B77"/>
    <w:rsid w:val="009E0BB0"/>
    <w:rsid w:val="009E3FBB"/>
    <w:rsid w:val="009F7353"/>
    <w:rsid w:val="00A04F85"/>
    <w:rsid w:val="00A05FA4"/>
    <w:rsid w:val="00A06E22"/>
    <w:rsid w:val="00A102E4"/>
    <w:rsid w:val="00A1219C"/>
    <w:rsid w:val="00A12C42"/>
    <w:rsid w:val="00A14DF7"/>
    <w:rsid w:val="00A2071B"/>
    <w:rsid w:val="00A22D57"/>
    <w:rsid w:val="00A273E2"/>
    <w:rsid w:val="00A3246D"/>
    <w:rsid w:val="00A35219"/>
    <w:rsid w:val="00A36FA7"/>
    <w:rsid w:val="00A44DDB"/>
    <w:rsid w:val="00A475B7"/>
    <w:rsid w:val="00A47AF7"/>
    <w:rsid w:val="00A47C3E"/>
    <w:rsid w:val="00A50226"/>
    <w:rsid w:val="00A60BAD"/>
    <w:rsid w:val="00A65FA0"/>
    <w:rsid w:val="00A73B1C"/>
    <w:rsid w:val="00A77F87"/>
    <w:rsid w:val="00A80B5B"/>
    <w:rsid w:val="00A84E36"/>
    <w:rsid w:val="00A964D1"/>
    <w:rsid w:val="00AA0ED0"/>
    <w:rsid w:val="00AA78B1"/>
    <w:rsid w:val="00AB7BD4"/>
    <w:rsid w:val="00AC2B40"/>
    <w:rsid w:val="00AC2BB2"/>
    <w:rsid w:val="00AC2C3C"/>
    <w:rsid w:val="00AC512D"/>
    <w:rsid w:val="00AD0083"/>
    <w:rsid w:val="00AD0634"/>
    <w:rsid w:val="00AD083F"/>
    <w:rsid w:val="00AD3935"/>
    <w:rsid w:val="00AE65EB"/>
    <w:rsid w:val="00AE67A7"/>
    <w:rsid w:val="00AF1D94"/>
    <w:rsid w:val="00AF60C5"/>
    <w:rsid w:val="00AF711F"/>
    <w:rsid w:val="00B009C6"/>
    <w:rsid w:val="00B01548"/>
    <w:rsid w:val="00B130C5"/>
    <w:rsid w:val="00B13EBD"/>
    <w:rsid w:val="00B21D29"/>
    <w:rsid w:val="00B25034"/>
    <w:rsid w:val="00B2766C"/>
    <w:rsid w:val="00B333B7"/>
    <w:rsid w:val="00B33588"/>
    <w:rsid w:val="00B33863"/>
    <w:rsid w:val="00B37D17"/>
    <w:rsid w:val="00B4175E"/>
    <w:rsid w:val="00B41C85"/>
    <w:rsid w:val="00B44933"/>
    <w:rsid w:val="00B44AE6"/>
    <w:rsid w:val="00B452CE"/>
    <w:rsid w:val="00B54C25"/>
    <w:rsid w:val="00B66070"/>
    <w:rsid w:val="00B70809"/>
    <w:rsid w:val="00B76B91"/>
    <w:rsid w:val="00B77EB1"/>
    <w:rsid w:val="00B811C6"/>
    <w:rsid w:val="00B855B0"/>
    <w:rsid w:val="00B87CF4"/>
    <w:rsid w:val="00B92E08"/>
    <w:rsid w:val="00B95EB0"/>
    <w:rsid w:val="00BC622A"/>
    <w:rsid w:val="00BE0A78"/>
    <w:rsid w:val="00BE79F0"/>
    <w:rsid w:val="00BF046D"/>
    <w:rsid w:val="00BF1190"/>
    <w:rsid w:val="00BF3774"/>
    <w:rsid w:val="00BF5D04"/>
    <w:rsid w:val="00C009AA"/>
    <w:rsid w:val="00C1164D"/>
    <w:rsid w:val="00C16861"/>
    <w:rsid w:val="00C26622"/>
    <w:rsid w:val="00C318E3"/>
    <w:rsid w:val="00C34350"/>
    <w:rsid w:val="00C346AB"/>
    <w:rsid w:val="00C404A6"/>
    <w:rsid w:val="00C40A36"/>
    <w:rsid w:val="00C44419"/>
    <w:rsid w:val="00C45E7B"/>
    <w:rsid w:val="00C471B1"/>
    <w:rsid w:val="00C525A2"/>
    <w:rsid w:val="00C52E24"/>
    <w:rsid w:val="00C6316B"/>
    <w:rsid w:val="00C634A9"/>
    <w:rsid w:val="00C64586"/>
    <w:rsid w:val="00C70A36"/>
    <w:rsid w:val="00C70D53"/>
    <w:rsid w:val="00C7347C"/>
    <w:rsid w:val="00C73D0B"/>
    <w:rsid w:val="00C74DD1"/>
    <w:rsid w:val="00C74F5C"/>
    <w:rsid w:val="00C772FF"/>
    <w:rsid w:val="00C80137"/>
    <w:rsid w:val="00C801AF"/>
    <w:rsid w:val="00C80256"/>
    <w:rsid w:val="00C924DD"/>
    <w:rsid w:val="00C93D2E"/>
    <w:rsid w:val="00C94A88"/>
    <w:rsid w:val="00C94CD4"/>
    <w:rsid w:val="00C9747E"/>
    <w:rsid w:val="00CB2D11"/>
    <w:rsid w:val="00CB6BC0"/>
    <w:rsid w:val="00CC1B7C"/>
    <w:rsid w:val="00CC727F"/>
    <w:rsid w:val="00CC797B"/>
    <w:rsid w:val="00CE005A"/>
    <w:rsid w:val="00CF15C3"/>
    <w:rsid w:val="00CF2B6F"/>
    <w:rsid w:val="00CF2F3E"/>
    <w:rsid w:val="00CF58B6"/>
    <w:rsid w:val="00CF5DAD"/>
    <w:rsid w:val="00D0062D"/>
    <w:rsid w:val="00D017ED"/>
    <w:rsid w:val="00D03DF0"/>
    <w:rsid w:val="00D040D3"/>
    <w:rsid w:val="00D04C65"/>
    <w:rsid w:val="00D153D8"/>
    <w:rsid w:val="00D201D2"/>
    <w:rsid w:val="00D21CCC"/>
    <w:rsid w:val="00D224FE"/>
    <w:rsid w:val="00D23139"/>
    <w:rsid w:val="00D2364C"/>
    <w:rsid w:val="00D23A82"/>
    <w:rsid w:val="00D2577B"/>
    <w:rsid w:val="00D41304"/>
    <w:rsid w:val="00D425BB"/>
    <w:rsid w:val="00D453FA"/>
    <w:rsid w:val="00D616D6"/>
    <w:rsid w:val="00D6493E"/>
    <w:rsid w:val="00D7195D"/>
    <w:rsid w:val="00D7301E"/>
    <w:rsid w:val="00D83AE1"/>
    <w:rsid w:val="00D855D4"/>
    <w:rsid w:val="00D902C9"/>
    <w:rsid w:val="00D91E8D"/>
    <w:rsid w:val="00D93466"/>
    <w:rsid w:val="00DA1124"/>
    <w:rsid w:val="00DA64CB"/>
    <w:rsid w:val="00DB06B8"/>
    <w:rsid w:val="00DB1EF8"/>
    <w:rsid w:val="00DB6124"/>
    <w:rsid w:val="00DB750B"/>
    <w:rsid w:val="00DB75B7"/>
    <w:rsid w:val="00DC0A2F"/>
    <w:rsid w:val="00DC1948"/>
    <w:rsid w:val="00DC6E02"/>
    <w:rsid w:val="00DC79F8"/>
    <w:rsid w:val="00DD28CD"/>
    <w:rsid w:val="00DE02AE"/>
    <w:rsid w:val="00DE39D1"/>
    <w:rsid w:val="00DE46AE"/>
    <w:rsid w:val="00DE4DC0"/>
    <w:rsid w:val="00DF15B8"/>
    <w:rsid w:val="00DF1D7F"/>
    <w:rsid w:val="00DF4BE4"/>
    <w:rsid w:val="00E02382"/>
    <w:rsid w:val="00E02FB4"/>
    <w:rsid w:val="00E137CF"/>
    <w:rsid w:val="00E13FC7"/>
    <w:rsid w:val="00E1428B"/>
    <w:rsid w:val="00E20571"/>
    <w:rsid w:val="00E235F7"/>
    <w:rsid w:val="00E23659"/>
    <w:rsid w:val="00E239D4"/>
    <w:rsid w:val="00E25228"/>
    <w:rsid w:val="00E26130"/>
    <w:rsid w:val="00E329F6"/>
    <w:rsid w:val="00E33D42"/>
    <w:rsid w:val="00E40B22"/>
    <w:rsid w:val="00E44ED1"/>
    <w:rsid w:val="00E45619"/>
    <w:rsid w:val="00E4588F"/>
    <w:rsid w:val="00E46DA3"/>
    <w:rsid w:val="00E51BB1"/>
    <w:rsid w:val="00E51BD1"/>
    <w:rsid w:val="00E55CB0"/>
    <w:rsid w:val="00E6140F"/>
    <w:rsid w:val="00E624A5"/>
    <w:rsid w:val="00E64BA4"/>
    <w:rsid w:val="00E7344E"/>
    <w:rsid w:val="00E81A9E"/>
    <w:rsid w:val="00E82665"/>
    <w:rsid w:val="00E85BC6"/>
    <w:rsid w:val="00E87A72"/>
    <w:rsid w:val="00EA7616"/>
    <w:rsid w:val="00EB0798"/>
    <w:rsid w:val="00EB40AD"/>
    <w:rsid w:val="00EB586E"/>
    <w:rsid w:val="00EB5FC8"/>
    <w:rsid w:val="00EC463D"/>
    <w:rsid w:val="00EC7A85"/>
    <w:rsid w:val="00ED2922"/>
    <w:rsid w:val="00ED3CAD"/>
    <w:rsid w:val="00ED5A41"/>
    <w:rsid w:val="00EE1DE8"/>
    <w:rsid w:val="00EE27C2"/>
    <w:rsid w:val="00EF4BAD"/>
    <w:rsid w:val="00EF59DC"/>
    <w:rsid w:val="00F033EC"/>
    <w:rsid w:val="00F04F68"/>
    <w:rsid w:val="00F12670"/>
    <w:rsid w:val="00F14B27"/>
    <w:rsid w:val="00F2732C"/>
    <w:rsid w:val="00F3148D"/>
    <w:rsid w:val="00F31BBA"/>
    <w:rsid w:val="00F325C5"/>
    <w:rsid w:val="00F32AD9"/>
    <w:rsid w:val="00F32FE0"/>
    <w:rsid w:val="00F33A7F"/>
    <w:rsid w:val="00F35298"/>
    <w:rsid w:val="00F47333"/>
    <w:rsid w:val="00F47E37"/>
    <w:rsid w:val="00F53A98"/>
    <w:rsid w:val="00F53C07"/>
    <w:rsid w:val="00F54B65"/>
    <w:rsid w:val="00F57863"/>
    <w:rsid w:val="00F63DBF"/>
    <w:rsid w:val="00F640B6"/>
    <w:rsid w:val="00F64706"/>
    <w:rsid w:val="00F66DF2"/>
    <w:rsid w:val="00F73010"/>
    <w:rsid w:val="00F765A3"/>
    <w:rsid w:val="00F80E40"/>
    <w:rsid w:val="00F81787"/>
    <w:rsid w:val="00F818CF"/>
    <w:rsid w:val="00F848D9"/>
    <w:rsid w:val="00F90A67"/>
    <w:rsid w:val="00F94BEB"/>
    <w:rsid w:val="00F97C17"/>
    <w:rsid w:val="00FA49CA"/>
    <w:rsid w:val="00FA5069"/>
    <w:rsid w:val="00FA5B82"/>
    <w:rsid w:val="00FA639E"/>
    <w:rsid w:val="00FC0D0E"/>
    <w:rsid w:val="00FC1FCA"/>
    <w:rsid w:val="00FC25E4"/>
    <w:rsid w:val="00FC4EF7"/>
    <w:rsid w:val="00FD0824"/>
    <w:rsid w:val="00FD119B"/>
    <w:rsid w:val="00FD1EDC"/>
    <w:rsid w:val="00FD2813"/>
    <w:rsid w:val="00FD352F"/>
    <w:rsid w:val="00FE045D"/>
    <w:rsid w:val="00FE1DEE"/>
    <w:rsid w:val="00FE30AF"/>
    <w:rsid w:val="00FE4584"/>
    <w:rsid w:val="00FE6FD8"/>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0513678"/>
  <w15:docId w15:val="{799DC697-F151-484D-AF7B-7F4546117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B87CF4"/>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B333B7"/>
    <w:pPr>
      <w:autoSpaceDE w:val="0"/>
      <w:autoSpaceDN w:val="0"/>
      <w:adjustRightInd w:val="0"/>
      <w:spacing w:after="0" w:line="240" w:lineRule="auto"/>
    </w:pPr>
    <w:rPr>
      <w:rFonts w:ascii="Cambria" w:hAnsi="Cambria" w:cs="Cambria"/>
      <w:color w:val="000000"/>
      <w:sz w:val="24"/>
      <w:szCs w:val="24"/>
      <w:lang w:val="en-GB"/>
    </w:rPr>
  </w:style>
  <w:style w:type="paragraph" w:styleId="ListParagraph">
    <w:name w:val="List Paragraph"/>
    <w:basedOn w:val="Normal"/>
    <w:uiPriority w:val="1"/>
    <w:qFormat/>
    <w:rsid w:val="00AB7BD4"/>
    <w:pPr>
      <w:ind w:left="720"/>
      <w:contextualSpacing/>
    </w:pPr>
  </w:style>
  <w:style w:type="paragraph" w:styleId="BodyText">
    <w:name w:val="Body Text"/>
    <w:basedOn w:val="Normal"/>
    <w:link w:val="BodyTextChar"/>
    <w:uiPriority w:val="1"/>
    <w:qFormat/>
    <w:rsid w:val="007803C3"/>
    <w:pPr>
      <w:widowControl w:val="0"/>
      <w:autoSpaceDE w:val="0"/>
      <w:autoSpaceDN w:val="0"/>
      <w:spacing w:before="0" w:after="0" w:line="240" w:lineRule="auto"/>
    </w:pPr>
    <w:rPr>
      <w:rFonts w:cs="Cambria"/>
      <w:lang w:val="en-US"/>
    </w:rPr>
  </w:style>
  <w:style w:type="character" w:customStyle="1" w:styleId="BodyTextChar">
    <w:name w:val="Body Text Char"/>
    <w:basedOn w:val="DefaultParagraphFont"/>
    <w:link w:val="BodyText"/>
    <w:uiPriority w:val="1"/>
    <w:rsid w:val="007803C3"/>
    <w:rPr>
      <w:rFonts w:ascii="Cambria" w:eastAsia="Cambria" w:hAnsi="Cambria" w:cs="Cambr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hyperlink" Target="https://www.tga.gov.au/product-information-pi"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yperlink" Target="https://www.tga.gov.au"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hyperlink" Target="https://www.tga.gov.au/product-information-pi" TargetMode="External"/><Relationship Id="rId27" Type="http://schemas.openxmlformats.org/officeDocument/2006/relationships/hyperlink" Target="mailto:info@tga.gov.au" TargetMode="External"/><Relationship Id="rId30" Type="http://schemas.openxmlformats.org/officeDocument/2006/relationships/header" Target="header8.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76608\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F58A6-BFA5-4E07-9CC6-2F70919F1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43</TotalTime>
  <Pages>55</Pages>
  <Words>23301</Words>
  <Characters>125827</Characters>
  <Application>Microsoft Office Word</Application>
  <DocSecurity>0</DocSecurity>
  <Lines>2467</Lines>
  <Paragraphs>1202</Paragraphs>
  <ScaleCrop>false</ScaleCrop>
  <HeadingPairs>
    <vt:vector size="2" baseType="variant">
      <vt:variant>
        <vt:lpstr>Title</vt:lpstr>
      </vt:variant>
      <vt:variant>
        <vt:i4>1</vt:i4>
      </vt:variant>
    </vt:vector>
  </HeadingPairs>
  <TitlesOfParts>
    <vt:vector size="1" baseType="lpstr">
      <vt:lpstr>Australian public assessment report for Normal immunoglobulin (human)</vt:lpstr>
    </vt:vector>
  </TitlesOfParts>
  <Company>Department of Health Therapeutic Goods Administration</Company>
  <LinksUpToDate>false</LinksUpToDate>
  <CharactersWithSpaces>147926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Normal immunoglobulin (human)</dc:title>
  <dc:subject>prescription medicines</dc:subject>
  <dc:creator>Therapeutic Goods Administration</dc:creator>
  <cp:keywords/>
  <cp:lastPrinted>2019-08-14T04:30:00Z</cp:lastPrinted>
  <dcterms:created xsi:type="dcterms:W3CDTF">2021-12-02T00:28:00Z</dcterms:created>
  <dcterms:modified xsi:type="dcterms:W3CDTF">2021-12-12T23:58:00Z</dcterms:modified>
  <cp:category/>
</cp:coreProperties>
</file>