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2E18F" w14:textId="77777777" w:rsidR="00EF0E0C" w:rsidRPr="00DF694E" w:rsidRDefault="00EF0E0C" w:rsidP="00914208">
      <w:pPr>
        <w:pStyle w:val="Heading1"/>
        <w:numPr>
          <w:ilvl w:val="0"/>
          <w:numId w:val="0"/>
        </w:numPr>
        <w:spacing w:before="0" w:line="240" w:lineRule="auto"/>
        <w:jc w:val="center"/>
        <w:rPr>
          <w:rFonts w:ascii="Times New Roman" w:hAnsi="Times New Roman" w:cs="Times New Roman"/>
          <w:bCs w:val="0"/>
          <w:caps w:val="0"/>
          <w:color w:val="000000" w:themeColor="text1"/>
          <w:sz w:val="24"/>
          <w:szCs w:val="24"/>
          <w:lang w:val="en-NZ"/>
        </w:rPr>
      </w:pPr>
      <w:r w:rsidRPr="00DF694E">
        <w:rPr>
          <w:rFonts w:ascii="Times New Roman" w:hAnsi="Times New Roman" w:cs="Times New Roman"/>
          <w:bCs w:val="0"/>
          <w:caps w:val="0"/>
          <w:color w:val="000000" w:themeColor="text1"/>
          <w:sz w:val="24"/>
          <w:szCs w:val="24"/>
          <w:lang w:val="en-NZ"/>
        </w:rPr>
        <w:t>AUSTRALIAN PRODUCT INFORMATION</w:t>
      </w:r>
    </w:p>
    <w:p w14:paraId="3453E4DF" w14:textId="680D40C3" w:rsidR="00277C38" w:rsidRPr="00DF694E" w:rsidRDefault="00EF0E0C" w:rsidP="00277C38">
      <w:pPr>
        <w:pStyle w:val="Heading1"/>
        <w:numPr>
          <w:ilvl w:val="0"/>
          <w:numId w:val="0"/>
        </w:numPr>
        <w:spacing w:before="0" w:line="240" w:lineRule="auto"/>
        <w:jc w:val="center"/>
        <w:rPr>
          <w:rFonts w:ascii="Times New Roman" w:hAnsi="Times New Roman"/>
          <w:color w:val="000000" w:themeColor="text1"/>
          <w:sz w:val="24"/>
          <w:szCs w:val="20"/>
        </w:rPr>
      </w:pPr>
      <w:r w:rsidRPr="00DF694E">
        <w:rPr>
          <w:rFonts w:ascii="Times New Roman" w:hAnsi="Times New Roman" w:cs="Times New Roman"/>
          <w:bCs w:val="0"/>
          <w:caps w:val="0"/>
          <w:color w:val="000000" w:themeColor="text1"/>
          <w:sz w:val="24"/>
          <w:szCs w:val="24"/>
          <w:lang w:val="en-NZ"/>
        </w:rPr>
        <w:br/>
      </w:r>
      <w:r w:rsidR="00DF694E" w:rsidRPr="00DF694E">
        <w:rPr>
          <w:rFonts w:ascii="Times New Roman" w:hAnsi="Times New Roman" w:cs="Times New Roman"/>
          <w:bCs w:val="0"/>
          <w:caps w:val="0"/>
          <w:color w:val="000000" w:themeColor="text1"/>
          <w:sz w:val="24"/>
          <w:szCs w:val="24"/>
          <w:lang w:val="en-NZ"/>
        </w:rPr>
        <w:t>KIOVIG</w:t>
      </w:r>
      <w:r w:rsidR="00AD6852" w:rsidRPr="00AD6852">
        <w:rPr>
          <w:rFonts w:ascii="Times New Roman" w:hAnsi="Times New Roman" w:cs="Times New Roman"/>
          <w:bCs w:val="0"/>
          <w:caps w:val="0"/>
          <w:color w:val="000000" w:themeColor="text1"/>
          <w:sz w:val="24"/>
          <w:szCs w:val="24"/>
          <w:vertAlign w:val="superscript"/>
          <w:lang w:val="en-NZ"/>
        </w:rPr>
        <w:t>®</w:t>
      </w:r>
      <w:r w:rsidR="00277C38" w:rsidRPr="00DF694E">
        <w:rPr>
          <w:rFonts w:ascii="Times New Roman" w:hAnsi="Times New Roman"/>
          <w:color w:val="000000" w:themeColor="text1"/>
          <w:sz w:val="24"/>
          <w:szCs w:val="20"/>
        </w:rPr>
        <w:t xml:space="preserve"> (</w:t>
      </w:r>
      <w:r w:rsidR="00DF694E" w:rsidRPr="00DF694E">
        <w:rPr>
          <w:rFonts w:ascii="Times New Roman" w:hAnsi="Times New Roman"/>
          <w:caps w:val="0"/>
          <w:color w:val="000000" w:themeColor="text1"/>
          <w:sz w:val="24"/>
          <w:szCs w:val="20"/>
        </w:rPr>
        <w:t>Normal immunoglobulin</w:t>
      </w:r>
      <w:r w:rsidR="00C35099">
        <w:rPr>
          <w:rFonts w:ascii="Times New Roman" w:hAnsi="Times New Roman"/>
          <w:caps w:val="0"/>
          <w:color w:val="000000" w:themeColor="text1"/>
          <w:sz w:val="24"/>
          <w:szCs w:val="20"/>
        </w:rPr>
        <w:t xml:space="preserve"> (Human)</w:t>
      </w:r>
      <w:r w:rsidR="00277C38" w:rsidRPr="00DF694E">
        <w:rPr>
          <w:rFonts w:ascii="Times New Roman" w:hAnsi="Times New Roman"/>
          <w:color w:val="000000" w:themeColor="text1"/>
          <w:sz w:val="24"/>
          <w:szCs w:val="20"/>
        </w:rPr>
        <w:t>)</w:t>
      </w:r>
    </w:p>
    <w:p w14:paraId="0D731A93" w14:textId="77777777" w:rsidR="00277C38" w:rsidRPr="00DF694E" w:rsidRDefault="00277C38" w:rsidP="00914208">
      <w:pPr>
        <w:spacing w:after="0" w:line="240" w:lineRule="auto"/>
        <w:jc w:val="both"/>
        <w:rPr>
          <w:rFonts w:ascii="Times New Roman" w:hAnsi="Times New Roman" w:cs="Times New Roman"/>
          <w:b/>
          <w:color w:val="000000" w:themeColor="text1"/>
          <w:sz w:val="24"/>
          <w:szCs w:val="24"/>
        </w:rPr>
      </w:pPr>
    </w:p>
    <w:p w14:paraId="13CF25B0" w14:textId="77777777" w:rsidR="00914208" w:rsidRPr="00DF694E" w:rsidRDefault="003B0C19" w:rsidP="003B0C19">
      <w:pPr>
        <w:pStyle w:val="Heading2"/>
        <w:numPr>
          <w:ilvl w:val="0"/>
          <w:numId w:val="0"/>
        </w:numPr>
        <w:spacing w:before="0" w:after="0" w:line="240" w:lineRule="auto"/>
        <w:rPr>
          <w:rFonts w:ascii="Times New Roman" w:hAnsi="Times New Roman" w:cs="Times New Roman"/>
          <w:color w:val="000000" w:themeColor="text1"/>
          <w:szCs w:val="24"/>
        </w:rPr>
      </w:pPr>
      <w:r w:rsidRPr="00DF694E">
        <w:rPr>
          <w:rFonts w:ascii="Times New Roman" w:hAnsi="Times New Roman" w:cs="Times New Roman"/>
          <w:smallCaps w:val="0"/>
          <w:color w:val="000000" w:themeColor="text1"/>
          <w:szCs w:val="24"/>
        </w:rPr>
        <w:t>1</w:t>
      </w:r>
      <w:r w:rsidRPr="00DF694E">
        <w:rPr>
          <w:rFonts w:ascii="Times New Roman" w:hAnsi="Times New Roman" w:cs="Times New Roman"/>
          <w:color w:val="000000" w:themeColor="text1"/>
          <w:szCs w:val="24"/>
        </w:rPr>
        <w:tab/>
        <w:t xml:space="preserve">NAME OF THE MEDICINE </w:t>
      </w:r>
    </w:p>
    <w:p w14:paraId="0CE591D4" w14:textId="77777777" w:rsidR="003B0C19" w:rsidRPr="00DF694E" w:rsidRDefault="003B0C19" w:rsidP="00F80D49">
      <w:pPr>
        <w:spacing w:after="0" w:line="240" w:lineRule="auto"/>
        <w:rPr>
          <w:rFonts w:ascii="Times New Roman" w:hAnsi="Times New Roman" w:cs="Times New Roman"/>
          <w:color w:val="000000" w:themeColor="text1"/>
          <w:sz w:val="24"/>
          <w:szCs w:val="24"/>
        </w:rPr>
      </w:pPr>
    </w:p>
    <w:p w14:paraId="3144E43A" w14:textId="01038214" w:rsidR="00DF694E" w:rsidRPr="00DF694E" w:rsidRDefault="00DF694E" w:rsidP="0067310B">
      <w:pPr>
        <w:spacing w:after="0" w:line="240" w:lineRule="auto"/>
        <w:rPr>
          <w:rFonts w:ascii="Times New Roman" w:hAnsi="Times New Roman" w:cs="Times New Roman"/>
          <w:color w:val="000000" w:themeColor="text1"/>
          <w:sz w:val="24"/>
          <w:szCs w:val="24"/>
        </w:rPr>
      </w:pPr>
      <w:r w:rsidRPr="00DF694E">
        <w:rPr>
          <w:rFonts w:ascii="Times New Roman" w:hAnsi="Times New Roman" w:cs="Times New Roman"/>
          <w:color w:val="000000" w:themeColor="text1"/>
          <w:sz w:val="24"/>
          <w:szCs w:val="24"/>
        </w:rPr>
        <w:t>Normal Immunoglobulin</w:t>
      </w:r>
      <w:r w:rsidR="00180365">
        <w:rPr>
          <w:rFonts w:ascii="Times New Roman" w:hAnsi="Times New Roman" w:cs="Times New Roman"/>
          <w:color w:val="000000" w:themeColor="text1"/>
          <w:sz w:val="24"/>
          <w:szCs w:val="24"/>
        </w:rPr>
        <w:t xml:space="preserve"> (Human)</w:t>
      </w:r>
      <w:r w:rsidRPr="00DF694E">
        <w:rPr>
          <w:rFonts w:ascii="Times New Roman" w:hAnsi="Times New Roman" w:cs="Times New Roman"/>
          <w:color w:val="000000" w:themeColor="text1"/>
          <w:sz w:val="24"/>
          <w:szCs w:val="24"/>
        </w:rPr>
        <w:t>.</w:t>
      </w:r>
    </w:p>
    <w:p w14:paraId="611DD087" w14:textId="77777777" w:rsidR="0067310B" w:rsidRPr="00DF694E" w:rsidRDefault="0067310B" w:rsidP="0067310B">
      <w:pPr>
        <w:spacing w:after="0" w:line="240" w:lineRule="auto"/>
        <w:rPr>
          <w:rFonts w:ascii="Times New Roman" w:hAnsi="Times New Roman" w:cs="Times New Roman"/>
          <w:color w:val="000000" w:themeColor="text1"/>
          <w:sz w:val="24"/>
          <w:szCs w:val="24"/>
          <w:highlight w:val="yellow"/>
        </w:rPr>
      </w:pPr>
    </w:p>
    <w:p w14:paraId="4FD5B5F7" w14:textId="77777777" w:rsidR="00914208" w:rsidRPr="00745013" w:rsidRDefault="003B0C19" w:rsidP="0067310B">
      <w:pPr>
        <w:pStyle w:val="Heading2"/>
        <w:numPr>
          <w:ilvl w:val="0"/>
          <w:numId w:val="0"/>
        </w:numPr>
        <w:spacing w:before="0" w:after="0" w:line="240" w:lineRule="auto"/>
        <w:rPr>
          <w:rFonts w:ascii="Times New Roman" w:hAnsi="Times New Roman" w:cs="Times New Roman"/>
          <w:b w:val="0"/>
          <w:color w:val="000000" w:themeColor="text1"/>
          <w:szCs w:val="24"/>
        </w:rPr>
      </w:pPr>
      <w:r w:rsidRPr="00745013">
        <w:rPr>
          <w:rFonts w:ascii="Times New Roman" w:hAnsi="Times New Roman" w:cs="Times New Roman"/>
          <w:color w:val="000000" w:themeColor="text1"/>
          <w:szCs w:val="24"/>
        </w:rPr>
        <w:t>2</w:t>
      </w:r>
      <w:r w:rsidRPr="00745013">
        <w:rPr>
          <w:rFonts w:ascii="Times New Roman" w:hAnsi="Times New Roman" w:cs="Times New Roman"/>
          <w:color w:val="000000" w:themeColor="text1"/>
          <w:szCs w:val="24"/>
        </w:rPr>
        <w:tab/>
      </w:r>
      <w:r w:rsidRPr="00F73EBA">
        <w:rPr>
          <w:rFonts w:ascii="Times New Roman" w:hAnsi="Times New Roman" w:cs="Times New Roman"/>
          <w:color w:val="000000" w:themeColor="text1"/>
          <w:szCs w:val="24"/>
        </w:rPr>
        <w:t>QUALITATIVE</w:t>
      </w:r>
      <w:r w:rsidRPr="00745013">
        <w:rPr>
          <w:rFonts w:ascii="Times New Roman" w:hAnsi="Times New Roman" w:cs="Times New Roman"/>
          <w:smallCaps w:val="0"/>
          <w:color w:val="000000" w:themeColor="text1"/>
          <w:szCs w:val="24"/>
        </w:rPr>
        <w:t xml:space="preserve"> AND QUANTITATIVE COMPOSITION</w:t>
      </w:r>
    </w:p>
    <w:p w14:paraId="757BFA14" w14:textId="77777777" w:rsidR="00543B80" w:rsidRDefault="00543B80" w:rsidP="00543B80">
      <w:pPr>
        <w:spacing w:after="0" w:line="240" w:lineRule="auto"/>
        <w:rPr>
          <w:rFonts w:ascii="Times New Roman" w:eastAsia="Times New Roman" w:hAnsi="Times New Roman"/>
          <w:color w:val="000000" w:themeColor="text1"/>
          <w:spacing w:val="-1"/>
          <w:sz w:val="24"/>
        </w:rPr>
      </w:pPr>
    </w:p>
    <w:p w14:paraId="557A5D1B" w14:textId="7AFC29BF" w:rsidR="00313862" w:rsidRPr="00543B80" w:rsidRDefault="00313862" w:rsidP="00543B80">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KIOVIG vials contain 1.0 g in 10 mL, 2.5 g in 25 mL, 5.0 g in 50 mL, 10.0 g in 100 mL, 20.0 g in 200 mL or 30.0 g in 300 mL of the active normal immunoglobulin (Human) [Immunoglobulin G (IgG) 100 mg/mL].</w:t>
      </w:r>
    </w:p>
    <w:p w14:paraId="491FA6AF" w14:textId="77777777" w:rsidR="00313862" w:rsidRDefault="00313862" w:rsidP="00543B80">
      <w:pPr>
        <w:spacing w:after="0" w:line="240" w:lineRule="auto"/>
        <w:rPr>
          <w:rFonts w:ascii="Times New Roman" w:hAnsi="Times New Roman" w:cs="Times New Roman"/>
          <w:sz w:val="24"/>
          <w:szCs w:val="24"/>
          <w:lang w:val="en-US"/>
        </w:rPr>
      </w:pPr>
    </w:p>
    <w:p w14:paraId="2445BE10" w14:textId="6CC44C14" w:rsidR="00543B80" w:rsidRPr="00180365" w:rsidRDefault="00180365" w:rsidP="00543B80">
      <w:pPr>
        <w:spacing w:after="0" w:line="240" w:lineRule="auto"/>
        <w:rPr>
          <w:rFonts w:ascii="Times New Roman" w:eastAsia="Times New Roman" w:hAnsi="Times New Roman"/>
          <w:color w:val="000000" w:themeColor="text1"/>
          <w:spacing w:val="-1"/>
          <w:sz w:val="24"/>
          <w:szCs w:val="24"/>
        </w:rPr>
      </w:pPr>
      <w:r w:rsidRPr="00180365">
        <w:rPr>
          <w:rFonts w:ascii="Times New Roman" w:hAnsi="Times New Roman" w:cs="Times New Roman"/>
          <w:sz w:val="24"/>
          <w:szCs w:val="24"/>
          <w:lang w:val="en-US"/>
        </w:rPr>
        <w:t>For the full list of excipients, see Section 6.1 LIST OF EXCIPIENTS.</w:t>
      </w:r>
    </w:p>
    <w:p w14:paraId="41A78AD6" w14:textId="77777777" w:rsidR="00180365" w:rsidRDefault="00180365" w:rsidP="00543B80">
      <w:pPr>
        <w:pStyle w:val="Heading3"/>
        <w:spacing w:before="0" w:line="240" w:lineRule="auto"/>
        <w:ind w:left="0"/>
        <w:rPr>
          <w:rFonts w:ascii="Times New Roman" w:hAnsi="Times New Roman" w:cs="Times New Roman"/>
          <w:color w:val="000000" w:themeColor="text1"/>
          <w:sz w:val="24"/>
          <w:szCs w:val="24"/>
        </w:rPr>
      </w:pPr>
    </w:p>
    <w:p w14:paraId="4BD70231" w14:textId="77777777" w:rsidR="00DF694E" w:rsidRDefault="00DF694E" w:rsidP="00715CED">
      <w:pPr>
        <w:pStyle w:val="Heading3"/>
        <w:spacing w:before="0" w:line="240" w:lineRule="auto"/>
        <w:ind w:left="0"/>
        <w:rPr>
          <w:rFonts w:ascii="Times New Roman" w:hAnsi="Times New Roman" w:cs="Times New Roman"/>
          <w:color w:val="000000" w:themeColor="text1"/>
          <w:sz w:val="24"/>
          <w:szCs w:val="24"/>
        </w:rPr>
      </w:pPr>
      <w:r w:rsidRPr="00543B80">
        <w:rPr>
          <w:rFonts w:ascii="Times New Roman" w:hAnsi="Times New Roman" w:cs="Times New Roman"/>
          <w:color w:val="000000" w:themeColor="text1"/>
          <w:sz w:val="24"/>
          <w:szCs w:val="24"/>
        </w:rPr>
        <w:t>Description</w:t>
      </w:r>
    </w:p>
    <w:p w14:paraId="5DCCDD6A" w14:textId="77777777" w:rsidR="00715CED" w:rsidRPr="00715CED" w:rsidRDefault="00715CED" w:rsidP="00715CED">
      <w:pPr>
        <w:spacing w:after="0" w:line="240" w:lineRule="auto"/>
      </w:pPr>
    </w:p>
    <w:p w14:paraId="39EBA325" w14:textId="651F0C2F" w:rsidR="00DF694E" w:rsidRPr="00543B80" w:rsidRDefault="00DF694E" w:rsidP="00543B80">
      <w:pPr>
        <w:spacing w:after="0" w:line="240" w:lineRule="auto"/>
        <w:rPr>
          <w:rFonts w:ascii="Times New Roman" w:eastAsia="Times New Roman" w:hAnsi="Times New Roman"/>
          <w:color w:val="000000" w:themeColor="text1"/>
          <w:spacing w:val="-1"/>
          <w:sz w:val="24"/>
        </w:rPr>
      </w:pPr>
      <w:r w:rsidRPr="00543B80">
        <w:rPr>
          <w:rFonts w:ascii="Times New Roman" w:eastAsia="Times New Roman" w:hAnsi="Times New Roman"/>
          <w:color w:val="000000" w:themeColor="text1"/>
          <w:spacing w:val="-1"/>
          <w:sz w:val="24"/>
        </w:rPr>
        <w:t xml:space="preserve">The active ingredient in KIOVIG is a human plasma-derived </w:t>
      </w:r>
      <w:r w:rsidR="00C35099">
        <w:rPr>
          <w:rFonts w:ascii="Times New Roman" w:eastAsia="Times New Roman" w:hAnsi="Times New Roman"/>
          <w:color w:val="000000" w:themeColor="text1"/>
          <w:spacing w:val="-1"/>
          <w:sz w:val="24"/>
        </w:rPr>
        <w:t>i</w:t>
      </w:r>
      <w:r w:rsidR="00C35099" w:rsidRPr="00543B80">
        <w:rPr>
          <w:rFonts w:ascii="Times New Roman" w:eastAsia="Times New Roman" w:hAnsi="Times New Roman"/>
          <w:color w:val="000000" w:themeColor="text1"/>
          <w:spacing w:val="-1"/>
          <w:sz w:val="24"/>
        </w:rPr>
        <w:t>mmunoglobulin</w:t>
      </w:r>
      <w:r w:rsidRPr="00543B80">
        <w:rPr>
          <w:rFonts w:ascii="Times New Roman" w:eastAsia="Times New Roman" w:hAnsi="Times New Roman"/>
          <w:color w:val="000000" w:themeColor="text1"/>
          <w:spacing w:val="-1"/>
          <w:sz w:val="24"/>
        </w:rPr>
        <w:t>, concentration of 100 mg/mL (10% w/v), produced from large pools of human plasma by a modified Cohn-Oncley cold ethanol fractionation, yielding an intermediate immunoglobulin G (IgG), referred to as Precipitate G. During the cold ethanol plasma fractionation manufacturing process, the level of viral burden in a plasma pool has been largely reduced to a certain extent, as demonstrated by viral spiking experiment. Precipitate G is further purified by means of a weak cation-exchange and anion-exchange chromatography.</w:t>
      </w:r>
    </w:p>
    <w:p w14:paraId="1FDE88A7" w14:textId="77777777" w:rsidR="00DF694E" w:rsidRPr="00543B80" w:rsidRDefault="00DF694E" w:rsidP="00543B80">
      <w:pPr>
        <w:spacing w:after="0" w:line="240" w:lineRule="auto"/>
        <w:rPr>
          <w:rFonts w:ascii="Times New Roman" w:eastAsia="Times New Roman" w:hAnsi="Times New Roman"/>
          <w:color w:val="000000" w:themeColor="text1"/>
          <w:spacing w:val="-1"/>
          <w:sz w:val="24"/>
        </w:rPr>
      </w:pPr>
    </w:p>
    <w:p w14:paraId="372D29B6" w14:textId="77777777" w:rsidR="00DF694E" w:rsidRPr="00543B80" w:rsidRDefault="00DF694E" w:rsidP="00543B80">
      <w:pPr>
        <w:spacing w:after="0" w:line="240" w:lineRule="auto"/>
        <w:rPr>
          <w:rFonts w:ascii="Times New Roman" w:eastAsia="Times New Roman" w:hAnsi="Times New Roman"/>
          <w:color w:val="000000" w:themeColor="text1"/>
          <w:spacing w:val="-1"/>
          <w:sz w:val="24"/>
        </w:rPr>
      </w:pPr>
      <w:r w:rsidRPr="00543B80">
        <w:rPr>
          <w:rFonts w:ascii="Times New Roman" w:eastAsia="Times New Roman" w:hAnsi="Times New Roman"/>
          <w:color w:val="000000" w:themeColor="text1"/>
          <w:spacing w:val="-1"/>
          <w:sz w:val="24"/>
        </w:rPr>
        <w:t>To reduce further a possible viral transmission to a minimal level, a triple step of viral inactivation (TVR inactivation), [solvent detergent (S/D), nano-filtration (35nm), and incubation at a low pH and elevated temperature (30ºC to 32 ºC, pasteurisation for 21 to 23 days) has been incorporated into the downstream purification. Thus, the active ingredient formulated in KIOVIG has been subjected to a rigorous elimination for both lipid and non-lipid enveloped viruses.</w:t>
      </w:r>
    </w:p>
    <w:p w14:paraId="5AA60A0D" w14:textId="77777777" w:rsidR="00DF694E" w:rsidRPr="00543B80" w:rsidRDefault="00DF694E" w:rsidP="00543B80">
      <w:pPr>
        <w:spacing w:after="0" w:line="240" w:lineRule="auto"/>
        <w:rPr>
          <w:rFonts w:ascii="Times New Roman" w:eastAsia="Times New Roman" w:hAnsi="Times New Roman"/>
          <w:color w:val="000000" w:themeColor="text1"/>
          <w:spacing w:val="-1"/>
          <w:sz w:val="24"/>
        </w:rPr>
      </w:pPr>
    </w:p>
    <w:p w14:paraId="2EDC73E2" w14:textId="77777777" w:rsidR="00DF694E" w:rsidRPr="00543B80" w:rsidRDefault="00DF694E" w:rsidP="00543B80">
      <w:pPr>
        <w:spacing w:after="0" w:line="240" w:lineRule="auto"/>
        <w:rPr>
          <w:rFonts w:ascii="Times New Roman" w:eastAsia="Times New Roman" w:hAnsi="Times New Roman"/>
          <w:color w:val="000000" w:themeColor="text1"/>
          <w:spacing w:val="-1"/>
          <w:sz w:val="24"/>
        </w:rPr>
      </w:pPr>
      <w:r w:rsidRPr="00543B80">
        <w:rPr>
          <w:rFonts w:ascii="Times New Roman" w:eastAsia="Times New Roman" w:hAnsi="Times New Roman"/>
          <w:color w:val="000000" w:themeColor="text1"/>
          <w:spacing w:val="-1"/>
          <w:sz w:val="24"/>
        </w:rPr>
        <w:t xml:space="preserve">The manufacturing processes do not affect the composition of the immunoglobulin in the normal human plasma origin. The distribution of the IgG sub-classes formulated in this product comprises IgG1 ≥ 56.9%, IgG2 ≥ 26.6 %, IgG3 ≥ 3.4%, and IgG4 ≥ 1.7%. </w:t>
      </w:r>
    </w:p>
    <w:p w14:paraId="5A5672CD" w14:textId="77777777" w:rsidR="00DF694E" w:rsidRPr="00543B80" w:rsidRDefault="00DF694E" w:rsidP="00543B80">
      <w:pPr>
        <w:spacing w:after="0" w:line="240" w:lineRule="auto"/>
        <w:rPr>
          <w:rFonts w:ascii="Times New Roman" w:eastAsia="Times New Roman" w:hAnsi="Times New Roman"/>
          <w:color w:val="000000" w:themeColor="text1"/>
          <w:spacing w:val="-1"/>
          <w:sz w:val="24"/>
        </w:rPr>
      </w:pPr>
    </w:p>
    <w:p w14:paraId="417F0A2C" w14:textId="73234F85" w:rsidR="00DF694E" w:rsidRPr="00543B80" w:rsidRDefault="00DF694E" w:rsidP="00543B80">
      <w:pPr>
        <w:spacing w:after="0" w:line="240" w:lineRule="auto"/>
        <w:rPr>
          <w:rFonts w:ascii="Times New Roman" w:eastAsia="Times New Roman" w:hAnsi="Times New Roman"/>
          <w:color w:val="000000" w:themeColor="text1"/>
          <w:spacing w:val="-1"/>
          <w:sz w:val="24"/>
        </w:rPr>
      </w:pPr>
      <w:r w:rsidRPr="00543B80">
        <w:rPr>
          <w:rFonts w:ascii="Times New Roman" w:eastAsia="Times New Roman" w:hAnsi="Times New Roman"/>
          <w:color w:val="000000" w:themeColor="text1"/>
          <w:spacing w:val="-1"/>
          <w:sz w:val="24"/>
        </w:rPr>
        <w:t>It contains immunoglobulin A (IgA) at a trace level, which is not more than 0.14 mg/</w:t>
      </w:r>
      <w:proofErr w:type="spellStart"/>
      <w:r w:rsidRPr="00543B80">
        <w:rPr>
          <w:rFonts w:ascii="Times New Roman" w:eastAsia="Times New Roman" w:hAnsi="Times New Roman"/>
          <w:color w:val="000000" w:themeColor="text1"/>
          <w:spacing w:val="-1"/>
          <w:sz w:val="24"/>
        </w:rPr>
        <w:t>mL.</w:t>
      </w:r>
      <w:proofErr w:type="spellEnd"/>
      <w:r w:rsidRPr="00543B80">
        <w:rPr>
          <w:rFonts w:ascii="Times New Roman" w:eastAsia="Times New Roman" w:hAnsi="Times New Roman"/>
          <w:color w:val="000000" w:themeColor="text1"/>
          <w:spacing w:val="-1"/>
          <w:sz w:val="24"/>
        </w:rPr>
        <w:t xml:space="preserve"> The preparation is a sterile, nonpyrogenic, isotonic solution with </w:t>
      </w:r>
      <w:r w:rsidR="00C35099">
        <w:rPr>
          <w:rFonts w:ascii="Times New Roman" w:eastAsia="Times New Roman" w:hAnsi="Times New Roman"/>
          <w:color w:val="000000" w:themeColor="text1"/>
          <w:spacing w:val="-1"/>
          <w:sz w:val="24"/>
        </w:rPr>
        <w:t>o</w:t>
      </w:r>
      <w:r w:rsidR="00C35099" w:rsidRPr="00543B80">
        <w:rPr>
          <w:rFonts w:ascii="Times New Roman" w:eastAsia="Times New Roman" w:hAnsi="Times New Roman"/>
          <w:color w:val="000000" w:themeColor="text1"/>
          <w:spacing w:val="-1"/>
          <w:sz w:val="24"/>
        </w:rPr>
        <w:t xml:space="preserve">smolality </w:t>
      </w:r>
      <w:r w:rsidRPr="00543B80">
        <w:rPr>
          <w:rFonts w:ascii="Times New Roman" w:eastAsia="Times New Roman" w:hAnsi="Times New Roman"/>
          <w:color w:val="000000" w:themeColor="text1"/>
          <w:spacing w:val="-1"/>
          <w:sz w:val="24"/>
        </w:rPr>
        <w:t xml:space="preserve">of 240 to 300 </w:t>
      </w:r>
      <w:proofErr w:type="spellStart"/>
      <w:r w:rsidRPr="00543B80">
        <w:rPr>
          <w:rFonts w:ascii="Times New Roman" w:eastAsia="Times New Roman" w:hAnsi="Times New Roman"/>
          <w:color w:val="000000" w:themeColor="text1"/>
          <w:spacing w:val="-1"/>
          <w:sz w:val="24"/>
        </w:rPr>
        <w:t>mOsmol</w:t>
      </w:r>
      <w:proofErr w:type="spellEnd"/>
      <w:r w:rsidRPr="00543B80">
        <w:rPr>
          <w:rFonts w:ascii="Times New Roman" w:eastAsia="Times New Roman" w:hAnsi="Times New Roman"/>
          <w:color w:val="000000" w:themeColor="text1"/>
          <w:spacing w:val="-1"/>
          <w:sz w:val="24"/>
        </w:rPr>
        <w:t xml:space="preserve">/kg and a pH of 4.6 to 5.1. At this low pH the formation of the IgG aggregates is much reduced, leading to a reduction in the incidence of infusion-related adverse reactions. It contains glycine which acts as a stabilising agent for the proteins. The product does not contain preservative. </w:t>
      </w:r>
    </w:p>
    <w:p w14:paraId="237B95E0" w14:textId="77777777" w:rsidR="00115DEA" w:rsidRPr="00DF694E" w:rsidRDefault="00115DEA" w:rsidP="006C0D92">
      <w:pPr>
        <w:spacing w:after="0" w:line="240" w:lineRule="auto"/>
        <w:rPr>
          <w:rFonts w:ascii="Times New Roman" w:hAnsi="Times New Roman"/>
          <w:color w:val="000000" w:themeColor="text1"/>
          <w:sz w:val="24"/>
          <w:szCs w:val="24"/>
          <w:highlight w:val="yellow"/>
          <w:lang w:val="en-GB"/>
        </w:rPr>
      </w:pPr>
    </w:p>
    <w:p w14:paraId="1FD0EC22" w14:textId="77777777" w:rsidR="001A3992" w:rsidRPr="00745013" w:rsidRDefault="00743574" w:rsidP="00F73EBA">
      <w:pPr>
        <w:pStyle w:val="Heading2"/>
        <w:numPr>
          <w:ilvl w:val="0"/>
          <w:numId w:val="0"/>
        </w:numPr>
        <w:spacing w:before="0" w:after="0" w:line="240" w:lineRule="auto"/>
        <w:rPr>
          <w:rFonts w:ascii="Times New Roman" w:hAnsi="Times New Roman" w:cs="Times New Roman"/>
          <w:color w:val="000000" w:themeColor="text1"/>
          <w:szCs w:val="24"/>
        </w:rPr>
      </w:pPr>
      <w:r w:rsidRPr="00745013">
        <w:rPr>
          <w:rFonts w:ascii="Times New Roman" w:hAnsi="Times New Roman" w:cs="Times New Roman"/>
          <w:color w:val="000000" w:themeColor="text1"/>
          <w:szCs w:val="24"/>
        </w:rPr>
        <w:t>3</w:t>
      </w:r>
      <w:r w:rsidRPr="00745013">
        <w:rPr>
          <w:rFonts w:ascii="Times New Roman" w:hAnsi="Times New Roman" w:cs="Times New Roman"/>
          <w:color w:val="000000" w:themeColor="text1"/>
          <w:szCs w:val="24"/>
        </w:rPr>
        <w:tab/>
      </w:r>
      <w:r w:rsidR="003B0C19" w:rsidRPr="00F73EBA">
        <w:rPr>
          <w:rFonts w:ascii="Times New Roman" w:hAnsi="Times New Roman" w:cs="Times New Roman"/>
          <w:color w:val="000000" w:themeColor="text1"/>
          <w:szCs w:val="24"/>
        </w:rPr>
        <w:t>PHARMACEUTICAL FORM</w:t>
      </w:r>
    </w:p>
    <w:p w14:paraId="64F60010" w14:textId="4594EDCC" w:rsidR="004600F9" w:rsidRPr="00745013" w:rsidRDefault="00353541" w:rsidP="0091420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Solution for intravenous and subcutaneous injection.</w:t>
      </w:r>
    </w:p>
    <w:p w14:paraId="4C6D41E6" w14:textId="77777777" w:rsidR="003772D3" w:rsidRPr="00DF694E" w:rsidRDefault="003772D3" w:rsidP="00EC4A08">
      <w:pPr>
        <w:spacing w:after="0" w:line="240" w:lineRule="auto"/>
        <w:rPr>
          <w:rFonts w:ascii="Times New Roman" w:hAnsi="Times New Roman" w:cs="Times New Roman"/>
          <w:color w:val="000000" w:themeColor="text1"/>
          <w:sz w:val="24"/>
          <w:szCs w:val="24"/>
          <w:highlight w:val="yellow"/>
        </w:rPr>
      </w:pPr>
    </w:p>
    <w:p w14:paraId="1685F776" w14:textId="77777777" w:rsidR="00E83AA0" w:rsidRDefault="00E83AA0" w:rsidP="00715CED">
      <w:pPr>
        <w:pStyle w:val="Heading3"/>
        <w:spacing w:before="0" w:line="240" w:lineRule="auto"/>
        <w:ind w:left="0"/>
        <w:rPr>
          <w:rFonts w:ascii="Times New Roman" w:hAnsi="Times New Roman" w:cs="Times New Roman"/>
          <w:color w:val="000000" w:themeColor="text1"/>
          <w:sz w:val="24"/>
          <w:szCs w:val="24"/>
        </w:rPr>
      </w:pPr>
      <w:r w:rsidRPr="00745013">
        <w:rPr>
          <w:rFonts w:ascii="Times New Roman" w:hAnsi="Times New Roman" w:cs="Times New Roman"/>
          <w:color w:val="000000" w:themeColor="text1"/>
          <w:sz w:val="24"/>
          <w:szCs w:val="24"/>
        </w:rPr>
        <w:t>Appearance</w:t>
      </w:r>
    </w:p>
    <w:p w14:paraId="33A24595" w14:textId="77777777" w:rsidR="00715CED" w:rsidRPr="00715CED" w:rsidRDefault="00715CED" w:rsidP="00715CED">
      <w:pPr>
        <w:spacing w:after="0" w:line="240" w:lineRule="auto"/>
      </w:pPr>
    </w:p>
    <w:p w14:paraId="2C733AB7" w14:textId="1A8B50B4" w:rsidR="008524EE" w:rsidRPr="002E680A" w:rsidRDefault="002E680A" w:rsidP="00914208">
      <w:pPr>
        <w:spacing w:after="0" w:line="240" w:lineRule="auto"/>
        <w:rPr>
          <w:rFonts w:ascii="Times New Roman" w:hAnsi="Times New Roman" w:cs="Times New Roman"/>
          <w:color w:val="000000" w:themeColor="text1"/>
          <w:sz w:val="24"/>
          <w:szCs w:val="24"/>
        </w:rPr>
      </w:pPr>
      <w:r w:rsidRPr="002E680A">
        <w:rPr>
          <w:rFonts w:ascii="Times New Roman" w:hAnsi="Times New Roman" w:cs="Times New Roman"/>
          <w:color w:val="000000" w:themeColor="text1"/>
          <w:sz w:val="24"/>
          <w:szCs w:val="24"/>
        </w:rPr>
        <w:t xml:space="preserve">The solution is clear </w:t>
      </w:r>
      <w:r>
        <w:rPr>
          <w:rFonts w:ascii="Times New Roman" w:hAnsi="Times New Roman" w:cs="Times New Roman"/>
          <w:color w:val="000000" w:themeColor="text1"/>
          <w:sz w:val="24"/>
          <w:szCs w:val="24"/>
        </w:rPr>
        <w:t>or slightly opalescent and colourless</w:t>
      </w:r>
      <w:r w:rsidRPr="002E680A">
        <w:rPr>
          <w:rFonts w:ascii="Times New Roman" w:hAnsi="Times New Roman" w:cs="Times New Roman"/>
          <w:color w:val="000000" w:themeColor="text1"/>
          <w:sz w:val="24"/>
          <w:szCs w:val="24"/>
        </w:rPr>
        <w:t>.</w:t>
      </w:r>
    </w:p>
    <w:p w14:paraId="7FBC5DCD" w14:textId="6BF14081" w:rsidR="001A3992" w:rsidRPr="00F73EBA" w:rsidRDefault="0050050E" w:rsidP="00F73EBA">
      <w:pPr>
        <w:pStyle w:val="Heading2"/>
        <w:numPr>
          <w:ilvl w:val="0"/>
          <w:numId w:val="0"/>
        </w:numPr>
        <w:spacing w:before="0" w:after="0" w:line="240" w:lineRule="auto"/>
        <w:rPr>
          <w:rFonts w:ascii="Times New Roman" w:hAnsi="Times New Roman" w:cs="Times New Roman"/>
          <w:color w:val="000000" w:themeColor="text1"/>
          <w:szCs w:val="24"/>
        </w:rPr>
      </w:pPr>
      <w:r w:rsidRPr="00BE75D2">
        <w:rPr>
          <w:rFonts w:ascii="Times New Roman" w:hAnsi="Times New Roman" w:cs="Times New Roman"/>
          <w:color w:val="000000" w:themeColor="text1"/>
          <w:szCs w:val="24"/>
        </w:rPr>
        <w:lastRenderedPageBreak/>
        <w:t>4</w:t>
      </w:r>
      <w:r w:rsidRPr="00BE75D2">
        <w:rPr>
          <w:rFonts w:ascii="Times New Roman" w:hAnsi="Times New Roman" w:cs="Times New Roman"/>
          <w:color w:val="000000" w:themeColor="text1"/>
          <w:szCs w:val="24"/>
        </w:rPr>
        <w:tab/>
      </w:r>
      <w:r w:rsidR="007B2BFE" w:rsidRPr="00F73EBA">
        <w:rPr>
          <w:rFonts w:ascii="Times New Roman" w:hAnsi="Times New Roman" w:cs="Times New Roman"/>
          <w:color w:val="000000" w:themeColor="text1"/>
          <w:szCs w:val="24"/>
        </w:rPr>
        <w:t>CLINICAL PARTICULARS</w:t>
      </w:r>
    </w:p>
    <w:p w14:paraId="7867742F" w14:textId="77777777" w:rsidR="0050050E" w:rsidRPr="00BE75D2" w:rsidRDefault="0050050E" w:rsidP="0050050E">
      <w:pPr>
        <w:spacing w:after="0" w:line="240" w:lineRule="auto"/>
        <w:rPr>
          <w:color w:val="000000" w:themeColor="text1"/>
        </w:rPr>
      </w:pPr>
    </w:p>
    <w:p w14:paraId="33E132E0" w14:textId="77777777" w:rsidR="001A3992" w:rsidRPr="00BE75D2" w:rsidRDefault="0050050E" w:rsidP="00F73EBA">
      <w:pPr>
        <w:pStyle w:val="Heading2"/>
        <w:numPr>
          <w:ilvl w:val="0"/>
          <w:numId w:val="0"/>
        </w:numPr>
        <w:spacing w:before="0" w:after="0" w:line="240" w:lineRule="auto"/>
        <w:rPr>
          <w:rFonts w:ascii="Times New Roman" w:hAnsi="Times New Roman" w:cs="Times New Roman"/>
          <w:caps/>
          <w:color w:val="000000" w:themeColor="text1"/>
          <w:szCs w:val="24"/>
        </w:rPr>
      </w:pPr>
      <w:r w:rsidRPr="00BE75D2">
        <w:rPr>
          <w:rFonts w:ascii="Times New Roman" w:hAnsi="Times New Roman" w:cs="Times New Roman"/>
          <w:color w:val="000000" w:themeColor="text1"/>
          <w:szCs w:val="24"/>
        </w:rPr>
        <w:t>4.1</w:t>
      </w:r>
      <w:r w:rsidRPr="00BE75D2">
        <w:rPr>
          <w:rFonts w:ascii="Times New Roman" w:hAnsi="Times New Roman" w:cs="Times New Roman"/>
          <w:color w:val="000000" w:themeColor="text1"/>
          <w:szCs w:val="24"/>
        </w:rPr>
        <w:tab/>
      </w:r>
      <w:r w:rsidR="007B2BFE" w:rsidRPr="00F73EBA">
        <w:rPr>
          <w:rFonts w:ascii="Times New Roman" w:hAnsi="Times New Roman" w:cs="Times New Roman"/>
          <w:color w:val="000000" w:themeColor="text1"/>
          <w:szCs w:val="24"/>
        </w:rPr>
        <w:t>THERAPEUTIC</w:t>
      </w:r>
      <w:r w:rsidR="007B2BFE" w:rsidRPr="00BE75D2">
        <w:rPr>
          <w:rFonts w:ascii="Times New Roman" w:hAnsi="Times New Roman" w:cs="Times New Roman"/>
          <w:caps/>
          <w:color w:val="000000" w:themeColor="text1"/>
          <w:szCs w:val="24"/>
        </w:rPr>
        <w:t xml:space="preserve"> INDICATIONS</w:t>
      </w:r>
    </w:p>
    <w:p w14:paraId="61698255" w14:textId="77777777" w:rsidR="007B2BFE" w:rsidRPr="00BE75D2" w:rsidRDefault="007B2BFE" w:rsidP="0050050E">
      <w:pPr>
        <w:spacing w:after="0" w:line="240" w:lineRule="auto"/>
        <w:rPr>
          <w:rFonts w:ascii="Times New Roman" w:hAnsi="Times New Roman" w:cs="Times New Roman"/>
          <w:color w:val="000000" w:themeColor="text1"/>
          <w:sz w:val="24"/>
          <w:szCs w:val="24"/>
        </w:rPr>
      </w:pPr>
    </w:p>
    <w:p w14:paraId="4CFB9181" w14:textId="746D35AD" w:rsidR="00BE75D2" w:rsidRPr="00BE75D2" w:rsidRDefault="00BE75D2" w:rsidP="00BE75D2">
      <w:pPr>
        <w:pStyle w:val="Heading3"/>
        <w:spacing w:before="0" w:line="240" w:lineRule="auto"/>
        <w:ind w:left="0"/>
        <w:rPr>
          <w:rFonts w:ascii="Times New Roman" w:hAnsi="Times New Roman" w:cs="Times New Roman"/>
          <w:color w:val="000000" w:themeColor="text1"/>
          <w:sz w:val="24"/>
          <w:szCs w:val="24"/>
        </w:rPr>
      </w:pPr>
      <w:r w:rsidRPr="00BE75D2">
        <w:rPr>
          <w:rFonts w:ascii="Times New Roman" w:hAnsi="Times New Roman" w:cs="Times New Roman"/>
          <w:color w:val="000000" w:themeColor="text1"/>
          <w:sz w:val="24"/>
          <w:szCs w:val="24"/>
        </w:rPr>
        <w:t>KIOVIG administered intravenously is indicated for</w:t>
      </w:r>
      <w:r w:rsidR="00C35099">
        <w:rPr>
          <w:rFonts w:ascii="Times New Roman" w:hAnsi="Times New Roman" w:cs="Times New Roman"/>
          <w:color w:val="000000" w:themeColor="text1"/>
          <w:sz w:val="24"/>
          <w:szCs w:val="24"/>
        </w:rPr>
        <w:t>:</w:t>
      </w:r>
    </w:p>
    <w:p w14:paraId="180A70E2" w14:textId="77777777" w:rsidR="00BE75D2" w:rsidRPr="00BE75D2" w:rsidRDefault="00BE75D2" w:rsidP="00F73EBA">
      <w:pPr>
        <w:pStyle w:val="ListParagraph"/>
        <w:numPr>
          <w:ilvl w:val="0"/>
          <w:numId w:val="9"/>
        </w:numPr>
        <w:spacing w:after="0" w:line="240" w:lineRule="auto"/>
        <w:rPr>
          <w:rFonts w:ascii="Times New Roman" w:eastAsia="Times New Roman" w:hAnsi="Times New Roman"/>
          <w:i/>
          <w:color w:val="000000" w:themeColor="text1"/>
          <w:spacing w:val="-1"/>
          <w:sz w:val="24"/>
        </w:rPr>
      </w:pPr>
      <w:r w:rsidRPr="00BE75D2">
        <w:rPr>
          <w:rFonts w:ascii="Times New Roman" w:eastAsia="Times New Roman" w:hAnsi="Times New Roman"/>
          <w:i/>
          <w:color w:val="000000" w:themeColor="text1"/>
          <w:spacing w:val="-1"/>
          <w:sz w:val="24"/>
        </w:rPr>
        <w:t>Replacement therapy indications</w:t>
      </w:r>
    </w:p>
    <w:p w14:paraId="63994F70" w14:textId="77777777" w:rsidR="00BE75D2" w:rsidRPr="00BE75D2" w:rsidRDefault="00BE75D2"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sidRPr="00BE75D2">
        <w:rPr>
          <w:rFonts w:ascii="Times New Roman" w:eastAsia="Times New Roman" w:hAnsi="Times New Roman"/>
          <w:color w:val="000000" w:themeColor="text1"/>
          <w:spacing w:val="-1"/>
          <w:sz w:val="24"/>
        </w:rPr>
        <w:t>Primary immunodeficiency disorders (PID</w:t>
      </w:r>
      <w:proofErr w:type="gramStart"/>
      <w:r w:rsidRPr="00BE75D2">
        <w:rPr>
          <w:rFonts w:ascii="Times New Roman" w:eastAsia="Times New Roman" w:hAnsi="Times New Roman"/>
          <w:color w:val="000000" w:themeColor="text1"/>
          <w:spacing w:val="-1"/>
          <w:sz w:val="24"/>
        </w:rPr>
        <w:t>);</w:t>
      </w:r>
      <w:proofErr w:type="gramEnd"/>
    </w:p>
    <w:p w14:paraId="0B896484" w14:textId="77777777" w:rsidR="00BE75D2" w:rsidRPr="00BE75D2" w:rsidRDefault="00BE75D2"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sidRPr="00BE75D2">
        <w:rPr>
          <w:rFonts w:ascii="Times New Roman" w:eastAsia="Times New Roman" w:hAnsi="Times New Roman"/>
          <w:color w:val="000000" w:themeColor="text1"/>
          <w:spacing w:val="-1"/>
          <w:sz w:val="24"/>
        </w:rPr>
        <w:t xml:space="preserve">Symptomatic </w:t>
      </w:r>
      <w:proofErr w:type="spellStart"/>
      <w:r w:rsidRPr="00BE75D2">
        <w:rPr>
          <w:rFonts w:ascii="Times New Roman" w:eastAsia="Times New Roman" w:hAnsi="Times New Roman"/>
          <w:color w:val="000000" w:themeColor="text1"/>
          <w:spacing w:val="-1"/>
          <w:sz w:val="24"/>
        </w:rPr>
        <w:t>hypogammaglobulinaemia</w:t>
      </w:r>
      <w:proofErr w:type="spellEnd"/>
      <w:r w:rsidRPr="00BE75D2">
        <w:rPr>
          <w:rFonts w:ascii="Times New Roman" w:eastAsia="Times New Roman" w:hAnsi="Times New Roman"/>
          <w:color w:val="000000" w:themeColor="text1"/>
          <w:spacing w:val="-1"/>
          <w:sz w:val="24"/>
        </w:rPr>
        <w:t xml:space="preserve"> secondary to underlying disease or treatment.</w:t>
      </w:r>
    </w:p>
    <w:p w14:paraId="30E1D3DA" w14:textId="77777777" w:rsidR="00BE75D2" w:rsidRPr="00BE75D2" w:rsidRDefault="00BE75D2" w:rsidP="00BE75D2">
      <w:pPr>
        <w:spacing w:after="0" w:line="240" w:lineRule="auto"/>
        <w:rPr>
          <w:rFonts w:ascii="Times New Roman" w:eastAsia="Times New Roman" w:hAnsi="Times New Roman"/>
          <w:color w:val="000000" w:themeColor="text1"/>
          <w:spacing w:val="-1"/>
          <w:sz w:val="24"/>
        </w:rPr>
      </w:pPr>
    </w:p>
    <w:p w14:paraId="62891900" w14:textId="77777777" w:rsidR="00BE75D2" w:rsidRPr="00BE75D2" w:rsidRDefault="00BE75D2" w:rsidP="00F73EBA">
      <w:pPr>
        <w:pStyle w:val="ListParagraph"/>
        <w:numPr>
          <w:ilvl w:val="0"/>
          <w:numId w:val="9"/>
        </w:numPr>
        <w:spacing w:after="0" w:line="240" w:lineRule="auto"/>
        <w:rPr>
          <w:rFonts w:ascii="Times New Roman" w:eastAsia="Times New Roman" w:hAnsi="Times New Roman"/>
          <w:i/>
          <w:color w:val="000000" w:themeColor="text1"/>
          <w:spacing w:val="-1"/>
          <w:sz w:val="24"/>
        </w:rPr>
      </w:pPr>
      <w:r w:rsidRPr="00BE75D2">
        <w:rPr>
          <w:rFonts w:ascii="Times New Roman" w:eastAsia="Times New Roman" w:hAnsi="Times New Roman"/>
          <w:i/>
          <w:color w:val="000000" w:themeColor="text1"/>
          <w:spacing w:val="-1"/>
          <w:sz w:val="24"/>
        </w:rPr>
        <w:t>Immunomodulation indications</w:t>
      </w:r>
    </w:p>
    <w:p w14:paraId="409107CA" w14:textId="77777777" w:rsidR="00BE75D2" w:rsidRPr="00BE75D2" w:rsidRDefault="00BE75D2"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sidRPr="00BE75D2">
        <w:rPr>
          <w:rFonts w:ascii="Times New Roman" w:eastAsia="Times New Roman" w:hAnsi="Times New Roman"/>
          <w:color w:val="000000" w:themeColor="text1"/>
          <w:spacing w:val="-1"/>
          <w:sz w:val="24"/>
        </w:rPr>
        <w:t xml:space="preserve">Idiopathic thrombocytopenia purpura (ITP), in patients at high risk of bleeding or prior to surgery to correct the platelet </w:t>
      </w:r>
      <w:proofErr w:type="gramStart"/>
      <w:r w:rsidRPr="00BE75D2">
        <w:rPr>
          <w:rFonts w:ascii="Times New Roman" w:eastAsia="Times New Roman" w:hAnsi="Times New Roman"/>
          <w:color w:val="000000" w:themeColor="text1"/>
          <w:spacing w:val="-1"/>
          <w:sz w:val="24"/>
        </w:rPr>
        <w:t>count;</w:t>
      </w:r>
      <w:proofErr w:type="gramEnd"/>
    </w:p>
    <w:p w14:paraId="16E4B4B7" w14:textId="77777777" w:rsidR="00BE75D2" w:rsidRPr="00BE75D2" w:rsidRDefault="00BE75D2"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sidRPr="00BE75D2">
        <w:rPr>
          <w:rFonts w:ascii="Times New Roman" w:eastAsia="Times New Roman" w:hAnsi="Times New Roman"/>
          <w:color w:val="000000" w:themeColor="text1"/>
          <w:spacing w:val="-1"/>
          <w:sz w:val="24"/>
        </w:rPr>
        <w:t xml:space="preserve">Guillain Barré </w:t>
      </w:r>
      <w:proofErr w:type="gramStart"/>
      <w:r w:rsidRPr="00BE75D2">
        <w:rPr>
          <w:rFonts w:ascii="Times New Roman" w:eastAsia="Times New Roman" w:hAnsi="Times New Roman"/>
          <w:color w:val="000000" w:themeColor="text1"/>
          <w:spacing w:val="-1"/>
          <w:sz w:val="24"/>
        </w:rPr>
        <w:t>Syndrome;</w:t>
      </w:r>
      <w:proofErr w:type="gramEnd"/>
    </w:p>
    <w:p w14:paraId="5EF58C46" w14:textId="1F6FB472" w:rsidR="00BE75D2" w:rsidRDefault="00BE75D2"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sidRPr="00BE75D2">
        <w:rPr>
          <w:rFonts w:ascii="Times New Roman" w:eastAsia="Times New Roman" w:hAnsi="Times New Roman"/>
          <w:color w:val="000000" w:themeColor="text1"/>
          <w:spacing w:val="-1"/>
          <w:sz w:val="24"/>
        </w:rPr>
        <w:t xml:space="preserve">Kawasaki </w:t>
      </w:r>
      <w:proofErr w:type="gramStart"/>
      <w:r w:rsidRPr="00BE75D2">
        <w:rPr>
          <w:rFonts w:ascii="Times New Roman" w:eastAsia="Times New Roman" w:hAnsi="Times New Roman"/>
          <w:color w:val="000000" w:themeColor="text1"/>
          <w:spacing w:val="-1"/>
          <w:sz w:val="24"/>
        </w:rPr>
        <w:t>Disease;</w:t>
      </w:r>
      <w:proofErr w:type="gramEnd"/>
    </w:p>
    <w:p w14:paraId="1B6A476B" w14:textId="4B93F422" w:rsidR="00416666" w:rsidRPr="00BE75D2" w:rsidRDefault="00416666"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Chronic inflammatory demyelinating polyradiculoneuropathy (CIDP)</w:t>
      </w:r>
      <w:r w:rsidR="00C44986">
        <w:rPr>
          <w:rFonts w:ascii="Times New Roman" w:eastAsia="Times New Roman" w:hAnsi="Times New Roman"/>
          <w:color w:val="000000" w:themeColor="text1"/>
          <w:spacing w:val="-1"/>
          <w:sz w:val="24"/>
        </w:rPr>
        <w:t xml:space="preserve"> in adults.</w:t>
      </w:r>
      <w:r w:rsidR="0083785C">
        <w:rPr>
          <w:rFonts w:ascii="Times New Roman" w:eastAsia="Times New Roman" w:hAnsi="Times New Roman"/>
          <w:color w:val="000000" w:themeColor="text1"/>
          <w:spacing w:val="-1"/>
          <w:sz w:val="24"/>
        </w:rPr>
        <w:t xml:space="preserve"> </w:t>
      </w:r>
    </w:p>
    <w:p w14:paraId="0D133153" w14:textId="77777777" w:rsidR="00BE75D2" w:rsidRPr="00BE75D2" w:rsidRDefault="00BE75D2"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sidRPr="00BE75D2">
        <w:rPr>
          <w:rFonts w:ascii="Times New Roman" w:eastAsia="Times New Roman" w:hAnsi="Times New Roman"/>
          <w:color w:val="000000" w:themeColor="text1"/>
          <w:spacing w:val="-1"/>
          <w:sz w:val="24"/>
        </w:rPr>
        <w:t>Multifocal Motor Neuropathy (MMN).</w:t>
      </w:r>
    </w:p>
    <w:p w14:paraId="3457F31A" w14:textId="77777777" w:rsidR="00BE75D2" w:rsidRPr="00BE75D2" w:rsidRDefault="00BE75D2" w:rsidP="00BE75D2">
      <w:pPr>
        <w:spacing w:after="0" w:line="240" w:lineRule="auto"/>
        <w:rPr>
          <w:rFonts w:ascii="Times New Roman" w:eastAsia="Times New Roman" w:hAnsi="Times New Roman"/>
          <w:color w:val="000000" w:themeColor="text1"/>
          <w:spacing w:val="-1"/>
          <w:sz w:val="24"/>
        </w:rPr>
      </w:pPr>
    </w:p>
    <w:p w14:paraId="3FB9FEAD" w14:textId="1CB13000" w:rsidR="00BE75D2" w:rsidRPr="00BE75D2" w:rsidRDefault="00BE75D2" w:rsidP="00BE75D2">
      <w:pPr>
        <w:pStyle w:val="Heading3"/>
        <w:spacing w:before="0" w:line="240" w:lineRule="auto"/>
        <w:ind w:left="0"/>
        <w:rPr>
          <w:rFonts w:ascii="Times New Roman" w:hAnsi="Times New Roman" w:cs="Times New Roman"/>
          <w:color w:val="000000" w:themeColor="text1"/>
          <w:sz w:val="24"/>
          <w:szCs w:val="24"/>
        </w:rPr>
      </w:pPr>
      <w:r w:rsidRPr="00BE75D2">
        <w:rPr>
          <w:rFonts w:ascii="Times New Roman" w:hAnsi="Times New Roman" w:cs="Times New Roman"/>
          <w:color w:val="000000" w:themeColor="text1"/>
          <w:sz w:val="24"/>
          <w:szCs w:val="24"/>
        </w:rPr>
        <w:t>KIOVIG administered subcutaneously is indicated for</w:t>
      </w:r>
      <w:r w:rsidR="00C35099">
        <w:rPr>
          <w:rFonts w:ascii="Times New Roman" w:hAnsi="Times New Roman" w:cs="Times New Roman"/>
          <w:color w:val="000000" w:themeColor="text1"/>
          <w:sz w:val="24"/>
          <w:szCs w:val="24"/>
        </w:rPr>
        <w:t>:</w:t>
      </w:r>
    </w:p>
    <w:p w14:paraId="5D6C0D6F" w14:textId="77777777" w:rsidR="00BE75D2" w:rsidRPr="00BE75D2" w:rsidRDefault="00BE75D2" w:rsidP="00F73EBA">
      <w:pPr>
        <w:pStyle w:val="ListParagraph"/>
        <w:numPr>
          <w:ilvl w:val="0"/>
          <w:numId w:val="11"/>
        </w:numPr>
        <w:spacing w:after="0" w:line="240" w:lineRule="auto"/>
        <w:rPr>
          <w:rFonts w:ascii="Times New Roman" w:eastAsia="Times New Roman" w:hAnsi="Times New Roman"/>
          <w:i/>
          <w:color w:val="000000" w:themeColor="text1"/>
          <w:spacing w:val="-1"/>
          <w:sz w:val="24"/>
        </w:rPr>
      </w:pPr>
      <w:r w:rsidRPr="00BE75D2">
        <w:rPr>
          <w:rFonts w:ascii="Times New Roman" w:eastAsia="Times New Roman" w:hAnsi="Times New Roman"/>
          <w:i/>
          <w:color w:val="000000" w:themeColor="text1"/>
          <w:spacing w:val="-1"/>
          <w:sz w:val="24"/>
        </w:rPr>
        <w:t>Replacement therapy indications</w:t>
      </w:r>
    </w:p>
    <w:p w14:paraId="154C4C52" w14:textId="77777777" w:rsidR="00BE75D2" w:rsidRPr="00BE75D2" w:rsidRDefault="00BE75D2" w:rsidP="00F73EBA">
      <w:pPr>
        <w:pStyle w:val="ListParagraph"/>
        <w:numPr>
          <w:ilvl w:val="0"/>
          <w:numId w:val="10"/>
        </w:numPr>
        <w:spacing w:after="0" w:line="240" w:lineRule="auto"/>
        <w:rPr>
          <w:rFonts w:ascii="Times New Roman" w:eastAsia="Times New Roman" w:hAnsi="Times New Roman"/>
          <w:color w:val="000000" w:themeColor="text1"/>
          <w:spacing w:val="-1"/>
          <w:sz w:val="24"/>
        </w:rPr>
      </w:pPr>
      <w:r w:rsidRPr="00BE75D2">
        <w:rPr>
          <w:rFonts w:ascii="Times New Roman" w:eastAsia="Times New Roman" w:hAnsi="Times New Roman"/>
          <w:color w:val="000000" w:themeColor="text1"/>
          <w:spacing w:val="-1"/>
          <w:sz w:val="24"/>
        </w:rPr>
        <w:t>Primary immunodeficiency disorders (PID).</w:t>
      </w:r>
    </w:p>
    <w:p w14:paraId="5891EB08" w14:textId="77777777" w:rsidR="00BE75D2" w:rsidRPr="00BE75D2" w:rsidRDefault="00BE75D2" w:rsidP="0050050E">
      <w:pPr>
        <w:spacing w:after="0" w:line="240" w:lineRule="auto"/>
        <w:rPr>
          <w:rFonts w:ascii="Times New Roman" w:hAnsi="Times New Roman"/>
          <w:color w:val="000000" w:themeColor="text1"/>
          <w:sz w:val="24"/>
          <w:szCs w:val="20"/>
        </w:rPr>
      </w:pPr>
    </w:p>
    <w:p w14:paraId="0B062A95" w14:textId="50D3A7C4" w:rsidR="001A3992" w:rsidRPr="00745013" w:rsidRDefault="00F73EBA" w:rsidP="007B5F3C">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4.2</w:t>
      </w:r>
      <w:r w:rsidR="007B2BFE" w:rsidRPr="00745013">
        <w:rPr>
          <w:rFonts w:ascii="Times New Roman" w:hAnsi="Times New Roman" w:cs="Times New Roman"/>
          <w:color w:val="000000" w:themeColor="text1"/>
          <w:szCs w:val="24"/>
        </w:rPr>
        <w:tab/>
      </w:r>
      <w:r w:rsidR="007B2BFE" w:rsidRPr="00F73EBA">
        <w:rPr>
          <w:rFonts w:ascii="Times New Roman" w:hAnsi="Times New Roman" w:cs="Times New Roman"/>
          <w:color w:val="000000" w:themeColor="text1"/>
          <w:szCs w:val="24"/>
        </w:rPr>
        <w:t>DOSE</w:t>
      </w:r>
      <w:r w:rsidR="007B2BFE" w:rsidRPr="00745013">
        <w:rPr>
          <w:rFonts w:ascii="Times New Roman" w:hAnsi="Times New Roman" w:cs="Times New Roman"/>
          <w:smallCaps w:val="0"/>
          <w:color w:val="000000" w:themeColor="text1"/>
          <w:szCs w:val="24"/>
        </w:rPr>
        <w:t xml:space="preserve"> AND METHOD OF ADMINISTRATION</w:t>
      </w:r>
      <w:r w:rsidR="007B2BFE" w:rsidRPr="00745013">
        <w:rPr>
          <w:rFonts w:ascii="Times New Roman" w:hAnsi="Times New Roman" w:cs="Times New Roman"/>
          <w:color w:val="000000" w:themeColor="text1"/>
          <w:szCs w:val="24"/>
        </w:rPr>
        <w:t xml:space="preserve"> </w:t>
      </w:r>
    </w:p>
    <w:p w14:paraId="069C409E" w14:textId="77777777" w:rsidR="007B5F3C" w:rsidRPr="00745013" w:rsidRDefault="007B5F3C" w:rsidP="0050050E">
      <w:pPr>
        <w:spacing w:after="0" w:line="240" w:lineRule="auto"/>
        <w:rPr>
          <w:rFonts w:ascii="Times New Roman" w:hAnsi="Times New Roman" w:cs="Times New Roman"/>
          <w:color w:val="000000" w:themeColor="text1"/>
          <w:sz w:val="24"/>
          <w:szCs w:val="24"/>
        </w:rPr>
      </w:pPr>
    </w:p>
    <w:p w14:paraId="1D0F41C2" w14:textId="5AA8A4CF" w:rsidR="00BF4A6A" w:rsidRPr="00BF4A6A" w:rsidRDefault="00BF4A6A" w:rsidP="00BF4A6A">
      <w:pPr>
        <w:spacing w:after="0" w:line="240" w:lineRule="auto"/>
        <w:rPr>
          <w:rFonts w:ascii="Times New Roman" w:hAnsi="Times New Roman" w:cs="Times New Roman"/>
          <w:color w:val="000000" w:themeColor="text1"/>
          <w:sz w:val="24"/>
          <w:szCs w:val="24"/>
        </w:rPr>
      </w:pPr>
      <w:r w:rsidRPr="00745013">
        <w:rPr>
          <w:rFonts w:ascii="Times New Roman" w:hAnsi="Times New Roman" w:cs="Times New Roman"/>
          <w:color w:val="000000" w:themeColor="text1"/>
          <w:sz w:val="24"/>
          <w:szCs w:val="24"/>
        </w:rPr>
        <w:t>KIOVIG</w:t>
      </w:r>
      <w:r w:rsidRPr="00BF4A6A">
        <w:rPr>
          <w:rFonts w:ascii="Times New Roman" w:hAnsi="Times New Roman" w:cs="Times New Roman"/>
          <w:color w:val="000000" w:themeColor="text1"/>
          <w:sz w:val="24"/>
          <w:szCs w:val="24"/>
        </w:rPr>
        <w:t xml:space="preserve"> should be at room temperature during administration. KIOVIG should be inspected visually for particulate matter and discoloration prior to administration. Do not use if particulate matter and/or discoloration is observed. Only clear or slightly opalescent and colourless or </w:t>
      </w:r>
      <w:proofErr w:type="gramStart"/>
      <w:r w:rsidRPr="00BF4A6A">
        <w:rPr>
          <w:rFonts w:ascii="Times New Roman" w:hAnsi="Times New Roman" w:cs="Times New Roman"/>
          <w:color w:val="000000" w:themeColor="text1"/>
          <w:sz w:val="24"/>
          <w:szCs w:val="24"/>
        </w:rPr>
        <w:t>pale yellow</w:t>
      </w:r>
      <w:proofErr w:type="gramEnd"/>
      <w:r w:rsidRPr="00BF4A6A">
        <w:rPr>
          <w:rFonts w:ascii="Times New Roman" w:hAnsi="Times New Roman" w:cs="Times New Roman"/>
          <w:color w:val="000000" w:themeColor="text1"/>
          <w:sz w:val="24"/>
          <w:szCs w:val="24"/>
        </w:rPr>
        <w:t xml:space="preserve"> solutions are to be administered. KIOVIG should only be administered intravenously or subcutaneously. Other routes of administration have not been evaluated. The use of an in-line filter is optional.</w:t>
      </w:r>
    </w:p>
    <w:p w14:paraId="6D5A6379" w14:textId="77777777" w:rsidR="00BF4A6A" w:rsidRPr="00BF4A6A" w:rsidRDefault="00BF4A6A" w:rsidP="00BF4A6A">
      <w:pPr>
        <w:spacing w:after="0" w:line="240" w:lineRule="auto"/>
        <w:rPr>
          <w:rFonts w:ascii="Times New Roman" w:hAnsi="Times New Roman" w:cs="Times New Roman"/>
          <w:color w:val="000000" w:themeColor="text1"/>
          <w:sz w:val="24"/>
          <w:szCs w:val="24"/>
        </w:rPr>
      </w:pPr>
    </w:p>
    <w:p w14:paraId="3FA71B68" w14:textId="6E9209E9" w:rsidR="00BF4A6A" w:rsidRDefault="00BF4A6A" w:rsidP="00BF4A6A">
      <w:pPr>
        <w:spacing w:after="0" w:line="240" w:lineRule="auto"/>
        <w:rPr>
          <w:rFonts w:ascii="Times New Roman" w:hAnsi="Times New Roman" w:cs="Times New Roman"/>
          <w:color w:val="000000" w:themeColor="text1"/>
          <w:sz w:val="24"/>
          <w:szCs w:val="24"/>
        </w:rPr>
      </w:pPr>
      <w:r w:rsidRPr="00BF4A6A">
        <w:rPr>
          <w:rFonts w:ascii="Times New Roman" w:hAnsi="Times New Roman" w:cs="Times New Roman"/>
          <w:color w:val="000000" w:themeColor="text1"/>
          <w:sz w:val="24"/>
          <w:szCs w:val="24"/>
        </w:rPr>
        <w:t>KIOVIG is recommended for administration by intravenous infusion for all indications.</w:t>
      </w:r>
      <w:r w:rsidR="00471F22">
        <w:rPr>
          <w:rFonts w:ascii="Times New Roman" w:hAnsi="Times New Roman" w:cs="Times New Roman"/>
          <w:color w:val="000000" w:themeColor="text1"/>
          <w:sz w:val="24"/>
          <w:szCs w:val="24"/>
        </w:rPr>
        <w:t xml:space="preserve"> </w:t>
      </w:r>
      <w:r w:rsidRPr="00BF4A6A">
        <w:rPr>
          <w:rFonts w:ascii="Times New Roman" w:hAnsi="Times New Roman" w:cs="Times New Roman"/>
          <w:color w:val="000000" w:themeColor="text1"/>
          <w:sz w:val="24"/>
          <w:szCs w:val="24"/>
        </w:rPr>
        <w:t xml:space="preserve">KIOVIG may also be administered subcutaneously for replacement therapy in PID only (see </w:t>
      </w:r>
      <w:r w:rsidR="00B714CF" w:rsidRPr="00543B80">
        <w:rPr>
          <w:rFonts w:ascii="Times New Roman" w:eastAsia="Times New Roman" w:hAnsi="Times New Roman"/>
          <w:color w:val="000000" w:themeColor="text1"/>
          <w:spacing w:val="-1"/>
          <w:sz w:val="24"/>
        </w:rPr>
        <w:t xml:space="preserve">Section </w:t>
      </w:r>
      <w:r w:rsidR="00B714CF">
        <w:rPr>
          <w:rFonts w:ascii="Times New Roman" w:eastAsia="Times New Roman" w:hAnsi="Times New Roman"/>
          <w:color w:val="000000" w:themeColor="text1"/>
          <w:spacing w:val="-1"/>
          <w:sz w:val="24"/>
        </w:rPr>
        <w:t>4</w:t>
      </w:r>
      <w:r w:rsidR="00B714CF" w:rsidRPr="00543B80">
        <w:rPr>
          <w:rFonts w:ascii="Times New Roman" w:eastAsia="Times New Roman" w:hAnsi="Times New Roman"/>
          <w:color w:val="000000" w:themeColor="text1"/>
          <w:spacing w:val="-1"/>
          <w:sz w:val="24"/>
        </w:rPr>
        <w:t xml:space="preserve">.1 </w:t>
      </w:r>
      <w:r w:rsidR="00B714CF">
        <w:rPr>
          <w:rFonts w:ascii="Times New Roman" w:eastAsia="Times New Roman" w:hAnsi="Times New Roman"/>
          <w:color w:val="000000" w:themeColor="text1"/>
          <w:spacing w:val="-1"/>
          <w:sz w:val="24"/>
        </w:rPr>
        <w:t>THERAPEUTIC INDICATIONS).</w:t>
      </w:r>
      <w:r w:rsidR="00B714CF" w:rsidRPr="00BF4A6A">
        <w:rPr>
          <w:rFonts w:ascii="Times New Roman" w:hAnsi="Times New Roman" w:cs="Times New Roman"/>
          <w:color w:val="000000" w:themeColor="text1"/>
          <w:sz w:val="24"/>
          <w:szCs w:val="24"/>
        </w:rPr>
        <w:t xml:space="preserve"> </w:t>
      </w:r>
    </w:p>
    <w:p w14:paraId="73931971" w14:textId="6D43F02B" w:rsidR="00D93989" w:rsidRDefault="00D93989" w:rsidP="00BF4A6A">
      <w:pPr>
        <w:spacing w:after="0" w:line="240" w:lineRule="auto"/>
        <w:rPr>
          <w:rFonts w:ascii="Times New Roman" w:hAnsi="Times New Roman" w:cs="Times New Roman"/>
          <w:color w:val="000000" w:themeColor="text1"/>
          <w:sz w:val="24"/>
          <w:szCs w:val="24"/>
        </w:rPr>
      </w:pPr>
    </w:p>
    <w:p w14:paraId="7ADB8667" w14:textId="18241ACD" w:rsidR="00095AF9" w:rsidRPr="00095AF9" w:rsidRDefault="00095AF9" w:rsidP="00095AF9">
      <w:pPr>
        <w:spacing w:after="0" w:line="240" w:lineRule="auto"/>
        <w:rPr>
          <w:rFonts w:ascii="Times New Roman" w:hAnsi="Times New Roman" w:cs="Times New Roman"/>
          <w:color w:val="000000" w:themeColor="text1"/>
          <w:sz w:val="24"/>
          <w:szCs w:val="24"/>
        </w:rPr>
      </w:pPr>
      <w:r w:rsidRPr="00095AF9">
        <w:rPr>
          <w:rFonts w:ascii="Times New Roman" w:hAnsi="Times New Roman" w:cs="Times New Roman"/>
          <w:color w:val="000000" w:themeColor="text1"/>
          <w:sz w:val="24"/>
          <w:szCs w:val="24"/>
        </w:rPr>
        <w:t>See Section 4.4 Special Warnings and Precautions for Use about interchangeability of IVI</w:t>
      </w:r>
      <w:r>
        <w:rPr>
          <w:rFonts w:ascii="Times New Roman" w:hAnsi="Times New Roman" w:cs="Times New Roman"/>
          <w:color w:val="000000" w:themeColor="text1"/>
          <w:sz w:val="24"/>
          <w:szCs w:val="24"/>
        </w:rPr>
        <w:t>Gs</w:t>
      </w:r>
      <w:r w:rsidRPr="00095AF9">
        <w:rPr>
          <w:rFonts w:ascii="Times New Roman" w:hAnsi="Times New Roman" w:cs="Times New Roman"/>
          <w:color w:val="000000" w:themeColor="text1"/>
          <w:sz w:val="24"/>
          <w:szCs w:val="24"/>
        </w:rPr>
        <w:t>.</w:t>
      </w:r>
    </w:p>
    <w:p w14:paraId="04A85A71" w14:textId="77777777" w:rsidR="00095AF9" w:rsidRDefault="00095AF9" w:rsidP="00715CED">
      <w:pPr>
        <w:pStyle w:val="Heading3"/>
        <w:spacing w:before="0" w:line="240" w:lineRule="auto"/>
        <w:ind w:left="0"/>
        <w:rPr>
          <w:rFonts w:asciiTheme="minorHAnsi" w:eastAsiaTheme="minorHAnsi" w:hAnsiTheme="minorHAnsi" w:cstheme="minorBidi"/>
          <w:b w:val="0"/>
          <w:bCs w:val="0"/>
        </w:rPr>
      </w:pPr>
    </w:p>
    <w:p w14:paraId="2C74DBA8" w14:textId="392CBF01" w:rsidR="00BF4A6A" w:rsidRDefault="00BF4A6A" w:rsidP="00715CED">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intravenous (IV) a</w:t>
      </w:r>
      <w:r w:rsidRPr="00BF4A6A">
        <w:rPr>
          <w:rFonts w:ascii="Times New Roman" w:hAnsi="Times New Roman" w:cs="Times New Roman"/>
          <w:color w:val="000000" w:themeColor="text1"/>
          <w:sz w:val="24"/>
          <w:szCs w:val="24"/>
        </w:rPr>
        <w:t>dministration</w:t>
      </w:r>
    </w:p>
    <w:p w14:paraId="52DA8AA9" w14:textId="77777777" w:rsidR="00715CED" w:rsidRPr="00715CED" w:rsidRDefault="00715CED" w:rsidP="00715CED">
      <w:pPr>
        <w:spacing w:after="0" w:line="240" w:lineRule="auto"/>
      </w:pPr>
    </w:p>
    <w:p w14:paraId="1A1B9161" w14:textId="77777777" w:rsidR="00BF4A6A" w:rsidRPr="00BF4A6A" w:rsidRDefault="00BF4A6A" w:rsidP="00BF4A6A">
      <w:pPr>
        <w:spacing w:after="0" w:line="240" w:lineRule="auto"/>
        <w:rPr>
          <w:rFonts w:ascii="Times New Roman" w:hAnsi="Times New Roman" w:cs="Times New Roman"/>
          <w:color w:val="000000" w:themeColor="text1"/>
          <w:sz w:val="24"/>
          <w:szCs w:val="24"/>
        </w:rPr>
      </w:pPr>
      <w:r w:rsidRPr="00BF4A6A">
        <w:rPr>
          <w:rFonts w:ascii="Times New Roman" w:hAnsi="Times New Roman" w:cs="Times New Roman"/>
          <w:color w:val="000000" w:themeColor="text1"/>
          <w:sz w:val="24"/>
          <w:szCs w:val="24"/>
        </w:rPr>
        <w:t xml:space="preserve">The dose and dosage regimen are dependent on the indication. In replacement therapy the dosage may need to be individualised for each patient depending on the pharmacokinetic and clinical response. The dosage regimens are given as a guideline below. </w:t>
      </w:r>
    </w:p>
    <w:p w14:paraId="2EA4E572" w14:textId="6EC938AA" w:rsidR="00BF4A6A" w:rsidRPr="00BF4A6A" w:rsidRDefault="00FC4688" w:rsidP="00BF4A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07030A87" w14:textId="77777777" w:rsidR="00BF4A6A" w:rsidRPr="00BF4A6A" w:rsidRDefault="00BF4A6A" w:rsidP="00BF4A6A">
      <w:pPr>
        <w:spacing w:after="0" w:line="240" w:lineRule="auto"/>
        <w:rPr>
          <w:rFonts w:ascii="Times New Roman" w:hAnsi="Times New Roman" w:cs="Times New Roman"/>
          <w:color w:val="000000" w:themeColor="text1"/>
          <w:sz w:val="24"/>
          <w:szCs w:val="24"/>
          <w:u w:val="single"/>
        </w:rPr>
      </w:pPr>
      <w:r w:rsidRPr="00BF4A6A">
        <w:rPr>
          <w:rFonts w:ascii="Times New Roman" w:hAnsi="Times New Roman" w:cs="Times New Roman"/>
          <w:color w:val="000000" w:themeColor="text1"/>
          <w:sz w:val="24"/>
          <w:szCs w:val="24"/>
          <w:u w:val="single"/>
        </w:rPr>
        <w:t>Recommended Dose and Dosage Adjustment</w:t>
      </w:r>
    </w:p>
    <w:p w14:paraId="0FD3E89F" w14:textId="2CAEA976" w:rsidR="00BF4A6A" w:rsidRDefault="00BF4A6A" w:rsidP="00BF4A6A">
      <w:pPr>
        <w:spacing w:after="0" w:line="240" w:lineRule="auto"/>
        <w:rPr>
          <w:rFonts w:ascii="Times New Roman" w:hAnsi="Times New Roman" w:cs="Times New Roman"/>
          <w:color w:val="000000" w:themeColor="text1"/>
          <w:sz w:val="24"/>
          <w:szCs w:val="24"/>
        </w:rPr>
      </w:pPr>
      <w:r w:rsidRPr="00BF4A6A">
        <w:rPr>
          <w:rFonts w:ascii="Times New Roman" w:hAnsi="Times New Roman" w:cs="Times New Roman"/>
          <w:color w:val="000000" w:themeColor="text1"/>
          <w:sz w:val="24"/>
          <w:szCs w:val="24"/>
        </w:rPr>
        <w:t xml:space="preserve">Dosage will vary depending on condition and bodyweight. The following doses </w:t>
      </w:r>
      <w:proofErr w:type="gramStart"/>
      <w:r w:rsidRPr="00BF4A6A">
        <w:rPr>
          <w:rFonts w:ascii="Times New Roman" w:hAnsi="Times New Roman" w:cs="Times New Roman"/>
          <w:color w:val="000000" w:themeColor="text1"/>
          <w:sz w:val="24"/>
          <w:szCs w:val="24"/>
        </w:rPr>
        <w:t>are in agreement</w:t>
      </w:r>
      <w:proofErr w:type="gramEnd"/>
      <w:r w:rsidRPr="00BF4A6A">
        <w:rPr>
          <w:rFonts w:ascii="Times New Roman" w:hAnsi="Times New Roman" w:cs="Times New Roman"/>
          <w:color w:val="000000" w:themeColor="text1"/>
          <w:sz w:val="24"/>
          <w:szCs w:val="24"/>
        </w:rPr>
        <w:t xml:space="preserve"> with currently suggested dosing schedules (see Table </w:t>
      </w:r>
      <w:r w:rsidR="00C405AF">
        <w:rPr>
          <w:rFonts w:ascii="Times New Roman" w:hAnsi="Times New Roman" w:cs="Times New Roman"/>
          <w:color w:val="000000" w:themeColor="text1"/>
          <w:sz w:val="24"/>
          <w:szCs w:val="24"/>
        </w:rPr>
        <w:t>1</w:t>
      </w:r>
      <w:r w:rsidRPr="00BF4A6A">
        <w:rPr>
          <w:rFonts w:ascii="Times New Roman" w:hAnsi="Times New Roman" w:cs="Times New Roman"/>
          <w:color w:val="000000" w:themeColor="text1"/>
          <w:sz w:val="24"/>
          <w:szCs w:val="24"/>
        </w:rPr>
        <w:t xml:space="preserve">). </w:t>
      </w:r>
    </w:p>
    <w:p w14:paraId="68E05B15" w14:textId="5C121754" w:rsidR="00C74B9C" w:rsidRDefault="00C74B9C" w:rsidP="00BF4A6A">
      <w:pPr>
        <w:spacing w:after="0" w:line="240" w:lineRule="auto"/>
        <w:rPr>
          <w:rFonts w:ascii="Times New Roman" w:hAnsi="Times New Roman" w:cs="Times New Roman"/>
          <w:color w:val="000000" w:themeColor="text1"/>
          <w:sz w:val="24"/>
          <w:szCs w:val="24"/>
        </w:rPr>
      </w:pPr>
    </w:p>
    <w:p w14:paraId="3D15D6D2" w14:textId="09DEFFF2" w:rsidR="00503302" w:rsidRDefault="00503302" w:rsidP="00BF4A6A">
      <w:pPr>
        <w:spacing w:after="0" w:line="240" w:lineRule="auto"/>
        <w:rPr>
          <w:rFonts w:ascii="Times New Roman" w:hAnsi="Times New Roman" w:cs="Times New Roman"/>
          <w:color w:val="000000" w:themeColor="text1"/>
          <w:sz w:val="24"/>
          <w:szCs w:val="24"/>
        </w:rPr>
      </w:pPr>
    </w:p>
    <w:p w14:paraId="4B0DAF98" w14:textId="67163B66" w:rsidR="00503302" w:rsidRDefault="00503302" w:rsidP="00BF4A6A">
      <w:pPr>
        <w:spacing w:after="0" w:line="240" w:lineRule="auto"/>
        <w:rPr>
          <w:rFonts w:ascii="Times New Roman" w:hAnsi="Times New Roman" w:cs="Times New Roman"/>
          <w:color w:val="000000" w:themeColor="text1"/>
          <w:sz w:val="24"/>
          <w:szCs w:val="24"/>
        </w:rPr>
      </w:pPr>
    </w:p>
    <w:p w14:paraId="5AF1A872" w14:textId="03D808F1" w:rsidR="00503302" w:rsidRDefault="00503302" w:rsidP="00BF4A6A">
      <w:pPr>
        <w:spacing w:after="0" w:line="240" w:lineRule="auto"/>
        <w:rPr>
          <w:rFonts w:ascii="Times New Roman" w:hAnsi="Times New Roman" w:cs="Times New Roman"/>
          <w:color w:val="000000" w:themeColor="text1"/>
          <w:sz w:val="24"/>
          <w:szCs w:val="24"/>
        </w:rPr>
      </w:pPr>
    </w:p>
    <w:p w14:paraId="11DBABC4" w14:textId="77777777" w:rsidR="00503302" w:rsidRDefault="00503302" w:rsidP="00BF4A6A">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048"/>
        <w:gridCol w:w="2110"/>
        <w:gridCol w:w="3858"/>
      </w:tblGrid>
      <w:tr w:rsidR="00484028" w14:paraId="45C8D989" w14:textId="77777777" w:rsidTr="00484028">
        <w:tc>
          <w:tcPr>
            <w:tcW w:w="9242" w:type="dxa"/>
            <w:gridSpan w:val="3"/>
          </w:tcPr>
          <w:p w14:paraId="1AC71A1E" w14:textId="43A7EF5B" w:rsidR="00484028" w:rsidRPr="00BC377C" w:rsidRDefault="00484028" w:rsidP="00484028">
            <w:pPr>
              <w:jc w:val="center"/>
              <w:rPr>
                <w:rFonts w:ascii="Times New Roman" w:hAnsi="Times New Roman" w:cs="Times New Roman"/>
                <w:b/>
                <w:bCs/>
                <w:color w:val="000000" w:themeColor="text1"/>
                <w:sz w:val="20"/>
                <w:szCs w:val="20"/>
              </w:rPr>
            </w:pPr>
            <w:r w:rsidRPr="00BC377C">
              <w:rPr>
                <w:rFonts w:ascii="Times New Roman" w:hAnsi="Times New Roman" w:cs="Times New Roman"/>
                <w:b/>
                <w:bCs/>
                <w:color w:val="000000" w:themeColor="text1"/>
                <w:sz w:val="20"/>
                <w:szCs w:val="20"/>
              </w:rPr>
              <w:lastRenderedPageBreak/>
              <w:t xml:space="preserve">Table </w:t>
            </w:r>
            <w:r w:rsidR="00C405AF">
              <w:rPr>
                <w:rFonts w:ascii="Times New Roman" w:hAnsi="Times New Roman" w:cs="Times New Roman"/>
                <w:b/>
                <w:bCs/>
                <w:color w:val="000000" w:themeColor="text1"/>
                <w:sz w:val="20"/>
                <w:szCs w:val="20"/>
              </w:rPr>
              <w:t>1</w:t>
            </w:r>
            <w:r w:rsidRPr="00BC377C">
              <w:rPr>
                <w:rFonts w:ascii="Times New Roman" w:hAnsi="Times New Roman" w:cs="Times New Roman"/>
                <w:b/>
                <w:bCs/>
                <w:color w:val="000000" w:themeColor="text1"/>
                <w:sz w:val="20"/>
                <w:szCs w:val="20"/>
              </w:rPr>
              <w:t>:  Recommended Dose and Dosage Adjustment</w:t>
            </w:r>
          </w:p>
          <w:p w14:paraId="7BB0B97D" w14:textId="77777777" w:rsidR="00484028" w:rsidRPr="00BC377C" w:rsidRDefault="00484028" w:rsidP="00BF4A6A">
            <w:pPr>
              <w:rPr>
                <w:rFonts w:ascii="Times New Roman" w:hAnsi="Times New Roman" w:cs="Times New Roman"/>
                <w:color w:val="000000" w:themeColor="text1"/>
                <w:sz w:val="20"/>
                <w:szCs w:val="20"/>
              </w:rPr>
            </w:pPr>
          </w:p>
        </w:tc>
      </w:tr>
      <w:tr w:rsidR="00484028" w14:paraId="16191C6E" w14:textId="77777777" w:rsidTr="00A41AB6">
        <w:tc>
          <w:tcPr>
            <w:tcW w:w="3078" w:type="dxa"/>
            <w:tcBorders>
              <w:bottom w:val="single" w:sz="4" w:space="0" w:color="auto"/>
            </w:tcBorders>
          </w:tcPr>
          <w:p w14:paraId="454E309D" w14:textId="3B1931EA" w:rsidR="00484028" w:rsidRPr="00BC377C" w:rsidRDefault="00484028" w:rsidP="00BF4A6A">
            <w:pPr>
              <w:rPr>
                <w:rFonts w:ascii="Times New Roman" w:hAnsi="Times New Roman" w:cs="Times New Roman"/>
                <w:color w:val="000000" w:themeColor="text1"/>
                <w:sz w:val="20"/>
                <w:szCs w:val="20"/>
              </w:rPr>
            </w:pPr>
            <w:r w:rsidRPr="00BC377C">
              <w:rPr>
                <w:rFonts w:ascii="Times New Roman" w:hAnsi="Times New Roman" w:cs="Times New Roman"/>
                <w:b/>
                <w:bCs/>
                <w:color w:val="000000" w:themeColor="text1"/>
                <w:sz w:val="20"/>
                <w:szCs w:val="20"/>
              </w:rPr>
              <w:t>Indication</w:t>
            </w:r>
          </w:p>
        </w:tc>
        <w:tc>
          <w:tcPr>
            <w:tcW w:w="2160" w:type="dxa"/>
            <w:tcBorders>
              <w:bottom w:val="single" w:sz="4" w:space="0" w:color="auto"/>
            </w:tcBorders>
          </w:tcPr>
          <w:p w14:paraId="63ABDAB0" w14:textId="509CA424" w:rsidR="00484028" w:rsidRPr="00BC377C" w:rsidRDefault="00484028" w:rsidP="00BF4A6A">
            <w:pPr>
              <w:rPr>
                <w:rFonts w:ascii="Times New Roman" w:hAnsi="Times New Roman" w:cs="Times New Roman"/>
                <w:color w:val="000000" w:themeColor="text1"/>
                <w:sz w:val="20"/>
                <w:szCs w:val="20"/>
              </w:rPr>
            </w:pPr>
            <w:r w:rsidRPr="00BC377C">
              <w:rPr>
                <w:rFonts w:ascii="Times New Roman" w:hAnsi="Times New Roman" w:cs="Times New Roman"/>
                <w:b/>
                <w:bCs/>
                <w:color w:val="000000" w:themeColor="text1"/>
                <w:sz w:val="20"/>
                <w:szCs w:val="20"/>
              </w:rPr>
              <w:t>Dose</w:t>
            </w:r>
          </w:p>
        </w:tc>
        <w:tc>
          <w:tcPr>
            <w:tcW w:w="4004" w:type="dxa"/>
            <w:tcBorders>
              <w:bottom w:val="single" w:sz="4" w:space="0" w:color="auto"/>
            </w:tcBorders>
          </w:tcPr>
          <w:p w14:paraId="52F1821B" w14:textId="2451D385" w:rsidR="00484028" w:rsidRPr="00BC377C" w:rsidRDefault="00484028" w:rsidP="00BF4A6A">
            <w:pPr>
              <w:rPr>
                <w:rFonts w:ascii="Times New Roman" w:hAnsi="Times New Roman" w:cs="Times New Roman"/>
                <w:color w:val="000000" w:themeColor="text1"/>
                <w:sz w:val="20"/>
                <w:szCs w:val="20"/>
              </w:rPr>
            </w:pPr>
            <w:r w:rsidRPr="00BC377C">
              <w:rPr>
                <w:rFonts w:ascii="Times New Roman" w:hAnsi="Times New Roman" w:cs="Times New Roman"/>
                <w:b/>
                <w:bCs/>
                <w:color w:val="000000" w:themeColor="text1"/>
                <w:sz w:val="20"/>
                <w:szCs w:val="20"/>
              </w:rPr>
              <w:t>Frequency of Injections</w:t>
            </w:r>
          </w:p>
        </w:tc>
      </w:tr>
      <w:tr w:rsidR="00484028" w14:paraId="014EC25C" w14:textId="77777777" w:rsidTr="00A41AB6">
        <w:tc>
          <w:tcPr>
            <w:tcW w:w="3078" w:type="dxa"/>
            <w:tcBorders>
              <w:bottom w:val="nil"/>
            </w:tcBorders>
          </w:tcPr>
          <w:p w14:paraId="5C645A89" w14:textId="58E7275D" w:rsidR="00484028" w:rsidRPr="00BC377C" w:rsidRDefault="00484028" w:rsidP="00F73EBA">
            <w:pPr>
              <w:pStyle w:val="ListParagraph"/>
              <w:numPr>
                <w:ilvl w:val="0"/>
                <w:numId w:val="5"/>
              </w:numPr>
              <w:ind w:left="180" w:hanging="180"/>
              <w:rPr>
                <w:rFonts w:ascii="Times New Roman" w:hAnsi="Times New Roman" w:cs="Times New Roman"/>
                <w:color w:val="000000" w:themeColor="text1"/>
                <w:sz w:val="20"/>
                <w:szCs w:val="20"/>
              </w:rPr>
            </w:pPr>
            <w:r w:rsidRPr="00BC377C">
              <w:rPr>
                <w:rFonts w:ascii="Times New Roman" w:hAnsi="Times New Roman" w:cs="Times New Roman"/>
                <w:bCs/>
                <w:color w:val="000000" w:themeColor="text1"/>
                <w:sz w:val="20"/>
                <w:szCs w:val="20"/>
              </w:rPr>
              <w:t>Replacement therapy in primary immunodeficiency</w:t>
            </w:r>
          </w:p>
        </w:tc>
        <w:tc>
          <w:tcPr>
            <w:tcW w:w="2160" w:type="dxa"/>
            <w:tcBorders>
              <w:bottom w:val="nil"/>
            </w:tcBorders>
          </w:tcPr>
          <w:p w14:paraId="4CF5D301" w14:textId="4AC7442A" w:rsidR="00484028" w:rsidRPr="00BC377C" w:rsidRDefault="00484028" w:rsidP="0048402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Starting dose:</w:t>
            </w:r>
          </w:p>
          <w:p w14:paraId="10F22AEA" w14:textId="538EF905" w:rsidR="0048402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w:t>
            </w:r>
            <w:r w:rsidR="00484028" w:rsidRPr="00BC377C">
              <w:rPr>
                <w:rFonts w:ascii="Times New Roman" w:hAnsi="Times New Roman" w:cs="Times New Roman"/>
                <w:bCs/>
                <w:color w:val="000000" w:themeColor="text1"/>
                <w:sz w:val="20"/>
                <w:szCs w:val="20"/>
              </w:rPr>
              <w:t>0.4 – 0.8 g/kg BW</w:t>
            </w:r>
          </w:p>
        </w:tc>
        <w:tc>
          <w:tcPr>
            <w:tcW w:w="4004" w:type="dxa"/>
            <w:tcBorders>
              <w:bottom w:val="nil"/>
            </w:tcBorders>
          </w:tcPr>
          <w:p w14:paraId="35651120" w14:textId="701B9D0B" w:rsidR="00484028" w:rsidRPr="00BC377C" w:rsidRDefault="00484028" w:rsidP="00BF4A6A">
            <w:pPr>
              <w:rPr>
                <w:rFonts w:ascii="Times New Roman" w:hAnsi="Times New Roman" w:cs="Times New Roman"/>
                <w:color w:val="000000" w:themeColor="text1"/>
                <w:sz w:val="20"/>
                <w:szCs w:val="20"/>
              </w:rPr>
            </w:pPr>
            <w:r w:rsidRPr="00BC377C">
              <w:rPr>
                <w:rFonts w:ascii="Times New Roman" w:hAnsi="Times New Roman" w:cs="Times New Roman"/>
                <w:bCs/>
                <w:color w:val="000000" w:themeColor="text1"/>
                <w:sz w:val="20"/>
                <w:szCs w:val="20"/>
              </w:rPr>
              <w:t>Every 2 – 4 weeks to obtain IgG trough level of at least 4 – 6 g/L</w:t>
            </w:r>
          </w:p>
        </w:tc>
      </w:tr>
      <w:tr w:rsidR="00FC4688" w14:paraId="34ABBE9D" w14:textId="77777777" w:rsidTr="00A41AB6">
        <w:tc>
          <w:tcPr>
            <w:tcW w:w="3078" w:type="dxa"/>
            <w:tcBorders>
              <w:top w:val="nil"/>
              <w:bottom w:val="nil"/>
            </w:tcBorders>
          </w:tcPr>
          <w:p w14:paraId="3A728E7D" w14:textId="77777777" w:rsidR="00FC4688" w:rsidRPr="00BC377C" w:rsidRDefault="00FC4688" w:rsidP="00484028">
            <w:pPr>
              <w:rPr>
                <w:rFonts w:ascii="Times New Roman" w:hAnsi="Times New Roman" w:cs="Times New Roman"/>
                <w:bCs/>
                <w:color w:val="000000" w:themeColor="text1"/>
                <w:sz w:val="20"/>
                <w:szCs w:val="20"/>
              </w:rPr>
            </w:pPr>
          </w:p>
        </w:tc>
        <w:tc>
          <w:tcPr>
            <w:tcW w:w="2160" w:type="dxa"/>
            <w:tcBorders>
              <w:top w:val="nil"/>
              <w:bottom w:val="nil"/>
            </w:tcBorders>
          </w:tcPr>
          <w:p w14:paraId="3ED5FBB2" w14:textId="77777777"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Thereafter:</w:t>
            </w:r>
          </w:p>
          <w:p w14:paraId="202C42DF" w14:textId="2EF40C2F"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0.2 – 0.8 g/kg BW</w:t>
            </w:r>
          </w:p>
          <w:p w14:paraId="57D131C4" w14:textId="324CB6EE" w:rsidR="00FC4688" w:rsidRPr="00BC377C" w:rsidRDefault="00FC4688" w:rsidP="00FC4688">
            <w:pPr>
              <w:rPr>
                <w:rFonts w:ascii="Times New Roman" w:hAnsi="Times New Roman" w:cs="Times New Roman"/>
                <w:bCs/>
                <w:color w:val="000000" w:themeColor="text1"/>
                <w:sz w:val="20"/>
                <w:szCs w:val="20"/>
              </w:rPr>
            </w:pPr>
          </w:p>
        </w:tc>
        <w:tc>
          <w:tcPr>
            <w:tcW w:w="4004" w:type="dxa"/>
            <w:tcBorders>
              <w:top w:val="nil"/>
              <w:bottom w:val="nil"/>
            </w:tcBorders>
          </w:tcPr>
          <w:p w14:paraId="0F6F1CAC" w14:textId="77777777" w:rsidR="00FC4688" w:rsidRPr="00BC377C" w:rsidRDefault="00FC4688" w:rsidP="00180365">
            <w:pPr>
              <w:rPr>
                <w:rFonts w:ascii="Times New Roman" w:hAnsi="Times New Roman" w:cs="Times New Roman"/>
                <w:bCs/>
                <w:color w:val="000000" w:themeColor="text1"/>
                <w:sz w:val="20"/>
                <w:szCs w:val="20"/>
              </w:rPr>
            </w:pPr>
          </w:p>
        </w:tc>
      </w:tr>
      <w:tr w:rsidR="00FC4688" w14:paraId="632D4601" w14:textId="77777777" w:rsidTr="00A41AB6">
        <w:tc>
          <w:tcPr>
            <w:tcW w:w="3078" w:type="dxa"/>
            <w:tcBorders>
              <w:top w:val="nil"/>
              <w:bottom w:val="single" w:sz="4" w:space="0" w:color="auto"/>
            </w:tcBorders>
          </w:tcPr>
          <w:p w14:paraId="168B1DC9" w14:textId="191E6F2F" w:rsidR="00FC4688" w:rsidRPr="00BC377C" w:rsidRDefault="00FC4688" w:rsidP="00F73EBA">
            <w:pPr>
              <w:pStyle w:val="ListParagraph"/>
              <w:numPr>
                <w:ilvl w:val="0"/>
                <w:numId w:val="5"/>
              </w:numPr>
              <w:ind w:left="180" w:hanging="180"/>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Replacement therapy in symptomatic </w:t>
            </w:r>
            <w:proofErr w:type="spellStart"/>
            <w:r w:rsidRPr="00BC377C">
              <w:rPr>
                <w:rFonts w:ascii="Times New Roman" w:hAnsi="Times New Roman" w:cs="Times New Roman"/>
                <w:bCs/>
                <w:color w:val="000000" w:themeColor="text1"/>
                <w:sz w:val="20"/>
                <w:szCs w:val="20"/>
              </w:rPr>
              <w:t>hypogammaglobulinaemia</w:t>
            </w:r>
            <w:proofErr w:type="spellEnd"/>
            <w:r w:rsidRPr="00BC377C">
              <w:rPr>
                <w:rFonts w:ascii="Times New Roman" w:hAnsi="Times New Roman" w:cs="Times New Roman"/>
                <w:bCs/>
                <w:color w:val="000000" w:themeColor="text1"/>
                <w:sz w:val="20"/>
                <w:szCs w:val="20"/>
              </w:rPr>
              <w:t xml:space="preserve"> secondary to underlying disease or treatment </w:t>
            </w:r>
          </w:p>
        </w:tc>
        <w:tc>
          <w:tcPr>
            <w:tcW w:w="2160" w:type="dxa"/>
            <w:tcBorders>
              <w:top w:val="nil"/>
              <w:bottom w:val="single" w:sz="4" w:space="0" w:color="auto"/>
            </w:tcBorders>
          </w:tcPr>
          <w:p w14:paraId="3F9C2269" w14:textId="638438F8" w:rsidR="00FC4688" w:rsidRPr="00BC377C" w:rsidRDefault="00FC4688" w:rsidP="00180365">
            <w:pPr>
              <w:pStyle w:val="EndnoteText"/>
              <w:rPr>
                <w:rFonts w:eastAsiaTheme="minorHAnsi"/>
                <w:bCs/>
                <w:color w:val="000000" w:themeColor="text1"/>
                <w:sz w:val="20"/>
                <w:lang w:val="en-AU"/>
              </w:rPr>
            </w:pPr>
            <w:r w:rsidRPr="00BC377C">
              <w:rPr>
                <w:rFonts w:eastAsiaTheme="minorHAnsi"/>
                <w:bCs/>
                <w:color w:val="000000" w:themeColor="text1"/>
                <w:sz w:val="20"/>
                <w:lang w:val="en-AU"/>
              </w:rPr>
              <w:t xml:space="preserve">    0.2 – 0.4 g/kg BW</w:t>
            </w:r>
          </w:p>
          <w:p w14:paraId="7202733F" w14:textId="77777777" w:rsidR="00FC4688" w:rsidRPr="00BC377C" w:rsidRDefault="00FC4688" w:rsidP="00484028">
            <w:pPr>
              <w:pStyle w:val="EndnoteText"/>
              <w:rPr>
                <w:rFonts w:eastAsiaTheme="minorHAnsi"/>
                <w:bCs/>
                <w:color w:val="000000" w:themeColor="text1"/>
                <w:sz w:val="20"/>
                <w:lang w:val="en-AU"/>
              </w:rPr>
            </w:pPr>
          </w:p>
        </w:tc>
        <w:tc>
          <w:tcPr>
            <w:tcW w:w="4004" w:type="dxa"/>
            <w:tcBorders>
              <w:top w:val="nil"/>
              <w:bottom w:val="single" w:sz="4" w:space="0" w:color="auto"/>
            </w:tcBorders>
          </w:tcPr>
          <w:p w14:paraId="630C1FCF" w14:textId="3899AAE1"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Every 3 – 4 weeks to obtain IgG</w:t>
            </w:r>
            <w:r w:rsidRPr="00BC377C">
              <w:rPr>
                <w:rFonts w:ascii="Times New Roman" w:hAnsi="Times New Roman" w:cs="Times New Roman"/>
                <w:bCs/>
                <w:color w:val="000000" w:themeColor="text1"/>
                <w:sz w:val="20"/>
                <w:szCs w:val="20"/>
              </w:rPr>
              <w:br/>
              <w:t>trough level of at least 4 – 6 g/L</w:t>
            </w:r>
          </w:p>
        </w:tc>
      </w:tr>
      <w:tr w:rsidR="00FC4688" w14:paraId="7C1ABEBA" w14:textId="77777777" w:rsidTr="00A41AB6">
        <w:tc>
          <w:tcPr>
            <w:tcW w:w="3078" w:type="dxa"/>
            <w:tcBorders>
              <w:bottom w:val="nil"/>
            </w:tcBorders>
          </w:tcPr>
          <w:p w14:paraId="1B6C3D0E" w14:textId="55CC1CEA" w:rsidR="00FC4688" w:rsidRPr="00BC377C" w:rsidRDefault="00FC4688" w:rsidP="007E1B30">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Immunomodulation:</w:t>
            </w:r>
          </w:p>
        </w:tc>
        <w:tc>
          <w:tcPr>
            <w:tcW w:w="2160" w:type="dxa"/>
            <w:tcBorders>
              <w:bottom w:val="nil"/>
            </w:tcBorders>
          </w:tcPr>
          <w:p w14:paraId="226EF198" w14:textId="77777777" w:rsidR="00FC4688" w:rsidRPr="00BC377C" w:rsidRDefault="00FC4688" w:rsidP="00484028">
            <w:pPr>
              <w:pStyle w:val="EndnoteText"/>
              <w:rPr>
                <w:rFonts w:eastAsiaTheme="minorHAnsi"/>
                <w:bCs/>
                <w:color w:val="000000" w:themeColor="text1"/>
                <w:sz w:val="20"/>
                <w:lang w:val="en-AU"/>
              </w:rPr>
            </w:pPr>
          </w:p>
        </w:tc>
        <w:tc>
          <w:tcPr>
            <w:tcW w:w="4004" w:type="dxa"/>
            <w:tcBorders>
              <w:bottom w:val="nil"/>
            </w:tcBorders>
          </w:tcPr>
          <w:p w14:paraId="15370DD7" w14:textId="77777777" w:rsidR="00FC4688" w:rsidRPr="00BC377C" w:rsidRDefault="00FC4688" w:rsidP="00484028">
            <w:pPr>
              <w:rPr>
                <w:rFonts w:ascii="Times New Roman" w:hAnsi="Times New Roman" w:cs="Times New Roman"/>
                <w:bCs/>
                <w:color w:val="000000" w:themeColor="text1"/>
                <w:sz w:val="20"/>
                <w:szCs w:val="20"/>
              </w:rPr>
            </w:pPr>
          </w:p>
        </w:tc>
      </w:tr>
      <w:tr w:rsidR="00FC4688" w14:paraId="21C3774D" w14:textId="77777777" w:rsidTr="00A41AB6">
        <w:tc>
          <w:tcPr>
            <w:tcW w:w="3078" w:type="dxa"/>
            <w:tcBorders>
              <w:top w:val="nil"/>
              <w:bottom w:val="nil"/>
            </w:tcBorders>
          </w:tcPr>
          <w:p w14:paraId="208E79C8" w14:textId="22E3AAC9" w:rsidR="00FC4688" w:rsidRPr="00BC377C" w:rsidRDefault="00FC4688" w:rsidP="00F73EBA">
            <w:pPr>
              <w:pStyle w:val="ListParagraph"/>
              <w:numPr>
                <w:ilvl w:val="0"/>
                <w:numId w:val="5"/>
              </w:numPr>
              <w:ind w:left="180" w:hanging="180"/>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Idiopathic thrombocytopenic purpura (ITP)</w:t>
            </w:r>
          </w:p>
        </w:tc>
        <w:tc>
          <w:tcPr>
            <w:tcW w:w="2160" w:type="dxa"/>
            <w:tcBorders>
              <w:top w:val="nil"/>
              <w:bottom w:val="nil"/>
            </w:tcBorders>
          </w:tcPr>
          <w:p w14:paraId="14E2B690" w14:textId="628A7063"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0.8 – 1 g/kg BW</w:t>
            </w:r>
          </w:p>
        </w:tc>
        <w:tc>
          <w:tcPr>
            <w:tcW w:w="4004" w:type="dxa"/>
            <w:tcBorders>
              <w:top w:val="nil"/>
              <w:bottom w:val="nil"/>
            </w:tcBorders>
          </w:tcPr>
          <w:p w14:paraId="58828209" w14:textId="7DC2BACD" w:rsidR="00FC4688" w:rsidRPr="00BC377C" w:rsidRDefault="00FC4688" w:rsidP="00A41AB6">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On day 1, possibly repeated once within 3 days.</w:t>
            </w:r>
          </w:p>
        </w:tc>
      </w:tr>
      <w:tr w:rsidR="00FC4688" w14:paraId="5D21BE42" w14:textId="77777777" w:rsidTr="00A41AB6">
        <w:tc>
          <w:tcPr>
            <w:tcW w:w="3078" w:type="dxa"/>
            <w:tcBorders>
              <w:top w:val="nil"/>
              <w:bottom w:val="nil"/>
            </w:tcBorders>
          </w:tcPr>
          <w:p w14:paraId="59E24997" w14:textId="77777777" w:rsidR="00FC4688" w:rsidRPr="00BC377C" w:rsidRDefault="00FC4688" w:rsidP="00FC4688">
            <w:pPr>
              <w:pStyle w:val="ListParagraph"/>
              <w:ind w:left="180"/>
              <w:rPr>
                <w:rFonts w:ascii="Times New Roman" w:hAnsi="Times New Roman" w:cs="Times New Roman"/>
                <w:bCs/>
                <w:color w:val="000000" w:themeColor="text1"/>
                <w:sz w:val="20"/>
                <w:szCs w:val="20"/>
              </w:rPr>
            </w:pPr>
          </w:p>
        </w:tc>
        <w:tc>
          <w:tcPr>
            <w:tcW w:w="2160" w:type="dxa"/>
            <w:tcBorders>
              <w:top w:val="nil"/>
              <w:bottom w:val="nil"/>
            </w:tcBorders>
          </w:tcPr>
          <w:p w14:paraId="71EB22B2" w14:textId="77777777"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Or:</w:t>
            </w:r>
          </w:p>
          <w:p w14:paraId="11D6B6A3" w14:textId="74066E30"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0.4 g/kg BW/d</w:t>
            </w:r>
          </w:p>
          <w:p w14:paraId="592E077C" w14:textId="131BADD3" w:rsidR="00FC4688" w:rsidRPr="00BC377C" w:rsidRDefault="00FC4688" w:rsidP="00FC4688">
            <w:pPr>
              <w:rPr>
                <w:rFonts w:ascii="Times New Roman" w:hAnsi="Times New Roman" w:cs="Times New Roman"/>
                <w:bCs/>
                <w:color w:val="000000" w:themeColor="text1"/>
                <w:sz w:val="20"/>
                <w:szCs w:val="20"/>
              </w:rPr>
            </w:pPr>
          </w:p>
        </w:tc>
        <w:tc>
          <w:tcPr>
            <w:tcW w:w="4004" w:type="dxa"/>
            <w:tcBorders>
              <w:top w:val="nil"/>
              <w:bottom w:val="nil"/>
            </w:tcBorders>
          </w:tcPr>
          <w:p w14:paraId="127E16ED" w14:textId="77777777" w:rsidR="007E1B30" w:rsidRPr="00BC377C" w:rsidRDefault="007E1B30" w:rsidP="00FC4688">
            <w:pPr>
              <w:rPr>
                <w:rFonts w:ascii="Times New Roman" w:hAnsi="Times New Roman" w:cs="Times New Roman"/>
                <w:bCs/>
                <w:color w:val="000000" w:themeColor="text1"/>
                <w:sz w:val="20"/>
                <w:szCs w:val="20"/>
              </w:rPr>
            </w:pPr>
          </w:p>
          <w:p w14:paraId="55E213E3" w14:textId="5912469F"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For 2 – 5 days</w:t>
            </w:r>
          </w:p>
        </w:tc>
      </w:tr>
      <w:tr w:rsidR="00FC4688" w14:paraId="57F7A23E" w14:textId="77777777" w:rsidTr="00A41AB6">
        <w:tc>
          <w:tcPr>
            <w:tcW w:w="3078" w:type="dxa"/>
            <w:tcBorders>
              <w:top w:val="nil"/>
              <w:bottom w:val="nil"/>
            </w:tcBorders>
          </w:tcPr>
          <w:p w14:paraId="5E7298A8" w14:textId="3D5148D3" w:rsidR="00FC4688" w:rsidRPr="00BC377C" w:rsidRDefault="00FC4688" w:rsidP="00F73EBA">
            <w:pPr>
              <w:pStyle w:val="ListParagraph"/>
              <w:numPr>
                <w:ilvl w:val="0"/>
                <w:numId w:val="5"/>
              </w:numPr>
              <w:ind w:left="180" w:hanging="180"/>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Guillain Barré Syndrome (GBS)</w:t>
            </w:r>
          </w:p>
          <w:p w14:paraId="28B910BE" w14:textId="77777777" w:rsidR="00FC4688" w:rsidRPr="00BC377C" w:rsidRDefault="00FC4688" w:rsidP="00484028">
            <w:pPr>
              <w:ind w:left="180" w:hanging="180"/>
              <w:rPr>
                <w:rFonts w:ascii="Times New Roman" w:hAnsi="Times New Roman" w:cs="Times New Roman"/>
                <w:bCs/>
                <w:color w:val="000000" w:themeColor="text1"/>
                <w:sz w:val="20"/>
                <w:szCs w:val="20"/>
              </w:rPr>
            </w:pPr>
          </w:p>
        </w:tc>
        <w:tc>
          <w:tcPr>
            <w:tcW w:w="2160" w:type="dxa"/>
            <w:tcBorders>
              <w:top w:val="nil"/>
              <w:bottom w:val="nil"/>
            </w:tcBorders>
          </w:tcPr>
          <w:p w14:paraId="0E737584" w14:textId="35BE1AAE"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0.4 g/kg BW/d</w:t>
            </w:r>
          </w:p>
          <w:p w14:paraId="5EC41333" w14:textId="77777777" w:rsidR="00FC4688" w:rsidRPr="00BC377C" w:rsidRDefault="00FC4688" w:rsidP="00FC4688">
            <w:pPr>
              <w:rPr>
                <w:rFonts w:ascii="Times New Roman" w:hAnsi="Times New Roman" w:cs="Times New Roman"/>
                <w:bCs/>
                <w:color w:val="000000" w:themeColor="text1"/>
                <w:sz w:val="20"/>
                <w:szCs w:val="20"/>
              </w:rPr>
            </w:pPr>
          </w:p>
        </w:tc>
        <w:tc>
          <w:tcPr>
            <w:tcW w:w="4004" w:type="dxa"/>
            <w:tcBorders>
              <w:top w:val="nil"/>
              <w:bottom w:val="nil"/>
            </w:tcBorders>
          </w:tcPr>
          <w:p w14:paraId="232184FD" w14:textId="7D6AD244"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For 3</w:t>
            </w:r>
            <w:r w:rsidR="00B41586">
              <w:rPr>
                <w:rFonts w:ascii="Times New Roman" w:hAnsi="Times New Roman" w:cs="Times New Roman"/>
                <w:bCs/>
                <w:color w:val="000000" w:themeColor="text1"/>
                <w:sz w:val="20"/>
                <w:szCs w:val="20"/>
              </w:rPr>
              <w:t xml:space="preserve"> - </w:t>
            </w:r>
            <w:r w:rsidRPr="00BC377C">
              <w:rPr>
                <w:rFonts w:ascii="Times New Roman" w:hAnsi="Times New Roman" w:cs="Times New Roman"/>
                <w:bCs/>
                <w:color w:val="000000" w:themeColor="text1"/>
                <w:sz w:val="20"/>
                <w:szCs w:val="20"/>
              </w:rPr>
              <w:t>7 days</w:t>
            </w:r>
          </w:p>
        </w:tc>
      </w:tr>
      <w:tr w:rsidR="00FC4688" w14:paraId="6478EC7F" w14:textId="77777777" w:rsidTr="00A41AB6">
        <w:tc>
          <w:tcPr>
            <w:tcW w:w="3078" w:type="dxa"/>
            <w:tcBorders>
              <w:top w:val="nil"/>
              <w:bottom w:val="nil"/>
            </w:tcBorders>
          </w:tcPr>
          <w:p w14:paraId="12E69CE6" w14:textId="06117F08" w:rsidR="00FC4688" w:rsidRPr="00BC377C" w:rsidRDefault="00FC4688" w:rsidP="00F73EBA">
            <w:pPr>
              <w:pStyle w:val="ListParagraph"/>
              <w:numPr>
                <w:ilvl w:val="0"/>
                <w:numId w:val="5"/>
              </w:numPr>
              <w:ind w:left="180" w:hanging="180"/>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Kawasaki disease </w:t>
            </w:r>
          </w:p>
          <w:p w14:paraId="5867A046" w14:textId="77777777" w:rsidR="00FC4688" w:rsidRDefault="00FC4688" w:rsidP="00484028">
            <w:pPr>
              <w:ind w:left="180" w:hanging="180"/>
              <w:rPr>
                <w:rFonts w:ascii="Times New Roman" w:hAnsi="Times New Roman" w:cs="Times New Roman"/>
                <w:bCs/>
                <w:color w:val="000000" w:themeColor="text1"/>
                <w:sz w:val="20"/>
                <w:szCs w:val="20"/>
              </w:rPr>
            </w:pPr>
          </w:p>
          <w:p w14:paraId="36B8A40E" w14:textId="77777777" w:rsidR="00416666" w:rsidRDefault="00416666" w:rsidP="00484028">
            <w:pPr>
              <w:ind w:left="180" w:hanging="180"/>
              <w:rPr>
                <w:rFonts w:ascii="Times New Roman" w:hAnsi="Times New Roman" w:cs="Times New Roman"/>
                <w:bCs/>
                <w:color w:val="000000" w:themeColor="text1"/>
                <w:sz w:val="20"/>
                <w:szCs w:val="20"/>
              </w:rPr>
            </w:pPr>
          </w:p>
          <w:p w14:paraId="49B139A0" w14:textId="77777777" w:rsidR="00416666" w:rsidRDefault="00416666" w:rsidP="00484028">
            <w:pPr>
              <w:ind w:left="180" w:hanging="180"/>
              <w:rPr>
                <w:rFonts w:ascii="Times New Roman" w:hAnsi="Times New Roman" w:cs="Times New Roman"/>
                <w:bCs/>
                <w:color w:val="000000" w:themeColor="text1"/>
                <w:sz w:val="20"/>
                <w:szCs w:val="20"/>
              </w:rPr>
            </w:pPr>
          </w:p>
          <w:p w14:paraId="29F113F7" w14:textId="77777777" w:rsidR="00416666" w:rsidRDefault="00416666" w:rsidP="00484028">
            <w:pPr>
              <w:ind w:left="180" w:hanging="180"/>
              <w:rPr>
                <w:rFonts w:ascii="Times New Roman" w:hAnsi="Times New Roman" w:cs="Times New Roman"/>
                <w:bCs/>
                <w:color w:val="000000" w:themeColor="text1"/>
                <w:sz w:val="20"/>
                <w:szCs w:val="20"/>
              </w:rPr>
            </w:pPr>
          </w:p>
          <w:p w14:paraId="7474BF39" w14:textId="77777777" w:rsidR="00416666" w:rsidRDefault="00416666" w:rsidP="00484028">
            <w:pPr>
              <w:ind w:left="180" w:hanging="180"/>
              <w:rPr>
                <w:rFonts w:ascii="Times New Roman" w:hAnsi="Times New Roman" w:cs="Times New Roman"/>
                <w:bCs/>
                <w:color w:val="000000" w:themeColor="text1"/>
                <w:sz w:val="20"/>
                <w:szCs w:val="20"/>
              </w:rPr>
            </w:pPr>
          </w:p>
          <w:p w14:paraId="6DFFA481" w14:textId="77777777" w:rsidR="00416666" w:rsidRDefault="00416666" w:rsidP="00484028">
            <w:pPr>
              <w:ind w:left="180" w:hanging="18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Chronic inflammatory demyelinating polyradiculoneuropathy (CIDP)*</w:t>
            </w:r>
          </w:p>
          <w:p w14:paraId="062E1F8D" w14:textId="28D0D171" w:rsidR="00416666" w:rsidRPr="00BC377C" w:rsidRDefault="00416666" w:rsidP="00484028">
            <w:pPr>
              <w:ind w:left="180" w:hanging="18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w:t>
            </w:r>
          </w:p>
        </w:tc>
        <w:tc>
          <w:tcPr>
            <w:tcW w:w="2160" w:type="dxa"/>
            <w:tcBorders>
              <w:top w:val="nil"/>
              <w:bottom w:val="nil"/>
            </w:tcBorders>
          </w:tcPr>
          <w:p w14:paraId="07F668FA" w14:textId="0EAB1EDF" w:rsidR="00FC4688" w:rsidRPr="00BC377C" w:rsidRDefault="007E1B30"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w:t>
            </w:r>
            <w:r w:rsidR="00FC4688" w:rsidRPr="00BC377C">
              <w:rPr>
                <w:rFonts w:ascii="Times New Roman" w:hAnsi="Times New Roman" w:cs="Times New Roman"/>
                <w:bCs/>
                <w:color w:val="000000" w:themeColor="text1"/>
                <w:sz w:val="20"/>
                <w:szCs w:val="20"/>
              </w:rPr>
              <w:t>1.6 – 2 g/kg BW</w:t>
            </w:r>
          </w:p>
          <w:p w14:paraId="557AEF0E" w14:textId="77777777" w:rsidR="00A41AB6" w:rsidRPr="00BC377C" w:rsidRDefault="00A41AB6" w:rsidP="00FC4688">
            <w:pPr>
              <w:rPr>
                <w:rFonts w:ascii="Times New Roman" w:hAnsi="Times New Roman" w:cs="Times New Roman"/>
                <w:bCs/>
                <w:color w:val="000000" w:themeColor="text1"/>
                <w:sz w:val="20"/>
                <w:szCs w:val="20"/>
              </w:rPr>
            </w:pPr>
          </w:p>
          <w:p w14:paraId="6BF9E4C7" w14:textId="436C20B2"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Or</w:t>
            </w:r>
            <w:r w:rsidR="00A41AB6" w:rsidRPr="00BC377C">
              <w:rPr>
                <w:rFonts w:ascii="Times New Roman" w:hAnsi="Times New Roman" w:cs="Times New Roman"/>
                <w:bCs/>
                <w:color w:val="000000" w:themeColor="text1"/>
                <w:sz w:val="20"/>
                <w:szCs w:val="20"/>
              </w:rPr>
              <w:t>:</w:t>
            </w:r>
          </w:p>
          <w:p w14:paraId="37E8F671" w14:textId="77777777" w:rsidR="00FC4688"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2 g/kg BW</w:t>
            </w:r>
          </w:p>
          <w:p w14:paraId="4E68A84D" w14:textId="77777777" w:rsidR="00416666" w:rsidRDefault="00416666" w:rsidP="00FC4688">
            <w:pPr>
              <w:rPr>
                <w:rFonts w:ascii="Times New Roman" w:hAnsi="Times New Roman" w:cs="Times New Roman"/>
                <w:bCs/>
                <w:color w:val="000000" w:themeColor="text1"/>
                <w:sz w:val="20"/>
                <w:szCs w:val="20"/>
              </w:rPr>
            </w:pPr>
          </w:p>
          <w:p w14:paraId="3EDF515F" w14:textId="77777777" w:rsidR="00416666" w:rsidRDefault="00416666" w:rsidP="00FC4688">
            <w:pPr>
              <w:rPr>
                <w:rFonts w:ascii="Times New Roman" w:hAnsi="Times New Roman" w:cs="Times New Roman"/>
                <w:bCs/>
                <w:color w:val="000000" w:themeColor="text1"/>
                <w:sz w:val="20"/>
                <w:szCs w:val="20"/>
              </w:rPr>
            </w:pPr>
          </w:p>
          <w:p w14:paraId="1FA4A533" w14:textId="77777777" w:rsidR="00416666" w:rsidRDefault="00416666" w:rsidP="00FC468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Starting dose:</w:t>
            </w:r>
          </w:p>
          <w:p w14:paraId="6082DF9E" w14:textId="77777777" w:rsidR="00416666" w:rsidRDefault="00416666" w:rsidP="00FC468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2 g/kg</w:t>
            </w:r>
          </w:p>
          <w:p w14:paraId="29AF38FF" w14:textId="77777777" w:rsidR="00416666" w:rsidRDefault="00416666" w:rsidP="00FC4688">
            <w:pPr>
              <w:rPr>
                <w:rFonts w:ascii="Times New Roman" w:hAnsi="Times New Roman" w:cs="Times New Roman"/>
                <w:bCs/>
                <w:color w:val="000000" w:themeColor="text1"/>
                <w:sz w:val="20"/>
                <w:szCs w:val="20"/>
              </w:rPr>
            </w:pPr>
          </w:p>
          <w:p w14:paraId="5D18D32F" w14:textId="77777777" w:rsidR="00416666" w:rsidRDefault="00416666" w:rsidP="00FC468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Maintenance dose:</w:t>
            </w:r>
          </w:p>
          <w:p w14:paraId="71765647" w14:textId="77777777" w:rsidR="00416666" w:rsidRDefault="00416666" w:rsidP="00FC468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   1 g/kg</w:t>
            </w:r>
          </w:p>
          <w:p w14:paraId="327D1B12" w14:textId="12E4E01C" w:rsidR="00416666" w:rsidRPr="00BC377C" w:rsidRDefault="00416666" w:rsidP="00FC4688">
            <w:pPr>
              <w:rPr>
                <w:rFonts w:ascii="Times New Roman" w:hAnsi="Times New Roman" w:cs="Times New Roman"/>
                <w:bCs/>
                <w:color w:val="000000" w:themeColor="text1"/>
                <w:sz w:val="20"/>
                <w:szCs w:val="20"/>
              </w:rPr>
            </w:pPr>
          </w:p>
        </w:tc>
        <w:tc>
          <w:tcPr>
            <w:tcW w:w="4004" w:type="dxa"/>
            <w:tcBorders>
              <w:top w:val="nil"/>
              <w:bottom w:val="nil"/>
            </w:tcBorders>
          </w:tcPr>
          <w:p w14:paraId="028EBDB1" w14:textId="460A3598" w:rsidR="00FC4688" w:rsidRPr="00BC377C"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In several doses in association with acetylsalicylic acid.</w:t>
            </w:r>
          </w:p>
          <w:p w14:paraId="10B6F252" w14:textId="77777777" w:rsidR="00A41AB6" w:rsidRPr="00BC377C" w:rsidRDefault="00A41AB6" w:rsidP="00FC4688">
            <w:pPr>
              <w:rPr>
                <w:rFonts w:ascii="Times New Roman" w:hAnsi="Times New Roman" w:cs="Times New Roman"/>
                <w:bCs/>
                <w:color w:val="000000" w:themeColor="text1"/>
                <w:sz w:val="20"/>
                <w:szCs w:val="20"/>
              </w:rPr>
            </w:pPr>
          </w:p>
          <w:p w14:paraId="390FE746" w14:textId="7E532276" w:rsidR="00FC4688" w:rsidRDefault="00FC4688" w:rsidP="00FC468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In one dose in association with acetylsalicylic acid</w:t>
            </w:r>
          </w:p>
          <w:p w14:paraId="565DF5F6" w14:textId="6DB1CA30" w:rsidR="00416666" w:rsidRDefault="00416666" w:rsidP="00FC4688">
            <w:pPr>
              <w:rPr>
                <w:rFonts w:ascii="Times New Roman" w:hAnsi="Times New Roman" w:cs="Times New Roman"/>
                <w:bCs/>
                <w:color w:val="000000" w:themeColor="text1"/>
                <w:sz w:val="20"/>
                <w:szCs w:val="20"/>
              </w:rPr>
            </w:pPr>
          </w:p>
          <w:p w14:paraId="58A67BE3" w14:textId="2380BCF3" w:rsidR="00416666" w:rsidRDefault="00416666" w:rsidP="00FC468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In divided doses over 2 – 5 days</w:t>
            </w:r>
          </w:p>
          <w:p w14:paraId="1CDD8255" w14:textId="78DDB85D" w:rsidR="00416666" w:rsidRDefault="00416666" w:rsidP="00FC4688">
            <w:pPr>
              <w:rPr>
                <w:rFonts w:ascii="Times New Roman" w:hAnsi="Times New Roman" w:cs="Times New Roman"/>
                <w:bCs/>
                <w:color w:val="000000" w:themeColor="text1"/>
                <w:sz w:val="20"/>
                <w:szCs w:val="20"/>
              </w:rPr>
            </w:pPr>
          </w:p>
          <w:p w14:paraId="6CF6BE8B" w14:textId="50F8D6F4" w:rsidR="00416666" w:rsidRDefault="00416666" w:rsidP="00FC4688">
            <w:pPr>
              <w:rPr>
                <w:rFonts w:ascii="Times New Roman" w:hAnsi="Times New Roman" w:cs="Times New Roman"/>
                <w:bCs/>
                <w:color w:val="000000" w:themeColor="text1"/>
                <w:sz w:val="20"/>
                <w:szCs w:val="20"/>
              </w:rPr>
            </w:pPr>
          </w:p>
          <w:p w14:paraId="755B1D3D" w14:textId="5B5A9973" w:rsidR="00416666" w:rsidRPr="00BC377C" w:rsidRDefault="00416666" w:rsidP="00FC468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Over 1 – 2 consecutive days over 3 weeks</w:t>
            </w:r>
          </w:p>
          <w:p w14:paraId="048459E2" w14:textId="77777777" w:rsidR="00FC4688" w:rsidRPr="00BC377C" w:rsidRDefault="00FC4688" w:rsidP="00FC4688">
            <w:pPr>
              <w:rPr>
                <w:rFonts w:ascii="Times New Roman" w:hAnsi="Times New Roman" w:cs="Times New Roman"/>
                <w:bCs/>
                <w:color w:val="000000" w:themeColor="text1"/>
                <w:sz w:val="20"/>
                <w:szCs w:val="20"/>
              </w:rPr>
            </w:pPr>
          </w:p>
        </w:tc>
      </w:tr>
      <w:tr w:rsidR="00FC4688" w14:paraId="122570AD" w14:textId="77777777" w:rsidTr="00A41AB6">
        <w:tc>
          <w:tcPr>
            <w:tcW w:w="3078" w:type="dxa"/>
            <w:tcBorders>
              <w:top w:val="nil"/>
              <w:bottom w:val="nil"/>
            </w:tcBorders>
          </w:tcPr>
          <w:p w14:paraId="53F08FC0" w14:textId="37E2F0E6" w:rsidR="00FC4688" w:rsidRPr="00BC377C" w:rsidRDefault="00FC4688" w:rsidP="00F73EBA">
            <w:pPr>
              <w:pStyle w:val="ListParagraph"/>
              <w:numPr>
                <w:ilvl w:val="0"/>
                <w:numId w:val="5"/>
              </w:numPr>
              <w:ind w:left="180" w:hanging="180"/>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Multifocal Motor Neuropathy (MMN)</w:t>
            </w:r>
          </w:p>
        </w:tc>
        <w:tc>
          <w:tcPr>
            <w:tcW w:w="2160" w:type="dxa"/>
            <w:tcBorders>
              <w:top w:val="nil"/>
              <w:bottom w:val="nil"/>
            </w:tcBorders>
          </w:tcPr>
          <w:p w14:paraId="09927771" w14:textId="262F211C" w:rsidR="00FC4688" w:rsidRPr="00BC377C" w:rsidRDefault="00FC4688" w:rsidP="00180365">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Starting dose</w:t>
            </w:r>
            <w:r w:rsidR="00A41AB6" w:rsidRPr="00BC377C">
              <w:rPr>
                <w:rFonts w:ascii="Times New Roman" w:hAnsi="Times New Roman" w:cs="Times New Roman"/>
                <w:bCs/>
                <w:color w:val="000000" w:themeColor="text1"/>
                <w:sz w:val="20"/>
                <w:szCs w:val="20"/>
              </w:rPr>
              <w:t>:</w:t>
            </w:r>
          </w:p>
          <w:p w14:paraId="4EC7A180" w14:textId="5BB83D08" w:rsidR="00FC4688" w:rsidRPr="00BC377C" w:rsidRDefault="00FC4688" w:rsidP="00A41AB6">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 xml:space="preserve">    2 g/kg</w:t>
            </w:r>
          </w:p>
        </w:tc>
        <w:tc>
          <w:tcPr>
            <w:tcW w:w="4004" w:type="dxa"/>
            <w:tcBorders>
              <w:top w:val="nil"/>
              <w:bottom w:val="nil"/>
            </w:tcBorders>
          </w:tcPr>
          <w:p w14:paraId="12B60456" w14:textId="0E268FDF" w:rsidR="00FC4688" w:rsidRPr="00BC377C" w:rsidRDefault="00FC4688" w:rsidP="00180365">
            <w:pPr>
              <w:autoSpaceDE w:val="0"/>
              <w:autoSpaceDN w:val="0"/>
              <w:adjustRightInd w:val="0"/>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In divided doses over 2 - 5 days</w:t>
            </w:r>
          </w:p>
          <w:p w14:paraId="5B8B82CA" w14:textId="77777777" w:rsidR="00FC4688" w:rsidRPr="00BC377C" w:rsidRDefault="00FC4688" w:rsidP="00FC4688">
            <w:pPr>
              <w:rPr>
                <w:rFonts w:ascii="Times New Roman" w:hAnsi="Times New Roman" w:cs="Times New Roman"/>
                <w:bCs/>
                <w:color w:val="000000" w:themeColor="text1"/>
                <w:sz w:val="20"/>
                <w:szCs w:val="20"/>
              </w:rPr>
            </w:pPr>
          </w:p>
        </w:tc>
      </w:tr>
      <w:tr w:rsidR="00FC4688" w14:paraId="61338303" w14:textId="77777777" w:rsidTr="00A41AB6">
        <w:tc>
          <w:tcPr>
            <w:tcW w:w="3078" w:type="dxa"/>
            <w:tcBorders>
              <w:top w:val="nil"/>
              <w:bottom w:val="single" w:sz="4" w:space="0" w:color="auto"/>
            </w:tcBorders>
          </w:tcPr>
          <w:p w14:paraId="2DFF67BB" w14:textId="77777777" w:rsidR="00FC4688" w:rsidRPr="00BC377C" w:rsidRDefault="00FC4688" w:rsidP="00484028">
            <w:pPr>
              <w:ind w:left="180" w:hanging="180"/>
              <w:rPr>
                <w:rFonts w:ascii="Times New Roman" w:hAnsi="Times New Roman" w:cs="Times New Roman"/>
                <w:bCs/>
                <w:color w:val="000000" w:themeColor="text1"/>
                <w:sz w:val="20"/>
                <w:szCs w:val="20"/>
              </w:rPr>
            </w:pPr>
          </w:p>
        </w:tc>
        <w:tc>
          <w:tcPr>
            <w:tcW w:w="2160" w:type="dxa"/>
            <w:tcBorders>
              <w:top w:val="nil"/>
              <w:bottom w:val="single" w:sz="4" w:space="0" w:color="auto"/>
            </w:tcBorders>
          </w:tcPr>
          <w:p w14:paraId="45358E5C" w14:textId="7915FDD8" w:rsidR="00FC4688" w:rsidRPr="00BC377C" w:rsidRDefault="00FC4688" w:rsidP="00180365">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Maintenance dose</w:t>
            </w:r>
            <w:r w:rsidR="00A41AB6" w:rsidRPr="00BC377C">
              <w:rPr>
                <w:rFonts w:ascii="Times New Roman" w:hAnsi="Times New Roman" w:cs="Times New Roman"/>
                <w:bCs/>
                <w:color w:val="000000" w:themeColor="text1"/>
                <w:sz w:val="20"/>
                <w:szCs w:val="20"/>
              </w:rPr>
              <w:t>:</w:t>
            </w:r>
          </w:p>
          <w:p w14:paraId="3A3B387E" w14:textId="1CA1143C" w:rsidR="00FC4688" w:rsidRPr="00BC377C" w:rsidRDefault="00FC4688" w:rsidP="00484028">
            <w:pPr>
              <w:pStyle w:val="EndnoteText"/>
              <w:rPr>
                <w:rFonts w:eastAsiaTheme="minorHAnsi"/>
                <w:bCs/>
                <w:color w:val="000000" w:themeColor="text1"/>
                <w:sz w:val="20"/>
                <w:lang w:val="en-AU"/>
              </w:rPr>
            </w:pPr>
            <w:r w:rsidRPr="00BC377C">
              <w:rPr>
                <w:bCs/>
                <w:color w:val="000000" w:themeColor="text1"/>
                <w:sz w:val="20"/>
              </w:rPr>
              <w:t xml:space="preserve">    0.4 - 2 g/kg</w:t>
            </w:r>
          </w:p>
        </w:tc>
        <w:tc>
          <w:tcPr>
            <w:tcW w:w="4004" w:type="dxa"/>
            <w:tcBorders>
              <w:top w:val="nil"/>
              <w:bottom w:val="single" w:sz="4" w:space="0" w:color="auto"/>
            </w:tcBorders>
          </w:tcPr>
          <w:p w14:paraId="0CF2FF29" w14:textId="787A80C6" w:rsidR="00FC4688" w:rsidRPr="00BC377C" w:rsidRDefault="007E1B30" w:rsidP="00484028">
            <w:pPr>
              <w:rPr>
                <w:rFonts w:ascii="Times New Roman" w:hAnsi="Times New Roman" w:cs="Times New Roman"/>
                <w:bCs/>
                <w:color w:val="000000" w:themeColor="text1"/>
                <w:sz w:val="20"/>
                <w:szCs w:val="20"/>
              </w:rPr>
            </w:pPr>
            <w:r w:rsidRPr="00BC377C">
              <w:rPr>
                <w:rFonts w:ascii="Times New Roman" w:hAnsi="Times New Roman" w:cs="Times New Roman"/>
                <w:bCs/>
                <w:color w:val="000000" w:themeColor="text1"/>
                <w:sz w:val="20"/>
                <w:szCs w:val="20"/>
              </w:rPr>
              <w:t>E</w:t>
            </w:r>
            <w:r w:rsidR="00FC4688" w:rsidRPr="00BC377C">
              <w:rPr>
                <w:rFonts w:ascii="Times New Roman" w:hAnsi="Times New Roman" w:cs="Times New Roman"/>
                <w:bCs/>
                <w:color w:val="000000" w:themeColor="text1"/>
                <w:sz w:val="20"/>
                <w:szCs w:val="20"/>
              </w:rPr>
              <w:t>very 2 - 6 weeks</w:t>
            </w:r>
          </w:p>
        </w:tc>
      </w:tr>
    </w:tbl>
    <w:p w14:paraId="04643847" w14:textId="29F1BB61" w:rsidR="00BF4A6A" w:rsidRDefault="00BF4A6A" w:rsidP="00A41AB6">
      <w:pPr>
        <w:spacing w:after="0" w:line="240" w:lineRule="auto"/>
        <w:rPr>
          <w:rFonts w:ascii="Times New Roman" w:hAnsi="Times New Roman" w:cs="Times New Roman"/>
          <w:color w:val="000000" w:themeColor="text1"/>
          <w:sz w:val="24"/>
          <w:szCs w:val="24"/>
        </w:rPr>
      </w:pPr>
    </w:p>
    <w:p w14:paraId="39AE4F9B" w14:textId="7891FFC9" w:rsidR="00416666" w:rsidRDefault="00416666" w:rsidP="00A41AB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the treatment effect should be evaluated after each cycle; if no treatment effect is seen after 6 months, the treatment should be discontinued.</w:t>
      </w:r>
    </w:p>
    <w:p w14:paraId="140EAC0C" w14:textId="11EAFCBD" w:rsidR="00416666" w:rsidRDefault="00416666" w:rsidP="00A41AB6">
      <w:pPr>
        <w:spacing w:after="0" w:line="240" w:lineRule="auto"/>
        <w:rPr>
          <w:rFonts w:ascii="Times New Roman" w:hAnsi="Times New Roman" w:cs="Times New Roman"/>
          <w:color w:val="000000" w:themeColor="text1"/>
          <w:sz w:val="24"/>
          <w:szCs w:val="24"/>
        </w:rPr>
      </w:pPr>
    </w:p>
    <w:p w14:paraId="7EEE90DC" w14:textId="6C10B5A2" w:rsidR="00416666" w:rsidRPr="00BC377C" w:rsidRDefault="00416666" w:rsidP="00A41AB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the treatment is effective, long-term treatment should be subject to the physician’s discretion based upon the patient response and maintenance response. The dosing and intervals may have to be adapted according to the individual course of the disease.</w:t>
      </w:r>
    </w:p>
    <w:p w14:paraId="334F5E27" w14:textId="77777777" w:rsidR="00416666" w:rsidRDefault="00416666" w:rsidP="00A41AB6">
      <w:pPr>
        <w:spacing w:after="0" w:line="240" w:lineRule="auto"/>
        <w:rPr>
          <w:rFonts w:ascii="Times New Roman" w:hAnsi="Times New Roman" w:cs="Times New Roman"/>
          <w:color w:val="000000" w:themeColor="text1"/>
          <w:sz w:val="24"/>
          <w:szCs w:val="24"/>
        </w:rPr>
      </w:pPr>
    </w:p>
    <w:p w14:paraId="13CF9BDE" w14:textId="06DBD769" w:rsidR="00BF4A6A" w:rsidRPr="00BC377C" w:rsidRDefault="00BF4A6A" w:rsidP="00A41AB6">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As there are significant differences in the half-l</w:t>
      </w:r>
      <w:r w:rsidR="00B43080">
        <w:rPr>
          <w:rFonts w:ascii="Times New Roman" w:hAnsi="Times New Roman" w:cs="Times New Roman"/>
          <w:color w:val="000000" w:themeColor="text1"/>
          <w:sz w:val="24"/>
          <w:szCs w:val="24"/>
        </w:rPr>
        <w:t xml:space="preserve">ife of IgG among patients with </w:t>
      </w:r>
      <w:r w:rsidRPr="00BC377C">
        <w:rPr>
          <w:rFonts w:ascii="Times New Roman" w:hAnsi="Times New Roman" w:cs="Times New Roman"/>
          <w:color w:val="000000" w:themeColor="text1"/>
          <w:sz w:val="24"/>
          <w:szCs w:val="24"/>
        </w:rPr>
        <w:t>PID, the frequency and amount of immunoglobulin therapy may vary from patient to patient. The proper amount can be determined by monitoring clinical response. The minimum serum concentration of IgG necessary for protection varies among patients and has not been established by controlled clinical studies.</w:t>
      </w:r>
    </w:p>
    <w:p w14:paraId="1E9B3D3C" w14:textId="77777777" w:rsidR="00BF4A6A" w:rsidRPr="00BC377C" w:rsidRDefault="00BF4A6A" w:rsidP="00A41AB6">
      <w:pPr>
        <w:spacing w:after="0" w:line="240" w:lineRule="auto"/>
        <w:rPr>
          <w:rFonts w:ascii="Times New Roman" w:hAnsi="Times New Roman" w:cs="Times New Roman"/>
          <w:color w:val="000000" w:themeColor="text1"/>
          <w:sz w:val="24"/>
          <w:szCs w:val="24"/>
        </w:rPr>
      </w:pPr>
    </w:p>
    <w:p w14:paraId="4FD6A8D2" w14:textId="77777777" w:rsidR="00715CED" w:rsidRDefault="00BC377C" w:rsidP="00503302">
      <w:pPr>
        <w:pStyle w:val="Heading3"/>
        <w:pageBreakBefore/>
        <w:spacing w:before="0" w:line="240" w:lineRule="auto"/>
        <w:ind w:left="0"/>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lastRenderedPageBreak/>
        <w:t>Dose a</w:t>
      </w:r>
      <w:r w:rsidR="00BF4A6A" w:rsidRPr="00BC377C">
        <w:rPr>
          <w:rFonts w:ascii="Times New Roman" w:hAnsi="Times New Roman" w:cs="Times New Roman"/>
          <w:color w:val="000000" w:themeColor="text1"/>
          <w:sz w:val="24"/>
          <w:szCs w:val="24"/>
        </w:rPr>
        <w:t>djustments for IV administration in MMN</w:t>
      </w:r>
    </w:p>
    <w:p w14:paraId="4488F95E" w14:textId="79174F7D" w:rsidR="00BF4A6A" w:rsidRPr="00BC377C" w:rsidRDefault="00BF4A6A" w:rsidP="00BC377C">
      <w:pPr>
        <w:pStyle w:val="Heading3"/>
        <w:spacing w:before="0" w:line="240" w:lineRule="auto"/>
        <w:ind w:left="0"/>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 </w:t>
      </w:r>
    </w:p>
    <w:p w14:paraId="55D36B6E" w14:textId="4F41383C" w:rsidR="00BF4A6A" w:rsidRPr="00BC377C" w:rsidRDefault="00C35099" w:rsidP="00BC377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Intravenous immunoglobulin </w:t>
      </w:r>
      <w:r w:rsidR="00576BC2">
        <w:rPr>
          <w:rFonts w:ascii="Times New Roman" w:hAnsi="Times New Roman" w:cs="Times New Roman"/>
          <w:color w:val="000000" w:themeColor="text1"/>
          <w:sz w:val="24"/>
          <w:szCs w:val="24"/>
        </w:rPr>
        <w:t>(</w:t>
      </w:r>
      <w:r w:rsidR="00BF4A6A" w:rsidRPr="00BC377C">
        <w:rPr>
          <w:rFonts w:ascii="Times New Roman" w:hAnsi="Times New Roman" w:cs="Times New Roman"/>
          <w:color w:val="000000" w:themeColor="text1"/>
          <w:sz w:val="24"/>
          <w:szCs w:val="24"/>
        </w:rPr>
        <w:t>IVIG</w:t>
      </w:r>
      <w:r w:rsidR="00576BC2">
        <w:rPr>
          <w:rFonts w:ascii="Times New Roman" w:hAnsi="Times New Roman" w:cs="Times New Roman"/>
          <w:color w:val="000000" w:themeColor="text1"/>
          <w:sz w:val="24"/>
          <w:szCs w:val="24"/>
        </w:rPr>
        <w:t>)</w:t>
      </w:r>
      <w:r w:rsidR="00BF4A6A" w:rsidRPr="00BC377C">
        <w:rPr>
          <w:rFonts w:ascii="Times New Roman" w:hAnsi="Times New Roman" w:cs="Times New Roman"/>
          <w:color w:val="000000" w:themeColor="text1"/>
          <w:sz w:val="24"/>
          <w:szCs w:val="24"/>
        </w:rPr>
        <w:t xml:space="preserve"> should be used for three to six months (three to six courses) before determining whether the patient has responded. Most individuals will respond within three months unless there is significant axonal degeneration whereby a six-month course will be necessary. If there is no benefit after three to six courses, IVIG therapy should be abandoned.</w:t>
      </w:r>
    </w:p>
    <w:p w14:paraId="2ACD4476"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1FC8331E" w14:textId="7777777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Regular review by neurologist is required: frequency as determined by clinical status of patient. For stable patients on maintenance treatment, review by a neurologist is required at least annually. The aim should be to use the lowest dose possible that achieves the appropriate clinical outcome for each patient.</w:t>
      </w:r>
    </w:p>
    <w:p w14:paraId="5E5DCDFA" w14:textId="77777777" w:rsidR="00BF4A6A" w:rsidRPr="00BC377C" w:rsidRDefault="00BF4A6A" w:rsidP="00BC377C">
      <w:pPr>
        <w:spacing w:after="0" w:line="240" w:lineRule="auto"/>
        <w:rPr>
          <w:rFonts w:ascii="Times New Roman" w:hAnsi="Times New Roman" w:cs="Times New Roman"/>
          <w:color w:val="000000" w:themeColor="text1"/>
        </w:rPr>
      </w:pPr>
    </w:p>
    <w:p w14:paraId="4FB3E5FB" w14:textId="0CFB5C1E" w:rsidR="00BF4A6A" w:rsidRDefault="00BC377C" w:rsidP="00715CED">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Rate of a</w:t>
      </w:r>
      <w:r w:rsidR="00BF4A6A" w:rsidRPr="00BC377C">
        <w:rPr>
          <w:rFonts w:ascii="Times New Roman" w:hAnsi="Times New Roman" w:cs="Times New Roman"/>
          <w:color w:val="000000" w:themeColor="text1"/>
          <w:sz w:val="24"/>
          <w:szCs w:val="24"/>
        </w:rPr>
        <w:t xml:space="preserve">dministration </w:t>
      </w:r>
    </w:p>
    <w:p w14:paraId="6667784E" w14:textId="77777777" w:rsidR="00715CED" w:rsidRPr="00715CED" w:rsidRDefault="00715CED" w:rsidP="00715CED">
      <w:pPr>
        <w:spacing w:after="0" w:line="240" w:lineRule="auto"/>
      </w:pPr>
    </w:p>
    <w:p w14:paraId="3BEF023D" w14:textId="6C3A3FF6"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It is recommended that KIOVIG be infused at an initial rate of 0.5 mL/kg/h. If the infusion at this rate and concentration does not cause the patient to have distress, the administration rate may be gradually increased.</w:t>
      </w:r>
    </w:p>
    <w:p w14:paraId="5B35A08C"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335CF227" w14:textId="5CD842E5"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During the first infusion of the Phase 3 clinical study, KIOVIG was infused at an initial rate of 0.5 mL/kg/h (0.8 mg/kg/min). The rate was gradually increased every 30 minutes to a rate of 5.0 mL/kg/h (8.9 mg/kg/min) if it was well tolerated. However, some patients completed the infusion before the maximum rate could be obtained. </w:t>
      </w:r>
    </w:p>
    <w:p w14:paraId="0FC28D19"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35ABC423" w14:textId="2D74BF81"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During subsequent infusions the initial rate and the rate of escalation were based on their previous infusion history; however, the maximum rate attained during the first infusion was used throughout the remainder of the study. A maximum tolerable infusion rate of up to 4 mL/kg/h was attained in majority (78.7%) of the patients, with a small proportion (19.7%) of patients achieving </w:t>
      </w:r>
      <w:r w:rsidRPr="00BC377C">
        <w:rPr>
          <w:rFonts w:ascii="Times New Roman" w:hAnsi="Times New Roman" w:cs="Times New Roman"/>
          <w:color w:val="000000" w:themeColor="text1"/>
          <w:sz w:val="24"/>
          <w:szCs w:val="24"/>
        </w:rPr>
        <w:sym w:font="Symbol" w:char="F03E"/>
      </w:r>
      <w:r w:rsidRPr="00BC377C">
        <w:rPr>
          <w:rFonts w:ascii="Times New Roman" w:hAnsi="Times New Roman" w:cs="Times New Roman"/>
          <w:color w:val="000000" w:themeColor="text1"/>
          <w:sz w:val="24"/>
          <w:szCs w:val="24"/>
        </w:rPr>
        <w:t xml:space="preserve"> 4 but </w:t>
      </w:r>
      <w:r w:rsidRPr="00BC377C">
        <w:rPr>
          <w:rFonts w:ascii="Times New Roman" w:hAnsi="Times New Roman" w:cs="Times New Roman"/>
          <w:color w:val="000000" w:themeColor="text1"/>
          <w:sz w:val="24"/>
          <w:szCs w:val="24"/>
        </w:rPr>
        <w:sym w:font="Symbol" w:char="F03C"/>
      </w:r>
      <w:r w:rsidRPr="00BC377C">
        <w:rPr>
          <w:rFonts w:ascii="Times New Roman" w:hAnsi="Times New Roman" w:cs="Times New Roman"/>
          <w:color w:val="000000" w:themeColor="text1"/>
          <w:sz w:val="24"/>
          <w:szCs w:val="24"/>
        </w:rPr>
        <w:t xml:space="preserve"> 6 mL/kg/h.</w:t>
      </w:r>
    </w:p>
    <w:p w14:paraId="19903434"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4C2F7F4A" w14:textId="72E38BC8"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In general, it is recommended that patients beginning treatment with IVIG or switching from one IVIG brand to KIOVIG be started at the lowest rate and then increased to the maximal rate if they have tolerated several infusions at intermediate rates of infusion. It is important to individualise rates for each patient.</w:t>
      </w:r>
    </w:p>
    <w:p w14:paraId="55330FE6"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22F5D87A" w14:textId="7777777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In patients at risk for acute renal failure or thromboembolic adverse reactions, KIOVIG should not be infused rapidly.</w:t>
      </w:r>
    </w:p>
    <w:p w14:paraId="4C7E85B4"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2CDC2BE0" w14:textId="781FB466"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Although there are no prospective studies demonstrating that any concentration or rate of infusion is completely safe, it is believed that risk is decreased at lower rates of infusion. Therefore, as a guideline, it is recommended that these patients who are judged to be at risk of renal dysfunction or thrombotic complications be gradually titrated up to a more conservative maximal rate of less than 3.3 mg IgG/kg/min (&lt;2mL/kg/h).</w:t>
      </w:r>
    </w:p>
    <w:p w14:paraId="158BEFEB"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347FBF0C" w14:textId="3EA529EA"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Certain adverse reactions such as headaches and flushing may be related to the rate of infusion. Slowing or stopping the infusion usually allows the symptoms to disappear promptly. The infusion may then be resumed at a rate that does not result in recurrence of the symptoms (see </w:t>
      </w:r>
      <w:r w:rsidR="00B714CF">
        <w:rPr>
          <w:rFonts w:ascii="Times New Roman" w:hAnsi="Times New Roman" w:cs="Times New Roman"/>
          <w:color w:val="000000" w:themeColor="text1"/>
          <w:sz w:val="24"/>
          <w:szCs w:val="24"/>
        </w:rPr>
        <w:t>Section 4.8 ADVERSE EFFECTS</w:t>
      </w:r>
      <w:r w:rsidR="00AB4584">
        <w:rPr>
          <w:rFonts w:ascii="Times New Roman" w:hAnsi="Times New Roman" w:cs="Times New Roman"/>
          <w:color w:val="000000" w:themeColor="text1"/>
          <w:sz w:val="24"/>
          <w:szCs w:val="24"/>
        </w:rPr>
        <w:t xml:space="preserve"> (UNDESIRABLE EFFECTS)</w:t>
      </w:r>
      <w:r w:rsidRPr="00BC377C">
        <w:rPr>
          <w:rFonts w:ascii="Times New Roman" w:hAnsi="Times New Roman" w:cs="Times New Roman"/>
          <w:color w:val="000000" w:themeColor="text1"/>
          <w:sz w:val="24"/>
          <w:szCs w:val="24"/>
        </w:rPr>
        <w:t xml:space="preserve">). </w:t>
      </w:r>
    </w:p>
    <w:p w14:paraId="23D0FD70"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23976F81" w14:textId="0BCC99F9"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lastRenderedPageBreak/>
        <w:t>Adverse reactions may occur more frequently in patients who receive human normal immunoglobulin for the first time, when they switch from another IVIG brand, or when there has been a long interval since the previous infusion (</w:t>
      </w:r>
      <w:r w:rsidR="00B714CF" w:rsidRPr="00BC377C">
        <w:rPr>
          <w:rFonts w:ascii="Times New Roman" w:hAnsi="Times New Roman" w:cs="Times New Roman"/>
          <w:color w:val="000000" w:themeColor="text1"/>
          <w:sz w:val="24"/>
          <w:szCs w:val="24"/>
        </w:rPr>
        <w:t xml:space="preserve">see </w:t>
      </w:r>
      <w:r w:rsidR="00B714CF">
        <w:rPr>
          <w:rFonts w:ascii="Times New Roman" w:hAnsi="Times New Roman" w:cs="Times New Roman"/>
          <w:color w:val="000000" w:themeColor="text1"/>
          <w:sz w:val="24"/>
          <w:szCs w:val="24"/>
        </w:rPr>
        <w:t>Section 4.8 ADVERSE EFFECTS</w:t>
      </w:r>
      <w:r w:rsidR="00AB4584">
        <w:rPr>
          <w:rFonts w:ascii="Times New Roman" w:hAnsi="Times New Roman" w:cs="Times New Roman"/>
          <w:color w:val="000000" w:themeColor="text1"/>
          <w:sz w:val="24"/>
          <w:szCs w:val="24"/>
        </w:rPr>
        <w:t xml:space="preserve"> (UNDESIRABLE EFFECTS)</w:t>
      </w:r>
      <w:r w:rsidRPr="00BC377C">
        <w:rPr>
          <w:rFonts w:ascii="Times New Roman" w:hAnsi="Times New Roman" w:cs="Times New Roman"/>
          <w:color w:val="000000" w:themeColor="text1"/>
          <w:sz w:val="24"/>
          <w:szCs w:val="24"/>
        </w:rPr>
        <w:t>).</w:t>
      </w:r>
    </w:p>
    <w:p w14:paraId="039D7C16"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4BAE11C3" w14:textId="7777777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Trough levels should be measured </w:t>
      </w:r>
      <w:proofErr w:type="gramStart"/>
      <w:r w:rsidRPr="00BC377C">
        <w:rPr>
          <w:rFonts w:ascii="Times New Roman" w:hAnsi="Times New Roman" w:cs="Times New Roman"/>
          <w:color w:val="000000" w:themeColor="text1"/>
          <w:sz w:val="24"/>
          <w:szCs w:val="24"/>
        </w:rPr>
        <w:t>in order to</w:t>
      </w:r>
      <w:proofErr w:type="gramEnd"/>
      <w:r w:rsidRPr="00BC377C">
        <w:rPr>
          <w:rFonts w:ascii="Times New Roman" w:hAnsi="Times New Roman" w:cs="Times New Roman"/>
          <w:color w:val="000000" w:themeColor="text1"/>
          <w:sz w:val="24"/>
          <w:szCs w:val="24"/>
        </w:rPr>
        <w:t xml:space="preserve"> adjust the dose and dose intervals in particular patients with primary immunodeficiency syndrome.</w:t>
      </w:r>
    </w:p>
    <w:p w14:paraId="6FEC4166"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5595E4E8" w14:textId="6F8B34EA"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KIOVIG is recommended for infusion at a concentration of 10%. If KIOVIG must be diluted, 5% glucose in water should be used as a diluent. Normal saline should not be used as a diluent though it may be used to flush intravenous lines. </w:t>
      </w:r>
    </w:p>
    <w:p w14:paraId="727B860C"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07D27E89" w14:textId="7777777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Dilution with 5% glucose solution may result in increased blood glucose levels. This should be </w:t>
      </w:r>
      <w:proofErr w:type="gramStart"/>
      <w:r w:rsidRPr="00BC377C">
        <w:rPr>
          <w:rFonts w:ascii="Times New Roman" w:hAnsi="Times New Roman" w:cs="Times New Roman"/>
          <w:color w:val="000000" w:themeColor="text1"/>
          <w:sz w:val="24"/>
          <w:szCs w:val="24"/>
        </w:rPr>
        <w:t>taken into account</w:t>
      </w:r>
      <w:proofErr w:type="gramEnd"/>
      <w:r w:rsidRPr="00BC377C">
        <w:rPr>
          <w:rFonts w:ascii="Times New Roman" w:hAnsi="Times New Roman" w:cs="Times New Roman"/>
          <w:color w:val="000000" w:themeColor="text1"/>
          <w:sz w:val="24"/>
          <w:szCs w:val="24"/>
        </w:rPr>
        <w:t xml:space="preserve"> in case of diabetic patients or patients on low sugar diet.</w:t>
      </w:r>
    </w:p>
    <w:p w14:paraId="1E749111" w14:textId="77777777" w:rsidR="00F6542E" w:rsidRDefault="00F6542E" w:rsidP="00715CED">
      <w:pPr>
        <w:pStyle w:val="Heading3"/>
        <w:spacing w:before="0" w:line="240" w:lineRule="auto"/>
        <w:ind w:left="0"/>
        <w:rPr>
          <w:rFonts w:ascii="Times New Roman" w:hAnsi="Times New Roman" w:cs="Times New Roman"/>
          <w:color w:val="000000" w:themeColor="text1"/>
          <w:sz w:val="24"/>
          <w:szCs w:val="24"/>
        </w:rPr>
      </w:pPr>
    </w:p>
    <w:p w14:paraId="74970423" w14:textId="374CF58A" w:rsidR="00BF4A6A" w:rsidRDefault="00BC377C" w:rsidP="00715CED">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s</w:t>
      </w:r>
      <w:r w:rsidR="00BF4A6A" w:rsidRPr="00BC377C">
        <w:rPr>
          <w:rFonts w:ascii="Times New Roman" w:hAnsi="Times New Roman" w:cs="Times New Roman"/>
          <w:color w:val="000000" w:themeColor="text1"/>
          <w:sz w:val="24"/>
          <w:szCs w:val="24"/>
        </w:rPr>
        <w:t xml:space="preserve">ubcutaneous (SC) </w:t>
      </w:r>
      <w:r>
        <w:rPr>
          <w:rFonts w:ascii="Times New Roman" w:hAnsi="Times New Roman" w:cs="Times New Roman"/>
          <w:color w:val="000000" w:themeColor="text1"/>
          <w:sz w:val="24"/>
          <w:szCs w:val="24"/>
        </w:rPr>
        <w:t>a</w:t>
      </w:r>
      <w:r w:rsidR="00BF4A6A" w:rsidRPr="00BC377C">
        <w:rPr>
          <w:rFonts w:ascii="Times New Roman" w:hAnsi="Times New Roman" w:cs="Times New Roman"/>
          <w:color w:val="000000" w:themeColor="text1"/>
          <w:sz w:val="24"/>
          <w:szCs w:val="24"/>
        </w:rPr>
        <w:t>dministration</w:t>
      </w:r>
      <w:bookmarkStart w:id="0" w:name="_Ref259710317"/>
    </w:p>
    <w:p w14:paraId="7197FD8D" w14:textId="77777777" w:rsidR="00715CED" w:rsidRPr="00715CED" w:rsidRDefault="00715CED" w:rsidP="00715CED">
      <w:pPr>
        <w:spacing w:after="0" w:line="240" w:lineRule="auto"/>
      </w:pPr>
    </w:p>
    <w:p w14:paraId="2BC6E4E5" w14:textId="7777777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If self-administration at home or other appropriate setting is planned, the healthcare professional should provide the patient or the carer with adequate training in terms of the correct technique of subcutaneous administration and the correct recognition and management in cases of acute adverse reactions.</w:t>
      </w:r>
    </w:p>
    <w:p w14:paraId="0847E63C"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49583262" w14:textId="7777777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For detailed instructions, please refer to the Instruction Leaflet for subcutaneous administration in the package insert.</w:t>
      </w:r>
    </w:p>
    <w:p w14:paraId="5791C858"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bookmarkEnd w:id="0"/>
    <w:p w14:paraId="0EBFC3A5" w14:textId="77777777" w:rsidR="00BF4A6A" w:rsidRPr="00BC377C" w:rsidRDefault="00BF4A6A" w:rsidP="00BC377C">
      <w:pPr>
        <w:spacing w:after="0" w:line="240" w:lineRule="auto"/>
        <w:rPr>
          <w:rFonts w:ascii="Times New Roman" w:hAnsi="Times New Roman" w:cs="Times New Roman"/>
          <w:color w:val="000000" w:themeColor="text1"/>
          <w:sz w:val="24"/>
          <w:szCs w:val="24"/>
          <w:u w:val="single"/>
        </w:rPr>
      </w:pPr>
      <w:r w:rsidRPr="00BC377C">
        <w:rPr>
          <w:rFonts w:ascii="Times New Roman" w:hAnsi="Times New Roman" w:cs="Times New Roman"/>
          <w:color w:val="000000" w:themeColor="text1"/>
          <w:sz w:val="24"/>
          <w:szCs w:val="24"/>
          <w:u w:val="single"/>
        </w:rPr>
        <w:t>Subcutaneous Dosage</w:t>
      </w:r>
    </w:p>
    <w:p w14:paraId="2A846D61" w14:textId="0755B04F"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 xml:space="preserve">Prior to switching from intravenous to subcutaneous treatment, obtain the patient’s serum IgG trough level to guide subsequent dose adjustments. Start the initial subcutaneous dose approximately one week after the last intravenous infusion in a patient who has been on stable intravenous therapy. Convert the intravenous dose into weekly equivalents and recheck </w:t>
      </w:r>
      <w:r w:rsidR="00C35099">
        <w:rPr>
          <w:rFonts w:ascii="Times New Roman" w:hAnsi="Times New Roman" w:cs="Times New Roman"/>
          <w:color w:val="000000" w:themeColor="text1"/>
          <w:sz w:val="24"/>
          <w:szCs w:val="24"/>
        </w:rPr>
        <w:t>the</w:t>
      </w:r>
      <w:r w:rsidR="00C35099" w:rsidRPr="00BC377C">
        <w:rPr>
          <w:rFonts w:ascii="Times New Roman" w:hAnsi="Times New Roman" w:cs="Times New Roman"/>
          <w:color w:val="000000" w:themeColor="text1"/>
          <w:sz w:val="24"/>
          <w:szCs w:val="24"/>
        </w:rPr>
        <w:t xml:space="preserve"> </w:t>
      </w:r>
      <w:r w:rsidRPr="00BC377C">
        <w:rPr>
          <w:rFonts w:ascii="Times New Roman" w:hAnsi="Times New Roman" w:cs="Times New Roman"/>
          <w:color w:val="000000" w:themeColor="text1"/>
          <w:sz w:val="24"/>
          <w:szCs w:val="24"/>
        </w:rPr>
        <w:t xml:space="preserve">serum IgG </w:t>
      </w:r>
      <w:r w:rsidR="00C35099">
        <w:rPr>
          <w:rFonts w:ascii="Times New Roman" w:hAnsi="Times New Roman" w:cs="Times New Roman"/>
          <w:color w:val="000000" w:themeColor="text1"/>
          <w:sz w:val="24"/>
          <w:szCs w:val="24"/>
        </w:rPr>
        <w:t xml:space="preserve">trough level </w:t>
      </w:r>
      <w:r w:rsidRPr="00BC377C">
        <w:rPr>
          <w:rFonts w:ascii="Times New Roman" w:hAnsi="Times New Roman" w:cs="Times New Roman"/>
          <w:color w:val="000000" w:themeColor="text1"/>
          <w:sz w:val="24"/>
          <w:szCs w:val="24"/>
        </w:rPr>
        <w:t>after several months. The level should be the same or higher than when treated intravenously. Because there is a wide variation in metabolism of IgG between patients with immune deficiency diseases, it is important to individualise dosing. The most important factor when determining dosage of IgG is the clinical response of the patient.</w:t>
      </w:r>
    </w:p>
    <w:p w14:paraId="3564FCFA" w14:textId="77777777" w:rsidR="00BF4A6A" w:rsidRPr="00BC377C" w:rsidRDefault="00BF4A6A" w:rsidP="00BC377C">
      <w:pPr>
        <w:spacing w:after="0" w:line="240" w:lineRule="auto"/>
        <w:rPr>
          <w:rFonts w:ascii="Times New Roman" w:hAnsi="Times New Roman" w:cs="Times New Roman"/>
          <w:color w:val="000000" w:themeColor="text1"/>
          <w:sz w:val="24"/>
          <w:szCs w:val="24"/>
          <w:u w:val="single"/>
        </w:rPr>
      </w:pPr>
      <w:r w:rsidRPr="00BC377C">
        <w:rPr>
          <w:rFonts w:ascii="Times New Roman" w:hAnsi="Times New Roman" w:cs="Times New Roman"/>
          <w:color w:val="000000" w:themeColor="text1"/>
          <w:sz w:val="24"/>
          <w:szCs w:val="24"/>
          <w:u w:val="single"/>
        </w:rPr>
        <w:t>Subcutaneous Administration</w:t>
      </w:r>
    </w:p>
    <w:p w14:paraId="7E49DB62" w14:textId="7777777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Use of an infusion pump and multi-needle administration set is recommended.</w:t>
      </w:r>
    </w:p>
    <w:p w14:paraId="72723343"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22258A80" w14:textId="4BE7EA19" w:rsidR="00BF4A6A" w:rsidRPr="00BC377C" w:rsidRDefault="00BC377C" w:rsidP="00BC377C">
      <w:pPr>
        <w:spacing w:after="0" w:line="240" w:lineRule="auto"/>
        <w:rPr>
          <w:rFonts w:ascii="Times New Roman" w:hAnsi="Times New Roman" w:cs="Times New Roman"/>
          <w:color w:val="000000" w:themeColor="text1"/>
          <w:sz w:val="24"/>
          <w:szCs w:val="24"/>
          <w:u w:val="single"/>
        </w:rPr>
      </w:pPr>
      <w:r w:rsidRPr="00BC377C">
        <w:rPr>
          <w:rFonts w:ascii="Times New Roman" w:hAnsi="Times New Roman" w:cs="Times New Roman"/>
          <w:color w:val="000000" w:themeColor="text1"/>
          <w:sz w:val="24"/>
          <w:szCs w:val="24"/>
          <w:u w:val="single"/>
        </w:rPr>
        <w:t>Selection of Infusion Site</w:t>
      </w:r>
    </w:p>
    <w:p w14:paraId="31A47029" w14:textId="47B7F2C7"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i/>
          <w:color w:val="000000" w:themeColor="text1"/>
          <w:sz w:val="24"/>
          <w:szCs w:val="24"/>
        </w:rPr>
        <w:t>Volume per Site</w:t>
      </w:r>
      <w:r w:rsidR="00032613">
        <w:rPr>
          <w:rFonts w:ascii="Times New Roman" w:hAnsi="Times New Roman" w:cs="Times New Roman"/>
          <w:i/>
          <w:color w:val="000000" w:themeColor="text1"/>
          <w:sz w:val="24"/>
          <w:szCs w:val="24"/>
        </w:rPr>
        <w:t>:</w:t>
      </w:r>
      <w:r w:rsidRPr="00BC377C">
        <w:rPr>
          <w:rFonts w:ascii="Times New Roman" w:hAnsi="Times New Roman" w:cs="Times New Roman"/>
          <w:color w:val="000000" w:themeColor="text1"/>
          <w:sz w:val="24"/>
          <w:szCs w:val="24"/>
        </w:rPr>
        <w:t xml:space="preserve"> The recommended maximum volume is 30 mL/site for patients above 40 kg and 20 mL/site for patients under 40 kg. The weekly dose (mL) should be divided by 30 or 20, based on patient weight above, to determine the number of sites required. Simultaneous subcutaneous infusion at multiple sites can be facilitated by use of a multi-needle administration set.</w:t>
      </w:r>
    </w:p>
    <w:p w14:paraId="0C6FA226" w14:textId="77777777" w:rsidR="00BF4A6A" w:rsidRPr="00BC377C" w:rsidRDefault="00BF4A6A" w:rsidP="00BC377C">
      <w:pPr>
        <w:spacing w:after="0" w:line="240" w:lineRule="auto"/>
        <w:rPr>
          <w:rFonts w:ascii="Times New Roman" w:hAnsi="Times New Roman" w:cs="Times New Roman"/>
          <w:color w:val="000000" w:themeColor="text1"/>
          <w:sz w:val="24"/>
          <w:szCs w:val="24"/>
        </w:rPr>
      </w:pPr>
    </w:p>
    <w:p w14:paraId="3D6E21D1" w14:textId="5E0EA432" w:rsidR="00BC377C" w:rsidRPr="00BC377C" w:rsidRDefault="00BC377C" w:rsidP="00BC377C">
      <w:pPr>
        <w:spacing w:after="0" w:line="240" w:lineRule="auto"/>
        <w:rPr>
          <w:rFonts w:ascii="Times New Roman" w:hAnsi="Times New Roman" w:cs="Times New Roman"/>
          <w:color w:val="000000" w:themeColor="text1"/>
          <w:sz w:val="24"/>
          <w:szCs w:val="24"/>
          <w:u w:val="single"/>
        </w:rPr>
      </w:pPr>
      <w:r w:rsidRPr="00BC377C">
        <w:rPr>
          <w:rFonts w:ascii="Times New Roman" w:hAnsi="Times New Roman" w:cs="Times New Roman"/>
          <w:color w:val="000000" w:themeColor="text1"/>
          <w:sz w:val="24"/>
          <w:szCs w:val="24"/>
          <w:u w:val="single"/>
        </w:rPr>
        <w:t>Rate of Infusion</w:t>
      </w:r>
    </w:p>
    <w:p w14:paraId="31AC49B2" w14:textId="4E7DA12A" w:rsidR="00BF4A6A" w:rsidRPr="00BC377C" w:rsidRDefault="00BF4A6A"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i/>
          <w:color w:val="000000" w:themeColor="text1"/>
          <w:sz w:val="24"/>
          <w:szCs w:val="24"/>
        </w:rPr>
        <w:t>Patients over 40 kg:</w:t>
      </w:r>
      <w:r w:rsidRPr="00BC377C">
        <w:rPr>
          <w:rFonts w:ascii="Times New Roman" w:hAnsi="Times New Roman" w:cs="Times New Roman"/>
          <w:color w:val="000000" w:themeColor="text1"/>
          <w:sz w:val="24"/>
          <w:szCs w:val="24"/>
        </w:rPr>
        <w:t xml:space="preserve"> For the first infusion, the recommended maximum rate of infusion of KIOVIG is 20mL/h/site. For subsequent infusions, the flow rate should be adjusted as tolerated to a maximum of 30 mL/h/site. If multiple sites are used, the rate set on the pump should be the rate per site multiplied by the number of sites (e.g., 30 mL x 4 sites = 120 </w:t>
      </w:r>
      <w:r w:rsidRPr="00BC377C">
        <w:rPr>
          <w:rFonts w:ascii="Times New Roman" w:hAnsi="Times New Roman" w:cs="Times New Roman"/>
          <w:color w:val="000000" w:themeColor="text1"/>
          <w:sz w:val="24"/>
          <w:szCs w:val="24"/>
        </w:rPr>
        <w:lastRenderedPageBreak/>
        <w:t xml:space="preserve">mL/h). The number of simultaneous sites should be limited to 8, or maximum infusion rate of 240 mL/h.  </w:t>
      </w:r>
    </w:p>
    <w:p w14:paraId="39940CDA" w14:textId="77777777" w:rsidR="00BF4A6A" w:rsidRPr="00BC377C" w:rsidRDefault="00BF4A6A" w:rsidP="00BF4A6A">
      <w:pPr>
        <w:pStyle w:val="DocText"/>
        <w:spacing w:after="0" w:line="240" w:lineRule="auto"/>
      </w:pPr>
    </w:p>
    <w:p w14:paraId="7FBDE334" w14:textId="52091450" w:rsidR="00BF4A6A" w:rsidRPr="00BC377C" w:rsidRDefault="00BF4A6A" w:rsidP="00BF4A6A">
      <w:pPr>
        <w:pStyle w:val="DocText"/>
        <w:spacing w:after="0" w:line="240" w:lineRule="auto"/>
      </w:pPr>
      <w:r w:rsidRPr="00BC377C">
        <w:rPr>
          <w:rFonts w:eastAsiaTheme="minorHAnsi"/>
          <w:i/>
          <w:color w:val="000000" w:themeColor="text1"/>
        </w:rPr>
        <w:t>Patients under 40 kg (88 lbs):</w:t>
      </w:r>
      <w:r w:rsidRPr="00BC377C">
        <w:rPr>
          <w:rFonts w:eastAsiaTheme="minorHAnsi"/>
          <w:color w:val="000000" w:themeColor="text1"/>
        </w:rPr>
        <w:t xml:space="preserve"> For the first infusion, the recommended maximum rate of infusion of KIOVIG is 15mL/h/site. For subsequent infusions, the flow rate should be adjusted as tolerated to a maximum of 20 mL/h/site. If multiple sites are used, the rate set on the pump should be the rate per site multiplied by the number of sites (e.g., 20 mL x 3 sites = 60 mL/h). The number of simultaneous sites should be limited to 8, or maximum infusion rate of 160 mL/h.</w:t>
      </w:r>
    </w:p>
    <w:p w14:paraId="4E3B3220" w14:textId="77777777" w:rsidR="00BF4A6A" w:rsidRPr="00DF694E" w:rsidRDefault="00BF4A6A" w:rsidP="0050050E">
      <w:pPr>
        <w:spacing w:after="0" w:line="240" w:lineRule="auto"/>
        <w:rPr>
          <w:rFonts w:ascii="Times New Roman" w:hAnsi="Times New Roman" w:cs="Times New Roman"/>
          <w:color w:val="000000" w:themeColor="text1"/>
          <w:sz w:val="24"/>
          <w:szCs w:val="24"/>
          <w:highlight w:val="yellow"/>
        </w:rPr>
      </w:pPr>
    </w:p>
    <w:p w14:paraId="00276788" w14:textId="77777777" w:rsidR="001A3992" w:rsidRPr="00BE75D2" w:rsidRDefault="003B0C19" w:rsidP="003B0C19">
      <w:pPr>
        <w:pStyle w:val="Heading2"/>
        <w:numPr>
          <w:ilvl w:val="0"/>
          <w:numId w:val="0"/>
        </w:numPr>
        <w:spacing w:before="0" w:after="0" w:line="240" w:lineRule="auto"/>
        <w:rPr>
          <w:rFonts w:ascii="Times New Roman" w:hAnsi="Times New Roman" w:cs="Times New Roman"/>
          <w:color w:val="000000" w:themeColor="text1"/>
          <w:szCs w:val="24"/>
        </w:rPr>
      </w:pPr>
      <w:r w:rsidRPr="00BE75D2">
        <w:rPr>
          <w:rFonts w:ascii="Times New Roman" w:hAnsi="Times New Roman" w:cs="Times New Roman"/>
          <w:color w:val="000000" w:themeColor="text1"/>
          <w:szCs w:val="24"/>
        </w:rPr>
        <w:t xml:space="preserve">4.3 </w:t>
      </w:r>
      <w:r w:rsidR="007B2BFE" w:rsidRPr="00BE75D2">
        <w:rPr>
          <w:rFonts w:ascii="Times New Roman" w:hAnsi="Times New Roman" w:cs="Times New Roman"/>
          <w:color w:val="000000" w:themeColor="text1"/>
          <w:szCs w:val="24"/>
        </w:rPr>
        <w:tab/>
      </w:r>
      <w:r w:rsidR="007B2BFE" w:rsidRPr="00F73EBA">
        <w:rPr>
          <w:rFonts w:ascii="Times New Roman" w:hAnsi="Times New Roman" w:cs="Times New Roman"/>
          <w:color w:val="000000" w:themeColor="text1"/>
          <w:szCs w:val="24"/>
        </w:rPr>
        <w:t>CONTRAINDICATIONS</w:t>
      </w:r>
    </w:p>
    <w:p w14:paraId="02BB72BC" w14:textId="77777777" w:rsidR="003B0C19" w:rsidRPr="00DF694E" w:rsidRDefault="003B0C19" w:rsidP="0050050E">
      <w:pPr>
        <w:spacing w:after="0" w:line="240" w:lineRule="auto"/>
        <w:rPr>
          <w:rFonts w:ascii="Times New Roman" w:hAnsi="Times New Roman" w:cs="Times New Roman"/>
          <w:color w:val="000000" w:themeColor="text1"/>
          <w:sz w:val="24"/>
          <w:szCs w:val="24"/>
          <w:highlight w:val="yellow"/>
        </w:rPr>
      </w:pPr>
    </w:p>
    <w:p w14:paraId="4F089328" w14:textId="1133B184" w:rsidR="00BE75D2" w:rsidRPr="00BE75D2" w:rsidRDefault="00BE75D2" w:rsidP="00BE75D2">
      <w:pPr>
        <w:spacing w:after="0" w:line="240" w:lineRule="auto"/>
        <w:rPr>
          <w:rFonts w:ascii="Times New Roman" w:hAnsi="Times New Roman"/>
          <w:color w:val="000000" w:themeColor="text1"/>
          <w:sz w:val="24"/>
          <w:szCs w:val="20"/>
        </w:rPr>
      </w:pPr>
      <w:r w:rsidRPr="00BE75D2">
        <w:rPr>
          <w:rFonts w:ascii="Times New Roman" w:hAnsi="Times New Roman"/>
          <w:color w:val="000000" w:themeColor="text1"/>
          <w:sz w:val="24"/>
          <w:szCs w:val="20"/>
        </w:rPr>
        <w:t xml:space="preserve">KIOVIG, IgG 10% solution is contraindicated in patients with known anaphylactic or severe hypersensitivity responses to </w:t>
      </w:r>
      <w:r w:rsidR="00C35099">
        <w:rPr>
          <w:rFonts w:ascii="Times New Roman" w:hAnsi="Times New Roman"/>
          <w:color w:val="000000" w:themeColor="text1"/>
          <w:sz w:val="24"/>
          <w:szCs w:val="20"/>
        </w:rPr>
        <w:t>normal i</w:t>
      </w:r>
      <w:r w:rsidR="00C35099" w:rsidRPr="00BE75D2">
        <w:rPr>
          <w:rFonts w:ascii="Times New Roman" w:hAnsi="Times New Roman"/>
          <w:color w:val="000000" w:themeColor="text1"/>
          <w:sz w:val="24"/>
          <w:szCs w:val="20"/>
        </w:rPr>
        <w:t xml:space="preserve">mmunoglobulin </w:t>
      </w:r>
      <w:r w:rsidRPr="00BE75D2">
        <w:rPr>
          <w:rFonts w:ascii="Times New Roman" w:hAnsi="Times New Roman"/>
          <w:color w:val="000000" w:themeColor="text1"/>
          <w:sz w:val="24"/>
          <w:szCs w:val="20"/>
        </w:rPr>
        <w:t xml:space="preserve">(human). Patients with severe selective Immunoglobulin A (IgA) deficiency (IgA&lt;0.05g/L) may develop anti-IgA antibodies that can result in a severe anaphylactic reaction. </w:t>
      </w:r>
    </w:p>
    <w:p w14:paraId="17023CAD" w14:textId="77777777" w:rsidR="00BE75D2" w:rsidRPr="00BE75D2" w:rsidRDefault="00BE75D2" w:rsidP="00BE75D2">
      <w:pPr>
        <w:spacing w:after="0" w:line="240" w:lineRule="auto"/>
        <w:rPr>
          <w:rFonts w:ascii="Times New Roman" w:hAnsi="Times New Roman"/>
          <w:color w:val="000000" w:themeColor="text1"/>
          <w:sz w:val="24"/>
          <w:szCs w:val="20"/>
        </w:rPr>
      </w:pPr>
    </w:p>
    <w:p w14:paraId="4BDE75D7" w14:textId="77777777" w:rsidR="00BE75D2" w:rsidRPr="00CB6B8A" w:rsidRDefault="00BE75D2" w:rsidP="00BE75D2">
      <w:pPr>
        <w:spacing w:after="0" w:line="240" w:lineRule="auto"/>
        <w:rPr>
          <w:rFonts w:ascii="Times New Roman" w:hAnsi="Times New Roman"/>
          <w:color w:val="000000" w:themeColor="text1"/>
          <w:sz w:val="24"/>
          <w:szCs w:val="20"/>
        </w:rPr>
      </w:pPr>
      <w:r w:rsidRPr="00BE75D2">
        <w:rPr>
          <w:rFonts w:ascii="Times New Roman" w:hAnsi="Times New Roman"/>
          <w:color w:val="000000" w:themeColor="text1"/>
          <w:sz w:val="24"/>
          <w:szCs w:val="20"/>
        </w:rPr>
        <w:t xml:space="preserve">Anaphylaxis can occur using KIOVIG, IgG 10% solution even though it contains low amounts of IgA (average concentration of 37 µg/mL). These patients should be treated only if their IgA deficiency is </w:t>
      </w:r>
      <w:r w:rsidRPr="00CB6B8A">
        <w:rPr>
          <w:rFonts w:ascii="Times New Roman" w:hAnsi="Times New Roman"/>
          <w:color w:val="000000" w:themeColor="text1"/>
          <w:sz w:val="24"/>
          <w:szCs w:val="20"/>
        </w:rPr>
        <w:t xml:space="preserve">associated with an immune deficiency for which therapy with IVIG is clearly indicated. Such patients should only receive IVIG with utmost caution and in a setting where supportive care is available for treating life-threatening reactions. </w:t>
      </w:r>
    </w:p>
    <w:p w14:paraId="3F1F5B23" w14:textId="77777777" w:rsidR="00BE75D2" w:rsidRPr="00CB6B8A" w:rsidRDefault="00BE75D2" w:rsidP="00C43640">
      <w:pPr>
        <w:spacing w:after="0" w:line="240" w:lineRule="auto"/>
        <w:rPr>
          <w:rFonts w:ascii="Times New Roman" w:hAnsi="Times New Roman"/>
          <w:color w:val="000000" w:themeColor="text1"/>
          <w:sz w:val="24"/>
          <w:szCs w:val="20"/>
        </w:rPr>
      </w:pPr>
    </w:p>
    <w:p w14:paraId="5E5BC3B2" w14:textId="77777777" w:rsidR="001A3992" w:rsidRPr="00F73EBA" w:rsidRDefault="007B2BFE" w:rsidP="00F73EBA">
      <w:pPr>
        <w:pStyle w:val="Heading2"/>
        <w:numPr>
          <w:ilvl w:val="0"/>
          <w:numId w:val="0"/>
        </w:numPr>
        <w:spacing w:before="0" w:after="0" w:line="240" w:lineRule="auto"/>
        <w:rPr>
          <w:rFonts w:ascii="Times New Roman" w:hAnsi="Times New Roman" w:cs="Times New Roman"/>
          <w:color w:val="000000" w:themeColor="text1"/>
          <w:szCs w:val="24"/>
        </w:rPr>
      </w:pPr>
      <w:r w:rsidRPr="00F73EBA">
        <w:rPr>
          <w:rFonts w:ascii="Times New Roman" w:hAnsi="Times New Roman" w:cs="Times New Roman"/>
          <w:color w:val="000000" w:themeColor="text1"/>
          <w:szCs w:val="24"/>
        </w:rPr>
        <w:t xml:space="preserve">4.4 </w:t>
      </w:r>
      <w:r w:rsidRPr="00F73EBA">
        <w:rPr>
          <w:rFonts w:ascii="Times New Roman" w:hAnsi="Times New Roman" w:cs="Times New Roman"/>
          <w:color w:val="000000" w:themeColor="text1"/>
          <w:szCs w:val="24"/>
        </w:rPr>
        <w:tab/>
        <w:t>SPECIAL WARNINGS AND PRECAUTIONS FOR USE</w:t>
      </w:r>
    </w:p>
    <w:p w14:paraId="016F6048" w14:textId="10A32E1E" w:rsidR="007B2BFE" w:rsidRPr="00CB6B8A" w:rsidRDefault="007B2BFE" w:rsidP="007B2BFE">
      <w:pPr>
        <w:spacing w:after="0" w:line="240" w:lineRule="auto"/>
        <w:rPr>
          <w:rFonts w:ascii="Times New Roman" w:hAnsi="Times New Roman" w:cs="Times New Roman"/>
          <w:color w:val="000000" w:themeColor="text1"/>
          <w:sz w:val="24"/>
          <w:szCs w:val="24"/>
        </w:rPr>
      </w:pPr>
    </w:p>
    <w:p w14:paraId="076B4ACD" w14:textId="4A79DA29"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Infusions of immunoglobulin have been associated with thromboembolic events and impaired renal function, including acute renal failure. Risk is increased in patients with pre-existing impaired renal function, and cardiovascular risk factors such as hypertension, history of cardiac disease, hyperviscosity, poor ambulation. Risk of these events may be increased with rapid rates of infusion and high (1-2 g/kg) doses of IgG. Risk can be reduced by ensuring adequate hydration before administration and using slower rates of infusion in patients considered to be at high risk of renal dysfunction or cardiovascular disease. In subjects with impaired renal function consider monitoring urine output and serum </w:t>
      </w:r>
      <w:proofErr w:type="gramStart"/>
      <w:r w:rsidRPr="00CB6B8A">
        <w:rPr>
          <w:rFonts w:ascii="Times New Roman" w:hAnsi="Times New Roman" w:cs="Times New Roman"/>
          <w:color w:val="000000" w:themeColor="text1"/>
          <w:sz w:val="24"/>
          <w:szCs w:val="24"/>
        </w:rPr>
        <w:t>creatinine, and</w:t>
      </w:r>
      <w:proofErr w:type="gramEnd"/>
      <w:r w:rsidRPr="00CB6B8A">
        <w:rPr>
          <w:rFonts w:ascii="Times New Roman" w:hAnsi="Times New Roman" w:cs="Times New Roman"/>
          <w:color w:val="000000" w:themeColor="text1"/>
          <w:sz w:val="24"/>
          <w:szCs w:val="24"/>
        </w:rPr>
        <w:t xml:space="preserve"> avoiding loop diuretics and sucrose containing IVIG products.</w:t>
      </w:r>
    </w:p>
    <w:p w14:paraId="3A215E22"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2D251904" w14:textId="3FB33920"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Intravenous infusions of IVIG have been associated with an aseptic meningitis syndrome (AMS) with severe headache, nuchal rigidity, </w:t>
      </w:r>
      <w:proofErr w:type="spellStart"/>
      <w:r w:rsidRPr="00CB6B8A">
        <w:rPr>
          <w:rFonts w:ascii="Times New Roman" w:hAnsi="Times New Roman" w:cs="Times New Roman"/>
          <w:color w:val="000000" w:themeColor="text1"/>
          <w:sz w:val="24"/>
          <w:szCs w:val="24"/>
        </w:rPr>
        <w:t>cerebro</w:t>
      </w:r>
      <w:proofErr w:type="spellEnd"/>
      <w:r w:rsidRPr="00CB6B8A">
        <w:rPr>
          <w:rFonts w:ascii="Times New Roman" w:hAnsi="Times New Roman" w:cs="Times New Roman"/>
          <w:color w:val="000000" w:themeColor="text1"/>
          <w:sz w:val="24"/>
          <w:szCs w:val="24"/>
        </w:rPr>
        <w:t>-spinal fluid (CSF)</w:t>
      </w:r>
      <w:r w:rsidR="002E680A">
        <w:rPr>
          <w:rFonts w:ascii="Times New Roman" w:hAnsi="Times New Roman" w:cs="Times New Roman"/>
          <w:color w:val="000000" w:themeColor="text1"/>
          <w:sz w:val="24"/>
          <w:szCs w:val="24"/>
        </w:rPr>
        <w:t xml:space="preserve"> </w:t>
      </w:r>
      <w:r w:rsidRPr="00CB6B8A">
        <w:rPr>
          <w:rFonts w:ascii="Times New Roman" w:hAnsi="Times New Roman" w:cs="Times New Roman"/>
          <w:color w:val="000000" w:themeColor="text1"/>
          <w:sz w:val="24"/>
          <w:szCs w:val="24"/>
        </w:rPr>
        <w:t>pleocytosis and elevated CSF protein. Symptoms can begin during and up to 48 hours after an infusion.  It is thought that the risk is increased with higher (1-2 g/kg) doses of IVIG and in subjects with frequent headaches, especially migraine headaches. Consider slower rates of infusion for such patients.</w:t>
      </w:r>
    </w:p>
    <w:p w14:paraId="033D800E"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69664524"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In case of these events, either the rate of administration must be </w:t>
      </w:r>
      <w:proofErr w:type="gramStart"/>
      <w:r w:rsidRPr="00CB6B8A">
        <w:rPr>
          <w:rFonts w:ascii="Times New Roman" w:hAnsi="Times New Roman" w:cs="Times New Roman"/>
          <w:color w:val="000000" w:themeColor="text1"/>
          <w:sz w:val="24"/>
          <w:szCs w:val="24"/>
        </w:rPr>
        <w:t>reduced</w:t>
      </w:r>
      <w:proofErr w:type="gramEnd"/>
      <w:r w:rsidRPr="00CB6B8A">
        <w:rPr>
          <w:rFonts w:ascii="Times New Roman" w:hAnsi="Times New Roman" w:cs="Times New Roman"/>
          <w:color w:val="000000" w:themeColor="text1"/>
          <w:sz w:val="24"/>
          <w:szCs w:val="24"/>
        </w:rPr>
        <w:t xml:space="preserve"> or the infusion stopped. The treatment required depends on the nature and severity of the adverse reaction. In case of shock, standard medical treatment for shock should be implemented.</w:t>
      </w:r>
    </w:p>
    <w:p w14:paraId="13776ECB"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67E21DC3" w14:textId="59C1402E" w:rsid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It is recommended that subcutaneous infusions not be given to patients with ITP due to the increased risk of bleeding and hematoma.</w:t>
      </w:r>
    </w:p>
    <w:p w14:paraId="65C8078A" w14:textId="45D62960" w:rsidR="00095AF9" w:rsidRDefault="00095AF9" w:rsidP="00CB6B8A">
      <w:pPr>
        <w:spacing w:after="0" w:line="240" w:lineRule="auto"/>
        <w:rPr>
          <w:rFonts w:ascii="Times New Roman" w:hAnsi="Times New Roman" w:cs="Times New Roman"/>
          <w:color w:val="000000" w:themeColor="text1"/>
          <w:sz w:val="24"/>
          <w:szCs w:val="24"/>
        </w:rPr>
      </w:pPr>
    </w:p>
    <w:p w14:paraId="43FE2576" w14:textId="1B8ACF18" w:rsidR="00095AF9" w:rsidRPr="000E704D" w:rsidRDefault="00095AF9" w:rsidP="00CB6B8A">
      <w:pPr>
        <w:spacing w:after="0" w:line="240" w:lineRule="auto"/>
        <w:rPr>
          <w:rFonts w:ascii="Times New Roman" w:hAnsi="Times New Roman" w:cs="Times New Roman"/>
          <w:b/>
          <w:bCs/>
          <w:color w:val="000000" w:themeColor="text1"/>
          <w:sz w:val="24"/>
          <w:szCs w:val="24"/>
        </w:rPr>
      </w:pPr>
      <w:r w:rsidRPr="000E704D">
        <w:rPr>
          <w:rFonts w:ascii="Times New Roman" w:hAnsi="Times New Roman" w:cs="Times New Roman"/>
          <w:b/>
          <w:bCs/>
          <w:color w:val="000000" w:themeColor="text1"/>
          <w:sz w:val="24"/>
          <w:szCs w:val="24"/>
        </w:rPr>
        <w:lastRenderedPageBreak/>
        <w:t>While IVIGs are interchangeable, they are not therapeutically equivalent in terms of efficacy and safety profiles.</w:t>
      </w:r>
    </w:p>
    <w:p w14:paraId="444ADEBF" w14:textId="77777777" w:rsidR="00CB6B8A" w:rsidRDefault="00CB6B8A" w:rsidP="00CB6B8A">
      <w:pPr>
        <w:spacing w:after="0" w:line="240" w:lineRule="auto"/>
        <w:rPr>
          <w:rFonts w:ascii="Times New Roman" w:hAnsi="Times New Roman" w:cs="Times New Roman"/>
          <w:b/>
          <w:color w:val="000000" w:themeColor="text1"/>
          <w:sz w:val="24"/>
          <w:szCs w:val="24"/>
        </w:rPr>
      </w:pPr>
    </w:p>
    <w:p w14:paraId="689CAEA2" w14:textId="567CAFED" w:rsidR="00CB6B8A" w:rsidRPr="00CB6B8A" w:rsidRDefault="00CB6B8A" w:rsidP="00CB6B8A">
      <w:pPr>
        <w:spacing w:after="0" w:line="240" w:lineRule="auto"/>
        <w:rPr>
          <w:b/>
          <w:i/>
        </w:rPr>
      </w:pPr>
      <w:r>
        <w:rPr>
          <w:rFonts w:ascii="Times New Roman" w:hAnsi="Times New Roman" w:cs="Times New Roman"/>
          <w:b/>
          <w:color w:val="000000" w:themeColor="text1"/>
          <w:sz w:val="24"/>
          <w:szCs w:val="24"/>
        </w:rPr>
        <w:t>Infusion-r</w:t>
      </w:r>
      <w:r w:rsidRPr="00CB6B8A">
        <w:rPr>
          <w:rFonts w:ascii="Times New Roman" w:hAnsi="Times New Roman" w:cs="Times New Roman"/>
          <w:b/>
          <w:color w:val="000000" w:themeColor="text1"/>
          <w:sz w:val="24"/>
          <w:szCs w:val="24"/>
        </w:rPr>
        <w:t xml:space="preserve">elated </w:t>
      </w:r>
      <w:r>
        <w:rPr>
          <w:rFonts w:ascii="Times New Roman" w:hAnsi="Times New Roman" w:cs="Times New Roman"/>
          <w:b/>
          <w:color w:val="000000" w:themeColor="text1"/>
          <w:sz w:val="24"/>
          <w:szCs w:val="24"/>
        </w:rPr>
        <w:t>p</w:t>
      </w:r>
      <w:r w:rsidRPr="00CB6B8A">
        <w:rPr>
          <w:rFonts w:ascii="Times New Roman" w:hAnsi="Times New Roman" w:cs="Times New Roman"/>
          <w:b/>
          <w:color w:val="000000" w:themeColor="text1"/>
          <w:sz w:val="24"/>
          <w:szCs w:val="24"/>
        </w:rPr>
        <w:t>recautions</w:t>
      </w:r>
    </w:p>
    <w:p w14:paraId="5DE47329"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2022E4D5" w14:textId="768F68A5"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Certain adverse reactions such as headache, flushing and changes in pulse rate and blood pressure may be related to the rate of infusion (see </w:t>
      </w:r>
      <w:r w:rsidR="00B714CF">
        <w:rPr>
          <w:rFonts w:ascii="Times New Roman" w:hAnsi="Times New Roman" w:cs="Times New Roman"/>
          <w:color w:val="000000" w:themeColor="text1"/>
          <w:sz w:val="24"/>
          <w:szCs w:val="24"/>
        </w:rPr>
        <w:t xml:space="preserve">Section 4.2 </w:t>
      </w:r>
      <w:r w:rsidR="00B714CF" w:rsidRPr="00B714CF">
        <w:rPr>
          <w:rFonts w:ascii="Times New Roman" w:hAnsi="Times New Roman" w:cs="Times New Roman"/>
          <w:color w:val="000000" w:themeColor="text1"/>
          <w:sz w:val="24"/>
          <w:szCs w:val="24"/>
        </w:rPr>
        <w:t>DOSE AND METHOD OF ADMINISTRATION</w:t>
      </w:r>
      <w:r w:rsidRPr="00CB6B8A">
        <w:rPr>
          <w:rFonts w:ascii="Times New Roman" w:hAnsi="Times New Roman" w:cs="Times New Roman"/>
          <w:color w:val="000000" w:themeColor="text1"/>
          <w:sz w:val="24"/>
          <w:szCs w:val="24"/>
        </w:rPr>
        <w:t xml:space="preserve">). The recommended infusion rate given under “Dosage and Administration” must be closely followed. </w:t>
      </w:r>
    </w:p>
    <w:p w14:paraId="75B1794C"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3487421C"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Potential complications can often be avoided by ensuring that patients are carefully monitored for any symptoms throughout the infusion period. Patients naive to human normal immunoglobulin, patients switched from an alternative product to KIOVIG, or when there has been a long interval since the previous infusion, should be monitored during the first infusion and for the first hour after the first infusion, in order to detect potential adverse signs. All other patients should be observed for at least 20 minutes after administration.</w:t>
      </w:r>
    </w:p>
    <w:p w14:paraId="43FFFC6C"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4E838351"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Slower rates of infusion should be considered for the following:</w:t>
      </w:r>
    </w:p>
    <w:p w14:paraId="26518A3A" w14:textId="77777777" w:rsidR="00CB6B8A" w:rsidRPr="00CB6B8A" w:rsidRDefault="00CB6B8A" w:rsidP="00F73EBA">
      <w:pPr>
        <w:pStyle w:val="ListParagraph"/>
        <w:numPr>
          <w:ilvl w:val="0"/>
          <w:numId w:val="12"/>
        </w:numPr>
        <w:spacing w:after="0" w:line="240" w:lineRule="auto"/>
        <w:ind w:left="36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patients with hypo- or agammaglobulinemia with or without IgA </w:t>
      </w:r>
      <w:proofErr w:type="gramStart"/>
      <w:r w:rsidRPr="00CB6B8A">
        <w:rPr>
          <w:rFonts w:ascii="Times New Roman" w:hAnsi="Times New Roman" w:cs="Times New Roman"/>
          <w:color w:val="000000" w:themeColor="text1"/>
          <w:sz w:val="24"/>
          <w:szCs w:val="24"/>
        </w:rPr>
        <w:t>deficiency;</w:t>
      </w:r>
      <w:proofErr w:type="gramEnd"/>
    </w:p>
    <w:p w14:paraId="213097B5" w14:textId="77777777" w:rsidR="00CB6B8A" w:rsidRPr="00CB6B8A" w:rsidRDefault="00CB6B8A" w:rsidP="00F73EBA">
      <w:pPr>
        <w:pStyle w:val="ListParagraph"/>
        <w:numPr>
          <w:ilvl w:val="0"/>
          <w:numId w:val="12"/>
        </w:numPr>
        <w:spacing w:after="0" w:line="240" w:lineRule="auto"/>
        <w:ind w:left="36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patients who receive human normal immunoglobulin for the first time or, when the human normal immunoglobulin product is switched or when there has been a long interval since the previous </w:t>
      </w:r>
      <w:proofErr w:type="gramStart"/>
      <w:r w:rsidRPr="00CB6B8A">
        <w:rPr>
          <w:rFonts w:ascii="Times New Roman" w:hAnsi="Times New Roman" w:cs="Times New Roman"/>
          <w:color w:val="000000" w:themeColor="text1"/>
          <w:sz w:val="24"/>
          <w:szCs w:val="24"/>
        </w:rPr>
        <w:t>infusion;</w:t>
      </w:r>
      <w:proofErr w:type="gramEnd"/>
    </w:p>
    <w:p w14:paraId="6038BCEA" w14:textId="77777777" w:rsidR="00CB6B8A" w:rsidRPr="00CB6B8A" w:rsidRDefault="00CB6B8A" w:rsidP="00F73EBA">
      <w:pPr>
        <w:pStyle w:val="ListParagraph"/>
        <w:numPr>
          <w:ilvl w:val="0"/>
          <w:numId w:val="12"/>
        </w:numPr>
        <w:spacing w:after="0" w:line="240" w:lineRule="auto"/>
        <w:ind w:left="36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patients at risk for acute renal failure or thromboembolic adverse reactions; and</w:t>
      </w:r>
    </w:p>
    <w:p w14:paraId="7BB445C1" w14:textId="77777777" w:rsidR="00CB6B8A" w:rsidRPr="00CB6B8A" w:rsidRDefault="00CB6B8A" w:rsidP="00F73EBA">
      <w:pPr>
        <w:pStyle w:val="ListParagraph"/>
        <w:numPr>
          <w:ilvl w:val="0"/>
          <w:numId w:val="12"/>
        </w:numPr>
        <w:spacing w:after="0" w:line="240" w:lineRule="auto"/>
        <w:ind w:left="36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patients who have underlying renal disease or who are judged to be at risk of developing thrombotic events.</w:t>
      </w:r>
    </w:p>
    <w:p w14:paraId="4DE4FAC4"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64752291" w14:textId="517AF8D9" w:rsidR="00CB6B8A" w:rsidRPr="00CB6B8A" w:rsidRDefault="00CB6B8A" w:rsidP="00CB6B8A">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Hyperproteinemia, </w:t>
      </w:r>
      <w:r>
        <w:rPr>
          <w:rFonts w:ascii="Times New Roman" w:hAnsi="Times New Roman" w:cs="Times New Roman"/>
          <w:color w:val="000000" w:themeColor="text1"/>
          <w:sz w:val="24"/>
          <w:szCs w:val="24"/>
        </w:rPr>
        <w:t>increased s</w:t>
      </w:r>
      <w:r w:rsidRPr="00CB6B8A">
        <w:rPr>
          <w:rFonts w:ascii="Times New Roman" w:hAnsi="Times New Roman" w:cs="Times New Roman"/>
          <w:color w:val="000000" w:themeColor="text1"/>
          <w:sz w:val="24"/>
          <w:szCs w:val="24"/>
        </w:rPr>
        <w:t xml:space="preserve">erum </w:t>
      </w:r>
      <w:r>
        <w:rPr>
          <w:rFonts w:ascii="Times New Roman" w:hAnsi="Times New Roman" w:cs="Times New Roman"/>
          <w:color w:val="000000" w:themeColor="text1"/>
          <w:sz w:val="24"/>
          <w:szCs w:val="24"/>
        </w:rPr>
        <w:t>viscosity and h</w:t>
      </w:r>
      <w:r w:rsidRPr="00CB6B8A">
        <w:rPr>
          <w:rFonts w:ascii="Times New Roman" w:hAnsi="Times New Roman" w:cs="Times New Roman"/>
          <w:color w:val="000000" w:themeColor="text1"/>
          <w:sz w:val="24"/>
          <w:szCs w:val="24"/>
        </w:rPr>
        <w:t>yponatremia</w:t>
      </w:r>
    </w:p>
    <w:p w14:paraId="14A1802A" w14:textId="77777777" w:rsidR="00CB6B8A" w:rsidRDefault="00CB6B8A" w:rsidP="00CB6B8A">
      <w:pPr>
        <w:spacing w:after="0" w:line="240" w:lineRule="auto"/>
        <w:rPr>
          <w:rFonts w:ascii="Times New Roman" w:hAnsi="Times New Roman" w:cs="Times New Roman"/>
          <w:color w:val="000000" w:themeColor="text1"/>
          <w:sz w:val="24"/>
          <w:szCs w:val="24"/>
        </w:rPr>
      </w:pPr>
    </w:p>
    <w:p w14:paraId="7CBC0E0E" w14:textId="779D77E9"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Hyperproteinemia, increased serum viscosity and hyponatremia may occur in patients receiving IVIG products, including KIOVIG. It is clinically critical to distinguish true hyponatremia from a pseudohyponatremia that is associated with concomitant decreased calculated serum osmolality or elevated osmolar gap; because treatment aimed at decreasing serum free water in patients with pseudohyponatremia may lead to volume depletion, a further increase in serum viscosity and a possible predisposition to thromboembolic events.</w:t>
      </w:r>
    </w:p>
    <w:p w14:paraId="5574392E"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66C26A8E" w14:textId="77777777" w:rsidR="00CB6B8A" w:rsidRDefault="00CB6B8A" w:rsidP="00C35099">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Viral transmission</w:t>
      </w:r>
    </w:p>
    <w:p w14:paraId="7B3A4412" w14:textId="77777777" w:rsidR="00C35099" w:rsidRPr="00C35099" w:rsidRDefault="00C35099" w:rsidP="00C35099">
      <w:pPr>
        <w:spacing w:after="0" w:line="240" w:lineRule="auto"/>
      </w:pPr>
    </w:p>
    <w:p w14:paraId="4B7EC96A" w14:textId="2B1F0621"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This product is manufactured using components of human blood, which may contain the causative agents of hepatitis and other viral diseases, and theoretically Creutzfeldt-Jacob Disease (CJD) agents. Prescribed manufacturing procedures utilised at the plasma collection centres and plasma</w:t>
      </w:r>
      <w:r w:rsidR="00032613">
        <w:rPr>
          <w:rFonts w:ascii="Times New Roman" w:hAnsi="Times New Roman" w:cs="Times New Roman"/>
          <w:color w:val="000000" w:themeColor="text1"/>
          <w:sz w:val="24"/>
          <w:szCs w:val="24"/>
        </w:rPr>
        <w:t xml:space="preserve"> </w:t>
      </w:r>
      <w:r w:rsidRPr="00CB6B8A">
        <w:rPr>
          <w:rFonts w:ascii="Times New Roman" w:hAnsi="Times New Roman" w:cs="Times New Roman"/>
          <w:color w:val="000000" w:themeColor="text1"/>
          <w:sz w:val="24"/>
          <w:szCs w:val="24"/>
        </w:rPr>
        <w:t xml:space="preserve">testing laboratories are designed to reduce the risk of transmitting viral infection. </w:t>
      </w:r>
    </w:p>
    <w:p w14:paraId="5A01BCB3"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0FB10D06"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Important elements of the rigorous screening </w:t>
      </w:r>
      <w:proofErr w:type="gramStart"/>
      <w:r w:rsidRPr="00CB6B8A">
        <w:rPr>
          <w:rFonts w:ascii="Times New Roman" w:hAnsi="Times New Roman" w:cs="Times New Roman"/>
          <w:color w:val="000000" w:themeColor="text1"/>
          <w:sz w:val="24"/>
          <w:szCs w:val="24"/>
        </w:rPr>
        <w:t>include:</w:t>
      </w:r>
      <w:proofErr w:type="gramEnd"/>
      <w:r w:rsidRPr="00CB6B8A">
        <w:rPr>
          <w:rFonts w:ascii="Times New Roman" w:hAnsi="Times New Roman" w:cs="Times New Roman"/>
          <w:color w:val="000000" w:themeColor="text1"/>
          <w:sz w:val="24"/>
          <w:szCs w:val="24"/>
        </w:rPr>
        <w:t xml:space="preserve"> careful selection of donors for plasma pools, viral testing at multiple stages, and the application of a rigorously validated method of testing. Prior to the manufacturing of the bulk drug substance, the plasma pool is tested for viral markers using HIQ-PCR method (Hyland </w:t>
      </w:r>
      <w:proofErr w:type="spellStart"/>
      <w:r w:rsidRPr="00CB6B8A">
        <w:rPr>
          <w:rFonts w:ascii="Times New Roman" w:hAnsi="Times New Roman" w:cs="Times New Roman"/>
          <w:color w:val="000000" w:themeColor="text1"/>
          <w:sz w:val="24"/>
          <w:szCs w:val="24"/>
        </w:rPr>
        <w:t>Immuno</w:t>
      </w:r>
      <w:proofErr w:type="spellEnd"/>
      <w:r w:rsidRPr="00CB6B8A">
        <w:rPr>
          <w:rFonts w:ascii="Times New Roman" w:hAnsi="Times New Roman" w:cs="Times New Roman"/>
          <w:color w:val="000000" w:themeColor="text1"/>
          <w:sz w:val="24"/>
          <w:szCs w:val="24"/>
        </w:rPr>
        <w:t xml:space="preserve"> Quality Assured Polymerase Chain Reaction is nucleic acid amplification test, NAT), which allows for the detection of viruses at a level of 500 genome equivalents (</w:t>
      </w:r>
      <w:proofErr w:type="spellStart"/>
      <w:r w:rsidRPr="00CB6B8A">
        <w:rPr>
          <w:rFonts w:ascii="Times New Roman" w:hAnsi="Times New Roman" w:cs="Times New Roman"/>
          <w:color w:val="000000" w:themeColor="text1"/>
          <w:sz w:val="24"/>
          <w:szCs w:val="24"/>
        </w:rPr>
        <w:t>ge</w:t>
      </w:r>
      <w:proofErr w:type="spellEnd"/>
      <w:r w:rsidRPr="00CB6B8A">
        <w:rPr>
          <w:rFonts w:ascii="Times New Roman" w:hAnsi="Times New Roman" w:cs="Times New Roman"/>
          <w:color w:val="000000" w:themeColor="text1"/>
          <w:sz w:val="24"/>
          <w:szCs w:val="24"/>
        </w:rPr>
        <w:t xml:space="preserve">) per mL of the plasma. </w:t>
      </w:r>
    </w:p>
    <w:p w14:paraId="164D6B89"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33231DC5" w14:textId="22EE8050"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lastRenderedPageBreak/>
        <w:t>The inclusion of Solvent Detergent (S/D) into the manufacturing process, which is effective for removal of enveloped-lipid viruses (HIV-1, HBV and HCV) and nano-filtration and incubation at elevated temperatures and low pH, which are effective for both enveloped and non-enveloped-lipid vir</w:t>
      </w:r>
      <w:r w:rsidR="00DA405A">
        <w:rPr>
          <w:rFonts w:ascii="Times New Roman" w:hAnsi="Times New Roman" w:cs="Times New Roman"/>
          <w:color w:val="000000" w:themeColor="text1"/>
          <w:sz w:val="24"/>
          <w:szCs w:val="24"/>
        </w:rPr>
        <w:t xml:space="preserve">uses (HAV and Parvovirus B19), </w:t>
      </w:r>
      <w:r w:rsidRPr="00CB6B8A">
        <w:rPr>
          <w:rFonts w:ascii="Times New Roman" w:hAnsi="Times New Roman" w:cs="Times New Roman"/>
          <w:color w:val="000000" w:themeColor="text1"/>
          <w:sz w:val="24"/>
          <w:szCs w:val="24"/>
        </w:rPr>
        <w:t>would theoretically provide an assurance that the viral infectious agents have been removed. Despite the use of those rigorous tests and triple viral inactivation (TVR), as discussed in the Description, a possibility of transmitting infectious agent cannot be totally excluded. This also applies to unknown or emerging viruses or other pathogens.</w:t>
      </w:r>
    </w:p>
    <w:p w14:paraId="6539CE7A"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75B31C32"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Some viruses, such Parvovirus B19 (B19V) or Hepatitis A (HAV), are particularly difficult to remove or inactivate. B19V most seriously affects pregnant women, or immuno-compromised individuals or those with increased erythropoiesis (e.g. haemolytic anaemia)</w:t>
      </w:r>
      <w:r w:rsidRPr="00CB6B8A">
        <w:rPr>
          <w:rFonts w:ascii="Times New Roman" w:hAnsi="Times New Roman" w:cs="Times New Roman" w:hint="eastAsia"/>
          <w:color w:val="000000" w:themeColor="text1"/>
          <w:sz w:val="24"/>
          <w:szCs w:val="24"/>
        </w:rPr>
        <w:t>.</w:t>
      </w:r>
      <w:r w:rsidRPr="00CB6B8A">
        <w:rPr>
          <w:rFonts w:ascii="Times New Roman" w:hAnsi="Times New Roman" w:cs="Times New Roman"/>
          <w:color w:val="000000" w:themeColor="text1"/>
          <w:sz w:val="24"/>
          <w:szCs w:val="24"/>
        </w:rPr>
        <w:t xml:space="preserve"> Symptoms of B19V infection include fever, drowsiness, </w:t>
      </w:r>
      <w:proofErr w:type="gramStart"/>
      <w:r w:rsidRPr="00CB6B8A">
        <w:rPr>
          <w:rFonts w:ascii="Times New Roman" w:hAnsi="Times New Roman" w:cs="Times New Roman"/>
          <w:color w:val="000000" w:themeColor="text1"/>
          <w:sz w:val="24"/>
          <w:szCs w:val="24"/>
        </w:rPr>
        <w:t>chills</w:t>
      </w:r>
      <w:proofErr w:type="gramEnd"/>
      <w:r w:rsidRPr="00CB6B8A">
        <w:rPr>
          <w:rFonts w:ascii="Times New Roman" w:hAnsi="Times New Roman" w:cs="Times New Roman"/>
          <w:color w:val="000000" w:themeColor="text1"/>
          <w:sz w:val="24"/>
          <w:szCs w:val="24"/>
        </w:rPr>
        <w:t xml:space="preserve"> and runny nose followed about two weeks later by rash and joint pain. Evidence of HAV may include several days to weeks of poor appetite, tiredness, and low-grade fever followed by nausea, vomiting and abdominal pain. Dark urine and yellowed complexion are also common symptoms. Patients should be encouraged to consult their physician if such symptoms appear. </w:t>
      </w:r>
    </w:p>
    <w:p w14:paraId="734DB05C"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06739F8E"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Appropriate vaccinations (hepatitis A and B) should be considered for immune competent patients who receive regular/repeated treatment with KIOVIG. </w:t>
      </w:r>
    </w:p>
    <w:p w14:paraId="1CBCADE1"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0D67596C" w14:textId="54F6E70B"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It is strongly recommended that every </w:t>
      </w:r>
      <w:r w:rsidRPr="00CB6B8A">
        <w:rPr>
          <w:rFonts w:ascii="Times New Roman" w:hAnsi="Times New Roman" w:cs="Times New Roman" w:hint="eastAsia"/>
          <w:color w:val="000000" w:themeColor="text1"/>
          <w:sz w:val="24"/>
          <w:szCs w:val="24"/>
        </w:rPr>
        <w:t xml:space="preserve">time </w:t>
      </w:r>
      <w:r w:rsidRPr="00CB6B8A">
        <w:rPr>
          <w:rFonts w:ascii="Times New Roman" w:hAnsi="Times New Roman" w:cs="Times New Roman"/>
          <w:color w:val="000000" w:themeColor="text1"/>
          <w:sz w:val="24"/>
          <w:szCs w:val="24"/>
        </w:rPr>
        <w:t xml:space="preserve">KIOVIG is administered to a patient, the name and batch number of </w:t>
      </w:r>
      <w:r w:rsidR="00083745" w:rsidRPr="00CB6B8A">
        <w:rPr>
          <w:rFonts w:ascii="Times New Roman" w:hAnsi="Times New Roman" w:cs="Times New Roman"/>
          <w:color w:val="000000" w:themeColor="text1"/>
          <w:sz w:val="24"/>
          <w:szCs w:val="24"/>
        </w:rPr>
        <w:t>products</w:t>
      </w:r>
      <w:r w:rsidRPr="00CB6B8A">
        <w:rPr>
          <w:rFonts w:ascii="Times New Roman" w:hAnsi="Times New Roman" w:cs="Times New Roman"/>
          <w:color w:val="000000" w:themeColor="text1"/>
          <w:sz w:val="24"/>
          <w:szCs w:val="24"/>
        </w:rPr>
        <w:t xml:space="preserve"> are recorded </w:t>
      </w:r>
      <w:proofErr w:type="gramStart"/>
      <w:r w:rsidRPr="00CB6B8A">
        <w:rPr>
          <w:rFonts w:ascii="Times New Roman" w:hAnsi="Times New Roman" w:cs="Times New Roman"/>
          <w:color w:val="000000" w:themeColor="text1"/>
          <w:sz w:val="24"/>
          <w:szCs w:val="24"/>
        </w:rPr>
        <w:t>in order to</w:t>
      </w:r>
      <w:proofErr w:type="gramEnd"/>
      <w:r w:rsidRPr="00CB6B8A">
        <w:rPr>
          <w:rFonts w:ascii="Times New Roman" w:hAnsi="Times New Roman" w:cs="Times New Roman"/>
          <w:color w:val="000000" w:themeColor="text1"/>
          <w:sz w:val="24"/>
          <w:szCs w:val="24"/>
        </w:rPr>
        <w:t xml:space="preserve"> maintain a link between the patient and the batch of the product.</w:t>
      </w:r>
    </w:p>
    <w:p w14:paraId="50DE3F0D"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7925C61D" w14:textId="0032020F" w:rsidR="00CB6B8A" w:rsidRDefault="00CB6B8A" w:rsidP="00C35099">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Hypersensitivity reactions including anaphylaxis</w:t>
      </w:r>
    </w:p>
    <w:p w14:paraId="28171BDB" w14:textId="77777777" w:rsidR="00C35099" w:rsidRPr="00C35099" w:rsidRDefault="00C35099" w:rsidP="00715CED">
      <w:pPr>
        <w:spacing w:after="0" w:line="240" w:lineRule="auto"/>
      </w:pPr>
    </w:p>
    <w:p w14:paraId="392E320F" w14:textId="6F0E2EE9"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As with any intravenous product, </w:t>
      </w:r>
      <w:proofErr w:type="gramStart"/>
      <w:r w:rsidRPr="00CB6B8A">
        <w:rPr>
          <w:rFonts w:ascii="Times New Roman" w:hAnsi="Times New Roman" w:cs="Times New Roman"/>
          <w:color w:val="000000" w:themeColor="text1"/>
          <w:sz w:val="24"/>
          <w:szCs w:val="24"/>
        </w:rPr>
        <w:t>in particular with</w:t>
      </w:r>
      <w:proofErr w:type="gramEnd"/>
      <w:r w:rsidRPr="00CB6B8A">
        <w:rPr>
          <w:rFonts w:ascii="Times New Roman" w:hAnsi="Times New Roman" w:cs="Times New Roman"/>
          <w:color w:val="000000" w:themeColor="text1"/>
          <w:sz w:val="24"/>
          <w:szCs w:val="24"/>
        </w:rPr>
        <w:t xml:space="preserve"> a protein substance, allergic type hypersensitivity reactions are possible. Anaphylaxis has been reported with the intravenous use of </w:t>
      </w:r>
      <w:r w:rsidRPr="00CB6B8A">
        <w:rPr>
          <w:rFonts w:ascii="Times New Roman" w:hAnsi="Times New Roman" w:cs="Times New Roman" w:hint="eastAsia"/>
          <w:color w:val="000000" w:themeColor="text1"/>
          <w:sz w:val="24"/>
          <w:szCs w:val="24"/>
        </w:rPr>
        <w:t>KIOVIG</w:t>
      </w:r>
      <w:r w:rsidRPr="00CB6B8A">
        <w:rPr>
          <w:rFonts w:ascii="Times New Roman" w:hAnsi="Times New Roman" w:cs="Times New Roman"/>
          <w:color w:val="000000" w:themeColor="text1"/>
          <w:sz w:val="24"/>
          <w:szCs w:val="24"/>
        </w:rPr>
        <w:t xml:space="preserve"> and i</w:t>
      </w:r>
      <w:r w:rsidRPr="00CB6B8A">
        <w:rPr>
          <w:rFonts w:ascii="Times New Roman" w:hAnsi="Times New Roman" w:cs="Times New Roman" w:hint="eastAsia"/>
          <w:color w:val="000000" w:themeColor="text1"/>
          <w:sz w:val="24"/>
          <w:szCs w:val="24"/>
        </w:rPr>
        <w:t>s</w:t>
      </w:r>
      <w:r w:rsidRPr="00CB6B8A">
        <w:rPr>
          <w:rFonts w:ascii="Times New Roman" w:hAnsi="Times New Roman" w:cs="Times New Roman"/>
          <w:color w:val="000000" w:themeColor="text1"/>
          <w:sz w:val="24"/>
          <w:szCs w:val="24"/>
        </w:rPr>
        <w:t xml:space="preserve"> theoretically possible following subcutaneous administration.</w:t>
      </w:r>
      <w:r w:rsidRPr="00CB6B8A">
        <w:rPr>
          <w:rFonts w:ascii="Times New Roman" w:hAnsi="Times New Roman" w:cs="Times New Roman" w:hint="eastAsia"/>
          <w:color w:val="000000" w:themeColor="text1"/>
          <w:sz w:val="24"/>
          <w:szCs w:val="24"/>
        </w:rPr>
        <w:t xml:space="preserve"> </w:t>
      </w:r>
      <w:proofErr w:type="gramStart"/>
      <w:r w:rsidRPr="00CB6B8A">
        <w:rPr>
          <w:rFonts w:ascii="Times New Roman" w:hAnsi="Times New Roman" w:cs="Times New Roman"/>
          <w:color w:val="000000" w:themeColor="text1"/>
          <w:sz w:val="24"/>
          <w:szCs w:val="24"/>
        </w:rPr>
        <w:t>Prior to commencing subcutaneous therapy, it</w:t>
      </w:r>
      <w:proofErr w:type="gramEnd"/>
      <w:r w:rsidRPr="00CB6B8A">
        <w:rPr>
          <w:rFonts w:ascii="Times New Roman" w:hAnsi="Times New Roman" w:cs="Times New Roman"/>
          <w:color w:val="000000" w:themeColor="text1"/>
          <w:sz w:val="24"/>
          <w:szCs w:val="24"/>
        </w:rPr>
        <w:t xml:space="preserve"> is recommended that patients should be on stable KIOVIG intravenous therapy that is administered where there are adequate life support facilities and health care professionals prepared to manage anaphylaxis. Patients should be informed of the signs of hypersensitivity reactions including hives, generalised urticaria, and tightness of the chest, wheezing, </w:t>
      </w:r>
      <w:proofErr w:type="gramStart"/>
      <w:r w:rsidRPr="00CB6B8A">
        <w:rPr>
          <w:rFonts w:ascii="Times New Roman" w:hAnsi="Times New Roman" w:cs="Times New Roman"/>
          <w:color w:val="000000" w:themeColor="text1"/>
          <w:sz w:val="24"/>
          <w:szCs w:val="24"/>
        </w:rPr>
        <w:t>hypotension</w:t>
      </w:r>
      <w:proofErr w:type="gramEnd"/>
      <w:r w:rsidRPr="00CB6B8A">
        <w:rPr>
          <w:rFonts w:ascii="Times New Roman" w:hAnsi="Times New Roman" w:cs="Times New Roman"/>
          <w:color w:val="000000" w:themeColor="text1"/>
          <w:sz w:val="24"/>
          <w:szCs w:val="24"/>
        </w:rPr>
        <w:t xml:space="preserve"> and anaphylaxis and trained in the proper recognition and management of these serious reactions. If these symptoms occur, they should be advised to discontinue use of the product immediately, initiate appropriate treatment, and seek urgent medical attention. In the case of anaphylactic shock, the current medical standards for shock treatment should be implemented. Rarely, human normal immunoglobulin can induce an anaphylactic reaction with a fall in blood pressure, even in patients who had tolerated previous treatment with human normal immunoglobulin. Patients with antibodies to IgA may be at increased risk of anaphylactic reaction.</w:t>
      </w:r>
    </w:p>
    <w:p w14:paraId="3C43361A"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797F5650" w14:textId="28DCCCD6"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Serious warning</w:t>
      </w:r>
    </w:p>
    <w:p w14:paraId="1E418090" w14:textId="77777777" w:rsidR="00140D87" w:rsidRPr="00140D87" w:rsidRDefault="00140D87" w:rsidP="00140D87">
      <w:pPr>
        <w:spacing w:after="0" w:line="240" w:lineRule="auto"/>
      </w:pPr>
    </w:p>
    <w:p w14:paraId="251F3738" w14:textId="03EA6491" w:rsidR="00CB6B8A" w:rsidRPr="00CB6B8A" w:rsidRDefault="00140D87" w:rsidP="00CB6B8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Intravenously administered normal i</w:t>
      </w:r>
      <w:r w:rsidR="00CB6B8A" w:rsidRPr="00CB6B8A">
        <w:rPr>
          <w:rFonts w:ascii="Times New Roman" w:hAnsi="Times New Roman" w:cs="Times New Roman"/>
          <w:color w:val="000000" w:themeColor="text1"/>
          <w:sz w:val="24"/>
          <w:szCs w:val="24"/>
        </w:rPr>
        <w:t>mmunoglobulin (human) products have been reported to be associated with renal adverse reactions including renal dysfunction, acute renal failure, acute tubular necrosis, proximal tubular nephropathy, osmotic nephrosis, and death. Patients predisposed to acute renal failure include patients with any degree of pre-existing renal insufficien</w:t>
      </w:r>
      <w:r w:rsidR="00CB6B8A" w:rsidRPr="00CB6B8A">
        <w:rPr>
          <w:rFonts w:ascii="Times New Roman" w:hAnsi="Times New Roman" w:cs="Times New Roman" w:hint="eastAsia"/>
          <w:color w:val="000000" w:themeColor="text1"/>
          <w:sz w:val="24"/>
          <w:szCs w:val="24"/>
        </w:rPr>
        <w:t>cy</w:t>
      </w:r>
      <w:r w:rsidR="00CB6B8A" w:rsidRPr="00CB6B8A">
        <w:rPr>
          <w:rFonts w:ascii="Times New Roman" w:hAnsi="Times New Roman" w:cs="Times New Roman"/>
          <w:color w:val="000000" w:themeColor="text1"/>
          <w:sz w:val="24"/>
          <w:szCs w:val="24"/>
        </w:rPr>
        <w:t xml:space="preserve">, diabetes mellitus, age greater than 65 years, volume depletion, sepsis, </w:t>
      </w:r>
      <w:r w:rsidR="00CB6B8A" w:rsidRPr="00CB6B8A">
        <w:rPr>
          <w:rFonts w:ascii="Times New Roman" w:hAnsi="Times New Roman" w:cs="Times New Roman"/>
          <w:color w:val="000000" w:themeColor="text1"/>
          <w:sz w:val="24"/>
          <w:szCs w:val="24"/>
        </w:rPr>
        <w:lastRenderedPageBreak/>
        <w:t>paraproteinemia, or patients receiving known nephrotoxic drugs. Especially in such patients, adequate hydration is essential and IVIG products should be administered at the minimum concentration available and the minimum rate of infusion practicable. While these reports of renal dysfunction and acute renal failure have been associated with the use of many of the licensed IVIG products, those containing sucrose as a stabiliser accounted for a disproportionate share of the total number.</w:t>
      </w:r>
    </w:p>
    <w:p w14:paraId="3996386F"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52FFD30A" w14:textId="060987F5"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Formulation of KIOVIG, IgG 10% solution </w:t>
      </w:r>
      <w:r w:rsidR="00ED06FD" w:rsidRPr="00CB6B8A">
        <w:rPr>
          <w:rFonts w:ascii="Times New Roman" w:hAnsi="Times New Roman" w:cs="Times New Roman"/>
          <w:color w:val="000000" w:themeColor="text1"/>
          <w:sz w:val="24"/>
          <w:szCs w:val="24"/>
        </w:rPr>
        <w:t>use</w:t>
      </w:r>
      <w:r w:rsidR="00ED06FD">
        <w:rPr>
          <w:rFonts w:ascii="Times New Roman" w:hAnsi="Times New Roman" w:cs="Times New Roman"/>
          <w:color w:val="000000" w:themeColor="text1"/>
          <w:sz w:val="24"/>
          <w:szCs w:val="24"/>
        </w:rPr>
        <w:t>s</w:t>
      </w:r>
      <w:r w:rsidR="00ED06FD" w:rsidRPr="00CB6B8A">
        <w:rPr>
          <w:rFonts w:ascii="Times New Roman" w:hAnsi="Times New Roman" w:cs="Times New Roman"/>
          <w:color w:val="000000" w:themeColor="text1"/>
          <w:sz w:val="24"/>
          <w:szCs w:val="24"/>
        </w:rPr>
        <w:t xml:space="preserve"> </w:t>
      </w:r>
      <w:r w:rsidRPr="00CB6B8A">
        <w:rPr>
          <w:rFonts w:ascii="Times New Roman" w:hAnsi="Times New Roman" w:cs="Times New Roman"/>
          <w:color w:val="000000" w:themeColor="text1"/>
          <w:sz w:val="24"/>
          <w:szCs w:val="24"/>
        </w:rPr>
        <w:t>glycine, an amino acid as a stabiliser and it does not contain sucrose. The physician should discuss the risks and benefits of this product with the patient.</w:t>
      </w:r>
    </w:p>
    <w:p w14:paraId="3B5002DF"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078AEF7F" w14:textId="10B44612"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Renal function</w:t>
      </w:r>
    </w:p>
    <w:p w14:paraId="706D218B" w14:textId="77777777" w:rsidR="00140D87" w:rsidRPr="00140D87" w:rsidRDefault="00140D87" w:rsidP="00140D87">
      <w:pPr>
        <w:spacing w:after="0" w:line="240" w:lineRule="auto"/>
      </w:pPr>
    </w:p>
    <w:p w14:paraId="78127D60" w14:textId="1F604ADC"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Periodic monitoring of renal function tests and urine output is particularly important in patients judged to have a potential increased risk for developing acute renal failure. Assure that patients are not volume depleted prior to the initiation of infusion of KIOVIG. Renal function, including measurement of blood urea nitrogen (BUN)/serum creatinine, should be assessed prior to the initial infusion of IVIG products and again at appropriate intervals thereafter. If renal function deteriorates, discontinuation of the product should be considered. </w:t>
      </w:r>
    </w:p>
    <w:p w14:paraId="7860CC73"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34904C4B"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Severe renal adverse reactions have been reported in patients receiving </w:t>
      </w:r>
      <w:r w:rsidRPr="00CB6B8A">
        <w:rPr>
          <w:rFonts w:ascii="Times New Roman" w:hAnsi="Times New Roman" w:cs="Times New Roman" w:hint="eastAsia"/>
          <w:color w:val="000000" w:themeColor="text1"/>
          <w:sz w:val="24"/>
          <w:szCs w:val="24"/>
        </w:rPr>
        <w:t>IV</w:t>
      </w:r>
      <w:r w:rsidRPr="00CB6B8A">
        <w:rPr>
          <w:rFonts w:ascii="Times New Roman" w:hAnsi="Times New Roman" w:cs="Times New Roman"/>
          <w:color w:val="000000" w:themeColor="text1"/>
          <w:sz w:val="24"/>
          <w:szCs w:val="24"/>
        </w:rPr>
        <w:t>IG</w:t>
      </w:r>
      <w:r w:rsidRPr="00CB6B8A">
        <w:rPr>
          <w:rFonts w:ascii="Times New Roman" w:hAnsi="Times New Roman" w:cs="Times New Roman" w:hint="eastAsia"/>
          <w:color w:val="000000" w:themeColor="text1"/>
          <w:sz w:val="24"/>
          <w:szCs w:val="24"/>
        </w:rPr>
        <w:t xml:space="preserve"> </w:t>
      </w:r>
      <w:r w:rsidRPr="00CB6B8A">
        <w:rPr>
          <w:rFonts w:ascii="Times New Roman" w:hAnsi="Times New Roman" w:cs="Times New Roman"/>
          <w:color w:val="000000" w:themeColor="text1"/>
          <w:sz w:val="24"/>
          <w:szCs w:val="24"/>
        </w:rPr>
        <w:t>treatment</w:t>
      </w:r>
      <w:r w:rsidRPr="00CB6B8A">
        <w:rPr>
          <w:rFonts w:ascii="Times New Roman" w:hAnsi="Times New Roman" w:cs="Times New Roman" w:hint="eastAsia"/>
          <w:color w:val="000000" w:themeColor="text1"/>
          <w:sz w:val="24"/>
          <w:szCs w:val="24"/>
        </w:rPr>
        <w:t xml:space="preserve"> </w:t>
      </w:r>
      <w:r w:rsidRPr="00CB6B8A">
        <w:rPr>
          <w:rFonts w:ascii="Times New Roman" w:hAnsi="Times New Roman" w:cs="Times New Roman"/>
          <w:color w:val="000000" w:themeColor="text1"/>
          <w:sz w:val="24"/>
          <w:szCs w:val="24"/>
        </w:rPr>
        <w:t xml:space="preserve">and are theoretically possible following subcutaneous administration, particularly </w:t>
      </w:r>
      <w:r w:rsidRPr="00CB6B8A">
        <w:rPr>
          <w:rFonts w:ascii="Times New Roman" w:hAnsi="Times New Roman" w:cs="Times New Roman" w:hint="eastAsia"/>
          <w:color w:val="000000" w:themeColor="text1"/>
          <w:sz w:val="24"/>
          <w:szCs w:val="24"/>
        </w:rPr>
        <w:t xml:space="preserve">when using </w:t>
      </w:r>
      <w:r w:rsidRPr="00CB6B8A">
        <w:rPr>
          <w:rFonts w:ascii="Times New Roman" w:hAnsi="Times New Roman" w:cs="Times New Roman"/>
          <w:color w:val="000000" w:themeColor="text1"/>
          <w:sz w:val="24"/>
          <w:szCs w:val="24"/>
        </w:rPr>
        <w:t xml:space="preserve">those products containing sucrose (KIOVIG does not contain sucrose). These include acute renal failure (including KIOVIG administered intravenously), acute tubular necrosis, proximal tubular </w:t>
      </w:r>
      <w:proofErr w:type="gramStart"/>
      <w:r w:rsidRPr="00CB6B8A">
        <w:rPr>
          <w:rFonts w:ascii="Times New Roman" w:hAnsi="Times New Roman" w:cs="Times New Roman"/>
          <w:color w:val="000000" w:themeColor="text1"/>
          <w:sz w:val="24"/>
          <w:szCs w:val="24"/>
        </w:rPr>
        <w:t>nephropathy</w:t>
      </w:r>
      <w:proofErr w:type="gramEnd"/>
      <w:r w:rsidRPr="00CB6B8A">
        <w:rPr>
          <w:rFonts w:ascii="Times New Roman" w:hAnsi="Times New Roman" w:cs="Times New Roman"/>
          <w:color w:val="000000" w:themeColor="text1"/>
          <w:sz w:val="24"/>
          <w:szCs w:val="24"/>
        </w:rPr>
        <w:t xml:space="preserve"> and osmotic nephrosis.</w:t>
      </w:r>
    </w:p>
    <w:p w14:paraId="1ECB9E1C"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047D48E1" w14:textId="78EDFC29"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Haemolysis</w:t>
      </w:r>
    </w:p>
    <w:p w14:paraId="5AAD14EB" w14:textId="77777777" w:rsidR="00140D87" w:rsidRPr="00140D87" w:rsidRDefault="00140D87" w:rsidP="00140D87">
      <w:pPr>
        <w:spacing w:after="0" w:line="240" w:lineRule="auto"/>
      </w:pPr>
    </w:p>
    <w:p w14:paraId="556195C3"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KIOVIG, contains blood group antibodies that may act as haemolysins and induce </w:t>
      </w:r>
      <w:r w:rsidRPr="00745013">
        <w:rPr>
          <w:rFonts w:ascii="Times New Roman" w:hAnsi="Times New Roman" w:cs="Times New Roman"/>
          <w:i/>
          <w:color w:val="000000" w:themeColor="text1"/>
          <w:sz w:val="24"/>
          <w:szCs w:val="24"/>
        </w:rPr>
        <w:t>in vivo</w:t>
      </w:r>
      <w:r w:rsidRPr="00CB6B8A">
        <w:rPr>
          <w:rFonts w:ascii="Times New Roman" w:hAnsi="Times New Roman" w:cs="Times New Roman"/>
          <w:color w:val="000000" w:themeColor="text1"/>
          <w:sz w:val="24"/>
          <w:szCs w:val="24"/>
        </w:rPr>
        <w:t xml:space="preserve"> coating of red blood cells (RBC) with immune globulin. This may cause a positive direct antiglobulin test (DAT) (Coombs’ test). Delayed haemolytic anaemia can develop </w:t>
      </w:r>
      <w:proofErr w:type="gramStart"/>
      <w:r w:rsidRPr="00CB6B8A">
        <w:rPr>
          <w:rFonts w:ascii="Times New Roman" w:hAnsi="Times New Roman" w:cs="Times New Roman"/>
          <w:color w:val="000000" w:themeColor="text1"/>
          <w:sz w:val="24"/>
          <w:szCs w:val="24"/>
        </w:rPr>
        <w:t>subsequent to</w:t>
      </w:r>
      <w:proofErr w:type="gramEnd"/>
      <w:r w:rsidRPr="00CB6B8A">
        <w:rPr>
          <w:rFonts w:ascii="Times New Roman" w:hAnsi="Times New Roman" w:cs="Times New Roman"/>
          <w:color w:val="000000" w:themeColor="text1"/>
          <w:sz w:val="24"/>
          <w:szCs w:val="24"/>
        </w:rPr>
        <w:t xml:space="preserve"> KIOVIG therapy due to enhanced RBC sequestration; acute haemolysis, consistent with intravascular haemolysis, has been reported.  </w:t>
      </w:r>
    </w:p>
    <w:p w14:paraId="1BBB3242"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7783CE56"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The following risk factors may be related to the development of haemolysis: high doses (single administration or divided over several days) and non-O blood group. Underlying inflammatory state in an individual patient may increase the risk of haemolysis but its role is uncertain.</w:t>
      </w:r>
    </w:p>
    <w:p w14:paraId="168FBA92"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22F53A26"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If signs and/or symptoms of haemolysis are present after KIOVIG infusion, appropriate confirmatory laboratory testing should be done.</w:t>
      </w:r>
    </w:p>
    <w:p w14:paraId="1498A36E" w14:textId="3EC26B3C" w:rsidR="000570B9" w:rsidRDefault="000570B9" w:rsidP="00140D87">
      <w:pPr>
        <w:pStyle w:val="Heading3"/>
        <w:spacing w:before="0" w:line="240" w:lineRule="auto"/>
        <w:ind w:left="0"/>
        <w:rPr>
          <w:rFonts w:ascii="Times New Roman" w:hAnsi="Times New Roman" w:cs="Times New Roman"/>
          <w:color w:val="000000" w:themeColor="text1"/>
          <w:sz w:val="24"/>
          <w:szCs w:val="24"/>
        </w:rPr>
      </w:pPr>
    </w:p>
    <w:p w14:paraId="724B9DDE" w14:textId="6ED24B1E" w:rsidR="00CB6B8A" w:rsidRDefault="00F73EBA" w:rsidP="00140D87">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Thrombotic and t</w:t>
      </w:r>
      <w:r w:rsidR="00CB6B8A" w:rsidRPr="00CB6B8A">
        <w:rPr>
          <w:rFonts w:ascii="Times New Roman" w:hAnsi="Times New Roman" w:cs="Times New Roman"/>
          <w:color w:val="000000" w:themeColor="text1"/>
          <w:sz w:val="24"/>
          <w:szCs w:val="24"/>
        </w:rPr>
        <w:t xml:space="preserve">hromboembolic </w:t>
      </w:r>
      <w:r>
        <w:rPr>
          <w:rFonts w:ascii="Times New Roman" w:hAnsi="Times New Roman" w:cs="Times New Roman"/>
          <w:color w:val="000000" w:themeColor="text1"/>
          <w:sz w:val="24"/>
          <w:szCs w:val="24"/>
        </w:rPr>
        <w:t>e</w:t>
      </w:r>
      <w:r w:rsidR="00CB6B8A" w:rsidRPr="00CB6B8A">
        <w:rPr>
          <w:rFonts w:ascii="Times New Roman" w:hAnsi="Times New Roman" w:cs="Times New Roman"/>
          <w:color w:val="000000" w:themeColor="text1"/>
          <w:sz w:val="24"/>
          <w:szCs w:val="24"/>
        </w:rPr>
        <w:t>vents</w:t>
      </w:r>
    </w:p>
    <w:p w14:paraId="6CE70C70" w14:textId="77777777" w:rsidR="00140D87" w:rsidRPr="00140D87" w:rsidRDefault="00140D87" w:rsidP="00715CED">
      <w:pPr>
        <w:spacing w:after="0" w:line="240" w:lineRule="auto"/>
      </w:pPr>
    </w:p>
    <w:p w14:paraId="59F4314D" w14:textId="5220BACF"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Thrombotic and thromboembolic events have been reported in association with IV</w:t>
      </w:r>
      <w:r w:rsidR="00D226C4">
        <w:rPr>
          <w:rFonts w:ascii="Times New Roman" w:hAnsi="Times New Roman" w:cs="Times New Roman"/>
          <w:color w:val="000000" w:themeColor="text1"/>
          <w:sz w:val="24"/>
          <w:szCs w:val="24"/>
        </w:rPr>
        <w:t>IG</w:t>
      </w:r>
      <w:r w:rsidRPr="00CB6B8A">
        <w:rPr>
          <w:rFonts w:ascii="Times New Roman" w:hAnsi="Times New Roman" w:cs="Times New Roman"/>
          <w:color w:val="000000" w:themeColor="text1"/>
          <w:sz w:val="24"/>
          <w:szCs w:val="24"/>
        </w:rPr>
        <w:t xml:space="preserve"> treatment (including KIOVIG administered intravenously</w:t>
      </w:r>
      <w:proofErr w:type="gramStart"/>
      <w:r w:rsidRPr="00CB6B8A">
        <w:rPr>
          <w:rFonts w:ascii="Times New Roman" w:hAnsi="Times New Roman" w:cs="Times New Roman"/>
          <w:color w:val="000000" w:themeColor="text1"/>
          <w:sz w:val="24"/>
          <w:szCs w:val="24"/>
        </w:rPr>
        <w:t>)</w:t>
      </w:r>
      <w:r w:rsidRPr="00CB6B8A">
        <w:rPr>
          <w:rFonts w:ascii="Times New Roman" w:hAnsi="Times New Roman" w:cs="Times New Roman" w:hint="eastAsia"/>
          <w:color w:val="000000" w:themeColor="text1"/>
          <w:sz w:val="24"/>
          <w:szCs w:val="24"/>
        </w:rPr>
        <w:t xml:space="preserve">, </w:t>
      </w:r>
      <w:r w:rsidRPr="00CB6B8A">
        <w:rPr>
          <w:rFonts w:ascii="Times New Roman" w:hAnsi="Times New Roman" w:cs="Times New Roman"/>
          <w:color w:val="000000" w:themeColor="text1"/>
          <w:sz w:val="24"/>
          <w:szCs w:val="24"/>
        </w:rPr>
        <w:t>and</w:t>
      </w:r>
      <w:proofErr w:type="gramEnd"/>
      <w:r w:rsidRPr="00CB6B8A">
        <w:rPr>
          <w:rFonts w:ascii="Times New Roman" w:hAnsi="Times New Roman" w:cs="Times New Roman"/>
          <w:color w:val="000000" w:themeColor="text1"/>
          <w:sz w:val="24"/>
          <w:szCs w:val="24"/>
        </w:rPr>
        <w:t xml:space="preserve"> are possible following subcutaneous administration</w:t>
      </w:r>
      <w:r w:rsidRPr="00CB6B8A">
        <w:rPr>
          <w:rFonts w:ascii="Times New Roman" w:hAnsi="Times New Roman" w:cs="Times New Roman" w:hint="eastAsia"/>
          <w:color w:val="000000" w:themeColor="text1"/>
          <w:sz w:val="24"/>
          <w:szCs w:val="24"/>
        </w:rPr>
        <w:t>. These</w:t>
      </w:r>
      <w:r w:rsidRPr="00CB6B8A">
        <w:rPr>
          <w:rFonts w:ascii="Times New Roman" w:hAnsi="Times New Roman" w:cs="Times New Roman"/>
          <w:color w:val="000000" w:themeColor="text1"/>
          <w:sz w:val="24"/>
          <w:szCs w:val="24"/>
        </w:rPr>
        <w:t xml:space="preserve"> </w:t>
      </w:r>
      <w:r w:rsidRPr="00CB6B8A">
        <w:rPr>
          <w:rFonts w:ascii="Times New Roman" w:hAnsi="Times New Roman" w:cs="Times New Roman" w:hint="eastAsia"/>
          <w:color w:val="000000" w:themeColor="text1"/>
          <w:sz w:val="24"/>
          <w:szCs w:val="24"/>
        </w:rPr>
        <w:t>include</w:t>
      </w:r>
      <w:r w:rsidRPr="00CB6B8A">
        <w:rPr>
          <w:rFonts w:ascii="Times New Roman" w:hAnsi="Times New Roman" w:cs="Times New Roman"/>
          <w:color w:val="000000" w:themeColor="text1"/>
          <w:sz w:val="24"/>
          <w:szCs w:val="24"/>
        </w:rPr>
        <w:t xml:space="preserve"> myocardial infarction, cerebral vascular accident, deep vein thrombosis and pulmonary embolism (</w:t>
      </w:r>
      <w:r w:rsidR="00B714CF" w:rsidRPr="00BC377C">
        <w:rPr>
          <w:rFonts w:ascii="Times New Roman" w:hAnsi="Times New Roman" w:cs="Times New Roman"/>
          <w:color w:val="000000" w:themeColor="text1"/>
          <w:sz w:val="24"/>
          <w:szCs w:val="24"/>
        </w:rPr>
        <w:t xml:space="preserve">see </w:t>
      </w:r>
      <w:r w:rsidR="00B714CF">
        <w:rPr>
          <w:rFonts w:ascii="Times New Roman" w:hAnsi="Times New Roman" w:cs="Times New Roman"/>
          <w:color w:val="000000" w:themeColor="text1"/>
          <w:sz w:val="24"/>
          <w:szCs w:val="24"/>
        </w:rPr>
        <w:t>Section 4.8 ADVERSE EFFECTS</w:t>
      </w:r>
      <w:r w:rsidR="00AB4584">
        <w:rPr>
          <w:rFonts w:ascii="Times New Roman" w:hAnsi="Times New Roman" w:cs="Times New Roman"/>
          <w:color w:val="000000" w:themeColor="text1"/>
          <w:sz w:val="24"/>
          <w:szCs w:val="24"/>
        </w:rPr>
        <w:t xml:space="preserve"> (UNDESIRABLE EFFECTS)</w:t>
      </w:r>
      <w:r w:rsidRPr="00CB6B8A">
        <w:rPr>
          <w:rFonts w:ascii="Times New Roman" w:hAnsi="Times New Roman" w:cs="Times New Roman"/>
          <w:color w:val="000000" w:themeColor="text1"/>
          <w:sz w:val="24"/>
          <w:szCs w:val="24"/>
        </w:rPr>
        <w:t xml:space="preserve">). Thrombotic events have also been reported with subcutaneous administration of immunoglobulin. Patients at risk may include those with a </w:t>
      </w:r>
      <w:r w:rsidRPr="00CB6B8A">
        <w:rPr>
          <w:rFonts w:ascii="Times New Roman" w:hAnsi="Times New Roman" w:cs="Times New Roman"/>
          <w:color w:val="000000" w:themeColor="text1"/>
          <w:sz w:val="24"/>
          <w:szCs w:val="24"/>
        </w:rPr>
        <w:lastRenderedPageBreak/>
        <w:t xml:space="preserve">history of atherosclerosis, multiple cardiovascular risk factors, advanced age, impaired cardiac output, and/or known or suspected hyperviscosity, hypercoagulable disorders and prolonged periods of immobilisation, obesity, diabetes mellitus, acquired or inherited </w:t>
      </w:r>
      <w:proofErr w:type="spellStart"/>
      <w:r w:rsidRPr="00CB6B8A">
        <w:rPr>
          <w:rFonts w:ascii="Times New Roman" w:hAnsi="Times New Roman" w:cs="Times New Roman"/>
          <w:color w:val="000000" w:themeColor="text1"/>
          <w:sz w:val="24"/>
          <w:szCs w:val="24"/>
        </w:rPr>
        <w:t>thrombophilic</w:t>
      </w:r>
      <w:proofErr w:type="spellEnd"/>
      <w:r w:rsidRPr="00CB6B8A">
        <w:rPr>
          <w:rFonts w:ascii="Times New Roman" w:hAnsi="Times New Roman" w:cs="Times New Roman"/>
          <w:color w:val="000000" w:themeColor="text1"/>
          <w:sz w:val="24"/>
          <w:szCs w:val="24"/>
        </w:rPr>
        <w:t xml:space="preserve"> disorder, a history of vascular disease and a history of a previous thrombotic or thromboembolic event. The potential risks and benefits of IVIG should be weighed against those of alternative therapies for all patients for whom IVIG administration is being considered. Baseline assessment of blood viscosity should be considered in patients at risk for hyperviscosity, including those with cryoglobulins, fasting chylomicronemia/markedly high triacylglycerols (triglycerides).</w:t>
      </w:r>
    </w:p>
    <w:p w14:paraId="08144725" w14:textId="6AB07CD6" w:rsidR="00CB6B8A" w:rsidRPr="00CB6B8A" w:rsidRDefault="00CB6B8A" w:rsidP="00CB6B8A">
      <w:pPr>
        <w:spacing w:after="0" w:line="240" w:lineRule="auto"/>
        <w:rPr>
          <w:rFonts w:ascii="Times New Roman" w:hAnsi="Times New Roman" w:cs="Times New Roman"/>
          <w:color w:val="000000" w:themeColor="text1"/>
          <w:sz w:val="24"/>
          <w:szCs w:val="24"/>
        </w:rPr>
      </w:pPr>
    </w:p>
    <w:p w14:paraId="0CFA06B3" w14:textId="28CE85F2"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Aseptic meningitis syndrome</w:t>
      </w:r>
    </w:p>
    <w:p w14:paraId="5433546D" w14:textId="77777777" w:rsidR="00140D87" w:rsidRPr="00140D87" w:rsidRDefault="00140D87" w:rsidP="00140D87">
      <w:pPr>
        <w:spacing w:after="0" w:line="240" w:lineRule="auto"/>
      </w:pPr>
    </w:p>
    <w:p w14:paraId="6EDFB39A" w14:textId="05791D0E"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An aseptic meningitis syndrome (AMS) has been reported to occur in association with immunoglobulin treatment (including KIOVIG administered intravenously). Discontinuation of IVIG treatment has resulted in remission of AMS within several days without sequelae. The syndrome usually begins within several hours to two days following IVIG treatment. It is characterised by symptoms and signs including severe headache, nuchal rigidity, drowsiness, fever, photophobia, painful eye movements, and nausea and vomiting. Cerebrospinal fluid (CSF) studies are frequently positive with pleocytosis up to several thousand cells per cubic mm, predominantly from the granulocytic series, and elevated protein levels up to several hundred mg/dL. Patients exhibiting such symptoms and signs should receive a thorough neurological examination, including CSF studies, to rule out other causes of meningitis. AMS may occur more frequently in association with high dose (2 g/kg) IVIG treatment.</w:t>
      </w:r>
    </w:p>
    <w:p w14:paraId="16FA0C17"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11AE8C79"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AMS may occur more frequently in female patients.</w:t>
      </w:r>
    </w:p>
    <w:p w14:paraId="528A0F1F" w14:textId="77777777" w:rsidR="00C44986" w:rsidRDefault="00C44986" w:rsidP="00140D87">
      <w:pPr>
        <w:pStyle w:val="Heading3"/>
        <w:spacing w:before="0" w:line="240" w:lineRule="auto"/>
        <w:ind w:left="0"/>
        <w:rPr>
          <w:rFonts w:ascii="Times New Roman" w:hAnsi="Times New Roman" w:cs="Times New Roman"/>
          <w:color w:val="000000" w:themeColor="text1"/>
          <w:sz w:val="24"/>
          <w:szCs w:val="24"/>
        </w:rPr>
      </w:pPr>
    </w:p>
    <w:p w14:paraId="3FAC7A96" w14:textId="36B1800C"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IgA d</w:t>
      </w:r>
      <w:r w:rsidRPr="00CB6B8A">
        <w:rPr>
          <w:rFonts w:ascii="Times New Roman" w:hAnsi="Times New Roman" w:cs="Times New Roman"/>
          <w:color w:val="000000" w:themeColor="text1"/>
          <w:sz w:val="24"/>
          <w:szCs w:val="24"/>
        </w:rPr>
        <w:t>eficiency</w:t>
      </w:r>
    </w:p>
    <w:p w14:paraId="3EBDD4FC" w14:textId="77777777" w:rsidR="00140D87" w:rsidRPr="00140D87" w:rsidRDefault="00140D87" w:rsidP="00140D87">
      <w:pPr>
        <w:spacing w:after="0" w:line="240" w:lineRule="auto"/>
      </w:pPr>
    </w:p>
    <w:p w14:paraId="56E7A9A1" w14:textId="33D6B714" w:rsidR="00CB6B8A" w:rsidRPr="00CB6B8A" w:rsidRDefault="00AD6852" w:rsidP="00CB6B8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KIOVIG</w:t>
      </w:r>
      <w:r w:rsidRPr="00CB6B8A">
        <w:rPr>
          <w:rFonts w:ascii="Times New Roman" w:hAnsi="Times New Roman" w:cs="Times New Roman"/>
          <w:color w:val="000000" w:themeColor="text1"/>
          <w:sz w:val="24"/>
          <w:szCs w:val="24"/>
        </w:rPr>
        <w:t xml:space="preserve"> </w:t>
      </w:r>
      <w:r w:rsidR="00CB6B8A" w:rsidRPr="00CB6B8A">
        <w:rPr>
          <w:rFonts w:ascii="Times New Roman" w:hAnsi="Times New Roman" w:cs="Times New Roman"/>
          <w:color w:val="000000" w:themeColor="text1"/>
          <w:sz w:val="24"/>
          <w:szCs w:val="24"/>
        </w:rPr>
        <w:t>is not indicated in patients with IgA deficiency where the IgA deficiency is the only abnormality of concern. These patients should be treated only if their IgA deficiency is associated with an immune deficiency for which therapy with intravenous immunoglobulin is clearly indicated.</w:t>
      </w:r>
    </w:p>
    <w:p w14:paraId="106356DD"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4E0819CD" w14:textId="2D13FED8"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Noncardiogenic pulmonary oedema</w:t>
      </w:r>
    </w:p>
    <w:p w14:paraId="3711BD63" w14:textId="77777777" w:rsidR="00140D87" w:rsidRPr="00140D87" w:rsidRDefault="00140D87" w:rsidP="00140D87">
      <w:pPr>
        <w:spacing w:after="0" w:line="240" w:lineRule="auto"/>
      </w:pPr>
    </w:p>
    <w:p w14:paraId="27D2AC2F"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There have been reports of noncardiogenic pulmonary oedema or Transfusion Related Acute Lung Injury (TRALI), in patients administered IVIG (including KIOVIG administered intravenously).</w:t>
      </w:r>
    </w:p>
    <w:p w14:paraId="58245154"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0450DD95" w14:textId="57EC46F1"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Paediatric use</w:t>
      </w:r>
    </w:p>
    <w:p w14:paraId="666F88A4" w14:textId="77777777" w:rsidR="00140D87" w:rsidRPr="00140D87" w:rsidRDefault="00140D87" w:rsidP="00140D87">
      <w:pPr>
        <w:spacing w:after="0" w:line="240" w:lineRule="auto"/>
      </w:pPr>
    </w:p>
    <w:p w14:paraId="2D515D58" w14:textId="68083F35"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The safety and effectiveness of KIOVIG have been established in the age groups 2 to 16.  Use of KIOVIG in these age groups is supported by evidence from adequate and well-controlled studies of KIOVIG including paediatric subjects. KIOVIG administered intravenously was evaluated in 15 paediatric subjects with PID (7 were 2 to &lt;12 years old and 8 were 12 to &lt;16) in a </w:t>
      </w:r>
      <w:r w:rsidR="00B41586" w:rsidRPr="00CB6B8A">
        <w:rPr>
          <w:rFonts w:ascii="Times New Roman" w:hAnsi="Times New Roman" w:cs="Times New Roman"/>
          <w:color w:val="000000" w:themeColor="text1"/>
          <w:sz w:val="24"/>
          <w:szCs w:val="24"/>
        </w:rPr>
        <w:t>multicent</w:t>
      </w:r>
      <w:r w:rsidR="00B41586">
        <w:rPr>
          <w:rFonts w:ascii="Times New Roman" w:hAnsi="Times New Roman" w:cs="Times New Roman"/>
          <w:color w:val="000000" w:themeColor="text1"/>
          <w:sz w:val="24"/>
          <w:szCs w:val="24"/>
        </w:rPr>
        <w:t>re</w:t>
      </w:r>
      <w:r w:rsidR="00B41586" w:rsidRPr="00CB6B8A">
        <w:rPr>
          <w:rFonts w:ascii="Times New Roman" w:hAnsi="Times New Roman" w:cs="Times New Roman"/>
          <w:color w:val="000000" w:themeColor="text1"/>
          <w:sz w:val="24"/>
          <w:szCs w:val="24"/>
        </w:rPr>
        <w:t xml:space="preserve"> </w:t>
      </w:r>
      <w:r w:rsidRPr="00CB6B8A">
        <w:rPr>
          <w:rFonts w:ascii="Times New Roman" w:hAnsi="Times New Roman" w:cs="Times New Roman"/>
          <w:color w:val="000000" w:themeColor="text1"/>
          <w:sz w:val="24"/>
          <w:szCs w:val="24"/>
        </w:rPr>
        <w:t xml:space="preserve">clinical study.  KIOVIG administered subcutaneously was evaluated in 18 paediatric subjects with PID (14 were 2 to &lt;12 years old and 4 were 12 to &lt;16) in another </w:t>
      </w:r>
      <w:r w:rsidR="00B41586" w:rsidRPr="00CB6B8A">
        <w:rPr>
          <w:rFonts w:ascii="Times New Roman" w:hAnsi="Times New Roman" w:cs="Times New Roman"/>
          <w:color w:val="000000" w:themeColor="text1"/>
          <w:sz w:val="24"/>
          <w:szCs w:val="24"/>
        </w:rPr>
        <w:t>multicent</w:t>
      </w:r>
      <w:r w:rsidR="00B41586">
        <w:rPr>
          <w:rFonts w:ascii="Times New Roman" w:hAnsi="Times New Roman" w:cs="Times New Roman"/>
          <w:color w:val="000000" w:themeColor="text1"/>
          <w:sz w:val="24"/>
          <w:szCs w:val="24"/>
        </w:rPr>
        <w:t>re</w:t>
      </w:r>
      <w:r w:rsidR="00B41586" w:rsidRPr="00CB6B8A">
        <w:rPr>
          <w:rFonts w:ascii="Times New Roman" w:hAnsi="Times New Roman" w:cs="Times New Roman"/>
          <w:color w:val="000000" w:themeColor="text1"/>
          <w:sz w:val="24"/>
          <w:szCs w:val="24"/>
        </w:rPr>
        <w:t xml:space="preserve"> </w:t>
      </w:r>
      <w:r w:rsidRPr="00CB6B8A">
        <w:rPr>
          <w:rFonts w:ascii="Times New Roman" w:hAnsi="Times New Roman" w:cs="Times New Roman"/>
          <w:color w:val="000000" w:themeColor="text1"/>
          <w:sz w:val="24"/>
          <w:szCs w:val="24"/>
        </w:rPr>
        <w:t>clinical study (</w:t>
      </w:r>
      <w:r w:rsidR="00B714CF">
        <w:rPr>
          <w:rFonts w:ascii="Times New Roman" w:hAnsi="Times New Roman" w:cs="Times New Roman"/>
          <w:color w:val="000000" w:themeColor="text1"/>
          <w:sz w:val="24"/>
          <w:szCs w:val="24"/>
        </w:rPr>
        <w:t xml:space="preserve">See Section 5.1 </w:t>
      </w:r>
      <w:r w:rsidR="00B714CF" w:rsidRPr="00B714CF">
        <w:rPr>
          <w:rFonts w:ascii="Times New Roman" w:hAnsi="Times New Roman" w:cs="Times New Roman"/>
          <w:color w:val="000000" w:themeColor="text1"/>
          <w:sz w:val="24"/>
          <w:szCs w:val="24"/>
        </w:rPr>
        <w:t>PHARMACODYNAMIC PROPERTIES/Clinical trials</w:t>
      </w:r>
      <w:r w:rsidRPr="00CB6B8A">
        <w:rPr>
          <w:rFonts w:ascii="Times New Roman" w:hAnsi="Times New Roman" w:cs="Times New Roman"/>
          <w:color w:val="000000" w:themeColor="text1"/>
          <w:sz w:val="24"/>
          <w:szCs w:val="24"/>
        </w:rPr>
        <w:t xml:space="preserve">). There were no differences in the safety and efficacy profiles as </w:t>
      </w:r>
      <w:r w:rsidRPr="00CB6B8A">
        <w:rPr>
          <w:rFonts w:ascii="Times New Roman" w:hAnsi="Times New Roman" w:cs="Times New Roman"/>
          <w:color w:val="000000" w:themeColor="text1"/>
          <w:sz w:val="24"/>
          <w:szCs w:val="24"/>
        </w:rPr>
        <w:lastRenderedPageBreak/>
        <w:t>compared with adult subjects. No paediatric-specific dose requirements were necessary to achieve the desired serum IgG levels.</w:t>
      </w:r>
    </w:p>
    <w:p w14:paraId="2576C5FF" w14:textId="1EBBA396" w:rsidR="00CB6B8A" w:rsidRPr="00CB6B8A" w:rsidRDefault="00CB6B8A" w:rsidP="00CB6B8A">
      <w:pPr>
        <w:spacing w:after="0" w:line="240" w:lineRule="auto"/>
        <w:rPr>
          <w:rFonts w:ascii="Times New Roman" w:hAnsi="Times New Roman" w:cs="Times New Roman"/>
          <w:color w:val="000000" w:themeColor="text1"/>
          <w:sz w:val="24"/>
          <w:szCs w:val="24"/>
        </w:rPr>
      </w:pPr>
    </w:p>
    <w:p w14:paraId="589696FC" w14:textId="0B062CBC" w:rsid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Safety and efficacy of KIOVIG in paediatric patients below the age of 2 have not been established.</w:t>
      </w:r>
    </w:p>
    <w:p w14:paraId="06EED615" w14:textId="1397966F" w:rsidR="0083785C" w:rsidRDefault="0083785C" w:rsidP="00CB6B8A">
      <w:pPr>
        <w:spacing w:after="0" w:line="240" w:lineRule="auto"/>
        <w:rPr>
          <w:rFonts w:ascii="Times New Roman" w:hAnsi="Times New Roman" w:cs="Times New Roman"/>
          <w:color w:val="000000" w:themeColor="text1"/>
          <w:sz w:val="24"/>
          <w:szCs w:val="24"/>
        </w:rPr>
      </w:pPr>
    </w:p>
    <w:p w14:paraId="3972D9A5" w14:textId="44C29934" w:rsidR="0083785C" w:rsidRPr="00CB6B8A" w:rsidRDefault="0083785C" w:rsidP="00CB6B8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use of KIOVIG in the treatment of CIDP in the paediatric population has not been established. </w:t>
      </w:r>
    </w:p>
    <w:p w14:paraId="0BE7EE98" w14:textId="77777777" w:rsidR="00503302" w:rsidRDefault="00503302" w:rsidP="00140D87">
      <w:pPr>
        <w:pStyle w:val="Heading3"/>
        <w:spacing w:before="0" w:line="240" w:lineRule="auto"/>
        <w:ind w:left="0"/>
        <w:rPr>
          <w:rFonts w:ascii="Times New Roman" w:hAnsi="Times New Roman" w:cs="Times New Roman"/>
          <w:color w:val="000000" w:themeColor="text1"/>
          <w:sz w:val="24"/>
          <w:szCs w:val="24"/>
        </w:rPr>
      </w:pPr>
    </w:p>
    <w:p w14:paraId="26D47EF9" w14:textId="3CB5220C"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in the e</w:t>
      </w:r>
      <w:r w:rsidRPr="00CB6B8A">
        <w:rPr>
          <w:rFonts w:ascii="Times New Roman" w:hAnsi="Times New Roman" w:cs="Times New Roman"/>
          <w:color w:val="000000" w:themeColor="text1"/>
          <w:sz w:val="24"/>
          <w:szCs w:val="24"/>
        </w:rPr>
        <w:t>lderly</w:t>
      </w:r>
    </w:p>
    <w:p w14:paraId="4F07C16D" w14:textId="77777777" w:rsidR="00140D87" w:rsidRPr="00140D87" w:rsidRDefault="00140D87" w:rsidP="00140D87">
      <w:pPr>
        <w:spacing w:after="0" w:line="240" w:lineRule="auto"/>
      </w:pPr>
    </w:p>
    <w:p w14:paraId="4117D699" w14:textId="6AB3F5B1"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 xml:space="preserve">Limited information is available for the geriatric use of KIOVIG. Intravenous administration of KIOVIG was evaluated in 4 subjects over the age of 65 years, ranging from 67 to 71 years. No overall differences in safety or efficacy were observed for this group. However, caution should be exercised in administering KIOVIG to patients who are at an increased risk for developing renal failure or thromboembolic events. For intravenous administration, infuse KIOVIG at a rate less than 3.3 mg IgG/kg/min (&lt; 2mL/kg/hr) for patients over 65 years of age. Do not exceed the recommended </w:t>
      </w:r>
      <w:proofErr w:type="gramStart"/>
      <w:r w:rsidRPr="00CB6B8A">
        <w:rPr>
          <w:rFonts w:ascii="Times New Roman" w:hAnsi="Times New Roman" w:cs="Times New Roman"/>
          <w:color w:val="000000" w:themeColor="text1"/>
          <w:sz w:val="24"/>
          <w:szCs w:val="24"/>
        </w:rPr>
        <w:t>dose, and</w:t>
      </w:r>
      <w:proofErr w:type="gramEnd"/>
      <w:r w:rsidRPr="00CB6B8A">
        <w:rPr>
          <w:rFonts w:ascii="Times New Roman" w:hAnsi="Times New Roman" w:cs="Times New Roman"/>
          <w:color w:val="000000" w:themeColor="text1"/>
          <w:sz w:val="24"/>
          <w:szCs w:val="24"/>
        </w:rPr>
        <w:t xml:space="preserve"> infuse KIOVIG at the minimum infusion rate practicable. (See </w:t>
      </w:r>
      <w:r w:rsidR="00B714CF">
        <w:rPr>
          <w:rFonts w:ascii="Times New Roman" w:hAnsi="Times New Roman" w:cs="Times New Roman"/>
          <w:color w:val="000000" w:themeColor="text1"/>
          <w:sz w:val="24"/>
          <w:szCs w:val="24"/>
        </w:rPr>
        <w:t>Section 4.4</w:t>
      </w:r>
      <w:r w:rsidR="00B714CF" w:rsidRPr="00B714CF">
        <w:rPr>
          <w:rFonts w:ascii="Times New Roman" w:hAnsi="Times New Roman" w:cs="Times New Roman"/>
          <w:color w:val="000000" w:themeColor="text1"/>
          <w:sz w:val="24"/>
          <w:szCs w:val="24"/>
        </w:rPr>
        <w:t xml:space="preserve"> SPECIAL WARNINGS AND PRECAUTIONS FOR USE</w:t>
      </w:r>
      <w:r w:rsidR="00B714CF">
        <w:rPr>
          <w:rFonts w:ascii="Times New Roman" w:hAnsi="Times New Roman" w:cs="Times New Roman"/>
          <w:color w:val="000000" w:themeColor="text1"/>
          <w:sz w:val="24"/>
          <w:szCs w:val="24"/>
        </w:rPr>
        <w:t xml:space="preserve"> and Section 4.2 </w:t>
      </w:r>
      <w:r w:rsidR="00B714CF" w:rsidRPr="00B714CF">
        <w:rPr>
          <w:rFonts w:ascii="Times New Roman" w:hAnsi="Times New Roman" w:cs="Times New Roman"/>
          <w:color w:val="000000" w:themeColor="text1"/>
          <w:sz w:val="24"/>
          <w:szCs w:val="24"/>
        </w:rPr>
        <w:t>DOSE AND METHOD OF ADMINISTRATION</w:t>
      </w:r>
      <w:r w:rsidRPr="00CB6B8A">
        <w:rPr>
          <w:rFonts w:ascii="Times New Roman" w:hAnsi="Times New Roman" w:cs="Times New Roman"/>
          <w:color w:val="000000" w:themeColor="text1"/>
          <w:sz w:val="24"/>
          <w:szCs w:val="24"/>
        </w:rPr>
        <w:t>).</w:t>
      </w:r>
    </w:p>
    <w:p w14:paraId="4A9071A4"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2264740D" w14:textId="14E588C8"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Subcutaneous administration of KIOVIG was evaluated in 4 PID subjects over the age of 65 years. No overall differences in safety or efficacy were observed for this group.</w:t>
      </w:r>
    </w:p>
    <w:p w14:paraId="02C4D78A"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548D812E" w14:textId="62B249FA"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CB6B8A">
        <w:rPr>
          <w:rFonts w:ascii="Times New Roman" w:hAnsi="Times New Roman" w:cs="Times New Roman"/>
          <w:color w:val="000000" w:themeColor="text1"/>
          <w:sz w:val="24"/>
          <w:szCs w:val="24"/>
        </w:rPr>
        <w:t>ffects on laboratory tests</w:t>
      </w:r>
    </w:p>
    <w:p w14:paraId="24BCA531" w14:textId="77777777" w:rsidR="00140D87" w:rsidRPr="00140D87" w:rsidRDefault="00140D87" w:rsidP="00140D87">
      <w:pPr>
        <w:spacing w:after="0" w:line="240" w:lineRule="auto"/>
      </w:pPr>
    </w:p>
    <w:p w14:paraId="53A19675" w14:textId="44BD0F56"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After infusion of IgG, the transitory rise of the various passively transferred antibodies in the patient’s blood may result in misleading positive results in serological testing, for example, Hepatitis A, Hepatitis B, measles, and varicella. Passive transmission of antibodies to erythrocyte antigens (e.g. A, B, and D) may interfere with some serological tests for red cell antibodies, for example the DAT</w:t>
      </w:r>
      <w:r w:rsidR="002E680A">
        <w:rPr>
          <w:rFonts w:ascii="Times New Roman" w:hAnsi="Times New Roman" w:cs="Times New Roman"/>
          <w:color w:val="000000" w:themeColor="text1"/>
          <w:sz w:val="24"/>
          <w:szCs w:val="24"/>
        </w:rPr>
        <w:t xml:space="preserve"> </w:t>
      </w:r>
      <w:r w:rsidRPr="00CB6B8A">
        <w:rPr>
          <w:rFonts w:ascii="Times New Roman" w:hAnsi="Times New Roman" w:cs="Times New Roman"/>
          <w:color w:val="000000" w:themeColor="text1"/>
          <w:sz w:val="24"/>
          <w:szCs w:val="24"/>
        </w:rPr>
        <w:t>(Coombs’ test).</w:t>
      </w:r>
    </w:p>
    <w:p w14:paraId="7915E1B0"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57801F50"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Administration of KIOVIG can lead to false positive readings in assays that depend on detection of beta-D-glucans for diagnosis of fungal infections; this may persist during the weeks following infusion of the product.</w:t>
      </w:r>
    </w:p>
    <w:p w14:paraId="0828B0AB" w14:textId="77777777" w:rsidR="006147C4" w:rsidRPr="00CB6B8A" w:rsidRDefault="006147C4" w:rsidP="0050050E">
      <w:pPr>
        <w:spacing w:after="0" w:line="240" w:lineRule="auto"/>
        <w:rPr>
          <w:rFonts w:ascii="Times New Roman" w:hAnsi="Times New Roman" w:cs="Times New Roman"/>
          <w:color w:val="000000" w:themeColor="text1"/>
          <w:sz w:val="24"/>
          <w:szCs w:val="24"/>
        </w:rPr>
      </w:pPr>
    </w:p>
    <w:p w14:paraId="1C0E3EBB" w14:textId="4200E9F1" w:rsidR="00A95CC8" w:rsidRPr="00F73EBA" w:rsidRDefault="00A95CC8" w:rsidP="00F73EBA">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4.5</w:t>
      </w:r>
      <w:r w:rsidRPr="00F73EBA">
        <w:rPr>
          <w:rFonts w:ascii="Times New Roman" w:hAnsi="Times New Roman" w:cs="Times New Roman"/>
          <w:smallCaps w:val="0"/>
          <w:color w:val="000000" w:themeColor="text1"/>
          <w:szCs w:val="24"/>
        </w:rPr>
        <w:tab/>
        <w:t xml:space="preserve">INTERACTIONS WITH OTHER MEDICINES AND OTHER FORMS OF </w:t>
      </w:r>
    </w:p>
    <w:p w14:paraId="69893EA8" w14:textId="14FE0901" w:rsidR="00A95CC8" w:rsidRPr="00F73EBA" w:rsidRDefault="00A95CC8" w:rsidP="00F73EBA">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ab/>
        <w:t xml:space="preserve">INTERACTIONS </w:t>
      </w:r>
    </w:p>
    <w:p w14:paraId="5135B21C" w14:textId="77777777" w:rsidR="006147C4" w:rsidRPr="00D16BB6" w:rsidRDefault="006147C4" w:rsidP="0050050E">
      <w:pPr>
        <w:spacing w:after="0" w:line="240" w:lineRule="auto"/>
        <w:rPr>
          <w:rFonts w:ascii="Times New Roman" w:hAnsi="Times New Roman" w:cs="Times New Roman"/>
          <w:color w:val="000000" w:themeColor="text1"/>
          <w:sz w:val="24"/>
          <w:szCs w:val="24"/>
        </w:rPr>
      </w:pPr>
      <w:bookmarkStart w:id="1" w:name="_Toc261438368"/>
    </w:p>
    <w:p w14:paraId="721C0B77" w14:textId="77777777" w:rsidR="00D16BB6" w:rsidRPr="00D16BB6" w:rsidRDefault="00D16BB6" w:rsidP="00D16BB6">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 xml:space="preserve">Antibodies in IVIG products may interfere with patient responses to live vaccines, such as those for measles, mumps, </w:t>
      </w:r>
      <w:proofErr w:type="gramStart"/>
      <w:r w:rsidRPr="00D16BB6">
        <w:rPr>
          <w:rFonts w:ascii="Times New Roman" w:hAnsi="Times New Roman" w:cs="Times New Roman"/>
          <w:color w:val="000000" w:themeColor="text1"/>
          <w:sz w:val="24"/>
          <w:szCs w:val="24"/>
        </w:rPr>
        <w:t>rubella</w:t>
      </w:r>
      <w:proofErr w:type="gramEnd"/>
      <w:r w:rsidRPr="00D16BB6">
        <w:rPr>
          <w:rFonts w:ascii="Times New Roman" w:hAnsi="Times New Roman" w:cs="Times New Roman"/>
          <w:color w:val="000000" w:themeColor="text1"/>
          <w:sz w:val="24"/>
          <w:szCs w:val="24"/>
        </w:rPr>
        <w:t xml:space="preserve"> and varicella. The immunising physician should be informed of recent therapy with IVIG products so that appropriate precautions can be taken.</w:t>
      </w:r>
    </w:p>
    <w:p w14:paraId="38F0C273" w14:textId="77777777" w:rsidR="00D16BB6" w:rsidRPr="00D16BB6" w:rsidRDefault="00D16BB6" w:rsidP="00D16BB6">
      <w:pPr>
        <w:spacing w:after="0" w:line="240" w:lineRule="auto"/>
        <w:rPr>
          <w:rFonts w:ascii="Times New Roman" w:hAnsi="Times New Roman" w:cs="Times New Roman"/>
          <w:color w:val="000000" w:themeColor="text1"/>
          <w:sz w:val="24"/>
          <w:szCs w:val="24"/>
        </w:rPr>
      </w:pPr>
    </w:p>
    <w:p w14:paraId="57B0C990" w14:textId="4824AB3C" w:rsidR="000570B9" w:rsidRDefault="00D16BB6" w:rsidP="000570B9">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 xml:space="preserve">Admixtures of KIOVIG with other drugs and intravenous solutions have not been evaluated. It is recommended that KIOVIG be administered separately from other drugs or medications that the patient may be receiving. The product should not be mixed with IVIG products from other manufacturers.  </w:t>
      </w:r>
      <w:bookmarkEnd w:id="1"/>
    </w:p>
    <w:p w14:paraId="41C9F836" w14:textId="77777777" w:rsidR="000570B9" w:rsidRPr="000570B9" w:rsidRDefault="000570B9" w:rsidP="000570B9">
      <w:pPr>
        <w:spacing w:after="0" w:line="240" w:lineRule="auto"/>
        <w:rPr>
          <w:rFonts w:ascii="Times New Roman" w:hAnsi="Times New Roman" w:cs="Times New Roman"/>
          <w:color w:val="000000" w:themeColor="text1"/>
          <w:sz w:val="24"/>
          <w:szCs w:val="24"/>
        </w:rPr>
      </w:pPr>
    </w:p>
    <w:p w14:paraId="72D0B18C" w14:textId="125C64DA" w:rsidR="00FE5F04" w:rsidRPr="00D16BB6" w:rsidRDefault="00FE5F04" w:rsidP="00503302">
      <w:pPr>
        <w:pStyle w:val="Heading2"/>
        <w:pageBreakBefore/>
        <w:numPr>
          <w:ilvl w:val="0"/>
          <w:numId w:val="0"/>
        </w:numPr>
        <w:spacing w:before="0" w:after="0" w:line="240" w:lineRule="auto"/>
        <w:rPr>
          <w:rFonts w:ascii="Times New Roman" w:hAnsi="Times New Roman" w:cs="Times New Roman"/>
          <w:b w:val="0"/>
          <w:color w:val="000000" w:themeColor="text1"/>
        </w:rPr>
      </w:pPr>
      <w:r w:rsidRPr="00F73EBA">
        <w:rPr>
          <w:rFonts w:ascii="Times New Roman" w:hAnsi="Times New Roman" w:cs="Times New Roman"/>
          <w:smallCaps w:val="0"/>
          <w:color w:val="000000" w:themeColor="text1"/>
          <w:szCs w:val="24"/>
        </w:rPr>
        <w:lastRenderedPageBreak/>
        <w:t>4.6</w:t>
      </w:r>
      <w:r w:rsidRPr="00F73EBA">
        <w:rPr>
          <w:rFonts w:ascii="Times New Roman" w:hAnsi="Times New Roman" w:cs="Times New Roman"/>
          <w:smallCaps w:val="0"/>
          <w:color w:val="000000" w:themeColor="text1"/>
          <w:szCs w:val="24"/>
        </w:rPr>
        <w:tab/>
        <w:t xml:space="preserve">FERTILITY, PREGNANCY AND LACTATION </w:t>
      </w:r>
    </w:p>
    <w:p w14:paraId="025E092F" w14:textId="77777777" w:rsidR="003D6B62" w:rsidRPr="00D16BB6" w:rsidRDefault="003D6B62" w:rsidP="007636BC">
      <w:pPr>
        <w:widowControl w:val="0"/>
        <w:spacing w:after="0" w:line="240" w:lineRule="auto"/>
        <w:rPr>
          <w:rFonts w:ascii="Times New Roman" w:hAnsi="Times New Roman" w:cs="Times New Roman"/>
          <w:color w:val="000000" w:themeColor="text1"/>
          <w:sz w:val="24"/>
          <w:szCs w:val="24"/>
        </w:rPr>
      </w:pPr>
    </w:p>
    <w:p w14:paraId="32E41C15" w14:textId="77777777" w:rsidR="00FE62BE" w:rsidRDefault="00FE62BE" w:rsidP="00140D87">
      <w:pPr>
        <w:pStyle w:val="Heading3"/>
        <w:spacing w:before="0" w:line="240" w:lineRule="auto"/>
        <w:ind w:left="0"/>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Effects on fertility</w:t>
      </w:r>
    </w:p>
    <w:p w14:paraId="29870FEF" w14:textId="77777777" w:rsidR="00140D87" w:rsidRPr="00140D87" w:rsidRDefault="00140D87" w:rsidP="00140D87">
      <w:pPr>
        <w:spacing w:after="0" w:line="240" w:lineRule="auto"/>
      </w:pPr>
    </w:p>
    <w:p w14:paraId="368BA0B0" w14:textId="77777777" w:rsidR="00D16BB6" w:rsidRPr="00D16BB6" w:rsidRDefault="00D16BB6" w:rsidP="00D16BB6">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KIOVIG contains a human plasma derived native protein, which is not anticipated to have an adverse effect on fertility.</w:t>
      </w:r>
    </w:p>
    <w:p w14:paraId="13FC830B" w14:textId="77777777" w:rsidR="00FE62BE" w:rsidRPr="00D16BB6" w:rsidRDefault="00FE62BE" w:rsidP="00FE62BE">
      <w:pPr>
        <w:spacing w:after="0" w:line="240" w:lineRule="auto"/>
        <w:rPr>
          <w:rFonts w:ascii="Times New Roman" w:hAnsi="Times New Roman" w:cs="Times New Roman"/>
          <w:color w:val="000000" w:themeColor="text1"/>
          <w:sz w:val="24"/>
          <w:szCs w:val="24"/>
        </w:rPr>
      </w:pPr>
    </w:p>
    <w:p w14:paraId="562EBEB1" w14:textId="68AA1182" w:rsidR="00FE62BE" w:rsidRDefault="00FE62BE" w:rsidP="00140D87">
      <w:pPr>
        <w:pStyle w:val="Heading3"/>
        <w:spacing w:before="0" w:line="240" w:lineRule="auto"/>
        <w:ind w:left="0"/>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Use in pregnancy</w:t>
      </w:r>
    </w:p>
    <w:p w14:paraId="35CEC69D" w14:textId="77777777" w:rsidR="00140D87" w:rsidRPr="00140D87" w:rsidRDefault="00140D87" w:rsidP="00140D87">
      <w:pPr>
        <w:spacing w:after="0" w:line="240" w:lineRule="auto"/>
      </w:pPr>
    </w:p>
    <w:p w14:paraId="1028B14F" w14:textId="09CDD799" w:rsidR="00FE62BE" w:rsidRPr="00D16BB6" w:rsidRDefault="00FE62BE" w:rsidP="00FE62BE">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Category B2</w:t>
      </w:r>
    </w:p>
    <w:p w14:paraId="33529A60" w14:textId="77777777" w:rsidR="00FE62BE" w:rsidRPr="00D16BB6" w:rsidRDefault="00FE62BE" w:rsidP="00FE62BE">
      <w:pPr>
        <w:spacing w:after="0" w:line="240" w:lineRule="auto"/>
        <w:rPr>
          <w:rFonts w:ascii="Times New Roman" w:hAnsi="Times New Roman" w:cs="Times New Roman"/>
          <w:color w:val="000000" w:themeColor="text1"/>
          <w:sz w:val="24"/>
          <w:szCs w:val="24"/>
        </w:rPr>
      </w:pPr>
    </w:p>
    <w:p w14:paraId="262F1559" w14:textId="77777777" w:rsidR="00D16BB6" w:rsidRPr="00D16BB6" w:rsidRDefault="00D16BB6" w:rsidP="00D16BB6">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 xml:space="preserve">There are no adequate data from the use of KIOVIG in pregnant women. </w:t>
      </w:r>
    </w:p>
    <w:p w14:paraId="7752C195" w14:textId="77777777" w:rsidR="00D16BB6" w:rsidRPr="00D16BB6" w:rsidRDefault="00D16BB6" w:rsidP="00D16BB6">
      <w:pPr>
        <w:spacing w:after="0" w:line="240" w:lineRule="auto"/>
        <w:rPr>
          <w:rFonts w:ascii="Times New Roman" w:hAnsi="Times New Roman" w:cs="Times New Roman"/>
          <w:color w:val="000000" w:themeColor="text1"/>
          <w:sz w:val="24"/>
          <w:szCs w:val="24"/>
        </w:rPr>
      </w:pPr>
    </w:p>
    <w:p w14:paraId="3CD9718E" w14:textId="77777777" w:rsidR="00D16BB6" w:rsidRPr="00D16BB6" w:rsidRDefault="00D16BB6" w:rsidP="00D16BB6">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Maternally administered IVIG products have been shown to cross the placenta, increasingly during the third trimester. Physicians should balance the potential risks and only prescribe KIOVIG if clearly needed.</w:t>
      </w:r>
    </w:p>
    <w:p w14:paraId="397109BB" w14:textId="77777777" w:rsidR="00FE62BE" w:rsidRPr="00D16BB6" w:rsidRDefault="00FE62BE" w:rsidP="00FE62BE">
      <w:pPr>
        <w:spacing w:after="0" w:line="240" w:lineRule="auto"/>
        <w:rPr>
          <w:rFonts w:ascii="Times New Roman" w:hAnsi="Times New Roman" w:cs="Times New Roman"/>
          <w:color w:val="000000" w:themeColor="text1"/>
          <w:sz w:val="24"/>
          <w:szCs w:val="24"/>
        </w:rPr>
      </w:pPr>
    </w:p>
    <w:p w14:paraId="3CC7A220" w14:textId="77777777" w:rsidR="00FE62BE" w:rsidRPr="00D16BB6" w:rsidRDefault="00FE62BE" w:rsidP="00FE62BE">
      <w:pPr>
        <w:pStyle w:val="Heading3"/>
        <w:spacing w:before="0" w:line="240" w:lineRule="auto"/>
        <w:ind w:left="0"/>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Use in lactation</w:t>
      </w:r>
    </w:p>
    <w:p w14:paraId="42072BE8" w14:textId="77777777" w:rsidR="00C405AF" w:rsidRDefault="00C405AF" w:rsidP="00D16BB6">
      <w:pPr>
        <w:spacing w:after="0" w:line="240" w:lineRule="auto"/>
        <w:rPr>
          <w:rFonts w:ascii="Times New Roman" w:hAnsi="Times New Roman" w:cs="Times New Roman"/>
          <w:color w:val="000000" w:themeColor="text1"/>
          <w:sz w:val="24"/>
          <w:szCs w:val="24"/>
        </w:rPr>
      </w:pPr>
    </w:p>
    <w:p w14:paraId="06FB8CC0" w14:textId="77777777" w:rsidR="00D16BB6" w:rsidRPr="00D16BB6" w:rsidRDefault="00D16BB6" w:rsidP="00D16BB6">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Safety of KIOVIG for use during lactation has not been established. Use this product in a nursing woman only when clearly needed and the potential benefits outweigh the potential risks to the baby.</w:t>
      </w:r>
    </w:p>
    <w:p w14:paraId="7B5364CF" w14:textId="77777777" w:rsidR="00D16BB6" w:rsidRPr="00D16BB6" w:rsidRDefault="00D16BB6" w:rsidP="00D16BB6">
      <w:pPr>
        <w:spacing w:after="0" w:line="240" w:lineRule="auto"/>
        <w:rPr>
          <w:rFonts w:ascii="Times New Roman" w:hAnsi="Times New Roman" w:cs="Times New Roman"/>
          <w:color w:val="000000" w:themeColor="text1"/>
          <w:sz w:val="24"/>
          <w:szCs w:val="24"/>
        </w:rPr>
      </w:pPr>
    </w:p>
    <w:p w14:paraId="1D2F7520" w14:textId="6E6ED43F" w:rsidR="004F7EFF" w:rsidRPr="00F73EBA" w:rsidRDefault="004F7EFF" w:rsidP="00F73EBA">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4.7</w:t>
      </w:r>
      <w:r w:rsidRPr="00F73EBA">
        <w:rPr>
          <w:rFonts w:ascii="Times New Roman" w:hAnsi="Times New Roman" w:cs="Times New Roman"/>
          <w:smallCaps w:val="0"/>
          <w:color w:val="000000" w:themeColor="text1"/>
          <w:szCs w:val="24"/>
        </w:rPr>
        <w:tab/>
        <w:t xml:space="preserve">EFFECTS ON ABILITY TO DRIVE AND USE MACHINES </w:t>
      </w:r>
    </w:p>
    <w:p w14:paraId="40AD01F9" w14:textId="77777777" w:rsidR="004F7EFF" w:rsidRPr="00745013" w:rsidRDefault="004F7EFF" w:rsidP="0050050E">
      <w:pPr>
        <w:spacing w:after="0" w:line="240" w:lineRule="auto"/>
        <w:rPr>
          <w:rFonts w:ascii="Times New Roman" w:hAnsi="Times New Roman" w:cs="Times New Roman"/>
          <w:color w:val="000000" w:themeColor="text1"/>
          <w:sz w:val="24"/>
          <w:szCs w:val="24"/>
        </w:rPr>
      </w:pPr>
    </w:p>
    <w:p w14:paraId="70CA4BEB" w14:textId="463A36C4" w:rsidR="002E680A" w:rsidRPr="00745013" w:rsidRDefault="002E680A" w:rsidP="002E680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effects of this medicine on a person’s ability to drive and use machines were not assessed as part of its registration.</w:t>
      </w:r>
      <w:r w:rsidRPr="00745013" w:rsidDel="002E680A">
        <w:rPr>
          <w:rFonts w:ascii="Times New Roman" w:hAnsi="Times New Roman" w:cs="Times New Roman"/>
          <w:color w:val="000000" w:themeColor="text1"/>
          <w:sz w:val="24"/>
          <w:szCs w:val="24"/>
        </w:rPr>
        <w:t xml:space="preserve"> </w:t>
      </w:r>
    </w:p>
    <w:p w14:paraId="41E73B6A" w14:textId="77777777" w:rsidR="00C44986" w:rsidRDefault="00C44986" w:rsidP="00F73EBA">
      <w:pPr>
        <w:pStyle w:val="Heading2"/>
        <w:numPr>
          <w:ilvl w:val="0"/>
          <w:numId w:val="0"/>
        </w:numPr>
        <w:spacing w:before="0" w:after="0" w:line="240" w:lineRule="auto"/>
        <w:rPr>
          <w:rFonts w:ascii="Times New Roman" w:hAnsi="Times New Roman" w:cs="Times New Roman"/>
          <w:smallCaps w:val="0"/>
          <w:color w:val="000000" w:themeColor="text1"/>
          <w:szCs w:val="24"/>
        </w:rPr>
      </w:pPr>
    </w:p>
    <w:p w14:paraId="6184612D" w14:textId="32C81C02" w:rsidR="004F7EFF" w:rsidRPr="00BF4A6A" w:rsidRDefault="004F7EFF" w:rsidP="00F73EBA">
      <w:pPr>
        <w:pStyle w:val="Heading2"/>
        <w:numPr>
          <w:ilvl w:val="0"/>
          <w:numId w:val="0"/>
        </w:numPr>
        <w:spacing w:before="0" w:after="0" w:line="240" w:lineRule="auto"/>
        <w:rPr>
          <w:rFonts w:ascii="Times New Roman" w:hAnsi="Times New Roman" w:cs="Times New Roman"/>
          <w:b w:val="0"/>
          <w:color w:val="000000" w:themeColor="text1"/>
        </w:rPr>
      </w:pPr>
      <w:r w:rsidRPr="00F73EBA">
        <w:rPr>
          <w:rFonts w:ascii="Times New Roman" w:hAnsi="Times New Roman" w:cs="Times New Roman"/>
          <w:smallCaps w:val="0"/>
          <w:color w:val="000000" w:themeColor="text1"/>
          <w:szCs w:val="24"/>
        </w:rPr>
        <w:t>4.8</w:t>
      </w:r>
      <w:r w:rsidRPr="00F73EBA">
        <w:rPr>
          <w:rFonts w:ascii="Times New Roman" w:hAnsi="Times New Roman" w:cs="Times New Roman"/>
          <w:smallCaps w:val="0"/>
          <w:color w:val="000000" w:themeColor="text1"/>
          <w:szCs w:val="24"/>
        </w:rPr>
        <w:tab/>
        <w:t xml:space="preserve">ADVERSE EFFECTS (UNDESIRABLE EFFECTS) </w:t>
      </w:r>
    </w:p>
    <w:p w14:paraId="533D928A" w14:textId="77777777" w:rsidR="00762896" w:rsidRPr="00BF4A6A" w:rsidRDefault="00762896" w:rsidP="00BF4A6A">
      <w:pPr>
        <w:spacing w:after="0" w:line="240" w:lineRule="auto"/>
        <w:rPr>
          <w:rFonts w:ascii="Times New Roman" w:hAnsi="Times New Roman" w:cs="Times New Roman"/>
          <w:color w:val="000000" w:themeColor="text1"/>
          <w:sz w:val="24"/>
          <w:szCs w:val="24"/>
        </w:rPr>
      </w:pPr>
    </w:p>
    <w:p w14:paraId="596CCC5D" w14:textId="5DCFA0DA"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BF4A6A">
        <w:rPr>
          <w:rFonts w:ascii="Times New Roman" w:hAnsi="Times New Roman" w:cs="Times New Roman"/>
          <w:color w:val="000000" w:themeColor="text1"/>
          <w:sz w:val="24"/>
          <w:szCs w:val="24"/>
        </w:rPr>
        <w:t>Intravenous</w:t>
      </w:r>
      <w:r w:rsidR="00F73EBA">
        <w:rPr>
          <w:rFonts w:ascii="Times New Roman" w:hAnsi="Times New Roman" w:cs="Times New Roman"/>
          <w:color w:val="000000" w:themeColor="text1"/>
          <w:sz w:val="24"/>
          <w:szCs w:val="24"/>
        </w:rPr>
        <w:t xml:space="preserve"> (IV) a</w:t>
      </w:r>
      <w:r w:rsidRPr="00CB6B8A">
        <w:rPr>
          <w:rFonts w:ascii="Times New Roman" w:hAnsi="Times New Roman" w:cs="Times New Roman"/>
          <w:color w:val="000000" w:themeColor="text1"/>
          <w:sz w:val="24"/>
          <w:szCs w:val="24"/>
        </w:rPr>
        <w:t>dministration</w:t>
      </w:r>
    </w:p>
    <w:p w14:paraId="251DC549" w14:textId="77777777" w:rsidR="00140D87" w:rsidRPr="00140D87" w:rsidRDefault="00140D87" w:rsidP="00140D87">
      <w:pPr>
        <w:spacing w:after="0" w:line="240" w:lineRule="auto"/>
      </w:pPr>
    </w:p>
    <w:p w14:paraId="2D72BDA1"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Adverse reactions may occur more frequently in patients who receive human normal immunoglobulin for the first time, when they switch from another IVIG brand, or when there has been a long interval since the previous infusion.</w:t>
      </w:r>
    </w:p>
    <w:p w14:paraId="25E1A727"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5CD63897" w14:textId="77777777"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Adverse reactions such as chills, headache, fever, vomiting, allergic reactions, nausea, arthralgia, low blood pressure and moderate low back pain may occur occasionally. Rarely human normal immunoglobulins may cause a sudden fall in blood pressure and, in isolated cases, anaphylactic shock, even when the patient has shown no hypersensitivity to previous administration.</w:t>
      </w:r>
    </w:p>
    <w:p w14:paraId="2145E641"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119F0696" w14:textId="03E9FC92" w:rsidR="00CB6B8A" w:rsidRPr="00CB6B8A" w:rsidRDefault="00CB6B8A" w:rsidP="00CB6B8A">
      <w:pPr>
        <w:spacing w:after="0" w:line="240" w:lineRule="auto"/>
        <w:rPr>
          <w:rFonts w:ascii="Times New Roman" w:hAnsi="Times New Roman" w:cs="Times New Roman"/>
          <w:color w:val="000000" w:themeColor="text1"/>
          <w:sz w:val="24"/>
          <w:szCs w:val="24"/>
        </w:rPr>
      </w:pPr>
      <w:r w:rsidRPr="00CB6B8A">
        <w:rPr>
          <w:rFonts w:ascii="Times New Roman" w:hAnsi="Times New Roman" w:cs="Times New Roman"/>
          <w:color w:val="000000" w:themeColor="text1"/>
          <w:sz w:val="24"/>
          <w:szCs w:val="24"/>
        </w:rPr>
        <w:t>Because clinical trials are conducted under very specific conditions the adverse reaction rates observed in the clinical trials may not reflect the rates observed in practice</w:t>
      </w:r>
      <w:r w:rsidRPr="00CB6B8A">
        <w:rPr>
          <w:rFonts w:ascii="Times New Roman" w:hAnsi="Times New Roman" w:cs="Times New Roman" w:hint="eastAsia"/>
          <w:color w:val="000000" w:themeColor="text1"/>
          <w:sz w:val="24"/>
          <w:szCs w:val="24"/>
        </w:rPr>
        <w:t xml:space="preserve"> </w:t>
      </w:r>
      <w:r w:rsidRPr="00CB6B8A">
        <w:rPr>
          <w:rFonts w:ascii="Times New Roman" w:hAnsi="Times New Roman" w:cs="Times New Roman"/>
          <w:color w:val="000000" w:themeColor="text1"/>
          <w:sz w:val="24"/>
          <w:szCs w:val="24"/>
        </w:rPr>
        <w:t>and should not be compared to the rates in the clinical trials of another drug. Adverse drug reaction information from clinical trials is useful for identifying drug-related adverse events and for approximating rates.</w:t>
      </w:r>
    </w:p>
    <w:p w14:paraId="1CCC5A19" w14:textId="77777777" w:rsidR="00CB6B8A" w:rsidRPr="00CB6B8A" w:rsidRDefault="00CB6B8A" w:rsidP="00CB6B8A">
      <w:pPr>
        <w:spacing w:after="0" w:line="240" w:lineRule="auto"/>
        <w:rPr>
          <w:rFonts w:ascii="Times New Roman" w:hAnsi="Times New Roman" w:cs="Times New Roman"/>
          <w:color w:val="000000" w:themeColor="text1"/>
          <w:sz w:val="24"/>
          <w:szCs w:val="24"/>
        </w:rPr>
      </w:pPr>
    </w:p>
    <w:p w14:paraId="66A92DFF" w14:textId="6ADD1C6A" w:rsidR="00CB6B8A" w:rsidRDefault="00C518A3" w:rsidP="00CB6B8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Adverse reactions </w:t>
      </w:r>
      <w:r w:rsidR="00CB6B8A" w:rsidRPr="00CB6B8A">
        <w:rPr>
          <w:rFonts w:ascii="Times New Roman" w:hAnsi="Times New Roman" w:cs="Times New Roman"/>
          <w:color w:val="000000" w:themeColor="text1"/>
          <w:sz w:val="24"/>
          <w:szCs w:val="24"/>
        </w:rPr>
        <w:t xml:space="preserve">from KIOVIG clinical trials (Studies 160001, 160002, 160101, 160601 Epoch 1, 160602, 160603 Epoch 1, 160604, 160902, 160701, 161003, 161202) are shown in Table </w:t>
      </w:r>
      <w:r w:rsidR="00C405AF">
        <w:rPr>
          <w:rFonts w:ascii="Times New Roman" w:hAnsi="Times New Roman" w:cs="Times New Roman"/>
          <w:color w:val="000000" w:themeColor="text1"/>
          <w:sz w:val="24"/>
          <w:szCs w:val="24"/>
        </w:rPr>
        <w:t>2</w:t>
      </w:r>
      <w:r w:rsidR="00CB6B8A" w:rsidRPr="00CB6B8A">
        <w:rPr>
          <w:rFonts w:ascii="Times New Roman" w:hAnsi="Times New Roman" w:cs="Times New Roman"/>
          <w:color w:val="000000" w:themeColor="text1"/>
          <w:sz w:val="24"/>
          <w:szCs w:val="24"/>
        </w:rPr>
        <w:t>:</w:t>
      </w:r>
    </w:p>
    <w:p w14:paraId="75EFA53A" w14:textId="77777777" w:rsidR="00CB6B8A" w:rsidRDefault="00CB6B8A" w:rsidP="00CB6B8A">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439"/>
        <w:gridCol w:w="3464"/>
        <w:gridCol w:w="1318"/>
        <w:gridCol w:w="1795"/>
      </w:tblGrid>
      <w:tr w:rsidR="00CB6B8A" w14:paraId="17B499BA" w14:textId="77777777" w:rsidTr="008A1A87">
        <w:tc>
          <w:tcPr>
            <w:tcW w:w="9242" w:type="dxa"/>
            <w:gridSpan w:val="4"/>
          </w:tcPr>
          <w:p w14:paraId="39A23B53" w14:textId="51FE0F60" w:rsidR="00CB6B8A" w:rsidRDefault="00CB6B8A" w:rsidP="00CB6B8A">
            <w:pPr>
              <w:jc w:val="center"/>
              <w:rPr>
                <w:rFonts w:ascii="Times New Roman" w:hAnsi="Times New Roman" w:cs="Times New Roman"/>
                <w:b/>
                <w:bCs/>
                <w:color w:val="000000" w:themeColor="text1"/>
                <w:sz w:val="20"/>
                <w:szCs w:val="20"/>
              </w:rPr>
            </w:pPr>
            <w:r w:rsidRPr="00CB6B8A">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2</w:t>
            </w:r>
            <w:r w:rsidRPr="00CB6B8A">
              <w:rPr>
                <w:rFonts w:ascii="Times New Roman" w:hAnsi="Times New Roman" w:cs="Times New Roman"/>
                <w:b/>
                <w:bCs/>
                <w:color w:val="000000" w:themeColor="text1"/>
                <w:sz w:val="20"/>
                <w:szCs w:val="20"/>
              </w:rPr>
              <w:t>: ADRs in Clinical Trials Across All Indications [N=687] (Studies 160001, 160002, 160101, 160601 Epoch 1, 160602, 160603 Epoch 1, 160604, 160902, 160701, 161003, 161202)</w:t>
            </w:r>
          </w:p>
          <w:p w14:paraId="088CAC24" w14:textId="0B4A3A10" w:rsidR="00CB6B8A" w:rsidRPr="00CB6B8A" w:rsidRDefault="00CB6B8A" w:rsidP="00CB6B8A">
            <w:pPr>
              <w:jc w:val="center"/>
              <w:rPr>
                <w:rFonts w:ascii="Times New Roman" w:hAnsi="Times New Roman" w:cs="Times New Roman"/>
                <w:color w:val="000000" w:themeColor="text1"/>
                <w:sz w:val="20"/>
                <w:szCs w:val="20"/>
              </w:rPr>
            </w:pPr>
          </w:p>
        </w:tc>
      </w:tr>
      <w:tr w:rsidR="00CB6B8A" w14:paraId="76B5CD02" w14:textId="77777777" w:rsidTr="008A1A87">
        <w:tc>
          <w:tcPr>
            <w:tcW w:w="2448" w:type="dxa"/>
          </w:tcPr>
          <w:p w14:paraId="067A3457" w14:textId="4C906CC2" w:rsidR="00CB6B8A" w:rsidRPr="00CB6B8A" w:rsidRDefault="00CB6B8A" w:rsidP="00CB6B8A">
            <w:pPr>
              <w:rPr>
                <w:rFonts w:ascii="Times New Roman" w:hAnsi="Times New Roman" w:cs="Times New Roman"/>
                <w:color w:val="000000" w:themeColor="text1"/>
                <w:sz w:val="20"/>
                <w:szCs w:val="20"/>
              </w:rPr>
            </w:pPr>
            <w:r w:rsidRPr="00CB6B8A">
              <w:rPr>
                <w:rFonts w:ascii="Times New Roman" w:hAnsi="Times New Roman" w:cs="Times New Roman"/>
                <w:b/>
                <w:bCs/>
                <w:color w:val="000000" w:themeColor="text1"/>
                <w:sz w:val="20"/>
                <w:szCs w:val="20"/>
              </w:rPr>
              <w:t>System Organ Class</w:t>
            </w:r>
          </w:p>
        </w:tc>
        <w:tc>
          <w:tcPr>
            <w:tcW w:w="3600" w:type="dxa"/>
          </w:tcPr>
          <w:p w14:paraId="193690D3" w14:textId="1856D0D0" w:rsidR="00CB6B8A" w:rsidRPr="00CB6B8A" w:rsidRDefault="00CB6B8A" w:rsidP="00C518A3">
            <w:pPr>
              <w:rPr>
                <w:rFonts w:ascii="Times New Roman" w:hAnsi="Times New Roman" w:cs="Times New Roman"/>
                <w:color w:val="000000" w:themeColor="text1"/>
                <w:sz w:val="20"/>
                <w:szCs w:val="20"/>
              </w:rPr>
            </w:pPr>
            <w:r w:rsidRPr="00CB6B8A">
              <w:rPr>
                <w:rFonts w:ascii="Times New Roman" w:hAnsi="Times New Roman" w:cs="Times New Roman"/>
                <w:b/>
                <w:bCs/>
                <w:color w:val="000000" w:themeColor="text1"/>
                <w:sz w:val="20"/>
                <w:szCs w:val="20"/>
              </w:rPr>
              <w:t>Preferred MedDRA Term</w:t>
            </w:r>
            <w:r w:rsidR="00C518A3">
              <w:rPr>
                <w:rFonts w:ascii="Times New Roman" w:hAnsi="Times New Roman" w:cs="Times New Roman"/>
                <w:b/>
                <w:bCs/>
                <w:color w:val="000000" w:themeColor="text1"/>
                <w:sz w:val="20"/>
                <w:szCs w:val="20"/>
              </w:rPr>
              <w:br/>
            </w:r>
            <w:r w:rsidRPr="00CB6B8A">
              <w:rPr>
                <w:rFonts w:ascii="Times New Roman" w:hAnsi="Times New Roman" w:cs="Times New Roman"/>
                <w:b/>
                <w:bCs/>
                <w:color w:val="000000" w:themeColor="text1"/>
                <w:sz w:val="20"/>
                <w:szCs w:val="20"/>
              </w:rPr>
              <w:t>(Version 17.0)</w:t>
            </w:r>
          </w:p>
        </w:tc>
        <w:tc>
          <w:tcPr>
            <w:tcW w:w="1350" w:type="dxa"/>
          </w:tcPr>
          <w:p w14:paraId="5D5EB05D" w14:textId="02DB8458" w:rsidR="00CB6B8A" w:rsidRPr="00CB6B8A" w:rsidRDefault="00CB6B8A" w:rsidP="00CB6B8A">
            <w:pPr>
              <w:rPr>
                <w:rFonts w:ascii="Times New Roman" w:hAnsi="Times New Roman" w:cs="Times New Roman"/>
                <w:color w:val="000000" w:themeColor="text1"/>
                <w:sz w:val="20"/>
                <w:szCs w:val="20"/>
              </w:rPr>
            </w:pPr>
            <w:r w:rsidRPr="00CB6B8A">
              <w:rPr>
                <w:rFonts w:ascii="Times New Roman" w:hAnsi="Times New Roman" w:cs="Times New Roman"/>
                <w:b/>
                <w:bCs/>
                <w:color w:val="000000" w:themeColor="text1"/>
                <w:sz w:val="20"/>
                <w:szCs w:val="20"/>
              </w:rPr>
              <w:t>By Subject % (N=687)</w:t>
            </w:r>
          </w:p>
        </w:tc>
        <w:tc>
          <w:tcPr>
            <w:tcW w:w="1844" w:type="dxa"/>
          </w:tcPr>
          <w:p w14:paraId="14A0C517" w14:textId="3A70D798" w:rsidR="00CB6B8A" w:rsidRPr="00CB6B8A" w:rsidRDefault="00CB6B8A" w:rsidP="00CB6B8A">
            <w:pPr>
              <w:rPr>
                <w:rFonts w:ascii="Times New Roman" w:hAnsi="Times New Roman" w:cs="Times New Roman"/>
                <w:color w:val="000000" w:themeColor="text1"/>
                <w:sz w:val="20"/>
                <w:szCs w:val="20"/>
              </w:rPr>
            </w:pPr>
            <w:r w:rsidRPr="00CB6B8A">
              <w:rPr>
                <w:rFonts w:ascii="Times New Roman" w:hAnsi="Times New Roman" w:cs="Times New Roman"/>
                <w:b/>
                <w:bCs/>
                <w:color w:val="000000" w:themeColor="text1"/>
                <w:sz w:val="20"/>
                <w:szCs w:val="20"/>
              </w:rPr>
              <w:t>Frequency Category</w:t>
            </w:r>
          </w:p>
        </w:tc>
      </w:tr>
      <w:tr w:rsidR="008A1A87" w14:paraId="45DE0081" w14:textId="77777777" w:rsidTr="008A1A87">
        <w:tc>
          <w:tcPr>
            <w:tcW w:w="2448" w:type="dxa"/>
          </w:tcPr>
          <w:p w14:paraId="3786B4C5" w14:textId="1E9A5755"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INFECTIONS AND INFESTATIONS</w:t>
            </w:r>
          </w:p>
        </w:tc>
        <w:tc>
          <w:tcPr>
            <w:tcW w:w="3600" w:type="dxa"/>
          </w:tcPr>
          <w:p w14:paraId="45D1CAC0" w14:textId="22150F2E"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Aseptic meningitis</w:t>
            </w:r>
          </w:p>
        </w:tc>
        <w:tc>
          <w:tcPr>
            <w:tcW w:w="1350" w:type="dxa"/>
          </w:tcPr>
          <w:p w14:paraId="1C5BF1C8" w14:textId="1CF40D23"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0.1</w:t>
            </w:r>
          </w:p>
        </w:tc>
        <w:tc>
          <w:tcPr>
            <w:tcW w:w="1844" w:type="dxa"/>
          </w:tcPr>
          <w:p w14:paraId="0E574AD2" w14:textId="59A8BEBF"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71454A10" w14:textId="77777777" w:rsidTr="008A1A87">
        <w:tc>
          <w:tcPr>
            <w:tcW w:w="2448" w:type="dxa"/>
            <w:vMerge w:val="restart"/>
          </w:tcPr>
          <w:p w14:paraId="05C80F33" w14:textId="6A3A43B9"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BLOOD AND LYMPHATIC DISORDERS</w:t>
            </w:r>
          </w:p>
        </w:tc>
        <w:tc>
          <w:tcPr>
            <w:tcW w:w="3600" w:type="dxa"/>
          </w:tcPr>
          <w:p w14:paraId="66FBDC89" w14:textId="47139D1C" w:rsidR="008A1A87" w:rsidRPr="00CB6B8A" w:rsidRDefault="00AD6852"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Anaemia</w:t>
            </w:r>
          </w:p>
        </w:tc>
        <w:tc>
          <w:tcPr>
            <w:tcW w:w="1350" w:type="dxa"/>
          </w:tcPr>
          <w:p w14:paraId="674858C5" w14:textId="65539B42"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2.3</w:t>
            </w:r>
          </w:p>
        </w:tc>
        <w:tc>
          <w:tcPr>
            <w:tcW w:w="1844" w:type="dxa"/>
          </w:tcPr>
          <w:p w14:paraId="5D827813" w14:textId="537810F0"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3C54202B" w14:textId="77777777" w:rsidTr="008A1A87">
        <w:tc>
          <w:tcPr>
            <w:tcW w:w="2448" w:type="dxa"/>
            <w:vMerge/>
          </w:tcPr>
          <w:p w14:paraId="203DA4F3"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77EDCAC7" w14:textId="402E987C"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Lymphadenopathy</w:t>
            </w:r>
          </w:p>
        </w:tc>
        <w:tc>
          <w:tcPr>
            <w:tcW w:w="1350" w:type="dxa"/>
          </w:tcPr>
          <w:p w14:paraId="78891F96" w14:textId="569CA9F5"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1.3</w:t>
            </w:r>
          </w:p>
        </w:tc>
        <w:tc>
          <w:tcPr>
            <w:tcW w:w="1844" w:type="dxa"/>
          </w:tcPr>
          <w:p w14:paraId="3F8DC1E4" w14:textId="5330FED5"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623F8FF0" w14:textId="77777777" w:rsidTr="008A1A87">
        <w:tc>
          <w:tcPr>
            <w:tcW w:w="2448" w:type="dxa"/>
            <w:vMerge w:val="restart"/>
          </w:tcPr>
          <w:p w14:paraId="28A7F27C" w14:textId="6520A58B"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IMMUNE SYSTEM DISORDERS</w:t>
            </w:r>
          </w:p>
        </w:tc>
        <w:tc>
          <w:tcPr>
            <w:tcW w:w="3600" w:type="dxa"/>
          </w:tcPr>
          <w:p w14:paraId="4E0E3B4A" w14:textId="62298A85"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Hypersensitivity</w:t>
            </w:r>
          </w:p>
        </w:tc>
        <w:tc>
          <w:tcPr>
            <w:tcW w:w="1350" w:type="dxa"/>
          </w:tcPr>
          <w:p w14:paraId="13056139" w14:textId="6EB40281"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0.6</w:t>
            </w:r>
          </w:p>
        </w:tc>
        <w:tc>
          <w:tcPr>
            <w:tcW w:w="1844" w:type="dxa"/>
          </w:tcPr>
          <w:p w14:paraId="506F8B4B" w14:textId="0AD1082D"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17A01CA2" w14:textId="77777777" w:rsidTr="008A1A87">
        <w:tc>
          <w:tcPr>
            <w:tcW w:w="2448" w:type="dxa"/>
            <w:vMerge/>
          </w:tcPr>
          <w:p w14:paraId="6CA4AC8B"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047C3FE2" w14:textId="10335CD3"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Anaphylactic reaction</w:t>
            </w:r>
          </w:p>
        </w:tc>
        <w:tc>
          <w:tcPr>
            <w:tcW w:w="1350" w:type="dxa"/>
          </w:tcPr>
          <w:p w14:paraId="2DAB61B2" w14:textId="1D7CC027"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0.3</w:t>
            </w:r>
          </w:p>
        </w:tc>
        <w:tc>
          <w:tcPr>
            <w:tcW w:w="1844" w:type="dxa"/>
          </w:tcPr>
          <w:p w14:paraId="22CFC408" w14:textId="55E4662B"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33821CF2" w14:textId="77777777" w:rsidTr="008A1A87">
        <w:tc>
          <w:tcPr>
            <w:tcW w:w="2448" w:type="dxa"/>
          </w:tcPr>
          <w:p w14:paraId="0AD29AD2" w14:textId="62788B95"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METABOLISM AND NUTRITION DISORDERS</w:t>
            </w:r>
          </w:p>
        </w:tc>
        <w:tc>
          <w:tcPr>
            <w:tcW w:w="3600" w:type="dxa"/>
          </w:tcPr>
          <w:p w14:paraId="4C8A10A7" w14:textId="458FBCA1"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Decreased appetite</w:t>
            </w:r>
          </w:p>
        </w:tc>
        <w:tc>
          <w:tcPr>
            <w:tcW w:w="1350" w:type="dxa"/>
          </w:tcPr>
          <w:p w14:paraId="67ADB081" w14:textId="36443CBD"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1.7</w:t>
            </w:r>
          </w:p>
        </w:tc>
        <w:tc>
          <w:tcPr>
            <w:tcW w:w="1844" w:type="dxa"/>
          </w:tcPr>
          <w:p w14:paraId="0D593CE7" w14:textId="72DAE6BD"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20092B26" w14:textId="77777777" w:rsidTr="008A1A87">
        <w:tc>
          <w:tcPr>
            <w:tcW w:w="2448" w:type="dxa"/>
            <w:vMerge w:val="restart"/>
          </w:tcPr>
          <w:p w14:paraId="50CFC100" w14:textId="2F0C0C94"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PSYCHIATRIC DISORDERS</w:t>
            </w:r>
          </w:p>
        </w:tc>
        <w:tc>
          <w:tcPr>
            <w:tcW w:w="3600" w:type="dxa"/>
          </w:tcPr>
          <w:p w14:paraId="4D2C1077" w14:textId="49D7422F"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Anxiety</w:t>
            </w:r>
          </w:p>
        </w:tc>
        <w:tc>
          <w:tcPr>
            <w:tcW w:w="1350" w:type="dxa"/>
          </w:tcPr>
          <w:p w14:paraId="2E807B8D" w14:textId="6212E308"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4.8</w:t>
            </w:r>
          </w:p>
        </w:tc>
        <w:tc>
          <w:tcPr>
            <w:tcW w:w="1844" w:type="dxa"/>
          </w:tcPr>
          <w:p w14:paraId="12108D4B" w14:textId="099CA192"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336398EA" w14:textId="77777777" w:rsidTr="008A1A87">
        <w:tc>
          <w:tcPr>
            <w:tcW w:w="2448" w:type="dxa"/>
            <w:vMerge/>
          </w:tcPr>
          <w:p w14:paraId="74D0687E"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7A45AE3E" w14:textId="58EF1496"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Irritability</w:t>
            </w:r>
          </w:p>
        </w:tc>
        <w:tc>
          <w:tcPr>
            <w:tcW w:w="1350" w:type="dxa"/>
          </w:tcPr>
          <w:p w14:paraId="5E3A861E" w14:textId="66F5A152"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1.2</w:t>
            </w:r>
          </w:p>
        </w:tc>
        <w:tc>
          <w:tcPr>
            <w:tcW w:w="1844" w:type="dxa"/>
          </w:tcPr>
          <w:p w14:paraId="06382802" w14:textId="783AB707"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304CB3F4" w14:textId="77777777" w:rsidTr="008A1A87">
        <w:tc>
          <w:tcPr>
            <w:tcW w:w="2448" w:type="dxa"/>
            <w:vMerge/>
          </w:tcPr>
          <w:p w14:paraId="60F38548"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794CF7C4" w14:textId="7F8C8B7D"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Insomnia</w:t>
            </w:r>
          </w:p>
        </w:tc>
        <w:tc>
          <w:tcPr>
            <w:tcW w:w="1350" w:type="dxa"/>
          </w:tcPr>
          <w:p w14:paraId="18CA0787" w14:textId="4DD035AB"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2.9</w:t>
            </w:r>
          </w:p>
        </w:tc>
        <w:tc>
          <w:tcPr>
            <w:tcW w:w="1844" w:type="dxa"/>
          </w:tcPr>
          <w:p w14:paraId="198F7A1F" w14:textId="47A7B351"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44CE6C58" w14:textId="77777777" w:rsidTr="008A1A87">
        <w:tc>
          <w:tcPr>
            <w:tcW w:w="2448" w:type="dxa"/>
            <w:vMerge w:val="restart"/>
          </w:tcPr>
          <w:p w14:paraId="3453D757" w14:textId="44CD19BC"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NERVOUS SYSTEM DISORDER</w:t>
            </w:r>
          </w:p>
        </w:tc>
        <w:tc>
          <w:tcPr>
            <w:tcW w:w="3600" w:type="dxa"/>
          </w:tcPr>
          <w:p w14:paraId="0F790198" w14:textId="19D9404C"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Headache</w:t>
            </w:r>
          </w:p>
        </w:tc>
        <w:tc>
          <w:tcPr>
            <w:tcW w:w="1350" w:type="dxa"/>
          </w:tcPr>
          <w:p w14:paraId="303EE7A8" w14:textId="3E84713C"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28.8</w:t>
            </w:r>
          </w:p>
        </w:tc>
        <w:tc>
          <w:tcPr>
            <w:tcW w:w="1844" w:type="dxa"/>
          </w:tcPr>
          <w:p w14:paraId="7849DDC9" w14:textId="379382F0" w:rsidR="008A1A87" w:rsidRPr="00CB6B8A" w:rsidRDefault="008A1A87" w:rsidP="00140D87">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Very Common</w:t>
            </w:r>
          </w:p>
        </w:tc>
      </w:tr>
      <w:tr w:rsidR="008A1A87" w14:paraId="62A776F3" w14:textId="77777777" w:rsidTr="008A1A87">
        <w:tc>
          <w:tcPr>
            <w:tcW w:w="2448" w:type="dxa"/>
            <w:vMerge/>
          </w:tcPr>
          <w:p w14:paraId="02B2ADA2"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1BBBCE4F" w14:textId="5D7086FD"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Dizziness</w:t>
            </w:r>
          </w:p>
        </w:tc>
        <w:tc>
          <w:tcPr>
            <w:tcW w:w="1350" w:type="dxa"/>
          </w:tcPr>
          <w:p w14:paraId="0EE677DC" w14:textId="40F775CC"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7.6</w:t>
            </w:r>
          </w:p>
        </w:tc>
        <w:tc>
          <w:tcPr>
            <w:tcW w:w="1844" w:type="dxa"/>
          </w:tcPr>
          <w:p w14:paraId="3A90DE28" w14:textId="706EDD70"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1A4B7846" w14:textId="77777777" w:rsidTr="008A1A87">
        <w:tc>
          <w:tcPr>
            <w:tcW w:w="2448" w:type="dxa"/>
            <w:vMerge/>
          </w:tcPr>
          <w:p w14:paraId="3742B72A"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157989FF" w14:textId="6831F2B8"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Migraine</w:t>
            </w:r>
          </w:p>
        </w:tc>
        <w:tc>
          <w:tcPr>
            <w:tcW w:w="1350" w:type="dxa"/>
          </w:tcPr>
          <w:p w14:paraId="72AFB6E7" w14:textId="5F395F5F"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1.7</w:t>
            </w:r>
          </w:p>
        </w:tc>
        <w:tc>
          <w:tcPr>
            <w:tcW w:w="1844" w:type="dxa"/>
          </w:tcPr>
          <w:p w14:paraId="5A08AFC1" w14:textId="370CBA3F"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2C19828A" w14:textId="77777777" w:rsidTr="008A1A87">
        <w:tc>
          <w:tcPr>
            <w:tcW w:w="2448" w:type="dxa"/>
            <w:vMerge/>
          </w:tcPr>
          <w:p w14:paraId="2B41BDCA"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141AB8A4" w14:textId="7E51CA97"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Paraesthesia</w:t>
            </w:r>
          </w:p>
        </w:tc>
        <w:tc>
          <w:tcPr>
            <w:tcW w:w="1350" w:type="dxa"/>
          </w:tcPr>
          <w:p w14:paraId="602A1F47" w14:textId="22D5FC8B"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1.2</w:t>
            </w:r>
          </w:p>
        </w:tc>
        <w:tc>
          <w:tcPr>
            <w:tcW w:w="1844" w:type="dxa"/>
          </w:tcPr>
          <w:p w14:paraId="4AFECD5F" w14:textId="06461360"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Common</w:t>
            </w:r>
          </w:p>
        </w:tc>
      </w:tr>
      <w:tr w:rsidR="008A1A87" w14:paraId="02C68976" w14:textId="77777777" w:rsidTr="008A1A87">
        <w:tc>
          <w:tcPr>
            <w:tcW w:w="2448" w:type="dxa"/>
            <w:vMerge/>
          </w:tcPr>
          <w:p w14:paraId="2BF33746"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2C9C4A54" w14:textId="159425EC"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Dysgeusia</w:t>
            </w:r>
          </w:p>
        </w:tc>
        <w:tc>
          <w:tcPr>
            <w:tcW w:w="1350" w:type="dxa"/>
          </w:tcPr>
          <w:p w14:paraId="02DC4073" w14:textId="6F7F8F19"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0.4</w:t>
            </w:r>
          </w:p>
        </w:tc>
        <w:tc>
          <w:tcPr>
            <w:tcW w:w="1844" w:type="dxa"/>
          </w:tcPr>
          <w:p w14:paraId="56A13DA3" w14:textId="0BA1A40D"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427220B2" w14:textId="77777777" w:rsidTr="008A1A87">
        <w:tc>
          <w:tcPr>
            <w:tcW w:w="2448" w:type="dxa"/>
            <w:vMerge/>
          </w:tcPr>
          <w:p w14:paraId="6257AD9A"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58ABD0D3" w14:textId="2F5D333E"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Balance disorder</w:t>
            </w:r>
          </w:p>
        </w:tc>
        <w:tc>
          <w:tcPr>
            <w:tcW w:w="1350" w:type="dxa"/>
          </w:tcPr>
          <w:p w14:paraId="52770D5C" w14:textId="25839E8D"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0.4</w:t>
            </w:r>
          </w:p>
        </w:tc>
        <w:tc>
          <w:tcPr>
            <w:tcW w:w="1844" w:type="dxa"/>
          </w:tcPr>
          <w:p w14:paraId="3C48730A" w14:textId="45665692"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18DBA336" w14:textId="77777777" w:rsidTr="008A1A87">
        <w:tc>
          <w:tcPr>
            <w:tcW w:w="2448" w:type="dxa"/>
            <w:vMerge/>
          </w:tcPr>
          <w:p w14:paraId="40D17236"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3E17699E" w14:textId="3D110CF5"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Dysarthria</w:t>
            </w:r>
          </w:p>
        </w:tc>
        <w:tc>
          <w:tcPr>
            <w:tcW w:w="1350" w:type="dxa"/>
          </w:tcPr>
          <w:p w14:paraId="233BB0BC" w14:textId="522AF1A3"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0.1</w:t>
            </w:r>
          </w:p>
        </w:tc>
        <w:tc>
          <w:tcPr>
            <w:tcW w:w="1844" w:type="dxa"/>
          </w:tcPr>
          <w:p w14:paraId="43F7EA13" w14:textId="5484E3DD"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2425B7D3" w14:textId="77777777" w:rsidTr="008A1A87">
        <w:tc>
          <w:tcPr>
            <w:tcW w:w="2448" w:type="dxa"/>
            <w:vMerge/>
          </w:tcPr>
          <w:p w14:paraId="03DBB33B"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1E777E35" w14:textId="5609EAE0"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Hypoesthesia</w:t>
            </w:r>
          </w:p>
        </w:tc>
        <w:tc>
          <w:tcPr>
            <w:tcW w:w="1350" w:type="dxa"/>
          </w:tcPr>
          <w:p w14:paraId="69316B54" w14:textId="55846951"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0.6</w:t>
            </w:r>
          </w:p>
        </w:tc>
        <w:tc>
          <w:tcPr>
            <w:tcW w:w="1844" w:type="dxa"/>
          </w:tcPr>
          <w:p w14:paraId="27EF5893" w14:textId="53C92F60"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56D93713" w14:textId="77777777" w:rsidTr="008A1A87">
        <w:tc>
          <w:tcPr>
            <w:tcW w:w="2448" w:type="dxa"/>
            <w:vMerge/>
          </w:tcPr>
          <w:p w14:paraId="2FDA5A96"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66D1FBEA" w14:textId="6622BCCD"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Amnesia</w:t>
            </w:r>
          </w:p>
        </w:tc>
        <w:tc>
          <w:tcPr>
            <w:tcW w:w="1350" w:type="dxa"/>
          </w:tcPr>
          <w:p w14:paraId="20BA2E87" w14:textId="5DB1E9B3"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0.1</w:t>
            </w:r>
          </w:p>
        </w:tc>
        <w:tc>
          <w:tcPr>
            <w:tcW w:w="1844" w:type="dxa"/>
          </w:tcPr>
          <w:p w14:paraId="2197C7D0" w14:textId="0D5F6115" w:rsidR="008A1A87" w:rsidRPr="00D73F29"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color w:val="000000" w:themeColor="text1"/>
                <w:sz w:val="20"/>
                <w:szCs w:val="20"/>
              </w:rPr>
              <w:t>Uncommon</w:t>
            </w:r>
          </w:p>
        </w:tc>
      </w:tr>
      <w:tr w:rsidR="008A1A87" w14:paraId="169D2275" w14:textId="77777777" w:rsidTr="008A1A87">
        <w:tc>
          <w:tcPr>
            <w:tcW w:w="2448" w:type="dxa"/>
            <w:vMerge w:val="restart"/>
          </w:tcPr>
          <w:p w14:paraId="2AB4D58A" w14:textId="180F4403"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EYE DISORDERS</w:t>
            </w:r>
          </w:p>
        </w:tc>
        <w:tc>
          <w:tcPr>
            <w:tcW w:w="3600" w:type="dxa"/>
          </w:tcPr>
          <w:p w14:paraId="7670C647" w14:textId="0585E9C3"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Conjunctivitis</w:t>
            </w:r>
          </w:p>
        </w:tc>
        <w:tc>
          <w:tcPr>
            <w:tcW w:w="1350" w:type="dxa"/>
          </w:tcPr>
          <w:p w14:paraId="5F738601" w14:textId="7D6581A7"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1.3</w:t>
            </w:r>
          </w:p>
        </w:tc>
        <w:tc>
          <w:tcPr>
            <w:tcW w:w="1844" w:type="dxa"/>
          </w:tcPr>
          <w:p w14:paraId="6DE8CA13" w14:textId="3A2BDD21"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5FEB7073" w14:textId="77777777" w:rsidTr="008A1A87">
        <w:tc>
          <w:tcPr>
            <w:tcW w:w="2448" w:type="dxa"/>
            <w:vMerge/>
          </w:tcPr>
          <w:p w14:paraId="404184C8"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2C8FCB11" w14:textId="3FCEFF66"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Eye swelling</w:t>
            </w:r>
          </w:p>
        </w:tc>
        <w:tc>
          <w:tcPr>
            <w:tcW w:w="1350" w:type="dxa"/>
          </w:tcPr>
          <w:p w14:paraId="236E1FEC" w14:textId="0328BFAE"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0.3</w:t>
            </w:r>
          </w:p>
        </w:tc>
        <w:tc>
          <w:tcPr>
            <w:tcW w:w="1844" w:type="dxa"/>
          </w:tcPr>
          <w:p w14:paraId="52CB64EB" w14:textId="4D4E1E99"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196376BA" w14:textId="77777777" w:rsidTr="008A1A87">
        <w:tc>
          <w:tcPr>
            <w:tcW w:w="2448" w:type="dxa"/>
            <w:vMerge/>
          </w:tcPr>
          <w:p w14:paraId="753B8409" w14:textId="77777777" w:rsidR="008A1A87" w:rsidRPr="00CB6B8A" w:rsidRDefault="008A1A87" w:rsidP="00CB6B8A">
            <w:pPr>
              <w:rPr>
                <w:rFonts w:ascii="Times New Roman" w:hAnsi="Times New Roman" w:cs="Times New Roman"/>
                <w:color w:val="000000" w:themeColor="text1"/>
                <w:sz w:val="20"/>
                <w:szCs w:val="20"/>
              </w:rPr>
            </w:pPr>
          </w:p>
        </w:tc>
        <w:tc>
          <w:tcPr>
            <w:tcW w:w="3600" w:type="dxa"/>
          </w:tcPr>
          <w:p w14:paraId="07454190" w14:textId="48F8A9C0"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Eye pain</w:t>
            </w:r>
          </w:p>
        </w:tc>
        <w:tc>
          <w:tcPr>
            <w:tcW w:w="1350" w:type="dxa"/>
          </w:tcPr>
          <w:p w14:paraId="06F0E132" w14:textId="06951740"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tcPr>
          <w:p w14:paraId="61FBF143" w14:textId="20A9A654"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682C4D14" w14:textId="77777777" w:rsidTr="008A1A87">
        <w:tc>
          <w:tcPr>
            <w:tcW w:w="2448" w:type="dxa"/>
          </w:tcPr>
          <w:p w14:paraId="6E5CDBAA" w14:textId="597EC18C" w:rsidR="008A1A87" w:rsidRPr="00CB6B8A" w:rsidRDefault="008A1A87" w:rsidP="00CB6B8A">
            <w:pPr>
              <w:rPr>
                <w:rFonts w:ascii="Times New Roman" w:hAnsi="Times New Roman" w:cs="Times New Roman"/>
                <w:color w:val="000000" w:themeColor="text1"/>
                <w:sz w:val="20"/>
                <w:szCs w:val="20"/>
              </w:rPr>
            </w:pPr>
            <w:r w:rsidRPr="00D73F29">
              <w:rPr>
                <w:rFonts w:ascii="Times New Roman" w:hAnsi="Times New Roman" w:cs="Times New Roman"/>
                <w:b/>
                <w:bCs/>
                <w:color w:val="000000" w:themeColor="text1"/>
                <w:sz w:val="20"/>
                <w:szCs w:val="20"/>
              </w:rPr>
              <w:t>EAR AND LABYRINTH DISORDERS</w:t>
            </w:r>
          </w:p>
        </w:tc>
        <w:tc>
          <w:tcPr>
            <w:tcW w:w="3600" w:type="dxa"/>
          </w:tcPr>
          <w:p w14:paraId="7B64012A" w14:textId="6ED40C98"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Vertigo</w:t>
            </w:r>
          </w:p>
        </w:tc>
        <w:tc>
          <w:tcPr>
            <w:tcW w:w="1350" w:type="dxa"/>
          </w:tcPr>
          <w:p w14:paraId="468DA490" w14:textId="57F42345"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0.7</w:t>
            </w:r>
          </w:p>
        </w:tc>
        <w:tc>
          <w:tcPr>
            <w:tcW w:w="1844" w:type="dxa"/>
          </w:tcPr>
          <w:p w14:paraId="42EF0F57" w14:textId="4BF9F83D" w:rsidR="008A1A87" w:rsidRPr="00D73F29"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3EFA7099" w14:textId="77777777" w:rsidTr="008A1A87">
        <w:tc>
          <w:tcPr>
            <w:tcW w:w="2448" w:type="dxa"/>
          </w:tcPr>
          <w:p w14:paraId="68CB0063" w14:textId="03FADF60"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CARDIAC DISORDERS</w:t>
            </w:r>
          </w:p>
        </w:tc>
        <w:tc>
          <w:tcPr>
            <w:tcW w:w="3600" w:type="dxa"/>
          </w:tcPr>
          <w:p w14:paraId="4EDACF93" w14:textId="4A582749"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Tachycardia (including sinus tachycardia)</w:t>
            </w:r>
          </w:p>
        </w:tc>
        <w:tc>
          <w:tcPr>
            <w:tcW w:w="1350" w:type="dxa"/>
          </w:tcPr>
          <w:p w14:paraId="3B5A0CAD" w14:textId="32E80B5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1.7</w:t>
            </w:r>
          </w:p>
        </w:tc>
        <w:tc>
          <w:tcPr>
            <w:tcW w:w="1844" w:type="dxa"/>
          </w:tcPr>
          <w:p w14:paraId="08A50D43" w14:textId="0B06D63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456E2544" w14:textId="77777777" w:rsidTr="008A1A87">
        <w:tc>
          <w:tcPr>
            <w:tcW w:w="2448" w:type="dxa"/>
            <w:vMerge w:val="restart"/>
          </w:tcPr>
          <w:p w14:paraId="7463BF41" w14:textId="40659CD9"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VASCULAR DISORDERS</w:t>
            </w:r>
          </w:p>
        </w:tc>
        <w:tc>
          <w:tcPr>
            <w:tcW w:w="3600" w:type="dxa"/>
          </w:tcPr>
          <w:p w14:paraId="31AD25D6" w14:textId="41E094D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Hypertension (including blood pressure increased)</w:t>
            </w:r>
          </w:p>
        </w:tc>
        <w:tc>
          <w:tcPr>
            <w:tcW w:w="1350" w:type="dxa"/>
          </w:tcPr>
          <w:p w14:paraId="5A915AEE" w14:textId="5FB9F6B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12.5</w:t>
            </w:r>
          </w:p>
        </w:tc>
        <w:tc>
          <w:tcPr>
            <w:tcW w:w="1844" w:type="dxa"/>
          </w:tcPr>
          <w:p w14:paraId="155A54A6" w14:textId="4407ECCA" w:rsidR="008A1A87" w:rsidRPr="008A1A87" w:rsidRDefault="008A1A87" w:rsidP="00140D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Very Common</w:t>
            </w:r>
          </w:p>
        </w:tc>
      </w:tr>
      <w:tr w:rsidR="008A1A87" w14:paraId="13C34E47" w14:textId="77777777" w:rsidTr="008A1A87">
        <w:tc>
          <w:tcPr>
            <w:tcW w:w="2448" w:type="dxa"/>
            <w:vMerge/>
          </w:tcPr>
          <w:p w14:paraId="5795E465"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2C67D674" w14:textId="23171EEB" w:rsidR="008A1A87" w:rsidRPr="008A1A87" w:rsidRDefault="008A1A87" w:rsidP="00876B33">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 xml:space="preserve">Flushing (including </w:t>
            </w:r>
            <w:r w:rsidR="00876B33">
              <w:rPr>
                <w:rFonts w:ascii="Times New Roman" w:hAnsi="Times New Roman" w:cs="Times New Roman"/>
                <w:color w:val="000000" w:themeColor="text1"/>
                <w:sz w:val="20"/>
                <w:szCs w:val="20"/>
              </w:rPr>
              <w:t>h</w:t>
            </w:r>
            <w:r w:rsidR="00876B33" w:rsidRPr="008A1A87">
              <w:rPr>
                <w:rFonts w:ascii="Times New Roman" w:hAnsi="Times New Roman" w:cs="Times New Roman"/>
                <w:color w:val="000000" w:themeColor="text1"/>
                <w:sz w:val="20"/>
                <w:szCs w:val="20"/>
              </w:rPr>
              <w:t xml:space="preserve">ot </w:t>
            </w:r>
            <w:r w:rsidR="00876B33">
              <w:rPr>
                <w:rFonts w:ascii="Times New Roman" w:hAnsi="Times New Roman" w:cs="Times New Roman"/>
                <w:color w:val="000000" w:themeColor="text1"/>
                <w:sz w:val="20"/>
                <w:szCs w:val="20"/>
              </w:rPr>
              <w:t>f</w:t>
            </w:r>
            <w:r w:rsidR="00876B33" w:rsidRPr="008A1A87">
              <w:rPr>
                <w:rFonts w:ascii="Times New Roman" w:hAnsi="Times New Roman" w:cs="Times New Roman"/>
                <w:color w:val="000000" w:themeColor="text1"/>
                <w:sz w:val="20"/>
                <w:szCs w:val="20"/>
              </w:rPr>
              <w:t>lush</w:t>
            </w:r>
            <w:r w:rsidRPr="008A1A87">
              <w:rPr>
                <w:rFonts w:ascii="Times New Roman" w:hAnsi="Times New Roman" w:cs="Times New Roman"/>
                <w:color w:val="000000" w:themeColor="text1"/>
                <w:sz w:val="20"/>
                <w:szCs w:val="20"/>
              </w:rPr>
              <w:t>)</w:t>
            </w:r>
          </w:p>
        </w:tc>
        <w:tc>
          <w:tcPr>
            <w:tcW w:w="1350" w:type="dxa"/>
          </w:tcPr>
          <w:p w14:paraId="269AD8DD" w14:textId="79652D4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2.5</w:t>
            </w:r>
          </w:p>
        </w:tc>
        <w:tc>
          <w:tcPr>
            <w:tcW w:w="1844" w:type="dxa"/>
          </w:tcPr>
          <w:p w14:paraId="1D7E5D05" w14:textId="3987270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4F0E6949" w14:textId="77777777" w:rsidTr="008A1A87">
        <w:tc>
          <w:tcPr>
            <w:tcW w:w="2448" w:type="dxa"/>
            <w:vMerge/>
          </w:tcPr>
          <w:p w14:paraId="6F3A93FB"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54C00A4" w14:textId="10F12BC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Phlebitis</w:t>
            </w:r>
          </w:p>
        </w:tc>
        <w:tc>
          <w:tcPr>
            <w:tcW w:w="1350" w:type="dxa"/>
          </w:tcPr>
          <w:p w14:paraId="3FC1622E" w14:textId="0F2880C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0.6</w:t>
            </w:r>
          </w:p>
        </w:tc>
        <w:tc>
          <w:tcPr>
            <w:tcW w:w="1844" w:type="dxa"/>
          </w:tcPr>
          <w:p w14:paraId="78E046F0" w14:textId="1FE0265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5FA7A506" w14:textId="77777777" w:rsidTr="008A1A87">
        <w:tc>
          <w:tcPr>
            <w:tcW w:w="2448" w:type="dxa"/>
            <w:vMerge/>
          </w:tcPr>
          <w:p w14:paraId="2983B117"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C2D79F3" w14:textId="752B69E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Peripheral coldness</w:t>
            </w:r>
          </w:p>
        </w:tc>
        <w:tc>
          <w:tcPr>
            <w:tcW w:w="1350" w:type="dxa"/>
          </w:tcPr>
          <w:p w14:paraId="37AC3AC4" w14:textId="1D8A0F9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0.4</w:t>
            </w:r>
          </w:p>
        </w:tc>
        <w:tc>
          <w:tcPr>
            <w:tcW w:w="1844" w:type="dxa"/>
          </w:tcPr>
          <w:p w14:paraId="655742B9" w14:textId="548503DF"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35F0EBAB" w14:textId="77777777" w:rsidTr="008A1A87">
        <w:tc>
          <w:tcPr>
            <w:tcW w:w="2448" w:type="dxa"/>
            <w:vMerge w:val="restart"/>
          </w:tcPr>
          <w:p w14:paraId="6109FB2C" w14:textId="7905B781"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RESPIRATORY, THORACIC AND MEDIASTINAL DISORDERS</w:t>
            </w:r>
          </w:p>
        </w:tc>
        <w:tc>
          <w:tcPr>
            <w:tcW w:w="3600" w:type="dxa"/>
          </w:tcPr>
          <w:p w14:paraId="56F5BFD8" w14:textId="22EF33F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Cough</w:t>
            </w:r>
          </w:p>
        </w:tc>
        <w:tc>
          <w:tcPr>
            <w:tcW w:w="1350" w:type="dxa"/>
          </w:tcPr>
          <w:p w14:paraId="2CCD9AC9" w14:textId="4DAA3FCF"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7.0</w:t>
            </w:r>
          </w:p>
        </w:tc>
        <w:tc>
          <w:tcPr>
            <w:tcW w:w="1844" w:type="dxa"/>
          </w:tcPr>
          <w:p w14:paraId="66B7D846" w14:textId="175ECC4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4EE6196B" w14:textId="77777777" w:rsidTr="008A1A87">
        <w:tc>
          <w:tcPr>
            <w:tcW w:w="2448" w:type="dxa"/>
            <w:vMerge/>
          </w:tcPr>
          <w:p w14:paraId="3ACD916D"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7B50D085" w14:textId="2AD09997"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Nasal congestion</w:t>
            </w:r>
          </w:p>
        </w:tc>
        <w:tc>
          <w:tcPr>
            <w:tcW w:w="1350" w:type="dxa"/>
          </w:tcPr>
          <w:p w14:paraId="665C7AEC" w14:textId="1FA0F3C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2.9</w:t>
            </w:r>
          </w:p>
        </w:tc>
        <w:tc>
          <w:tcPr>
            <w:tcW w:w="1844" w:type="dxa"/>
          </w:tcPr>
          <w:p w14:paraId="04E48C46" w14:textId="7CB3C19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1476C55B" w14:textId="77777777" w:rsidTr="008A1A87">
        <w:tc>
          <w:tcPr>
            <w:tcW w:w="2448" w:type="dxa"/>
            <w:vMerge/>
          </w:tcPr>
          <w:p w14:paraId="4235ED29"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29D824B3" w14:textId="3BB900C4" w:rsidR="008A1A87" w:rsidRPr="008A1A87" w:rsidRDefault="005432D8"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Rhinorrhoea</w:t>
            </w:r>
          </w:p>
        </w:tc>
        <w:tc>
          <w:tcPr>
            <w:tcW w:w="1350" w:type="dxa"/>
          </w:tcPr>
          <w:p w14:paraId="6404A298" w14:textId="421ABE7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2.5</w:t>
            </w:r>
          </w:p>
        </w:tc>
        <w:tc>
          <w:tcPr>
            <w:tcW w:w="1844" w:type="dxa"/>
          </w:tcPr>
          <w:p w14:paraId="20DE8A92" w14:textId="1708F06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031FF944" w14:textId="77777777" w:rsidTr="008A1A87">
        <w:tc>
          <w:tcPr>
            <w:tcW w:w="2448" w:type="dxa"/>
            <w:vMerge/>
          </w:tcPr>
          <w:p w14:paraId="0E1B9CB0"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5456B9B8" w14:textId="4CFAB8B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Oropharyngeal pain</w:t>
            </w:r>
          </w:p>
        </w:tc>
        <w:tc>
          <w:tcPr>
            <w:tcW w:w="1350" w:type="dxa"/>
          </w:tcPr>
          <w:p w14:paraId="1E1FA103" w14:textId="498C370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2.3</w:t>
            </w:r>
          </w:p>
        </w:tc>
        <w:tc>
          <w:tcPr>
            <w:tcW w:w="1844" w:type="dxa"/>
          </w:tcPr>
          <w:p w14:paraId="3E70A969" w14:textId="232770B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3CF02242" w14:textId="77777777" w:rsidTr="008A1A87">
        <w:tc>
          <w:tcPr>
            <w:tcW w:w="2448" w:type="dxa"/>
            <w:vMerge/>
          </w:tcPr>
          <w:p w14:paraId="208AF000"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0D25E56D" w14:textId="7E4D5EDD" w:rsidR="008A1A87" w:rsidRPr="008A1A87" w:rsidRDefault="005432D8"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Dyspnoea</w:t>
            </w:r>
          </w:p>
        </w:tc>
        <w:tc>
          <w:tcPr>
            <w:tcW w:w="1350" w:type="dxa"/>
          </w:tcPr>
          <w:p w14:paraId="01DF4DA2" w14:textId="15F9C14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1.5</w:t>
            </w:r>
          </w:p>
        </w:tc>
        <w:tc>
          <w:tcPr>
            <w:tcW w:w="1844" w:type="dxa"/>
          </w:tcPr>
          <w:p w14:paraId="6EB1FAD1" w14:textId="2978018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14250123" w14:textId="77777777" w:rsidTr="008A1A87">
        <w:tc>
          <w:tcPr>
            <w:tcW w:w="2448" w:type="dxa"/>
            <w:vMerge/>
          </w:tcPr>
          <w:p w14:paraId="6BE889CE"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52FB950D" w14:textId="7BE072B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Pulmonary embolism</w:t>
            </w:r>
          </w:p>
        </w:tc>
        <w:tc>
          <w:tcPr>
            <w:tcW w:w="1350" w:type="dxa"/>
          </w:tcPr>
          <w:p w14:paraId="1891FF3F" w14:textId="6C9E817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0.4</w:t>
            </w:r>
          </w:p>
        </w:tc>
        <w:tc>
          <w:tcPr>
            <w:tcW w:w="1844" w:type="dxa"/>
          </w:tcPr>
          <w:p w14:paraId="33F9E077" w14:textId="17D8C28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5F8AB868" w14:textId="77777777" w:rsidTr="008A1A87">
        <w:tc>
          <w:tcPr>
            <w:tcW w:w="2448" w:type="dxa"/>
            <w:vMerge/>
          </w:tcPr>
          <w:p w14:paraId="3EF1A6B6"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5795796B" w14:textId="67D15E2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Oropharyngeal swelling</w:t>
            </w:r>
          </w:p>
        </w:tc>
        <w:tc>
          <w:tcPr>
            <w:tcW w:w="1350" w:type="dxa"/>
          </w:tcPr>
          <w:p w14:paraId="1C5FEDE4" w14:textId="6616A98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tcPr>
          <w:p w14:paraId="27360C83" w14:textId="0E71ACC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3D35A0EC" w14:textId="77777777" w:rsidTr="008A1A87">
        <w:tc>
          <w:tcPr>
            <w:tcW w:w="2448" w:type="dxa"/>
            <w:vMerge w:val="restart"/>
          </w:tcPr>
          <w:p w14:paraId="7B23704D" w14:textId="0A1FF793"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GASTROINTESTINAL DISORDERS</w:t>
            </w:r>
          </w:p>
        </w:tc>
        <w:tc>
          <w:tcPr>
            <w:tcW w:w="3600" w:type="dxa"/>
          </w:tcPr>
          <w:p w14:paraId="199828A5" w14:textId="59A8587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Nausea</w:t>
            </w:r>
          </w:p>
        </w:tc>
        <w:tc>
          <w:tcPr>
            <w:tcW w:w="1350" w:type="dxa"/>
          </w:tcPr>
          <w:p w14:paraId="7D5C005A" w14:textId="2A5607E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10.2</w:t>
            </w:r>
          </w:p>
        </w:tc>
        <w:tc>
          <w:tcPr>
            <w:tcW w:w="1844" w:type="dxa"/>
          </w:tcPr>
          <w:p w14:paraId="4D8688A9" w14:textId="39CAB47D" w:rsidR="008A1A87" w:rsidRPr="008A1A87" w:rsidRDefault="008A1A87" w:rsidP="00140D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Very Common</w:t>
            </w:r>
          </w:p>
        </w:tc>
      </w:tr>
      <w:tr w:rsidR="008A1A87" w14:paraId="6E686D22" w14:textId="77777777" w:rsidTr="008A1A87">
        <w:tc>
          <w:tcPr>
            <w:tcW w:w="2448" w:type="dxa"/>
            <w:vMerge/>
          </w:tcPr>
          <w:p w14:paraId="2AA7F2F5"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08207334" w14:textId="31755BBE" w:rsidR="008A1A87" w:rsidRPr="008A1A87" w:rsidRDefault="005432D8"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Diarrhoea</w:t>
            </w:r>
          </w:p>
        </w:tc>
        <w:tc>
          <w:tcPr>
            <w:tcW w:w="1350" w:type="dxa"/>
          </w:tcPr>
          <w:p w14:paraId="5FF04F55" w14:textId="0B11204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9.5</w:t>
            </w:r>
          </w:p>
        </w:tc>
        <w:tc>
          <w:tcPr>
            <w:tcW w:w="1844" w:type="dxa"/>
          </w:tcPr>
          <w:p w14:paraId="2120479F" w14:textId="2B100EA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78D200E" w14:textId="77777777" w:rsidTr="008A1A87">
        <w:tc>
          <w:tcPr>
            <w:tcW w:w="2448" w:type="dxa"/>
            <w:vMerge/>
          </w:tcPr>
          <w:p w14:paraId="1D7F0718"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2D3FEF06" w14:textId="220EBB6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Vomiting</w:t>
            </w:r>
          </w:p>
        </w:tc>
        <w:tc>
          <w:tcPr>
            <w:tcW w:w="1350" w:type="dxa"/>
          </w:tcPr>
          <w:p w14:paraId="08C181B7" w14:textId="2A37B0F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7.7</w:t>
            </w:r>
          </w:p>
        </w:tc>
        <w:tc>
          <w:tcPr>
            <w:tcW w:w="1844" w:type="dxa"/>
          </w:tcPr>
          <w:p w14:paraId="0299F65E" w14:textId="358BB73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C0D6F4B" w14:textId="77777777" w:rsidTr="008A1A87">
        <w:tc>
          <w:tcPr>
            <w:tcW w:w="2448" w:type="dxa"/>
            <w:vMerge/>
          </w:tcPr>
          <w:p w14:paraId="570EECD4"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72A0748D" w14:textId="4C006C2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Abdominal pain (including abdominal pain upper, lower and tenderness)</w:t>
            </w:r>
          </w:p>
        </w:tc>
        <w:tc>
          <w:tcPr>
            <w:tcW w:w="1350" w:type="dxa"/>
          </w:tcPr>
          <w:p w14:paraId="10A448E0" w14:textId="474216B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4.1</w:t>
            </w:r>
          </w:p>
        </w:tc>
        <w:tc>
          <w:tcPr>
            <w:tcW w:w="1844" w:type="dxa"/>
          </w:tcPr>
          <w:p w14:paraId="098C7266" w14:textId="4D6D6E2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29E645B4" w14:textId="77777777" w:rsidTr="008A1A87">
        <w:tc>
          <w:tcPr>
            <w:tcW w:w="2448" w:type="dxa"/>
            <w:vMerge/>
          </w:tcPr>
          <w:p w14:paraId="0F88A52C"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083534F9" w14:textId="7A28811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Dyspepsia</w:t>
            </w:r>
          </w:p>
        </w:tc>
        <w:tc>
          <w:tcPr>
            <w:tcW w:w="1350" w:type="dxa"/>
          </w:tcPr>
          <w:p w14:paraId="7C3DD978" w14:textId="7EEC8FB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1.3</w:t>
            </w:r>
          </w:p>
        </w:tc>
        <w:tc>
          <w:tcPr>
            <w:tcW w:w="1844" w:type="dxa"/>
          </w:tcPr>
          <w:p w14:paraId="6BCCC674" w14:textId="54533DC5"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3823864A" w14:textId="77777777" w:rsidTr="008A1A87">
        <w:tc>
          <w:tcPr>
            <w:tcW w:w="2448" w:type="dxa"/>
            <w:vMerge/>
          </w:tcPr>
          <w:p w14:paraId="1FBF296D"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03A50A40" w14:textId="18758F0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Abdominal distension</w:t>
            </w:r>
          </w:p>
        </w:tc>
        <w:tc>
          <w:tcPr>
            <w:tcW w:w="1350" w:type="dxa"/>
          </w:tcPr>
          <w:p w14:paraId="6D86EFF2" w14:textId="70FBC41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0.9</w:t>
            </w:r>
          </w:p>
        </w:tc>
        <w:tc>
          <w:tcPr>
            <w:tcW w:w="1844" w:type="dxa"/>
          </w:tcPr>
          <w:p w14:paraId="6CB007AE" w14:textId="059DD4EA"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6020F2A4" w14:textId="77777777" w:rsidTr="008A1A87">
        <w:tc>
          <w:tcPr>
            <w:tcW w:w="2448" w:type="dxa"/>
            <w:vMerge w:val="restart"/>
          </w:tcPr>
          <w:p w14:paraId="7A908455" w14:textId="24824DAD"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lastRenderedPageBreak/>
              <w:t>SKIN AND SUBCUTANEOUS TISSUE DISORDERS</w:t>
            </w:r>
          </w:p>
        </w:tc>
        <w:tc>
          <w:tcPr>
            <w:tcW w:w="3600" w:type="dxa"/>
          </w:tcPr>
          <w:p w14:paraId="15319F40" w14:textId="04E8126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 xml:space="preserve">Rash (including erythematous, pruritic, maculo-papular, </w:t>
            </w:r>
            <w:proofErr w:type="spellStart"/>
            <w:r w:rsidRPr="008A1A87">
              <w:rPr>
                <w:rFonts w:ascii="Times New Roman" w:hAnsi="Times New Roman" w:cs="Times New Roman"/>
                <w:color w:val="000000" w:themeColor="text1"/>
                <w:sz w:val="20"/>
                <w:szCs w:val="20"/>
              </w:rPr>
              <w:t>papular</w:t>
            </w:r>
            <w:proofErr w:type="spellEnd"/>
            <w:r w:rsidRPr="008A1A87">
              <w:rPr>
                <w:rFonts w:ascii="Times New Roman" w:hAnsi="Times New Roman" w:cs="Times New Roman"/>
                <w:color w:val="000000" w:themeColor="text1"/>
                <w:sz w:val="20"/>
                <w:szCs w:val="20"/>
              </w:rPr>
              <w:t>)</w:t>
            </w:r>
          </w:p>
        </w:tc>
        <w:tc>
          <w:tcPr>
            <w:tcW w:w="1350" w:type="dxa"/>
          </w:tcPr>
          <w:p w14:paraId="2BB72328" w14:textId="5615BEFF"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11.8</w:t>
            </w:r>
          </w:p>
        </w:tc>
        <w:tc>
          <w:tcPr>
            <w:tcW w:w="1844" w:type="dxa"/>
          </w:tcPr>
          <w:p w14:paraId="2BCC8542" w14:textId="78965F78" w:rsidR="008A1A87" w:rsidRPr="008A1A87" w:rsidRDefault="008A1A87" w:rsidP="00140D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Very Common</w:t>
            </w:r>
          </w:p>
        </w:tc>
      </w:tr>
      <w:tr w:rsidR="008A1A87" w14:paraId="580A1620" w14:textId="77777777" w:rsidTr="008A1A87">
        <w:tc>
          <w:tcPr>
            <w:tcW w:w="2448" w:type="dxa"/>
            <w:vMerge/>
          </w:tcPr>
          <w:p w14:paraId="5DFA4D8F"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667E60C8" w14:textId="77D712D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Contusion</w:t>
            </w:r>
          </w:p>
        </w:tc>
        <w:tc>
          <w:tcPr>
            <w:tcW w:w="1350" w:type="dxa"/>
          </w:tcPr>
          <w:p w14:paraId="1953BFD6" w14:textId="10F9D04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5.2</w:t>
            </w:r>
          </w:p>
        </w:tc>
        <w:tc>
          <w:tcPr>
            <w:tcW w:w="1844" w:type="dxa"/>
          </w:tcPr>
          <w:p w14:paraId="3CF32CCA" w14:textId="5AB8842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C082741" w14:textId="77777777" w:rsidTr="008A1A87">
        <w:tc>
          <w:tcPr>
            <w:tcW w:w="2448" w:type="dxa"/>
            <w:vMerge/>
          </w:tcPr>
          <w:p w14:paraId="09493F24"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5A07F64F" w14:textId="73B344E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Urticaria</w:t>
            </w:r>
          </w:p>
        </w:tc>
        <w:tc>
          <w:tcPr>
            <w:tcW w:w="1350" w:type="dxa"/>
          </w:tcPr>
          <w:p w14:paraId="7E81114F" w14:textId="3F683A19"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2.5</w:t>
            </w:r>
          </w:p>
        </w:tc>
        <w:tc>
          <w:tcPr>
            <w:tcW w:w="1844" w:type="dxa"/>
          </w:tcPr>
          <w:p w14:paraId="3881F105" w14:textId="1C89B09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73235882" w14:textId="77777777" w:rsidTr="008A1A87">
        <w:tc>
          <w:tcPr>
            <w:tcW w:w="2448" w:type="dxa"/>
            <w:vMerge/>
          </w:tcPr>
          <w:p w14:paraId="0EAD35CA"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25F54FE4" w14:textId="6949679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Pruritus</w:t>
            </w:r>
          </w:p>
        </w:tc>
        <w:tc>
          <w:tcPr>
            <w:tcW w:w="1350" w:type="dxa"/>
          </w:tcPr>
          <w:p w14:paraId="4F069892" w14:textId="40176BD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2.5</w:t>
            </w:r>
          </w:p>
        </w:tc>
        <w:tc>
          <w:tcPr>
            <w:tcW w:w="1844" w:type="dxa"/>
          </w:tcPr>
          <w:p w14:paraId="4B180276" w14:textId="5D91C19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04A7E438" w14:textId="77777777" w:rsidTr="008A1A87">
        <w:tc>
          <w:tcPr>
            <w:tcW w:w="2448" w:type="dxa"/>
            <w:vMerge/>
          </w:tcPr>
          <w:p w14:paraId="758E008C"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63B7E03C" w14:textId="3BBDBD6A"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Dermatitis</w:t>
            </w:r>
          </w:p>
        </w:tc>
        <w:tc>
          <w:tcPr>
            <w:tcW w:w="1350" w:type="dxa"/>
          </w:tcPr>
          <w:p w14:paraId="202254DC" w14:textId="79185E6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1.2</w:t>
            </w:r>
          </w:p>
        </w:tc>
        <w:tc>
          <w:tcPr>
            <w:tcW w:w="1844" w:type="dxa"/>
          </w:tcPr>
          <w:p w14:paraId="601E4773" w14:textId="36E9850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25F528A5" w14:textId="77777777" w:rsidTr="008A1A87">
        <w:tc>
          <w:tcPr>
            <w:tcW w:w="2448" w:type="dxa"/>
            <w:vMerge/>
          </w:tcPr>
          <w:p w14:paraId="524B7AC9"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4B25F17" w14:textId="37A15CFF"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Erythema</w:t>
            </w:r>
          </w:p>
        </w:tc>
        <w:tc>
          <w:tcPr>
            <w:tcW w:w="1350" w:type="dxa"/>
          </w:tcPr>
          <w:p w14:paraId="39F6C8AD" w14:textId="44797B5A"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1.0</w:t>
            </w:r>
          </w:p>
        </w:tc>
        <w:tc>
          <w:tcPr>
            <w:tcW w:w="1844" w:type="dxa"/>
          </w:tcPr>
          <w:p w14:paraId="4B7D6E16" w14:textId="037E07F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320ED8D9" w14:textId="77777777" w:rsidTr="008A1A87">
        <w:tc>
          <w:tcPr>
            <w:tcW w:w="2448" w:type="dxa"/>
            <w:vMerge/>
          </w:tcPr>
          <w:p w14:paraId="5DCBD632"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6FE52A75" w14:textId="1503264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Night sweats</w:t>
            </w:r>
          </w:p>
        </w:tc>
        <w:tc>
          <w:tcPr>
            <w:tcW w:w="1350" w:type="dxa"/>
          </w:tcPr>
          <w:p w14:paraId="459AB2BB" w14:textId="34E146F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0.6</w:t>
            </w:r>
          </w:p>
        </w:tc>
        <w:tc>
          <w:tcPr>
            <w:tcW w:w="1844" w:type="dxa"/>
          </w:tcPr>
          <w:p w14:paraId="5AC77CE2" w14:textId="416B65C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415934E2" w14:textId="77777777" w:rsidTr="008A1A87">
        <w:tc>
          <w:tcPr>
            <w:tcW w:w="2448" w:type="dxa"/>
            <w:vMerge/>
          </w:tcPr>
          <w:p w14:paraId="0435911E"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160CEFC9" w14:textId="164E89E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Photosensitivity reaction</w:t>
            </w:r>
          </w:p>
        </w:tc>
        <w:tc>
          <w:tcPr>
            <w:tcW w:w="1350" w:type="dxa"/>
          </w:tcPr>
          <w:p w14:paraId="0957BB3A" w14:textId="5E0C7D6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tcPr>
          <w:p w14:paraId="05B6654F" w14:textId="20333A7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2BA762B9" w14:textId="77777777" w:rsidTr="008A1A87">
        <w:tc>
          <w:tcPr>
            <w:tcW w:w="2448" w:type="dxa"/>
            <w:vMerge/>
          </w:tcPr>
          <w:p w14:paraId="58408CB5"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F62D9B7" w14:textId="4F831D1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Cold sweat</w:t>
            </w:r>
          </w:p>
        </w:tc>
        <w:tc>
          <w:tcPr>
            <w:tcW w:w="1350" w:type="dxa"/>
          </w:tcPr>
          <w:p w14:paraId="4E4712C7" w14:textId="73FFB29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0.3</w:t>
            </w:r>
          </w:p>
        </w:tc>
        <w:tc>
          <w:tcPr>
            <w:tcW w:w="1844" w:type="dxa"/>
          </w:tcPr>
          <w:p w14:paraId="17A83935" w14:textId="3372AC9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5CF87173" w14:textId="77777777" w:rsidTr="008A1A87">
        <w:tc>
          <w:tcPr>
            <w:tcW w:w="2448" w:type="dxa"/>
            <w:vMerge/>
          </w:tcPr>
          <w:p w14:paraId="588EB2C5"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756D0608" w14:textId="422542C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Angioedema</w:t>
            </w:r>
          </w:p>
        </w:tc>
        <w:tc>
          <w:tcPr>
            <w:tcW w:w="1350" w:type="dxa"/>
          </w:tcPr>
          <w:p w14:paraId="728D5245" w14:textId="2A7F0197"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tcPr>
          <w:p w14:paraId="329A1A87" w14:textId="656CD405"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26B58380" w14:textId="77777777" w:rsidTr="008A1A87">
        <w:tc>
          <w:tcPr>
            <w:tcW w:w="2448" w:type="dxa"/>
            <w:vMerge w:val="restart"/>
          </w:tcPr>
          <w:p w14:paraId="22EF8E61" w14:textId="170D22EB"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MUSCULOSKELETAL AND CONNECTIVE TISSUE DISORDERS</w:t>
            </w:r>
          </w:p>
        </w:tc>
        <w:tc>
          <w:tcPr>
            <w:tcW w:w="3600" w:type="dxa"/>
          </w:tcPr>
          <w:p w14:paraId="5B35F122" w14:textId="08EE1C3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Back pain</w:t>
            </w:r>
          </w:p>
        </w:tc>
        <w:tc>
          <w:tcPr>
            <w:tcW w:w="1350" w:type="dxa"/>
          </w:tcPr>
          <w:p w14:paraId="3F7093A5" w14:textId="31BC96E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7.7</w:t>
            </w:r>
          </w:p>
        </w:tc>
        <w:tc>
          <w:tcPr>
            <w:tcW w:w="1844" w:type="dxa"/>
          </w:tcPr>
          <w:p w14:paraId="5CDD092A" w14:textId="2AF54B7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7A94C00B" w14:textId="77777777" w:rsidTr="008A1A87">
        <w:tc>
          <w:tcPr>
            <w:tcW w:w="2448" w:type="dxa"/>
            <w:vMerge/>
          </w:tcPr>
          <w:p w14:paraId="42A2236F"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6136290C" w14:textId="1F5C2B1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Arthralgia</w:t>
            </w:r>
          </w:p>
        </w:tc>
        <w:tc>
          <w:tcPr>
            <w:tcW w:w="1350" w:type="dxa"/>
          </w:tcPr>
          <w:p w14:paraId="75D19563" w14:textId="2DEE8AB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5.5</w:t>
            </w:r>
          </w:p>
        </w:tc>
        <w:tc>
          <w:tcPr>
            <w:tcW w:w="1844" w:type="dxa"/>
          </w:tcPr>
          <w:p w14:paraId="045CE39D" w14:textId="334C7B8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C90BDDE" w14:textId="77777777" w:rsidTr="008A1A87">
        <w:tc>
          <w:tcPr>
            <w:tcW w:w="2448" w:type="dxa"/>
            <w:vMerge/>
          </w:tcPr>
          <w:p w14:paraId="52E93321"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575B6C01" w14:textId="182AC25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Pain in extremity</w:t>
            </w:r>
          </w:p>
        </w:tc>
        <w:tc>
          <w:tcPr>
            <w:tcW w:w="1350" w:type="dxa"/>
          </w:tcPr>
          <w:p w14:paraId="694B353B" w14:textId="3B6EE34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6.1</w:t>
            </w:r>
          </w:p>
        </w:tc>
        <w:tc>
          <w:tcPr>
            <w:tcW w:w="1844" w:type="dxa"/>
          </w:tcPr>
          <w:p w14:paraId="05461498" w14:textId="2811891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3BC90549" w14:textId="77777777" w:rsidTr="008A1A87">
        <w:tc>
          <w:tcPr>
            <w:tcW w:w="2448" w:type="dxa"/>
            <w:vMerge/>
          </w:tcPr>
          <w:p w14:paraId="614AA806"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081CDD4D" w14:textId="43C5D61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Muscle spasms</w:t>
            </w:r>
          </w:p>
        </w:tc>
        <w:tc>
          <w:tcPr>
            <w:tcW w:w="1350" w:type="dxa"/>
          </w:tcPr>
          <w:p w14:paraId="566294C2" w14:textId="17B3A8F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3.6</w:t>
            </w:r>
          </w:p>
        </w:tc>
        <w:tc>
          <w:tcPr>
            <w:tcW w:w="1844" w:type="dxa"/>
          </w:tcPr>
          <w:p w14:paraId="1EF1C2C0" w14:textId="6265FFC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2C23C0AA" w14:textId="77777777" w:rsidTr="008A1A87">
        <w:tc>
          <w:tcPr>
            <w:tcW w:w="2448" w:type="dxa"/>
            <w:vMerge/>
          </w:tcPr>
          <w:p w14:paraId="7CB4B626"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BBCCE36" w14:textId="7E12F67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Myalgia</w:t>
            </w:r>
          </w:p>
        </w:tc>
        <w:tc>
          <w:tcPr>
            <w:tcW w:w="1350" w:type="dxa"/>
          </w:tcPr>
          <w:p w14:paraId="553FB194" w14:textId="38855C3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3.1</w:t>
            </w:r>
          </w:p>
        </w:tc>
        <w:tc>
          <w:tcPr>
            <w:tcW w:w="1844" w:type="dxa"/>
          </w:tcPr>
          <w:p w14:paraId="078C4AF1" w14:textId="6F306E7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352448AE" w14:textId="77777777" w:rsidTr="008A1A87">
        <w:tc>
          <w:tcPr>
            <w:tcW w:w="2448" w:type="dxa"/>
            <w:vMerge/>
          </w:tcPr>
          <w:p w14:paraId="4EA0B138"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05BB8A23" w14:textId="300BCBEA"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Muscular weakness</w:t>
            </w:r>
          </w:p>
        </w:tc>
        <w:tc>
          <w:tcPr>
            <w:tcW w:w="1350" w:type="dxa"/>
          </w:tcPr>
          <w:p w14:paraId="06AF1D8F" w14:textId="4F9A985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1.7</w:t>
            </w:r>
          </w:p>
        </w:tc>
        <w:tc>
          <w:tcPr>
            <w:tcW w:w="1844" w:type="dxa"/>
          </w:tcPr>
          <w:p w14:paraId="070DBD50" w14:textId="78D219C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40444154" w14:textId="77777777" w:rsidTr="008A1A87">
        <w:tc>
          <w:tcPr>
            <w:tcW w:w="2448" w:type="dxa"/>
            <w:vMerge/>
          </w:tcPr>
          <w:p w14:paraId="47FF9A7F"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3D6DA92" w14:textId="158AFC4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Muscle twitching</w:t>
            </w:r>
          </w:p>
        </w:tc>
        <w:tc>
          <w:tcPr>
            <w:tcW w:w="1350" w:type="dxa"/>
          </w:tcPr>
          <w:p w14:paraId="548BE41C" w14:textId="0FFCCB3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tcPr>
          <w:p w14:paraId="15BAF48B" w14:textId="700CE94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3A9CAA95" w14:textId="77777777" w:rsidTr="008A1A87">
        <w:tc>
          <w:tcPr>
            <w:tcW w:w="2448" w:type="dxa"/>
          </w:tcPr>
          <w:p w14:paraId="01F2D010" w14:textId="60C18015"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RENAL AND URINARY DISORDERS</w:t>
            </w:r>
          </w:p>
        </w:tc>
        <w:tc>
          <w:tcPr>
            <w:tcW w:w="3600" w:type="dxa"/>
          </w:tcPr>
          <w:p w14:paraId="5B2494AE" w14:textId="7A5B9DE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Proteinuria</w:t>
            </w:r>
          </w:p>
        </w:tc>
        <w:tc>
          <w:tcPr>
            <w:tcW w:w="1350" w:type="dxa"/>
          </w:tcPr>
          <w:p w14:paraId="2568D120" w14:textId="27C4FBC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0.3</w:t>
            </w:r>
          </w:p>
        </w:tc>
        <w:tc>
          <w:tcPr>
            <w:tcW w:w="1844" w:type="dxa"/>
          </w:tcPr>
          <w:p w14:paraId="412B710C" w14:textId="4AFB29B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1286DA0D" w14:textId="77777777" w:rsidTr="008A1A87">
        <w:tc>
          <w:tcPr>
            <w:tcW w:w="2448" w:type="dxa"/>
            <w:vMerge w:val="restart"/>
          </w:tcPr>
          <w:p w14:paraId="6DC140FB" w14:textId="49380757"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GENERAL DISORDERS AND ADMINISTRATION SITE CONDITIONS</w:t>
            </w:r>
          </w:p>
        </w:tc>
        <w:tc>
          <w:tcPr>
            <w:tcW w:w="3600" w:type="dxa"/>
            <w:vMerge w:val="restart"/>
          </w:tcPr>
          <w:p w14:paraId="6DF9C09E" w14:textId="77777777" w:rsidR="008A1A87" w:rsidRPr="008A1A87" w:rsidRDefault="008A1A87" w:rsidP="008A1A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Local reactions</w:t>
            </w:r>
          </w:p>
          <w:p w14:paraId="215F5BEB" w14:textId="77777777" w:rsidR="008A1A87" w:rsidRPr="008A1A87" w:rsidRDefault="008A1A87" w:rsidP="00F73EBA">
            <w:pPr>
              <w:pStyle w:val="ListParagraph"/>
              <w:numPr>
                <w:ilvl w:val="0"/>
                <w:numId w:val="13"/>
              </w:numPr>
              <w:ind w:left="203" w:hanging="203"/>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Infusion site extravasation</w:t>
            </w:r>
          </w:p>
          <w:p w14:paraId="62561D36" w14:textId="77777777" w:rsidR="008A1A87" w:rsidRPr="008A1A87" w:rsidRDefault="008A1A87" w:rsidP="00F73EBA">
            <w:pPr>
              <w:pStyle w:val="ListParagraph"/>
              <w:numPr>
                <w:ilvl w:val="0"/>
                <w:numId w:val="13"/>
              </w:numPr>
              <w:ind w:left="203" w:hanging="203"/>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Infusion site pain (including Discomfort)</w:t>
            </w:r>
          </w:p>
          <w:p w14:paraId="46A7A288" w14:textId="48FD7FCC" w:rsidR="008A1A87" w:rsidRPr="008A1A87" w:rsidRDefault="008A1A87" w:rsidP="00F73EBA">
            <w:pPr>
              <w:pStyle w:val="ListParagraph"/>
              <w:numPr>
                <w:ilvl w:val="0"/>
                <w:numId w:val="13"/>
              </w:numPr>
              <w:ind w:left="203" w:hanging="203"/>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 xml:space="preserve">Infusion site swelling (including Local swelling, Local </w:t>
            </w:r>
            <w:r w:rsidR="005432D8">
              <w:rPr>
                <w:rFonts w:ascii="Times New Roman" w:hAnsi="Times New Roman" w:cs="Times New Roman"/>
                <w:color w:val="000000" w:themeColor="text1"/>
                <w:sz w:val="20"/>
                <w:szCs w:val="20"/>
              </w:rPr>
              <w:t>o</w:t>
            </w:r>
            <w:r w:rsidRPr="008A1A87">
              <w:rPr>
                <w:rFonts w:ascii="Times New Roman" w:hAnsi="Times New Roman" w:cs="Times New Roman"/>
                <w:color w:val="000000" w:themeColor="text1"/>
                <w:sz w:val="20"/>
                <w:szCs w:val="20"/>
              </w:rPr>
              <w:t>edema)</w:t>
            </w:r>
          </w:p>
          <w:p w14:paraId="29E6BD78" w14:textId="28130D3B" w:rsidR="008A1A87" w:rsidRPr="008A1A87" w:rsidRDefault="008A1A87" w:rsidP="00F73EBA">
            <w:pPr>
              <w:pStyle w:val="ListParagraph"/>
              <w:numPr>
                <w:ilvl w:val="0"/>
                <w:numId w:val="13"/>
              </w:numPr>
              <w:ind w:left="203" w:hanging="203"/>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Infusion site pruritus</w:t>
            </w:r>
          </w:p>
        </w:tc>
        <w:tc>
          <w:tcPr>
            <w:tcW w:w="1350" w:type="dxa"/>
          </w:tcPr>
          <w:p w14:paraId="13FF67CF" w14:textId="61AA55C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13.1</w:t>
            </w:r>
          </w:p>
        </w:tc>
        <w:tc>
          <w:tcPr>
            <w:tcW w:w="1844" w:type="dxa"/>
          </w:tcPr>
          <w:p w14:paraId="483E210D" w14:textId="237A577E" w:rsidR="008A1A87" w:rsidRPr="008A1A87" w:rsidRDefault="008A1A87" w:rsidP="00140D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Very Common</w:t>
            </w:r>
          </w:p>
        </w:tc>
      </w:tr>
      <w:tr w:rsidR="008A1A87" w14:paraId="77AFF893" w14:textId="77777777" w:rsidTr="008A1A87">
        <w:tc>
          <w:tcPr>
            <w:tcW w:w="2448" w:type="dxa"/>
            <w:vMerge/>
          </w:tcPr>
          <w:p w14:paraId="47EBCEBC"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Merge/>
          </w:tcPr>
          <w:p w14:paraId="3C66D94A" w14:textId="77777777" w:rsidR="008A1A87" w:rsidRPr="008A1A87" w:rsidRDefault="008A1A87" w:rsidP="00CB6B8A">
            <w:pPr>
              <w:rPr>
                <w:rFonts w:ascii="Times New Roman" w:hAnsi="Times New Roman" w:cs="Times New Roman"/>
                <w:color w:val="000000" w:themeColor="text1"/>
                <w:sz w:val="20"/>
                <w:szCs w:val="20"/>
              </w:rPr>
            </w:pPr>
          </w:p>
        </w:tc>
        <w:tc>
          <w:tcPr>
            <w:tcW w:w="1350" w:type="dxa"/>
          </w:tcPr>
          <w:p w14:paraId="50AAC14D" w14:textId="0F09F4E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7.9</w:t>
            </w:r>
          </w:p>
        </w:tc>
        <w:tc>
          <w:tcPr>
            <w:tcW w:w="1844" w:type="dxa"/>
          </w:tcPr>
          <w:p w14:paraId="41C68382" w14:textId="0C043727"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7B8CBDB9" w14:textId="77777777" w:rsidTr="008A1A87">
        <w:tc>
          <w:tcPr>
            <w:tcW w:w="2448" w:type="dxa"/>
            <w:vMerge/>
          </w:tcPr>
          <w:p w14:paraId="5F25F252"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Merge/>
          </w:tcPr>
          <w:p w14:paraId="4DCE1712" w14:textId="77777777" w:rsidR="008A1A87" w:rsidRPr="008A1A87" w:rsidRDefault="008A1A87" w:rsidP="00CB6B8A">
            <w:pPr>
              <w:rPr>
                <w:rFonts w:ascii="Times New Roman" w:hAnsi="Times New Roman" w:cs="Times New Roman"/>
                <w:color w:val="000000" w:themeColor="text1"/>
                <w:sz w:val="20"/>
                <w:szCs w:val="20"/>
              </w:rPr>
            </w:pPr>
          </w:p>
        </w:tc>
        <w:tc>
          <w:tcPr>
            <w:tcW w:w="1350" w:type="dxa"/>
          </w:tcPr>
          <w:p w14:paraId="7657F1DD" w14:textId="18C49DB9"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1.9</w:t>
            </w:r>
          </w:p>
        </w:tc>
        <w:tc>
          <w:tcPr>
            <w:tcW w:w="1844" w:type="dxa"/>
          </w:tcPr>
          <w:p w14:paraId="26E6B3CE" w14:textId="49E391C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AB6713F" w14:textId="77777777" w:rsidTr="008A1A87">
        <w:tc>
          <w:tcPr>
            <w:tcW w:w="2448" w:type="dxa"/>
            <w:vMerge/>
          </w:tcPr>
          <w:p w14:paraId="759FA8AB"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Merge/>
          </w:tcPr>
          <w:p w14:paraId="0916AC13" w14:textId="77777777" w:rsidR="008A1A87" w:rsidRPr="008A1A87" w:rsidRDefault="008A1A87" w:rsidP="00CB6B8A">
            <w:pPr>
              <w:rPr>
                <w:rFonts w:ascii="Times New Roman" w:hAnsi="Times New Roman" w:cs="Times New Roman"/>
                <w:color w:val="000000" w:themeColor="text1"/>
                <w:sz w:val="20"/>
                <w:szCs w:val="20"/>
              </w:rPr>
            </w:pPr>
          </w:p>
        </w:tc>
        <w:tc>
          <w:tcPr>
            <w:tcW w:w="1350" w:type="dxa"/>
          </w:tcPr>
          <w:p w14:paraId="45D4036F" w14:textId="3A5C7BC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1.0</w:t>
            </w:r>
          </w:p>
        </w:tc>
        <w:tc>
          <w:tcPr>
            <w:tcW w:w="1844" w:type="dxa"/>
          </w:tcPr>
          <w:p w14:paraId="71948B71" w14:textId="09044347"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33E89B3B" w14:textId="77777777" w:rsidTr="008A1A87">
        <w:tc>
          <w:tcPr>
            <w:tcW w:w="2448" w:type="dxa"/>
            <w:vMerge/>
          </w:tcPr>
          <w:p w14:paraId="69010ECE"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Merge/>
          </w:tcPr>
          <w:p w14:paraId="68A1E5AD" w14:textId="77777777" w:rsidR="008A1A87" w:rsidRPr="008A1A87" w:rsidRDefault="008A1A87" w:rsidP="00CB6B8A">
            <w:pPr>
              <w:rPr>
                <w:rFonts w:ascii="Times New Roman" w:hAnsi="Times New Roman" w:cs="Times New Roman"/>
                <w:color w:val="000000" w:themeColor="text1"/>
                <w:sz w:val="20"/>
                <w:szCs w:val="20"/>
              </w:rPr>
            </w:pPr>
          </w:p>
        </w:tc>
        <w:tc>
          <w:tcPr>
            <w:tcW w:w="1350" w:type="dxa"/>
          </w:tcPr>
          <w:p w14:paraId="25F50CD2" w14:textId="0395BC0F"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tcPr>
          <w:p w14:paraId="44F98824" w14:textId="225C46F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7D9CD39D" w14:textId="77777777" w:rsidTr="008A1A87">
        <w:tc>
          <w:tcPr>
            <w:tcW w:w="2448" w:type="dxa"/>
            <w:vMerge/>
          </w:tcPr>
          <w:p w14:paraId="3502B50D"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43E87D61" w14:textId="22AA24D9"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Fatigue (including Lethargy)</w:t>
            </w:r>
          </w:p>
        </w:tc>
        <w:tc>
          <w:tcPr>
            <w:tcW w:w="1350" w:type="dxa"/>
          </w:tcPr>
          <w:p w14:paraId="491EBAEB" w14:textId="7454636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11.1</w:t>
            </w:r>
          </w:p>
        </w:tc>
        <w:tc>
          <w:tcPr>
            <w:tcW w:w="1844" w:type="dxa"/>
          </w:tcPr>
          <w:p w14:paraId="3AF5AA8E" w14:textId="413AFC45" w:rsidR="008A1A87" w:rsidRPr="008A1A87" w:rsidRDefault="008A1A87" w:rsidP="00140D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Very Common</w:t>
            </w:r>
          </w:p>
        </w:tc>
      </w:tr>
      <w:tr w:rsidR="008A1A87" w14:paraId="292C6EC1" w14:textId="77777777" w:rsidTr="008A1A87">
        <w:tc>
          <w:tcPr>
            <w:tcW w:w="2448" w:type="dxa"/>
            <w:vMerge/>
          </w:tcPr>
          <w:p w14:paraId="4CF06EED"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EDC6B64" w14:textId="0F03303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Pyrexia (including Body temperature increased)</w:t>
            </w:r>
          </w:p>
        </w:tc>
        <w:tc>
          <w:tcPr>
            <w:tcW w:w="1350" w:type="dxa"/>
          </w:tcPr>
          <w:p w14:paraId="2910A762" w14:textId="085DEF99"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10.0</w:t>
            </w:r>
          </w:p>
        </w:tc>
        <w:tc>
          <w:tcPr>
            <w:tcW w:w="1844" w:type="dxa"/>
          </w:tcPr>
          <w:p w14:paraId="7EF21C16" w14:textId="28D61BF3" w:rsidR="008A1A87" w:rsidRPr="008A1A87" w:rsidRDefault="008A1A87" w:rsidP="00140D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Very Common</w:t>
            </w:r>
          </w:p>
        </w:tc>
      </w:tr>
      <w:tr w:rsidR="008A1A87" w14:paraId="1406F6FD" w14:textId="77777777" w:rsidTr="008A1A87">
        <w:tc>
          <w:tcPr>
            <w:tcW w:w="2448" w:type="dxa"/>
            <w:vMerge/>
          </w:tcPr>
          <w:p w14:paraId="6C13DC73"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50FD1493" w14:textId="7F2B1D5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Chills</w:t>
            </w:r>
          </w:p>
        </w:tc>
        <w:tc>
          <w:tcPr>
            <w:tcW w:w="1350" w:type="dxa"/>
          </w:tcPr>
          <w:p w14:paraId="180B1B5B" w14:textId="3410DB89"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7.4</w:t>
            </w:r>
          </w:p>
        </w:tc>
        <w:tc>
          <w:tcPr>
            <w:tcW w:w="1844" w:type="dxa"/>
          </w:tcPr>
          <w:p w14:paraId="7D251E43" w14:textId="05C2DD4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9C0E73A" w14:textId="77777777" w:rsidTr="008A1A87">
        <w:tc>
          <w:tcPr>
            <w:tcW w:w="2448" w:type="dxa"/>
            <w:vMerge/>
          </w:tcPr>
          <w:p w14:paraId="22E40B03"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21874603" w14:textId="4909F124" w:rsidR="008A1A87" w:rsidRPr="008A1A87" w:rsidRDefault="00B41586" w:rsidP="00CB6B8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Oe</w:t>
            </w:r>
            <w:r w:rsidRPr="008A1A87">
              <w:rPr>
                <w:rFonts w:ascii="Times New Roman" w:hAnsi="Times New Roman" w:cs="Times New Roman"/>
                <w:color w:val="000000" w:themeColor="text1"/>
                <w:sz w:val="20"/>
                <w:szCs w:val="20"/>
              </w:rPr>
              <w:t xml:space="preserve">dema </w:t>
            </w:r>
            <w:r w:rsidR="008A1A87" w:rsidRPr="008A1A87">
              <w:rPr>
                <w:rFonts w:ascii="Times New Roman" w:hAnsi="Times New Roman" w:cs="Times New Roman"/>
                <w:color w:val="000000" w:themeColor="text1"/>
                <w:sz w:val="20"/>
                <w:szCs w:val="20"/>
              </w:rPr>
              <w:t>(including peripheral, Swelling)</w:t>
            </w:r>
          </w:p>
        </w:tc>
        <w:tc>
          <w:tcPr>
            <w:tcW w:w="1350" w:type="dxa"/>
          </w:tcPr>
          <w:p w14:paraId="5D95A559" w14:textId="34F3EB9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4.1</w:t>
            </w:r>
          </w:p>
        </w:tc>
        <w:tc>
          <w:tcPr>
            <w:tcW w:w="1844" w:type="dxa"/>
          </w:tcPr>
          <w:p w14:paraId="50F53361" w14:textId="0CA0FA5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2228FDBF" w14:textId="77777777" w:rsidTr="008A1A87">
        <w:tc>
          <w:tcPr>
            <w:tcW w:w="2448" w:type="dxa"/>
            <w:vMerge/>
          </w:tcPr>
          <w:p w14:paraId="5F456B26"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052C7E34" w14:textId="16B074D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Influenza like illness</w:t>
            </w:r>
          </w:p>
        </w:tc>
        <w:tc>
          <w:tcPr>
            <w:tcW w:w="1350" w:type="dxa"/>
          </w:tcPr>
          <w:p w14:paraId="16F24BDD" w14:textId="0A7FD79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1.9</w:t>
            </w:r>
          </w:p>
        </w:tc>
        <w:tc>
          <w:tcPr>
            <w:tcW w:w="1844" w:type="dxa"/>
          </w:tcPr>
          <w:p w14:paraId="68550EE3" w14:textId="657D9FA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B3492A9" w14:textId="77777777" w:rsidTr="008A1A87">
        <w:tc>
          <w:tcPr>
            <w:tcW w:w="2448" w:type="dxa"/>
            <w:vMerge/>
          </w:tcPr>
          <w:p w14:paraId="0E08576E"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710ED752" w14:textId="1F61C80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Malaise</w:t>
            </w:r>
          </w:p>
        </w:tc>
        <w:tc>
          <w:tcPr>
            <w:tcW w:w="1350" w:type="dxa"/>
          </w:tcPr>
          <w:p w14:paraId="6167661D" w14:textId="05441EB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1.5</w:t>
            </w:r>
          </w:p>
        </w:tc>
        <w:tc>
          <w:tcPr>
            <w:tcW w:w="1844" w:type="dxa"/>
          </w:tcPr>
          <w:p w14:paraId="56C55401" w14:textId="215A5E3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724296BE" w14:textId="77777777" w:rsidTr="008A1A87">
        <w:tc>
          <w:tcPr>
            <w:tcW w:w="2448" w:type="dxa"/>
            <w:vMerge/>
          </w:tcPr>
          <w:p w14:paraId="55CD4A4A"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FA7E681" w14:textId="22DC5B3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Chest discomfort</w:t>
            </w:r>
          </w:p>
        </w:tc>
        <w:tc>
          <w:tcPr>
            <w:tcW w:w="1350" w:type="dxa"/>
          </w:tcPr>
          <w:p w14:paraId="2742B2BD" w14:textId="7AA4FA0A"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1.3</w:t>
            </w:r>
          </w:p>
        </w:tc>
        <w:tc>
          <w:tcPr>
            <w:tcW w:w="1844" w:type="dxa"/>
          </w:tcPr>
          <w:p w14:paraId="44CFC843" w14:textId="26194B65"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Common</w:t>
            </w:r>
          </w:p>
        </w:tc>
      </w:tr>
      <w:tr w:rsidR="008A1A87" w14:paraId="6886233F" w14:textId="77777777" w:rsidTr="008A1A87">
        <w:tc>
          <w:tcPr>
            <w:tcW w:w="2448" w:type="dxa"/>
            <w:vMerge/>
          </w:tcPr>
          <w:p w14:paraId="4B13177E"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36791617" w14:textId="336E1B9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Chest tightness</w:t>
            </w:r>
          </w:p>
        </w:tc>
        <w:tc>
          <w:tcPr>
            <w:tcW w:w="1350" w:type="dxa"/>
          </w:tcPr>
          <w:p w14:paraId="5E51379C" w14:textId="2226192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0.3</w:t>
            </w:r>
          </w:p>
        </w:tc>
        <w:tc>
          <w:tcPr>
            <w:tcW w:w="1844" w:type="dxa"/>
          </w:tcPr>
          <w:p w14:paraId="6CCF51E8" w14:textId="2AA07D3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01FB849A" w14:textId="77777777" w:rsidTr="008A1A87">
        <w:tc>
          <w:tcPr>
            <w:tcW w:w="2448" w:type="dxa"/>
            <w:vMerge/>
          </w:tcPr>
          <w:p w14:paraId="16F4E3D2"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4BD4ACCE" w14:textId="69F12EE0"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Feeling hot</w:t>
            </w:r>
          </w:p>
        </w:tc>
        <w:tc>
          <w:tcPr>
            <w:tcW w:w="1350" w:type="dxa"/>
          </w:tcPr>
          <w:p w14:paraId="38F6398C" w14:textId="64A03D89"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0.3</w:t>
            </w:r>
          </w:p>
        </w:tc>
        <w:tc>
          <w:tcPr>
            <w:tcW w:w="1844" w:type="dxa"/>
          </w:tcPr>
          <w:p w14:paraId="590A7A1D" w14:textId="72659BC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5A1CCC65" w14:textId="77777777" w:rsidTr="008A1A87">
        <w:tc>
          <w:tcPr>
            <w:tcW w:w="2448" w:type="dxa"/>
            <w:vMerge/>
          </w:tcPr>
          <w:p w14:paraId="594FC708"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tcPr>
          <w:p w14:paraId="64936455" w14:textId="3F1596BA"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Burning sensation</w:t>
            </w:r>
          </w:p>
        </w:tc>
        <w:tc>
          <w:tcPr>
            <w:tcW w:w="1350" w:type="dxa"/>
          </w:tcPr>
          <w:p w14:paraId="057CF656" w14:textId="3A444665"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tcPr>
          <w:p w14:paraId="2602F279" w14:textId="684D6EF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7F5FE41E" w14:textId="77777777" w:rsidTr="008A1A87">
        <w:tc>
          <w:tcPr>
            <w:tcW w:w="2448" w:type="dxa"/>
            <w:vMerge w:val="restart"/>
          </w:tcPr>
          <w:p w14:paraId="201BE995" w14:textId="23639EA4" w:rsidR="008A1A87" w:rsidRPr="00D73F29" w:rsidRDefault="008A1A87" w:rsidP="00CB6B8A">
            <w:pPr>
              <w:rPr>
                <w:rFonts w:ascii="Times New Roman" w:hAnsi="Times New Roman" w:cs="Times New Roman"/>
                <w:b/>
                <w:bCs/>
                <w:color w:val="000000" w:themeColor="text1"/>
                <w:sz w:val="20"/>
                <w:szCs w:val="20"/>
              </w:rPr>
            </w:pPr>
            <w:r w:rsidRPr="00D73F29">
              <w:rPr>
                <w:rFonts w:ascii="Times New Roman" w:hAnsi="Times New Roman" w:cs="Times New Roman"/>
                <w:b/>
                <w:bCs/>
                <w:color w:val="000000" w:themeColor="text1"/>
                <w:sz w:val="20"/>
                <w:szCs w:val="20"/>
              </w:rPr>
              <w:t>INVESTIGATIONS</w:t>
            </w:r>
          </w:p>
        </w:tc>
        <w:tc>
          <w:tcPr>
            <w:tcW w:w="3600" w:type="dxa"/>
          </w:tcPr>
          <w:p w14:paraId="69DCC4CE" w14:textId="26D01EC7"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Blood urea increased</w:t>
            </w:r>
          </w:p>
        </w:tc>
        <w:tc>
          <w:tcPr>
            <w:tcW w:w="1350" w:type="dxa"/>
          </w:tcPr>
          <w:p w14:paraId="5576FE35" w14:textId="1939816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0.6</w:t>
            </w:r>
          </w:p>
        </w:tc>
        <w:tc>
          <w:tcPr>
            <w:tcW w:w="1844" w:type="dxa"/>
          </w:tcPr>
          <w:p w14:paraId="51031C42" w14:textId="4E26F0DD"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476BF86A" w14:textId="77777777" w:rsidTr="008A1A87">
        <w:tc>
          <w:tcPr>
            <w:tcW w:w="2448" w:type="dxa"/>
            <w:vMerge/>
            <w:vAlign w:val="center"/>
          </w:tcPr>
          <w:p w14:paraId="35C48B1F"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Align w:val="center"/>
          </w:tcPr>
          <w:p w14:paraId="501A0658" w14:textId="1425C284"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White blood cell count decreased</w:t>
            </w:r>
          </w:p>
        </w:tc>
        <w:tc>
          <w:tcPr>
            <w:tcW w:w="1350" w:type="dxa"/>
            <w:vAlign w:val="center"/>
          </w:tcPr>
          <w:p w14:paraId="11722EE5" w14:textId="07A40ACA"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0.6</w:t>
            </w:r>
          </w:p>
        </w:tc>
        <w:tc>
          <w:tcPr>
            <w:tcW w:w="1844" w:type="dxa"/>
            <w:vAlign w:val="center"/>
          </w:tcPr>
          <w:p w14:paraId="647DC142" w14:textId="3B3E89C7"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205475B5" w14:textId="77777777" w:rsidTr="008A1A87">
        <w:tc>
          <w:tcPr>
            <w:tcW w:w="2448" w:type="dxa"/>
            <w:vMerge/>
            <w:vAlign w:val="center"/>
          </w:tcPr>
          <w:p w14:paraId="527F4C02"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Align w:val="center"/>
          </w:tcPr>
          <w:p w14:paraId="7893C483" w14:textId="63345DA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Alanine aminotransferase increased</w:t>
            </w:r>
          </w:p>
        </w:tc>
        <w:tc>
          <w:tcPr>
            <w:tcW w:w="1350" w:type="dxa"/>
            <w:vAlign w:val="center"/>
          </w:tcPr>
          <w:p w14:paraId="57E6C2FC" w14:textId="6AFA5CCF"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0.4</w:t>
            </w:r>
          </w:p>
        </w:tc>
        <w:tc>
          <w:tcPr>
            <w:tcW w:w="1844" w:type="dxa"/>
            <w:vAlign w:val="center"/>
          </w:tcPr>
          <w:p w14:paraId="4AD31EE1" w14:textId="21C75C6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53781CA7" w14:textId="77777777" w:rsidTr="008A1A87">
        <w:tc>
          <w:tcPr>
            <w:tcW w:w="2448" w:type="dxa"/>
            <w:vMerge/>
            <w:vAlign w:val="center"/>
          </w:tcPr>
          <w:p w14:paraId="2C113EED"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Align w:val="center"/>
          </w:tcPr>
          <w:p w14:paraId="2CA7E2F7" w14:textId="1D74CEC4" w:rsidR="008A1A87" w:rsidRPr="008A1A87" w:rsidRDefault="00B41586"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Haematocrit</w:t>
            </w:r>
            <w:r w:rsidR="008A1A87" w:rsidRPr="008A1A87">
              <w:rPr>
                <w:rFonts w:ascii="Times New Roman" w:hAnsi="Times New Roman" w:cs="Times New Roman"/>
                <w:color w:val="000000" w:themeColor="text1"/>
                <w:sz w:val="20"/>
                <w:szCs w:val="20"/>
              </w:rPr>
              <w:t xml:space="preserve"> decreased</w:t>
            </w:r>
          </w:p>
        </w:tc>
        <w:tc>
          <w:tcPr>
            <w:tcW w:w="1350" w:type="dxa"/>
            <w:vAlign w:val="center"/>
          </w:tcPr>
          <w:p w14:paraId="3FBAE18A" w14:textId="301FB44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0.4</w:t>
            </w:r>
          </w:p>
        </w:tc>
        <w:tc>
          <w:tcPr>
            <w:tcW w:w="1844" w:type="dxa"/>
            <w:vAlign w:val="center"/>
          </w:tcPr>
          <w:p w14:paraId="7F6B53BB" w14:textId="4B53F29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67ED44A6" w14:textId="77777777" w:rsidTr="008A1A87">
        <w:tc>
          <w:tcPr>
            <w:tcW w:w="2448" w:type="dxa"/>
            <w:vMerge/>
            <w:vAlign w:val="center"/>
          </w:tcPr>
          <w:p w14:paraId="0A604ABB"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Align w:val="center"/>
          </w:tcPr>
          <w:p w14:paraId="2B1FA441" w14:textId="146F93D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Red blood cell count decreased</w:t>
            </w:r>
          </w:p>
        </w:tc>
        <w:tc>
          <w:tcPr>
            <w:tcW w:w="1350" w:type="dxa"/>
            <w:vAlign w:val="center"/>
          </w:tcPr>
          <w:p w14:paraId="77ED0D8E" w14:textId="1787321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0.4</w:t>
            </w:r>
          </w:p>
        </w:tc>
        <w:tc>
          <w:tcPr>
            <w:tcW w:w="1844" w:type="dxa"/>
            <w:vAlign w:val="center"/>
          </w:tcPr>
          <w:p w14:paraId="5C2DE669" w14:textId="389867EE"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5558F731" w14:textId="77777777" w:rsidTr="008A1A87">
        <w:tc>
          <w:tcPr>
            <w:tcW w:w="2448" w:type="dxa"/>
            <w:vMerge/>
            <w:vAlign w:val="center"/>
          </w:tcPr>
          <w:p w14:paraId="656145A1"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Align w:val="center"/>
          </w:tcPr>
          <w:p w14:paraId="5FB92FE4" w14:textId="510FE658"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Blood creatinine increased</w:t>
            </w:r>
          </w:p>
        </w:tc>
        <w:tc>
          <w:tcPr>
            <w:tcW w:w="1350" w:type="dxa"/>
            <w:vAlign w:val="center"/>
          </w:tcPr>
          <w:p w14:paraId="5E6F2813" w14:textId="6A04AC1C"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0.3</w:t>
            </w:r>
          </w:p>
        </w:tc>
        <w:tc>
          <w:tcPr>
            <w:tcW w:w="1844" w:type="dxa"/>
            <w:vAlign w:val="center"/>
          </w:tcPr>
          <w:p w14:paraId="69615078" w14:textId="504BAED3"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228480AF" w14:textId="77777777" w:rsidTr="008A1A87">
        <w:tc>
          <w:tcPr>
            <w:tcW w:w="2448" w:type="dxa"/>
            <w:vMerge/>
            <w:vAlign w:val="center"/>
          </w:tcPr>
          <w:p w14:paraId="6292ED9D"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Align w:val="center"/>
          </w:tcPr>
          <w:p w14:paraId="39B28CFB" w14:textId="504975AB"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Respiratory rate increased</w:t>
            </w:r>
          </w:p>
        </w:tc>
        <w:tc>
          <w:tcPr>
            <w:tcW w:w="1350" w:type="dxa"/>
            <w:vAlign w:val="center"/>
          </w:tcPr>
          <w:p w14:paraId="11D75712" w14:textId="2D33EE8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0.1</w:t>
            </w:r>
          </w:p>
        </w:tc>
        <w:tc>
          <w:tcPr>
            <w:tcW w:w="1844" w:type="dxa"/>
            <w:vAlign w:val="center"/>
          </w:tcPr>
          <w:p w14:paraId="0D3417DF" w14:textId="3C525682"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2083BED0" w14:textId="77777777" w:rsidTr="008A1A87">
        <w:tc>
          <w:tcPr>
            <w:tcW w:w="2448" w:type="dxa"/>
            <w:vMerge/>
            <w:vAlign w:val="center"/>
          </w:tcPr>
          <w:p w14:paraId="6C27D0A0" w14:textId="77777777" w:rsidR="008A1A87" w:rsidRPr="00D73F29" w:rsidRDefault="008A1A87" w:rsidP="00CB6B8A">
            <w:pPr>
              <w:rPr>
                <w:rFonts w:ascii="Times New Roman" w:hAnsi="Times New Roman" w:cs="Times New Roman"/>
                <w:b/>
                <w:bCs/>
                <w:color w:val="000000" w:themeColor="text1"/>
                <w:sz w:val="20"/>
                <w:szCs w:val="20"/>
              </w:rPr>
            </w:pPr>
          </w:p>
        </w:tc>
        <w:tc>
          <w:tcPr>
            <w:tcW w:w="3600" w:type="dxa"/>
            <w:vAlign w:val="center"/>
          </w:tcPr>
          <w:p w14:paraId="4E7B8C6D" w14:textId="793BE7CF"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Blood cholesterol increased</w:t>
            </w:r>
          </w:p>
        </w:tc>
        <w:tc>
          <w:tcPr>
            <w:tcW w:w="1350" w:type="dxa"/>
            <w:vAlign w:val="center"/>
          </w:tcPr>
          <w:p w14:paraId="74C706A3" w14:textId="0A38DD86"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0.6</w:t>
            </w:r>
          </w:p>
        </w:tc>
        <w:tc>
          <w:tcPr>
            <w:tcW w:w="1844" w:type="dxa"/>
            <w:vAlign w:val="center"/>
          </w:tcPr>
          <w:p w14:paraId="1256A1A4" w14:textId="429711C1" w:rsidR="008A1A87" w:rsidRPr="008A1A87" w:rsidRDefault="008A1A87" w:rsidP="00CB6B8A">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Uncommon</w:t>
            </w:r>
          </w:p>
        </w:tc>
      </w:tr>
      <w:tr w:rsidR="008A1A87" w14:paraId="52FC30BE" w14:textId="77777777" w:rsidTr="00C518A3">
        <w:tc>
          <w:tcPr>
            <w:tcW w:w="9242" w:type="dxa"/>
            <w:gridSpan w:val="4"/>
            <w:vAlign w:val="center"/>
          </w:tcPr>
          <w:p w14:paraId="2467B6E1" w14:textId="10AF3361" w:rsidR="008A1A87" w:rsidRPr="008A1A87" w:rsidRDefault="008A1A87" w:rsidP="008A1A87">
            <w:pPr>
              <w:rPr>
                <w:rFonts w:ascii="Times New Roman" w:hAnsi="Times New Roman" w:cs="Times New Roman"/>
                <w:color w:val="000000" w:themeColor="text1"/>
                <w:sz w:val="20"/>
                <w:szCs w:val="20"/>
              </w:rPr>
            </w:pPr>
            <w:r w:rsidRPr="008A1A87">
              <w:rPr>
                <w:rFonts w:ascii="Times New Roman" w:hAnsi="Times New Roman" w:cs="Times New Roman"/>
                <w:color w:val="000000" w:themeColor="text1"/>
                <w:sz w:val="20"/>
                <w:szCs w:val="20"/>
              </w:rPr>
              <w:t xml:space="preserve">Legend: </w:t>
            </w:r>
            <w:r>
              <w:rPr>
                <w:rFonts w:ascii="Times New Roman" w:hAnsi="Times New Roman" w:cs="Times New Roman"/>
                <w:color w:val="000000" w:themeColor="text1"/>
                <w:sz w:val="20"/>
                <w:szCs w:val="20"/>
              </w:rPr>
              <w:br/>
            </w:r>
            <w:r w:rsidRPr="008A1A87">
              <w:rPr>
                <w:rFonts w:ascii="Times New Roman" w:hAnsi="Times New Roman" w:cs="Times New Roman"/>
                <w:color w:val="000000" w:themeColor="text1"/>
                <w:sz w:val="20"/>
                <w:szCs w:val="20"/>
              </w:rPr>
              <w:t>ADR frequency is based upon the following scale: Very Common (≥1/10); Common (≥1/100 - &lt;1/10), Uncommon (≥1/1,000 - &lt;1/100), Rare (≥1/10,000 - &lt;1/1,000), Very Rare (&lt;1/10,000)</w:t>
            </w:r>
          </w:p>
          <w:p w14:paraId="66512B6F" w14:textId="55957089" w:rsidR="008A1A87" w:rsidRPr="008A1A87" w:rsidRDefault="008A1A87" w:rsidP="00C518A3">
            <w:pPr>
              <w:rPr>
                <w:rFonts w:ascii="Times New Roman" w:hAnsi="Times New Roman" w:cs="Times New Roman"/>
                <w:color w:val="000000" w:themeColor="text1"/>
                <w:sz w:val="20"/>
                <w:szCs w:val="20"/>
              </w:rPr>
            </w:pPr>
            <w:proofErr w:type="gramStart"/>
            <w:r w:rsidRPr="008A1A87">
              <w:rPr>
                <w:rFonts w:ascii="Times New Roman" w:hAnsi="Times New Roman" w:cs="Times New Roman"/>
                <w:color w:val="000000" w:themeColor="text1"/>
                <w:sz w:val="20"/>
                <w:szCs w:val="20"/>
                <w:vertAlign w:val="superscript"/>
              </w:rPr>
              <w:t>a</w:t>
            </w:r>
            <w:r w:rsidRPr="008A1A87">
              <w:rPr>
                <w:rFonts w:ascii="Times New Roman" w:hAnsi="Times New Roman" w:cs="Times New Roman"/>
                <w:color w:val="000000" w:themeColor="text1"/>
                <w:sz w:val="20"/>
                <w:szCs w:val="20"/>
              </w:rPr>
              <w:t xml:space="preserve"> Number of</w:t>
            </w:r>
            <w:proofErr w:type="gramEnd"/>
            <w:r w:rsidRPr="008A1A87">
              <w:rPr>
                <w:rFonts w:ascii="Times New Roman" w:hAnsi="Times New Roman" w:cs="Times New Roman"/>
                <w:color w:val="000000" w:themeColor="text1"/>
                <w:sz w:val="20"/>
                <w:szCs w:val="20"/>
              </w:rPr>
              <w:t xml:space="preserve"> AEs divided by the total number of infusions multiplied by 100.</w:t>
            </w:r>
          </w:p>
        </w:tc>
      </w:tr>
    </w:tbl>
    <w:p w14:paraId="4BD48F72" w14:textId="77777777" w:rsidR="008A1A87" w:rsidRDefault="008A1A87" w:rsidP="008A1A87">
      <w:pPr>
        <w:spacing w:after="0" w:line="240" w:lineRule="auto"/>
        <w:rPr>
          <w:rFonts w:ascii="Times New Roman" w:hAnsi="Times New Roman" w:cs="Times New Roman"/>
          <w:color w:val="000000" w:themeColor="text1"/>
          <w:sz w:val="24"/>
          <w:szCs w:val="24"/>
        </w:rPr>
      </w:pPr>
    </w:p>
    <w:p w14:paraId="53E12456" w14:textId="276C6885" w:rsidR="00CB6B8A" w:rsidRPr="008A1A87" w:rsidRDefault="00F73EBA" w:rsidP="008A1A87">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Primary i</w:t>
      </w:r>
      <w:r w:rsidR="008A1A87">
        <w:rPr>
          <w:rFonts w:ascii="Times New Roman" w:hAnsi="Times New Roman" w:cs="Times New Roman"/>
          <w:color w:val="000000" w:themeColor="text1"/>
          <w:sz w:val="24"/>
          <w:szCs w:val="24"/>
        </w:rPr>
        <w:t>mmune</w:t>
      </w:r>
      <w:r>
        <w:rPr>
          <w:rFonts w:ascii="Times New Roman" w:hAnsi="Times New Roman" w:cs="Times New Roman"/>
          <w:color w:val="000000" w:themeColor="text1"/>
          <w:sz w:val="24"/>
          <w:szCs w:val="24"/>
        </w:rPr>
        <w:t xml:space="preserve"> d</w:t>
      </w:r>
      <w:r w:rsidR="008A1A87">
        <w:rPr>
          <w:rFonts w:ascii="Times New Roman" w:hAnsi="Times New Roman" w:cs="Times New Roman"/>
          <w:color w:val="000000" w:themeColor="text1"/>
          <w:sz w:val="24"/>
          <w:szCs w:val="24"/>
        </w:rPr>
        <w:t>eficiency</w:t>
      </w:r>
    </w:p>
    <w:p w14:paraId="7F3BEB01" w14:textId="77777777" w:rsidR="00CB6B8A" w:rsidRPr="008A1A87" w:rsidRDefault="00CB6B8A" w:rsidP="008A1A87">
      <w:pPr>
        <w:spacing w:after="0" w:line="240" w:lineRule="auto"/>
        <w:rPr>
          <w:rFonts w:ascii="Times New Roman" w:hAnsi="Times New Roman" w:cs="Times New Roman"/>
          <w:color w:val="000000" w:themeColor="text1"/>
          <w:sz w:val="24"/>
          <w:szCs w:val="24"/>
        </w:rPr>
      </w:pPr>
      <w:r w:rsidRPr="008A1A87">
        <w:rPr>
          <w:rFonts w:ascii="Times New Roman" w:hAnsi="Times New Roman" w:cs="Times New Roman"/>
          <w:color w:val="000000" w:themeColor="text1"/>
          <w:sz w:val="24"/>
          <w:szCs w:val="24"/>
        </w:rPr>
        <w:t>Two serious adverse events were reported in the PID clinical trials, 2 episodes of aseptic meningitis in one patient. It is not possible to come to any conclusions regarding risk factors by indication, dose, or individual patient characteristics.</w:t>
      </w:r>
    </w:p>
    <w:p w14:paraId="38B3778E" w14:textId="77777777" w:rsidR="00CB6B8A" w:rsidRDefault="00CB6B8A" w:rsidP="008A1A87">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438"/>
        <w:gridCol w:w="3465"/>
        <w:gridCol w:w="1318"/>
        <w:gridCol w:w="1795"/>
      </w:tblGrid>
      <w:tr w:rsidR="00C518A3" w14:paraId="2BA69CC1" w14:textId="77777777" w:rsidTr="00BE3B8C">
        <w:tc>
          <w:tcPr>
            <w:tcW w:w="9242" w:type="dxa"/>
            <w:gridSpan w:val="4"/>
          </w:tcPr>
          <w:p w14:paraId="1EB7B0D7" w14:textId="252D0321" w:rsidR="00C518A3" w:rsidRDefault="00C518A3" w:rsidP="00C518A3">
            <w:pPr>
              <w:jc w:val="center"/>
              <w:rPr>
                <w:rFonts w:ascii="Times New Roman" w:hAnsi="Times New Roman" w:cs="Times New Roman"/>
                <w:b/>
                <w:bCs/>
                <w:color w:val="000000" w:themeColor="text1"/>
                <w:sz w:val="20"/>
                <w:szCs w:val="20"/>
              </w:rPr>
            </w:pPr>
            <w:r w:rsidRPr="00C518A3">
              <w:rPr>
                <w:rFonts w:ascii="Times New Roman" w:hAnsi="Times New Roman" w:cs="Times New Roman"/>
                <w:b/>
                <w:bCs/>
                <w:color w:val="000000" w:themeColor="text1"/>
                <w:sz w:val="20"/>
                <w:szCs w:val="20"/>
              </w:rPr>
              <w:lastRenderedPageBreak/>
              <w:t xml:space="preserve">Table </w:t>
            </w:r>
            <w:r w:rsidR="00C405AF">
              <w:rPr>
                <w:rFonts w:ascii="Times New Roman" w:hAnsi="Times New Roman" w:cs="Times New Roman"/>
                <w:b/>
                <w:bCs/>
                <w:color w:val="000000" w:themeColor="text1"/>
                <w:sz w:val="20"/>
                <w:szCs w:val="20"/>
              </w:rPr>
              <w:t>3</w:t>
            </w:r>
            <w:r w:rsidRPr="00C518A3">
              <w:rPr>
                <w:rFonts w:ascii="Times New Roman" w:hAnsi="Times New Roman" w:cs="Times New Roman"/>
                <w:b/>
                <w:bCs/>
                <w:color w:val="000000" w:themeColor="text1"/>
                <w:sz w:val="20"/>
                <w:szCs w:val="20"/>
              </w:rPr>
              <w:t xml:space="preserve">: PID Clinical Trial ADRs [N=189] </w:t>
            </w:r>
            <w:r>
              <w:rPr>
                <w:rFonts w:ascii="Times New Roman" w:hAnsi="Times New Roman" w:cs="Times New Roman"/>
                <w:b/>
                <w:bCs/>
                <w:color w:val="000000" w:themeColor="text1"/>
                <w:sz w:val="20"/>
                <w:szCs w:val="20"/>
              </w:rPr>
              <w:br/>
            </w:r>
            <w:r w:rsidRPr="00C518A3">
              <w:rPr>
                <w:rFonts w:ascii="Times New Roman" w:hAnsi="Times New Roman" w:cs="Times New Roman"/>
                <w:b/>
                <w:bCs/>
                <w:color w:val="000000" w:themeColor="text1"/>
                <w:sz w:val="20"/>
                <w:szCs w:val="20"/>
              </w:rPr>
              <w:t>(160001, 160101, 160601 Epoch 1, 160602, 160603 Epoch 1, 160902)</w:t>
            </w:r>
          </w:p>
          <w:p w14:paraId="4423C76E" w14:textId="29723DC0" w:rsidR="00C518A3" w:rsidRPr="00C518A3" w:rsidRDefault="00C518A3" w:rsidP="00C518A3">
            <w:pPr>
              <w:jc w:val="center"/>
              <w:rPr>
                <w:rFonts w:ascii="Times New Roman" w:hAnsi="Times New Roman" w:cs="Times New Roman"/>
                <w:color w:val="000000" w:themeColor="text1"/>
                <w:sz w:val="20"/>
                <w:szCs w:val="20"/>
              </w:rPr>
            </w:pPr>
          </w:p>
        </w:tc>
      </w:tr>
      <w:tr w:rsidR="00C518A3" w14:paraId="377941D8" w14:textId="77777777" w:rsidTr="00BE3B8C">
        <w:tc>
          <w:tcPr>
            <w:tcW w:w="2448" w:type="dxa"/>
          </w:tcPr>
          <w:p w14:paraId="31D87121" w14:textId="7C18129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System Organ Class</w:t>
            </w:r>
          </w:p>
        </w:tc>
        <w:tc>
          <w:tcPr>
            <w:tcW w:w="3600" w:type="dxa"/>
          </w:tcPr>
          <w:p w14:paraId="5778D0BC" w14:textId="3E39F475" w:rsidR="00C518A3" w:rsidRPr="00C518A3" w:rsidRDefault="00C518A3" w:rsidP="00F83CCE">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Preferred MedDRA Term</w:t>
            </w:r>
            <w:r w:rsidR="00F83CCE">
              <w:rPr>
                <w:rFonts w:ascii="Times New Roman" w:hAnsi="Times New Roman" w:cs="Times New Roman"/>
                <w:b/>
                <w:bCs/>
                <w:color w:val="000000" w:themeColor="text1"/>
                <w:sz w:val="20"/>
                <w:szCs w:val="20"/>
              </w:rPr>
              <w:br/>
            </w:r>
            <w:r w:rsidRPr="00C518A3">
              <w:rPr>
                <w:rFonts w:ascii="Times New Roman" w:hAnsi="Times New Roman" w:cs="Times New Roman"/>
                <w:b/>
                <w:bCs/>
                <w:color w:val="000000" w:themeColor="text1"/>
                <w:sz w:val="20"/>
                <w:szCs w:val="20"/>
              </w:rPr>
              <w:t>(Version 17.0)</w:t>
            </w:r>
          </w:p>
        </w:tc>
        <w:tc>
          <w:tcPr>
            <w:tcW w:w="1350" w:type="dxa"/>
          </w:tcPr>
          <w:p w14:paraId="50EC9CA7" w14:textId="0C57950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By Subject % (N=189)</w:t>
            </w:r>
          </w:p>
        </w:tc>
        <w:tc>
          <w:tcPr>
            <w:tcW w:w="1844" w:type="dxa"/>
          </w:tcPr>
          <w:p w14:paraId="2042A323" w14:textId="16FE00D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Frequency Category</w:t>
            </w:r>
          </w:p>
        </w:tc>
      </w:tr>
      <w:tr w:rsidR="00C518A3" w14:paraId="2E810F97" w14:textId="77777777" w:rsidTr="00BE3B8C">
        <w:tc>
          <w:tcPr>
            <w:tcW w:w="2448" w:type="dxa"/>
          </w:tcPr>
          <w:p w14:paraId="41DFC3ED" w14:textId="68CB415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INFECTIONS AND INFESTATIONS</w:t>
            </w:r>
          </w:p>
        </w:tc>
        <w:tc>
          <w:tcPr>
            <w:tcW w:w="3600" w:type="dxa"/>
          </w:tcPr>
          <w:p w14:paraId="406C2760" w14:textId="4EBF5FC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Aseptic meningitis</w:t>
            </w:r>
          </w:p>
        </w:tc>
        <w:tc>
          <w:tcPr>
            <w:tcW w:w="1350" w:type="dxa"/>
          </w:tcPr>
          <w:p w14:paraId="102F6445" w14:textId="1EC94E0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05266F1B" w14:textId="2BC4018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7C8415F4" w14:textId="77777777" w:rsidTr="00BE3B8C">
        <w:tc>
          <w:tcPr>
            <w:tcW w:w="2448" w:type="dxa"/>
            <w:vMerge w:val="restart"/>
          </w:tcPr>
          <w:p w14:paraId="283FD0D9" w14:textId="5896825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BLOOD AND LYMPHATIC DISORDERS</w:t>
            </w:r>
          </w:p>
        </w:tc>
        <w:tc>
          <w:tcPr>
            <w:tcW w:w="3600" w:type="dxa"/>
          </w:tcPr>
          <w:p w14:paraId="333BE921" w14:textId="197B190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Lymphadenopathy</w:t>
            </w:r>
          </w:p>
        </w:tc>
        <w:tc>
          <w:tcPr>
            <w:tcW w:w="1350" w:type="dxa"/>
          </w:tcPr>
          <w:p w14:paraId="1C6B57BB" w14:textId="227B962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3.7</w:t>
            </w:r>
          </w:p>
        </w:tc>
        <w:tc>
          <w:tcPr>
            <w:tcW w:w="1844" w:type="dxa"/>
          </w:tcPr>
          <w:p w14:paraId="5D115203" w14:textId="7A3C3EF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6CA14BA6" w14:textId="77777777" w:rsidTr="00BE3B8C">
        <w:tc>
          <w:tcPr>
            <w:tcW w:w="2448" w:type="dxa"/>
            <w:vMerge/>
          </w:tcPr>
          <w:p w14:paraId="724B1BD0"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4676E33D" w14:textId="1C401477" w:rsidR="00C518A3" w:rsidRPr="00C518A3" w:rsidRDefault="005432D8"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Anaemia</w:t>
            </w:r>
          </w:p>
        </w:tc>
        <w:tc>
          <w:tcPr>
            <w:tcW w:w="1350" w:type="dxa"/>
          </w:tcPr>
          <w:p w14:paraId="59F86B8F" w14:textId="4108729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1.6</w:t>
            </w:r>
          </w:p>
        </w:tc>
        <w:tc>
          <w:tcPr>
            <w:tcW w:w="1844" w:type="dxa"/>
          </w:tcPr>
          <w:p w14:paraId="2A4322F8" w14:textId="7C20644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D6D354B" w14:textId="77777777" w:rsidTr="00BE3B8C">
        <w:tc>
          <w:tcPr>
            <w:tcW w:w="2448" w:type="dxa"/>
          </w:tcPr>
          <w:p w14:paraId="5984E873" w14:textId="211243D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IMMUNE SYSTEM DISORDERS</w:t>
            </w:r>
          </w:p>
        </w:tc>
        <w:tc>
          <w:tcPr>
            <w:tcW w:w="3600" w:type="dxa"/>
          </w:tcPr>
          <w:p w14:paraId="5AD67165" w14:textId="31A247FA"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Anaphylactic reaction</w:t>
            </w:r>
          </w:p>
        </w:tc>
        <w:tc>
          <w:tcPr>
            <w:tcW w:w="1350" w:type="dxa"/>
          </w:tcPr>
          <w:p w14:paraId="6FC925ED" w14:textId="39B0117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12C0E711" w14:textId="329B05A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788BE172" w14:textId="77777777" w:rsidTr="00BE3B8C">
        <w:tc>
          <w:tcPr>
            <w:tcW w:w="2448" w:type="dxa"/>
            <w:vMerge w:val="restart"/>
          </w:tcPr>
          <w:p w14:paraId="0E6D53F0" w14:textId="54C1E7A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NERVOUS SYSTEM DISORDERS</w:t>
            </w:r>
          </w:p>
        </w:tc>
        <w:tc>
          <w:tcPr>
            <w:tcW w:w="3600" w:type="dxa"/>
          </w:tcPr>
          <w:p w14:paraId="1339C4EE" w14:textId="2954DBC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Headache</w:t>
            </w:r>
          </w:p>
        </w:tc>
        <w:tc>
          <w:tcPr>
            <w:tcW w:w="1350" w:type="dxa"/>
          </w:tcPr>
          <w:p w14:paraId="2A448E6B" w14:textId="377F795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47.1</w:t>
            </w:r>
          </w:p>
        </w:tc>
        <w:tc>
          <w:tcPr>
            <w:tcW w:w="1844" w:type="dxa"/>
          </w:tcPr>
          <w:p w14:paraId="23185BF1" w14:textId="7EA6AF96"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45DBB7E6" w14:textId="77777777" w:rsidTr="00BE3B8C">
        <w:tc>
          <w:tcPr>
            <w:tcW w:w="2448" w:type="dxa"/>
            <w:vMerge/>
          </w:tcPr>
          <w:p w14:paraId="48715F24"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405BBA0D" w14:textId="192AD6D0"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Migraine</w:t>
            </w:r>
          </w:p>
        </w:tc>
        <w:tc>
          <w:tcPr>
            <w:tcW w:w="1350" w:type="dxa"/>
          </w:tcPr>
          <w:p w14:paraId="19FD53A0" w14:textId="1B7F9E6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5.8</w:t>
            </w:r>
          </w:p>
        </w:tc>
        <w:tc>
          <w:tcPr>
            <w:tcW w:w="1844" w:type="dxa"/>
          </w:tcPr>
          <w:p w14:paraId="267DDEDE" w14:textId="09EC17F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6B97740C" w14:textId="77777777" w:rsidTr="00BE3B8C">
        <w:tc>
          <w:tcPr>
            <w:tcW w:w="2448" w:type="dxa"/>
            <w:vMerge/>
          </w:tcPr>
          <w:p w14:paraId="40890101"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62F84DD7" w14:textId="2C4BDB8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Dizziness</w:t>
            </w:r>
          </w:p>
        </w:tc>
        <w:tc>
          <w:tcPr>
            <w:tcW w:w="1350" w:type="dxa"/>
          </w:tcPr>
          <w:p w14:paraId="6ACF2012" w14:textId="7530DA5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7.9</w:t>
            </w:r>
          </w:p>
        </w:tc>
        <w:tc>
          <w:tcPr>
            <w:tcW w:w="1844" w:type="dxa"/>
          </w:tcPr>
          <w:p w14:paraId="270E531E" w14:textId="6E3482A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DBC7600" w14:textId="77777777" w:rsidTr="00BE3B8C">
        <w:tc>
          <w:tcPr>
            <w:tcW w:w="2448" w:type="dxa"/>
            <w:vMerge/>
          </w:tcPr>
          <w:p w14:paraId="50C823CA"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2911E343" w14:textId="1207847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Dysgeusia</w:t>
            </w:r>
          </w:p>
        </w:tc>
        <w:tc>
          <w:tcPr>
            <w:tcW w:w="1350" w:type="dxa"/>
          </w:tcPr>
          <w:p w14:paraId="2E4843E1" w14:textId="45709D7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2560CD9B" w14:textId="0C56DEB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509A22CE" w14:textId="77777777" w:rsidTr="00BE3B8C">
        <w:tc>
          <w:tcPr>
            <w:tcW w:w="2448" w:type="dxa"/>
            <w:vMerge/>
          </w:tcPr>
          <w:p w14:paraId="5B12A3AF"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751E5187" w14:textId="44360B2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Amnesia</w:t>
            </w:r>
          </w:p>
        </w:tc>
        <w:tc>
          <w:tcPr>
            <w:tcW w:w="1350" w:type="dxa"/>
          </w:tcPr>
          <w:p w14:paraId="272AA9E5" w14:textId="6857D57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2AC487CA" w14:textId="0CA492A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2140C9A1" w14:textId="77777777" w:rsidTr="00BE3B8C">
        <w:tc>
          <w:tcPr>
            <w:tcW w:w="2448" w:type="dxa"/>
            <w:vMerge/>
          </w:tcPr>
          <w:p w14:paraId="5B838C49"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60A9B771" w14:textId="4D83F3F0"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Dysarthria</w:t>
            </w:r>
          </w:p>
        </w:tc>
        <w:tc>
          <w:tcPr>
            <w:tcW w:w="1350" w:type="dxa"/>
          </w:tcPr>
          <w:p w14:paraId="69EF4B9B" w14:textId="5A321ED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1C34662F" w14:textId="4FD62A7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1499FFBB" w14:textId="77777777" w:rsidTr="00BE3B8C">
        <w:tc>
          <w:tcPr>
            <w:tcW w:w="2448" w:type="dxa"/>
            <w:vMerge w:val="restart"/>
          </w:tcPr>
          <w:p w14:paraId="7E405F0E" w14:textId="2DE0A2E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EYE DISORDERS</w:t>
            </w:r>
          </w:p>
        </w:tc>
        <w:tc>
          <w:tcPr>
            <w:tcW w:w="3600" w:type="dxa"/>
          </w:tcPr>
          <w:p w14:paraId="068BA6EF" w14:textId="72F473B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Conjunctivitis</w:t>
            </w:r>
          </w:p>
        </w:tc>
        <w:tc>
          <w:tcPr>
            <w:tcW w:w="1350" w:type="dxa"/>
          </w:tcPr>
          <w:p w14:paraId="368FC244" w14:textId="2707F199"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4.2</w:t>
            </w:r>
          </w:p>
        </w:tc>
        <w:tc>
          <w:tcPr>
            <w:tcW w:w="1844" w:type="dxa"/>
          </w:tcPr>
          <w:p w14:paraId="441C8152" w14:textId="76CC446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5EABFAD" w14:textId="77777777" w:rsidTr="00BE3B8C">
        <w:tc>
          <w:tcPr>
            <w:tcW w:w="2448" w:type="dxa"/>
            <w:vMerge/>
          </w:tcPr>
          <w:p w14:paraId="2E717F03"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532265BD" w14:textId="19C807D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Eye pain</w:t>
            </w:r>
          </w:p>
        </w:tc>
        <w:tc>
          <w:tcPr>
            <w:tcW w:w="1350" w:type="dxa"/>
          </w:tcPr>
          <w:p w14:paraId="69A5E0B8" w14:textId="29E0D11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1BAAE39D" w14:textId="30C1417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1D14E8B6" w14:textId="77777777" w:rsidTr="00BE3B8C">
        <w:tc>
          <w:tcPr>
            <w:tcW w:w="2448" w:type="dxa"/>
            <w:vMerge/>
          </w:tcPr>
          <w:p w14:paraId="3E44D3B6"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717ACDC6" w14:textId="46304830"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Eye swelling</w:t>
            </w:r>
          </w:p>
        </w:tc>
        <w:tc>
          <w:tcPr>
            <w:tcW w:w="1350" w:type="dxa"/>
          </w:tcPr>
          <w:p w14:paraId="0F350AE9" w14:textId="454E360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00F0485E" w14:textId="647AE7C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204ACEEC" w14:textId="77777777" w:rsidTr="00BE3B8C">
        <w:tc>
          <w:tcPr>
            <w:tcW w:w="2448" w:type="dxa"/>
          </w:tcPr>
          <w:p w14:paraId="62AB4145" w14:textId="1DD611F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EAR AND LABYRINTH DISORDERS</w:t>
            </w:r>
          </w:p>
        </w:tc>
        <w:tc>
          <w:tcPr>
            <w:tcW w:w="3600" w:type="dxa"/>
          </w:tcPr>
          <w:p w14:paraId="5EF3D300" w14:textId="70F0F63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Vertigo</w:t>
            </w:r>
          </w:p>
        </w:tc>
        <w:tc>
          <w:tcPr>
            <w:tcW w:w="1350" w:type="dxa"/>
          </w:tcPr>
          <w:p w14:paraId="4AF28629" w14:textId="6721BA6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1.1</w:t>
            </w:r>
          </w:p>
        </w:tc>
        <w:tc>
          <w:tcPr>
            <w:tcW w:w="1844" w:type="dxa"/>
          </w:tcPr>
          <w:p w14:paraId="5511A098" w14:textId="13F9AE6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6ADCDF38" w14:textId="77777777" w:rsidTr="00BE3B8C">
        <w:tc>
          <w:tcPr>
            <w:tcW w:w="2448" w:type="dxa"/>
          </w:tcPr>
          <w:p w14:paraId="48925CD0" w14:textId="387D1F3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CARDIAC DISORDERS</w:t>
            </w:r>
          </w:p>
        </w:tc>
        <w:tc>
          <w:tcPr>
            <w:tcW w:w="3600" w:type="dxa"/>
          </w:tcPr>
          <w:p w14:paraId="31FF615E" w14:textId="366C4BD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 xml:space="preserve">Tachycardia </w:t>
            </w:r>
          </w:p>
        </w:tc>
        <w:tc>
          <w:tcPr>
            <w:tcW w:w="1350" w:type="dxa"/>
          </w:tcPr>
          <w:p w14:paraId="2D4729C4" w14:textId="73A5A77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3.7</w:t>
            </w:r>
          </w:p>
        </w:tc>
        <w:tc>
          <w:tcPr>
            <w:tcW w:w="1844" w:type="dxa"/>
          </w:tcPr>
          <w:p w14:paraId="1E1A1D25" w14:textId="35160A1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F586D01" w14:textId="77777777" w:rsidTr="00BE3B8C">
        <w:tc>
          <w:tcPr>
            <w:tcW w:w="2448" w:type="dxa"/>
            <w:vMerge w:val="restart"/>
          </w:tcPr>
          <w:p w14:paraId="7538925D" w14:textId="3322F73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VASCULAR DISORDERS</w:t>
            </w:r>
          </w:p>
        </w:tc>
        <w:tc>
          <w:tcPr>
            <w:tcW w:w="3600" w:type="dxa"/>
          </w:tcPr>
          <w:p w14:paraId="1653F917" w14:textId="4E5A690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Flushing</w:t>
            </w:r>
          </w:p>
        </w:tc>
        <w:tc>
          <w:tcPr>
            <w:tcW w:w="1350" w:type="dxa"/>
          </w:tcPr>
          <w:p w14:paraId="2E87B236" w14:textId="7D7BE4B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2.1</w:t>
            </w:r>
          </w:p>
        </w:tc>
        <w:tc>
          <w:tcPr>
            <w:tcW w:w="1844" w:type="dxa"/>
          </w:tcPr>
          <w:p w14:paraId="26CC86B4" w14:textId="1502430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600294DC" w14:textId="77777777" w:rsidTr="00BE3B8C">
        <w:tc>
          <w:tcPr>
            <w:tcW w:w="2448" w:type="dxa"/>
            <w:vMerge/>
          </w:tcPr>
          <w:p w14:paraId="2246751E"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0407CE21" w14:textId="5E15B6C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Hypertension</w:t>
            </w:r>
          </w:p>
        </w:tc>
        <w:tc>
          <w:tcPr>
            <w:tcW w:w="1350" w:type="dxa"/>
          </w:tcPr>
          <w:p w14:paraId="3A7B6D61" w14:textId="0212D27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1.6</w:t>
            </w:r>
          </w:p>
        </w:tc>
        <w:tc>
          <w:tcPr>
            <w:tcW w:w="1844" w:type="dxa"/>
          </w:tcPr>
          <w:p w14:paraId="2C1FEE38" w14:textId="272183C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2A6C75D8" w14:textId="77777777" w:rsidTr="00BE3B8C">
        <w:tc>
          <w:tcPr>
            <w:tcW w:w="2448" w:type="dxa"/>
            <w:vMerge/>
          </w:tcPr>
          <w:p w14:paraId="19F1B4BE"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68AF9F2F" w14:textId="1DF1AB8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Peripheral coldness</w:t>
            </w:r>
          </w:p>
        </w:tc>
        <w:tc>
          <w:tcPr>
            <w:tcW w:w="1350" w:type="dxa"/>
          </w:tcPr>
          <w:p w14:paraId="347AB6D3" w14:textId="5B4DF52A"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62C493F1" w14:textId="58C3430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3C441664" w14:textId="77777777" w:rsidTr="00BE3B8C">
        <w:tc>
          <w:tcPr>
            <w:tcW w:w="2448" w:type="dxa"/>
            <w:vMerge w:val="restart"/>
          </w:tcPr>
          <w:p w14:paraId="422F7809" w14:textId="5F73C7D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RESPIRATORY, THORACIC AND MEDIASTINAL DISORDERS</w:t>
            </w:r>
          </w:p>
        </w:tc>
        <w:tc>
          <w:tcPr>
            <w:tcW w:w="3600" w:type="dxa"/>
          </w:tcPr>
          <w:p w14:paraId="321CCC4F" w14:textId="1B1BDA7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Cough</w:t>
            </w:r>
          </w:p>
        </w:tc>
        <w:tc>
          <w:tcPr>
            <w:tcW w:w="1350" w:type="dxa"/>
          </w:tcPr>
          <w:p w14:paraId="15D6C0C7" w14:textId="1698BC6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11.6</w:t>
            </w:r>
          </w:p>
        </w:tc>
        <w:tc>
          <w:tcPr>
            <w:tcW w:w="1844" w:type="dxa"/>
          </w:tcPr>
          <w:p w14:paraId="6AAE501B" w14:textId="4E587EE5"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5E96AD37" w14:textId="77777777" w:rsidTr="00BE3B8C">
        <w:tc>
          <w:tcPr>
            <w:tcW w:w="2448" w:type="dxa"/>
            <w:vMerge/>
          </w:tcPr>
          <w:p w14:paraId="43569779"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6BFDE27C" w14:textId="720B6CA1" w:rsidR="00C518A3" w:rsidRPr="00C518A3" w:rsidRDefault="00C518A3" w:rsidP="008A1A87">
            <w:pPr>
              <w:rPr>
                <w:rFonts w:ascii="Times New Roman" w:hAnsi="Times New Roman" w:cs="Times New Roman"/>
                <w:color w:val="000000" w:themeColor="text1"/>
                <w:sz w:val="20"/>
                <w:szCs w:val="20"/>
              </w:rPr>
            </w:pPr>
            <w:proofErr w:type="spellStart"/>
            <w:r w:rsidRPr="00C518A3">
              <w:rPr>
                <w:rFonts w:ascii="Times New Roman" w:hAnsi="Times New Roman" w:cs="Times New Roman"/>
                <w:color w:val="000000" w:themeColor="text1"/>
                <w:sz w:val="20"/>
                <w:szCs w:val="20"/>
              </w:rPr>
              <w:t>Pharyngolaryngeal</w:t>
            </w:r>
            <w:proofErr w:type="spellEnd"/>
            <w:r w:rsidRPr="00C518A3">
              <w:rPr>
                <w:rFonts w:ascii="Times New Roman" w:hAnsi="Times New Roman" w:cs="Times New Roman"/>
                <w:color w:val="000000" w:themeColor="text1"/>
                <w:sz w:val="20"/>
                <w:szCs w:val="20"/>
              </w:rPr>
              <w:t xml:space="preserve"> pain</w:t>
            </w:r>
          </w:p>
        </w:tc>
        <w:tc>
          <w:tcPr>
            <w:tcW w:w="1350" w:type="dxa"/>
          </w:tcPr>
          <w:p w14:paraId="05E68D9C" w14:textId="2A12654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7.4</w:t>
            </w:r>
          </w:p>
        </w:tc>
        <w:tc>
          <w:tcPr>
            <w:tcW w:w="1844" w:type="dxa"/>
          </w:tcPr>
          <w:p w14:paraId="78D355FC" w14:textId="1EC3DA4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349EA78" w14:textId="77777777" w:rsidTr="00BE3B8C">
        <w:tc>
          <w:tcPr>
            <w:tcW w:w="2448" w:type="dxa"/>
            <w:vMerge/>
          </w:tcPr>
          <w:p w14:paraId="4D8BD054"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07C40827" w14:textId="45B4B45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Nasal congestion</w:t>
            </w:r>
          </w:p>
        </w:tc>
        <w:tc>
          <w:tcPr>
            <w:tcW w:w="1350" w:type="dxa"/>
          </w:tcPr>
          <w:p w14:paraId="06796749" w14:textId="40784B8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6.3</w:t>
            </w:r>
          </w:p>
        </w:tc>
        <w:tc>
          <w:tcPr>
            <w:tcW w:w="1844" w:type="dxa"/>
          </w:tcPr>
          <w:p w14:paraId="7A7C07F3" w14:textId="61F6283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28877DA9" w14:textId="77777777" w:rsidTr="00BE3B8C">
        <w:tc>
          <w:tcPr>
            <w:tcW w:w="2448" w:type="dxa"/>
            <w:vMerge/>
          </w:tcPr>
          <w:p w14:paraId="78BE16A5"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2F77A929" w14:textId="1CC470DB" w:rsidR="00C518A3" w:rsidRPr="00C518A3" w:rsidRDefault="005432D8"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Rhinorrhoea</w:t>
            </w:r>
          </w:p>
        </w:tc>
        <w:tc>
          <w:tcPr>
            <w:tcW w:w="1350" w:type="dxa"/>
          </w:tcPr>
          <w:p w14:paraId="1CA14F0E" w14:textId="3F520D3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4.2</w:t>
            </w:r>
          </w:p>
        </w:tc>
        <w:tc>
          <w:tcPr>
            <w:tcW w:w="1844" w:type="dxa"/>
          </w:tcPr>
          <w:p w14:paraId="736298A9" w14:textId="49D1A1C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1D28CA8D" w14:textId="77777777" w:rsidTr="00BE3B8C">
        <w:tc>
          <w:tcPr>
            <w:tcW w:w="2448" w:type="dxa"/>
            <w:vMerge/>
          </w:tcPr>
          <w:p w14:paraId="6FD45E2C"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412DABC1" w14:textId="283569A5" w:rsidR="00C518A3" w:rsidRPr="00C518A3" w:rsidRDefault="005432D8"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Dyspnoea</w:t>
            </w:r>
          </w:p>
        </w:tc>
        <w:tc>
          <w:tcPr>
            <w:tcW w:w="1350" w:type="dxa"/>
          </w:tcPr>
          <w:p w14:paraId="1022E900" w14:textId="355CD3D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2.6</w:t>
            </w:r>
          </w:p>
        </w:tc>
        <w:tc>
          <w:tcPr>
            <w:tcW w:w="1844" w:type="dxa"/>
          </w:tcPr>
          <w:p w14:paraId="26516F55" w14:textId="453737D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41B01BB5" w14:textId="77777777" w:rsidTr="00BE3B8C">
        <w:tc>
          <w:tcPr>
            <w:tcW w:w="2448" w:type="dxa"/>
            <w:vMerge/>
          </w:tcPr>
          <w:p w14:paraId="3BFB953F"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3D996DC0" w14:textId="1C23CE8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Oropharyngeal swelling</w:t>
            </w:r>
          </w:p>
        </w:tc>
        <w:tc>
          <w:tcPr>
            <w:tcW w:w="1350" w:type="dxa"/>
          </w:tcPr>
          <w:p w14:paraId="42142CC0" w14:textId="24B656A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1B059EF7" w14:textId="0227F19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4E96980B" w14:textId="77777777" w:rsidTr="00BE3B8C">
        <w:tc>
          <w:tcPr>
            <w:tcW w:w="2448" w:type="dxa"/>
            <w:vMerge w:val="restart"/>
          </w:tcPr>
          <w:p w14:paraId="400DE34F" w14:textId="77C62D10"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GASTROINTESTINAL DISORDERS</w:t>
            </w:r>
          </w:p>
        </w:tc>
        <w:tc>
          <w:tcPr>
            <w:tcW w:w="3600" w:type="dxa"/>
          </w:tcPr>
          <w:p w14:paraId="6FD6242A" w14:textId="0253AAA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Nausea</w:t>
            </w:r>
          </w:p>
        </w:tc>
        <w:tc>
          <w:tcPr>
            <w:tcW w:w="1350" w:type="dxa"/>
          </w:tcPr>
          <w:p w14:paraId="053650A1" w14:textId="5EC6752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14.3</w:t>
            </w:r>
          </w:p>
        </w:tc>
        <w:tc>
          <w:tcPr>
            <w:tcW w:w="1844" w:type="dxa"/>
          </w:tcPr>
          <w:p w14:paraId="0FBFDD39" w14:textId="5444C666"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7FF48A0E" w14:textId="77777777" w:rsidTr="00BE3B8C">
        <w:tc>
          <w:tcPr>
            <w:tcW w:w="2448" w:type="dxa"/>
            <w:vMerge/>
          </w:tcPr>
          <w:p w14:paraId="6CF0FFFA"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7499093C" w14:textId="63613F0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Vomiting</w:t>
            </w:r>
          </w:p>
        </w:tc>
        <w:tc>
          <w:tcPr>
            <w:tcW w:w="1350" w:type="dxa"/>
          </w:tcPr>
          <w:p w14:paraId="2E0446E6" w14:textId="24BC112A"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13.2</w:t>
            </w:r>
          </w:p>
        </w:tc>
        <w:tc>
          <w:tcPr>
            <w:tcW w:w="1844" w:type="dxa"/>
          </w:tcPr>
          <w:p w14:paraId="7520A205" w14:textId="4D41C01C"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03744E1F" w14:textId="77777777" w:rsidTr="00BE3B8C">
        <w:tc>
          <w:tcPr>
            <w:tcW w:w="2448" w:type="dxa"/>
            <w:vMerge/>
          </w:tcPr>
          <w:p w14:paraId="255A66CA"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18260CDB" w14:textId="5F86FA28" w:rsidR="00C518A3" w:rsidRPr="00C518A3" w:rsidRDefault="005432D8"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Diarrhoea</w:t>
            </w:r>
          </w:p>
        </w:tc>
        <w:tc>
          <w:tcPr>
            <w:tcW w:w="1350" w:type="dxa"/>
          </w:tcPr>
          <w:p w14:paraId="06C7ED40" w14:textId="4B16C73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11.1</w:t>
            </w:r>
          </w:p>
        </w:tc>
        <w:tc>
          <w:tcPr>
            <w:tcW w:w="1844" w:type="dxa"/>
          </w:tcPr>
          <w:p w14:paraId="3EE572DD" w14:textId="6DC7C558"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4A3B5A1F" w14:textId="77777777" w:rsidTr="00BE3B8C">
        <w:tc>
          <w:tcPr>
            <w:tcW w:w="2448" w:type="dxa"/>
            <w:vMerge/>
          </w:tcPr>
          <w:p w14:paraId="6143CE87"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0156FB5F" w14:textId="61FD397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Abdominal pain</w:t>
            </w:r>
          </w:p>
        </w:tc>
        <w:tc>
          <w:tcPr>
            <w:tcW w:w="1350" w:type="dxa"/>
          </w:tcPr>
          <w:p w14:paraId="00F61553" w14:textId="4A9375A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8.5</w:t>
            </w:r>
          </w:p>
        </w:tc>
        <w:tc>
          <w:tcPr>
            <w:tcW w:w="1844" w:type="dxa"/>
          </w:tcPr>
          <w:p w14:paraId="7B9CD243" w14:textId="1614A00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41A9CDA5" w14:textId="77777777" w:rsidTr="00BE3B8C">
        <w:tc>
          <w:tcPr>
            <w:tcW w:w="2448" w:type="dxa"/>
            <w:vMerge/>
          </w:tcPr>
          <w:p w14:paraId="13B7E1EE"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10631F23" w14:textId="2A42F94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Dyspepsia</w:t>
            </w:r>
          </w:p>
        </w:tc>
        <w:tc>
          <w:tcPr>
            <w:tcW w:w="1350" w:type="dxa"/>
          </w:tcPr>
          <w:p w14:paraId="45AE339E" w14:textId="6662C7F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1.6</w:t>
            </w:r>
          </w:p>
        </w:tc>
        <w:tc>
          <w:tcPr>
            <w:tcW w:w="1844" w:type="dxa"/>
          </w:tcPr>
          <w:p w14:paraId="46FF0D30" w14:textId="769DB25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265A7C28" w14:textId="77777777" w:rsidTr="00BE3B8C">
        <w:tc>
          <w:tcPr>
            <w:tcW w:w="2448" w:type="dxa"/>
            <w:vMerge w:val="restart"/>
          </w:tcPr>
          <w:p w14:paraId="327651CE" w14:textId="08BBB43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SKIN AND SUBCUTANEOUS TISSUE DISORDERS</w:t>
            </w:r>
          </w:p>
        </w:tc>
        <w:tc>
          <w:tcPr>
            <w:tcW w:w="3600" w:type="dxa"/>
          </w:tcPr>
          <w:p w14:paraId="002D2AC6" w14:textId="7859C83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Urticaria</w:t>
            </w:r>
          </w:p>
        </w:tc>
        <w:tc>
          <w:tcPr>
            <w:tcW w:w="1350" w:type="dxa"/>
          </w:tcPr>
          <w:p w14:paraId="5FCEA6B9" w14:textId="276212D0"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4.2</w:t>
            </w:r>
          </w:p>
        </w:tc>
        <w:tc>
          <w:tcPr>
            <w:tcW w:w="1844" w:type="dxa"/>
          </w:tcPr>
          <w:p w14:paraId="15DEFB46" w14:textId="7878779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30C682CA" w14:textId="77777777" w:rsidTr="00BE3B8C">
        <w:tc>
          <w:tcPr>
            <w:tcW w:w="2448" w:type="dxa"/>
            <w:vMerge/>
          </w:tcPr>
          <w:p w14:paraId="1E433F1D"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14D90831" w14:textId="4A94512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Pruritus</w:t>
            </w:r>
          </w:p>
        </w:tc>
        <w:tc>
          <w:tcPr>
            <w:tcW w:w="1350" w:type="dxa"/>
          </w:tcPr>
          <w:p w14:paraId="651BEC4E" w14:textId="36F93F59"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5.3</w:t>
            </w:r>
          </w:p>
        </w:tc>
        <w:tc>
          <w:tcPr>
            <w:tcW w:w="1844" w:type="dxa"/>
          </w:tcPr>
          <w:p w14:paraId="7B45687D" w14:textId="13000370"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2FDC50B" w14:textId="77777777" w:rsidTr="00BE3B8C">
        <w:tc>
          <w:tcPr>
            <w:tcW w:w="2448" w:type="dxa"/>
            <w:vMerge/>
          </w:tcPr>
          <w:p w14:paraId="55F96CAD"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5CCB12F2" w14:textId="5C7CDF8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Rash</w:t>
            </w:r>
          </w:p>
        </w:tc>
        <w:tc>
          <w:tcPr>
            <w:tcW w:w="1350" w:type="dxa"/>
          </w:tcPr>
          <w:p w14:paraId="75A2AF8B" w14:textId="3D98488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5.8</w:t>
            </w:r>
          </w:p>
        </w:tc>
        <w:tc>
          <w:tcPr>
            <w:tcW w:w="1844" w:type="dxa"/>
          </w:tcPr>
          <w:p w14:paraId="7D355B55" w14:textId="1622ADD9"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1CA37779" w14:textId="77777777" w:rsidTr="00BE3B8C">
        <w:tc>
          <w:tcPr>
            <w:tcW w:w="2448" w:type="dxa"/>
            <w:vMerge/>
          </w:tcPr>
          <w:p w14:paraId="1DBC5DD7"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5E68B375" w14:textId="462B10E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Contusion</w:t>
            </w:r>
          </w:p>
        </w:tc>
        <w:tc>
          <w:tcPr>
            <w:tcW w:w="1350" w:type="dxa"/>
          </w:tcPr>
          <w:p w14:paraId="71B96BBD" w14:textId="7D33833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3.7</w:t>
            </w:r>
          </w:p>
        </w:tc>
        <w:tc>
          <w:tcPr>
            <w:tcW w:w="1844" w:type="dxa"/>
          </w:tcPr>
          <w:p w14:paraId="71672280" w14:textId="3C3DE25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11A1CE19" w14:textId="77777777" w:rsidTr="00BE3B8C">
        <w:tc>
          <w:tcPr>
            <w:tcW w:w="2448" w:type="dxa"/>
            <w:vMerge/>
          </w:tcPr>
          <w:p w14:paraId="2D09AC6C"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672867ED" w14:textId="076C55A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Angioedema</w:t>
            </w:r>
          </w:p>
        </w:tc>
        <w:tc>
          <w:tcPr>
            <w:tcW w:w="1350" w:type="dxa"/>
          </w:tcPr>
          <w:p w14:paraId="1427CDE3" w14:textId="621F70F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56122853" w14:textId="6B3E7B0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0AEF0078" w14:textId="77777777" w:rsidTr="00BE3B8C">
        <w:tc>
          <w:tcPr>
            <w:tcW w:w="2448" w:type="dxa"/>
            <w:vMerge/>
          </w:tcPr>
          <w:p w14:paraId="61B9C7E1"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2F35FC59" w14:textId="0DF1A3F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Cold sweat</w:t>
            </w:r>
          </w:p>
        </w:tc>
        <w:tc>
          <w:tcPr>
            <w:tcW w:w="1350" w:type="dxa"/>
          </w:tcPr>
          <w:p w14:paraId="451EB49A" w14:textId="0A2CAA5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460362B8" w14:textId="6E901430"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15832B5E" w14:textId="77777777" w:rsidTr="00BE3B8C">
        <w:tc>
          <w:tcPr>
            <w:tcW w:w="2448" w:type="dxa"/>
            <w:vMerge w:val="restart"/>
          </w:tcPr>
          <w:p w14:paraId="19BA1F57" w14:textId="23FDE0D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MUSCULOSKELETAL AND CONNECTIVE TISSUE DISORDERS</w:t>
            </w:r>
          </w:p>
        </w:tc>
        <w:tc>
          <w:tcPr>
            <w:tcW w:w="3600" w:type="dxa"/>
          </w:tcPr>
          <w:p w14:paraId="1451148A" w14:textId="64237E9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Arthralgia</w:t>
            </w:r>
          </w:p>
        </w:tc>
        <w:tc>
          <w:tcPr>
            <w:tcW w:w="1350" w:type="dxa"/>
          </w:tcPr>
          <w:p w14:paraId="058DB400" w14:textId="40BBCDE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7.9</w:t>
            </w:r>
          </w:p>
        </w:tc>
        <w:tc>
          <w:tcPr>
            <w:tcW w:w="1844" w:type="dxa"/>
          </w:tcPr>
          <w:p w14:paraId="283F0A84" w14:textId="7FD7047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71D17161" w14:textId="77777777" w:rsidTr="00BE3B8C">
        <w:tc>
          <w:tcPr>
            <w:tcW w:w="2448" w:type="dxa"/>
            <w:vMerge/>
          </w:tcPr>
          <w:p w14:paraId="48A4C718"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7476BB62" w14:textId="0AF79DA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Pain in extremity</w:t>
            </w:r>
          </w:p>
        </w:tc>
        <w:tc>
          <w:tcPr>
            <w:tcW w:w="1350" w:type="dxa"/>
          </w:tcPr>
          <w:p w14:paraId="09FF8C60" w14:textId="5867326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10.1</w:t>
            </w:r>
          </w:p>
        </w:tc>
        <w:tc>
          <w:tcPr>
            <w:tcW w:w="1844" w:type="dxa"/>
          </w:tcPr>
          <w:p w14:paraId="2BB8F666" w14:textId="7B7DFAB8"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16E2BC26" w14:textId="77777777" w:rsidTr="00BE3B8C">
        <w:tc>
          <w:tcPr>
            <w:tcW w:w="2448" w:type="dxa"/>
            <w:vMerge/>
          </w:tcPr>
          <w:p w14:paraId="1A21FC73"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24DE9302" w14:textId="1358C5B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Back pain</w:t>
            </w:r>
          </w:p>
        </w:tc>
        <w:tc>
          <w:tcPr>
            <w:tcW w:w="1350" w:type="dxa"/>
          </w:tcPr>
          <w:p w14:paraId="09BA754B" w14:textId="4FA6A58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7.4</w:t>
            </w:r>
          </w:p>
        </w:tc>
        <w:tc>
          <w:tcPr>
            <w:tcW w:w="1844" w:type="dxa"/>
          </w:tcPr>
          <w:p w14:paraId="51326F40" w14:textId="4728D28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51B8425F" w14:textId="77777777" w:rsidTr="00BE3B8C">
        <w:tc>
          <w:tcPr>
            <w:tcW w:w="2448" w:type="dxa"/>
            <w:vMerge/>
          </w:tcPr>
          <w:p w14:paraId="06A35853"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43801183" w14:textId="24D7115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Myalgia</w:t>
            </w:r>
          </w:p>
        </w:tc>
        <w:tc>
          <w:tcPr>
            <w:tcW w:w="1350" w:type="dxa"/>
          </w:tcPr>
          <w:p w14:paraId="232CB29F" w14:textId="69C07CA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6.3</w:t>
            </w:r>
          </w:p>
        </w:tc>
        <w:tc>
          <w:tcPr>
            <w:tcW w:w="1844" w:type="dxa"/>
          </w:tcPr>
          <w:p w14:paraId="04CD440C" w14:textId="187C361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4CE1EFAF" w14:textId="77777777" w:rsidTr="00BE3B8C">
        <w:tc>
          <w:tcPr>
            <w:tcW w:w="2448" w:type="dxa"/>
            <w:vMerge/>
          </w:tcPr>
          <w:p w14:paraId="246C12CA"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6119A879" w14:textId="12B4FB8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Muscle spasms</w:t>
            </w:r>
          </w:p>
        </w:tc>
        <w:tc>
          <w:tcPr>
            <w:tcW w:w="1350" w:type="dxa"/>
          </w:tcPr>
          <w:p w14:paraId="306102AC" w14:textId="4422DDB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1.6</w:t>
            </w:r>
          </w:p>
        </w:tc>
        <w:tc>
          <w:tcPr>
            <w:tcW w:w="1844" w:type="dxa"/>
          </w:tcPr>
          <w:p w14:paraId="14B05CB9" w14:textId="08A05D4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10197225" w14:textId="77777777" w:rsidTr="00BE3B8C">
        <w:tc>
          <w:tcPr>
            <w:tcW w:w="2448" w:type="dxa"/>
            <w:vMerge w:val="restart"/>
          </w:tcPr>
          <w:p w14:paraId="1426466B" w14:textId="5DA6CAA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GENERAL DISORDERS AND ADMINISTRATION SITE CONDITIONS</w:t>
            </w:r>
          </w:p>
        </w:tc>
        <w:tc>
          <w:tcPr>
            <w:tcW w:w="3600" w:type="dxa"/>
          </w:tcPr>
          <w:p w14:paraId="1B684014" w14:textId="3B3CA95F"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Local reactions</w:t>
            </w:r>
          </w:p>
        </w:tc>
        <w:tc>
          <w:tcPr>
            <w:tcW w:w="1350" w:type="dxa"/>
          </w:tcPr>
          <w:p w14:paraId="096F0481" w14:textId="213A674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6.9</w:t>
            </w:r>
          </w:p>
        </w:tc>
        <w:tc>
          <w:tcPr>
            <w:tcW w:w="1844" w:type="dxa"/>
          </w:tcPr>
          <w:p w14:paraId="030C760D" w14:textId="5898A00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DB17363" w14:textId="77777777" w:rsidTr="00BE3B8C">
        <w:tc>
          <w:tcPr>
            <w:tcW w:w="2448" w:type="dxa"/>
            <w:vMerge/>
          </w:tcPr>
          <w:p w14:paraId="62CB0AA3"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22640A79" w14:textId="6BA44B9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Infusion site pain</w:t>
            </w:r>
          </w:p>
        </w:tc>
        <w:tc>
          <w:tcPr>
            <w:tcW w:w="1350" w:type="dxa"/>
          </w:tcPr>
          <w:p w14:paraId="72F29613" w14:textId="18F3F92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2.1</w:t>
            </w:r>
          </w:p>
        </w:tc>
        <w:tc>
          <w:tcPr>
            <w:tcW w:w="1844" w:type="dxa"/>
          </w:tcPr>
          <w:p w14:paraId="5F745A1A" w14:textId="62A93FC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6D9E176D" w14:textId="77777777" w:rsidTr="00BE3B8C">
        <w:tc>
          <w:tcPr>
            <w:tcW w:w="2448" w:type="dxa"/>
            <w:vMerge/>
          </w:tcPr>
          <w:p w14:paraId="6E290094"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36081ACA" w14:textId="64F58FE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Infusion site swelling</w:t>
            </w:r>
          </w:p>
        </w:tc>
        <w:tc>
          <w:tcPr>
            <w:tcW w:w="1350" w:type="dxa"/>
          </w:tcPr>
          <w:p w14:paraId="6FF875F2" w14:textId="3B9E92E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1.1</w:t>
            </w:r>
          </w:p>
        </w:tc>
        <w:tc>
          <w:tcPr>
            <w:tcW w:w="1844" w:type="dxa"/>
          </w:tcPr>
          <w:p w14:paraId="29D1B875" w14:textId="4D7720D4"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54A595B3" w14:textId="77777777" w:rsidTr="00BE3B8C">
        <w:tc>
          <w:tcPr>
            <w:tcW w:w="2448" w:type="dxa"/>
            <w:vMerge/>
          </w:tcPr>
          <w:p w14:paraId="774567FA"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3CB2DC1B" w14:textId="6F6CC97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Fatigue</w:t>
            </w:r>
          </w:p>
        </w:tc>
        <w:tc>
          <w:tcPr>
            <w:tcW w:w="1350" w:type="dxa"/>
          </w:tcPr>
          <w:p w14:paraId="34B2BC12" w14:textId="3B78F6F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15.3</w:t>
            </w:r>
          </w:p>
        </w:tc>
        <w:tc>
          <w:tcPr>
            <w:tcW w:w="1844" w:type="dxa"/>
          </w:tcPr>
          <w:p w14:paraId="47E5C439" w14:textId="7861D9D6"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35C57D32" w14:textId="77777777" w:rsidTr="00BE3B8C">
        <w:tc>
          <w:tcPr>
            <w:tcW w:w="2448" w:type="dxa"/>
            <w:vMerge/>
          </w:tcPr>
          <w:p w14:paraId="0A2DFB10"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21055720" w14:textId="7460AC2C"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Pyrexia</w:t>
            </w:r>
          </w:p>
        </w:tc>
        <w:tc>
          <w:tcPr>
            <w:tcW w:w="1350" w:type="dxa"/>
          </w:tcPr>
          <w:p w14:paraId="64EC36F2" w14:textId="3BB9F8F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20.1</w:t>
            </w:r>
          </w:p>
        </w:tc>
        <w:tc>
          <w:tcPr>
            <w:tcW w:w="1844" w:type="dxa"/>
          </w:tcPr>
          <w:p w14:paraId="5504D753" w14:textId="36CC0C84" w:rsidR="00C518A3" w:rsidRPr="00C518A3" w:rsidRDefault="00C518A3" w:rsidP="00140D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Very Common</w:t>
            </w:r>
          </w:p>
        </w:tc>
      </w:tr>
      <w:tr w:rsidR="00C518A3" w14:paraId="3A70C4AA" w14:textId="77777777" w:rsidTr="00BE3B8C">
        <w:tc>
          <w:tcPr>
            <w:tcW w:w="2448" w:type="dxa"/>
            <w:vMerge/>
          </w:tcPr>
          <w:p w14:paraId="67E988F0"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05375222" w14:textId="1335830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Chills</w:t>
            </w:r>
          </w:p>
        </w:tc>
        <w:tc>
          <w:tcPr>
            <w:tcW w:w="1350" w:type="dxa"/>
          </w:tcPr>
          <w:p w14:paraId="365687E4" w14:textId="06F0722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9.5</w:t>
            </w:r>
          </w:p>
        </w:tc>
        <w:tc>
          <w:tcPr>
            <w:tcW w:w="1844" w:type="dxa"/>
          </w:tcPr>
          <w:p w14:paraId="30A80FBE" w14:textId="48BDAE1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464971D" w14:textId="77777777" w:rsidTr="00BE3B8C">
        <w:tc>
          <w:tcPr>
            <w:tcW w:w="2448" w:type="dxa"/>
            <w:vMerge/>
          </w:tcPr>
          <w:p w14:paraId="5CF04FA5"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0A2C61FC" w14:textId="04C0B083" w:rsidR="00C518A3" w:rsidRPr="00C518A3" w:rsidRDefault="00487DD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Oedema</w:t>
            </w:r>
          </w:p>
        </w:tc>
        <w:tc>
          <w:tcPr>
            <w:tcW w:w="1350" w:type="dxa"/>
          </w:tcPr>
          <w:p w14:paraId="63B7A962" w14:textId="59453B3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4.8</w:t>
            </w:r>
          </w:p>
        </w:tc>
        <w:tc>
          <w:tcPr>
            <w:tcW w:w="1844" w:type="dxa"/>
          </w:tcPr>
          <w:p w14:paraId="17E9EE38" w14:textId="4FFCE9D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7BBD813A" w14:textId="77777777" w:rsidTr="00BE3B8C">
        <w:tc>
          <w:tcPr>
            <w:tcW w:w="2448" w:type="dxa"/>
            <w:vMerge/>
          </w:tcPr>
          <w:p w14:paraId="11F2746E"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1D694F2B" w14:textId="3013891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Influenza like illness</w:t>
            </w:r>
          </w:p>
        </w:tc>
        <w:tc>
          <w:tcPr>
            <w:tcW w:w="1350" w:type="dxa"/>
          </w:tcPr>
          <w:p w14:paraId="6C0EE8BB" w14:textId="787F8E0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2.1</w:t>
            </w:r>
          </w:p>
        </w:tc>
        <w:tc>
          <w:tcPr>
            <w:tcW w:w="1844" w:type="dxa"/>
          </w:tcPr>
          <w:p w14:paraId="13032C0C" w14:textId="5078656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2C9C973F" w14:textId="77777777" w:rsidTr="00BE3B8C">
        <w:tc>
          <w:tcPr>
            <w:tcW w:w="2448" w:type="dxa"/>
            <w:vMerge/>
          </w:tcPr>
          <w:p w14:paraId="723BB752"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77F4C849" w14:textId="0E63126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Malaise</w:t>
            </w:r>
          </w:p>
        </w:tc>
        <w:tc>
          <w:tcPr>
            <w:tcW w:w="1350" w:type="dxa"/>
          </w:tcPr>
          <w:p w14:paraId="04B49055" w14:textId="09C5839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2.6</w:t>
            </w:r>
          </w:p>
        </w:tc>
        <w:tc>
          <w:tcPr>
            <w:tcW w:w="1844" w:type="dxa"/>
          </w:tcPr>
          <w:p w14:paraId="1E11D171" w14:textId="7956C61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7D480160" w14:textId="77777777" w:rsidTr="00BE3B8C">
        <w:tc>
          <w:tcPr>
            <w:tcW w:w="2448" w:type="dxa"/>
            <w:vMerge/>
          </w:tcPr>
          <w:p w14:paraId="21EA6581"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3844D690" w14:textId="4E69B9A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Chest tightness</w:t>
            </w:r>
          </w:p>
        </w:tc>
        <w:tc>
          <w:tcPr>
            <w:tcW w:w="1350" w:type="dxa"/>
          </w:tcPr>
          <w:p w14:paraId="43E81DD7" w14:textId="49035C2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1.1</w:t>
            </w:r>
          </w:p>
        </w:tc>
        <w:tc>
          <w:tcPr>
            <w:tcW w:w="1844" w:type="dxa"/>
          </w:tcPr>
          <w:p w14:paraId="3ACD9E8B" w14:textId="20F26DDA"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CB059F7" w14:textId="77777777" w:rsidTr="00BE3B8C">
        <w:tc>
          <w:tcPr>
            <w:tcW w:w="2448" w:type="dxa"/>
            <w:vMerge/>
          </w:tcPr>
          <w:p w14:paraId="6CB3C3D0"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476BEB50" w14:textId="64781A3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Feeling hot</w:t>
            </w:r>
          </w:p>
        </w:tc>
        <w:tc>
          <w:tcPr>
            <w:tcW w:w="1350" w:type="dxa"/>
          </w:tcPr>
          <w:p w14:paraId="122F335B" w14:textId="6E92A6B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37D1F4FD" w14:textId="0B139D0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7CE64A7D" w14:textId="77777777" w:rsidTr="00BE3B8C">
        <w:tc>
          <w:tcPr>
            <w:tcW w:w="2448" w:type="dxa"/>
            <w:vMerge w:val="restart"/>
          </w:tcPr>
          <w:p w14:paraId="0F80D961" w14:textId="62B8635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b/>
                <w:bCs/>
                <w:color w:val="000000" w:themeColor="text1"/>
                <w:sz w:val="20"/>
                <w:szCs w:val="20"/>
              </w:rPr>
              <w:t>INVESTIGATIONS</w:t>
            </w:r>
          </w:p>
        </w:tc>
        <w:tc>
          <w:tcPr>
            <w:tcW w:w="3600" w:type="dxa"/>
          </w:tcPr>
          <w:p w14:paraId="5D2005F3" w14:textId="29C49D3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White blood cell count decreased</w:t>
            </w:r>
          </w:p>
        </w:tc>
        <w:tc>
          <w:tcPr>
            <w:tcW w:w="1350" w:type="dxa"/>
          </w:tcPr>
          <w:p w14:paraId="30912AF6" w14:textId="76D1025A"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1.6</w:t>
            </w:r>
          </w:p>
        </w:tc>
        <w:tc>
          <w:tcPr>
            <w:tcW w:w="1844" w:type="dxa"/>
          </w:tcPr>
          <w:p w14:paraId="4C29DBE9" w14:textId="4B5424B1"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7A9BB5BA" w14:textId="77777777" w:rsidTr="00BE3B8C">
        <w:tc>
          <w:tcPr>
            <w:tcW w:w="2448" w:type="dxa"/>
            <w:vMerge/>
          </w:tcPr>
          <w:p w14:paraId="6FE90D9D"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5ABC28EF" w14:textId="4297A7BE"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Blood creatinine increased</w:t>
            </w:r>
          </w:p>
        </w:tc>
        <w:tc>
          <w:tcPr>
            <w:tcW w:w="1350" w:type="dxa"/>
          </w:tcPr>
          <w:p w14:paraId="7F7B3E0C" w14:textId="4F0AF193"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1.1</w:t>
            </w:r>
          </w:p>
        </w:tc>
        <w:tc>
          <w:tcPr>
            <w:tcW w:w="1844" w:type="dxa"/>
          </w:tcPr>
          <w:p w14:paraId="360861C6" w14:textId="71E26E2A"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09CA2329" w14:textId="77777777" w:rsidTr="00BE3B8C">
        <w:tc>
          <w:tcPr>
            <w:tcW w:w="2448" w:type="dxa"/>
            <w:vMerge/>
          </w:tcPr>
          <w:p w14:paraId="7BFB99B2"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7E444383" w14:textId="2AB3A327"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Blood urea increased</w:t>
            </w:r>
          </w:p>
        </w:tc>
        <w:tc>
          <w:tcPr>
            <w:tcW w:w="1350" w:type="dxa"/>
          </w:tcPr>
          <w:p w14:paraId="1BDEF08D" w14:textId="4886DF0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1.1</w:t>
            </w:r>
          </w:p>
        </w:tc>
        <w:tc>
          <w:tcPr>
            <w:tcW w:w="1844" w:type="dxa"/>
          </w:tcPr>
          <w:p w14:paraId="52BF23B8" w14:textId="7927749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Common</w:t>
            </w:r>
          </w:p>
        </w:tc>
      </w:tr>
      <w:tr w:rsidR="00C518A3" w14:paraId="11751149" w14:textId="77777777" w:rsidTr="00BE3B8C">
        <w:tc>
          <w:tcPr>
            <w:tcW w:w="2448" w:type="dxa"/>
            <w:vMerge/>
          </w:tcPr>
          <w:p w14:paraId="00D9FECB"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46106200" w14:textId="3DA3A879" w:rsidR="00C518A3" w:rsidRPr="00C518A3" w:rsidRDefault="00C518A3" w:rsidP="008A1A87">
            <w:pPr>
              <w:rPr>
                <w:rFonts w:ascii="Times New Roman" w:hAnsi="Times New Roman" w:cs="Times New Roman"/>
                <w:color w:val="000000" w:themeColor="text1"/>
                <w:sz w:val="20"/>
                <w:szCs w:val="20"/>
              </w:rPr>
            </w:pPr>
            <w:proofErr w:type="spellStart"/>
            <w:r w:rsidRPr="00C518A3">
              <w:rPr>
                <w:rFonts w:ascii="Times New Roman" w:hAnsi="Times New Roman" w:cs="Times New Roman"/>
                <w:color w:val="000000" w:themeColor="text1"/>
                <w:sz w:val="20"/>
                <w:szCs w:val="20"/>
              </w:rPr>
              <w:t>Hematocrit</w:t>
            </w:r>
            <w:proofErr w:type="spellEnd"/>
            <w:r w:rsidRPr="00C518A3">
              <w:rPr>
                <w:rFonts w:ascii="Times New Roman" w:hAnsi="Times New Roman" w:cs="Times New Roman"/>
                <w:color w:val="000000" w:themeColor="text1"/>
                <w:sz w:val="20"/>
                <w:szCs w:val="20"/>
              </w:rPr>
              <w:t xml:space="preserve"> decreased</w:t>
            </w:r>
          </w:p>
        </w:tc>
        <w:tc>
          <w:tcPr>
            <w:tcW w:w="1350" w:type="dxa"/>
          </w:tcPr>
          <w:p w14:paraId="7D8C72F0" w14:textId="4852A2B6"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10225DCC" w14:textId="2538FBD5"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7217D130" w14:textId="77777777" w:rsidTr="00BE3B8C">
        <w:tc>
          <w:tcPr>
            <w:tcW w:w="2448" w:type="dxa"/>
            <w:vMerge/>
          </w:tcPr>
          <w:p w14:paraId="562DD17B"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36CA4509" w14:textId="16C1107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Red blood cell count decreased</w:t>
            </w:r>
          </w:p>
        </w:tc>
        <w:tc>
          <w:tcPr>
            <w:tcW w:w="1350" w:type="dxa"/>
          </w:tcPr>
          <w:p w14:paraId="08C72C96" w14:textId="07A203B2"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5C062073" w14:textId="6D74824D"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5C89FAE7" w14:textId="77777777" w:rsidTr="00BE3B8C">
        <w:tc>
          <w:tcPr>
            <w:tcW w:w="2448" w:type="dxa"/>
            <w:vMerge/>
          </w:tcPr>
          <w:p w14:paraId="7EF5F297" w14:textId="77777777" w:rsidR="00C518A3" w:rsidRPr="00C518A3" w:rsidRDefault="00C518A3" w:rsidP="008A1A87">
            <w:pPr>
              <w:rPr>
                <w:rFonts w:ascii="Times New Roman" w:hAnsi="Times New Roman" w:cs="Times New Roman"/>
                <w:color w:val="000000" w:themeColor="text1"/>
                <w:sz w:val="20"/>
                <w:szCs w:val="20"/>
              </w:rPr>
            </w:pPr>
          </w:p>
        </w:tc>
        <w:tc>
          <w:tcPr>
            <w:tcW w:w="3600" w:type="dxa"/>
          </w:tcPr>
          <w:p w14:paraId="3C689925" w14:textId="346B5898"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Respiratory rate increased</w:t>
            </w:r>
          </w:p>
        </w:tc>
        <w:tc>
          <w:tcPr>
            <w:tcW w:w="1350" w:type="dxa"/>
          </w:tcPr>
          <w:p w14:paraId="13C7F7E3" w14:textId="15328F8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0.5</w:t>
            </w:r>
          </w:p>
        </w:tc>
        <w:tc>
          <w:tcPr>
            <w:tcW w:w="1844" w:type="dxa"/>
          </w:tcPr>
          <w:p w14:paraId="797D71F7" w14:textId="4FB9968B" w:rsidR="00C518A3" w:rsidRPr="00C518A3" w:rsidRDefault="00C518A3" w:rsidP="008A1A87">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Uncommon</w:t>
            </w:r>
          </w:p>
        </w:tc>
      </w:tr>
      <w:tr w:rsidR="00C518A3" w14:paraId="7E08C176" w14:textId="77777777" w:rsidTr="00BE3B8C">
        <w:tc>
          <w:tcPr>
            <w:tcW w:w="9242" w:type="dxa"/>
            <w:gridSpan w:val="4"/>
          </w:tcPr>
          <w:p w14:paraId="48E1975E" w14:textId="618623CA" w:rsidR="00C518A3" w:rsidRPr="00C518A3" w:rsidRDefault="00C518A3" w:rsidP="00C518A3">
            <w:pPr>
              <w:rPr>
                <w:rFonts w:ascii="Times New Roman" w:hAnsi="Times New Roman" w:cs="Times New Roman"/>
                <w:color w:val="000000" w:themeColor="text1"/>
                <w:sz w:val="20"/>
                <w:szCs w:val="20"/>
              </w:rPr>
            </w:pPr>
            <w:r w:rsidRPr="00C518A3">
              <w:rPr>
                <w:rFonts w:ascii="Times New Roman" w:hAnsi="Times New Roman" w:cs="Times New Roman"/>
                <w:color w:val="000000" w:themeColor="text1"/>
                <w:sz w:val="20"/>
                <w:szCs w:val="20"/>
              </w:rPr>
              <w:t xml:space="preserve">Legend: </w:t>
            </w:r>
            <w:r>
              <w:rPr>
                <w:rFonts w:ascii="Times New Roman" w:hAnsi="Times New Roman" w:cs="Times New Roman"/>
                <w:color w:val="000000" w:themeColor="text1"/>
                <w:sz w:val="20"/>
                <w:szCs w:val="20"/>
              </w:rPr>
              <w:br/>
            </w:r>
            <w:r w:rsidRPr="00C518A3">
              <w:rPr>
                <w:rFonts w:ascii="Times New Roman" w:hAnsi="Times New Roman" w:cs="Times New Roman"/>
                <w:color w:val="000000" w:themeColor="text1"/>
                <w:sz w:val="20"/>
                <w:szCs w:val="20"/>
              </w:rPr>
              <w:t>ADR frequency is based upon the following scale: Very Common (≥1/10); Common (≥1/100 - &lt;1/10), Uncommon (≥1/1,000 - &lt;1/100), Rare (≥1/10,000 - &lt;1/1,000), Very Rare (&lt;1/10,000)</w:t>
            </w:r>
          </w:p>
          <w:p w14:paraId="29A36FE7" w14:textId="2E606AE1" w:rsidR="00C518A3" w:rsidRPr="00C518A3" w:rsidRDefault="00C518A3" w:rsidP="00BE3B8C">
            <w:pPr>
              <w:rPr>
                <w:rFonts w:ascii="Times New Roman" w:hAnsi="Times New Roman" w:cs="Times New Roman"/>
                <w:color w:val="000000" w:themeColor="text1"/>
                <w:sz w:val="20"/>
                <w:szCs w:val="20"/>
              </w:rPr>
            </w:pPr>
            <w:proofErr w:type="gramStart"/>
            <w:r w:rsidRPr="00C518A3">
              <w:rPr>
                <w:rFonts w:ascii="Times New Roman" w:hAnsi="Times New Roman" w:cs="Times New Roman"/>
                <w:color w:val="000000" w:themeColor="text1"/>
                <w:sz w:val="20"/>
                <w:szCs w:val="20"/>
                <w:vertAlign w:val="superscript"/>
              </w:rPr>
              <w:t>a</w:t>
            </w:r>
            <w:r w:rsidRPr="00C518A3">
              <w:rPr>
                <w:rFonts w:ascii="Times New Roman" w:hAnsi="Times New Roman" w:cs="Times New Roman"/>
                <w:color w:val="000000" w:themeColor="text1"/>
                <w:sz w:val="20"/>
                <w:szCs w:val="20"/>
              </w:rPr>
              <w:t xml:space="preserve"> Number of</w:t>
            </w:r>
            <w:proofErr w:type="gramEnd"/>
            <w:r w:rsidRPr="00C518A3">
              <w:rPr>
                <w:rFonts w:ascii="Times New Roman" w:hAnsi="Times New Roman" w:cs="Times New Roman"/>
                <w:color w:val="000000" w:themeColor="text1"/>
                <w:sz w:val="20"/>
                <w:szCs w:val="20"/>
              </w:rPr>
              <w:t xml:space="preserve"> AEs divided by the total number of infusions multiplied by 100.</w:t>
            </w:r>
          </w:p>
        </w:tc>
      </w:tr>
    </w:tbl>
    <w:p w14:paraId="6AF749FA" w14:textId="77777777" w:rsidR="00C518A3" w:rsidRDefault="00C518A3" w:rsidP="008A1A87">
      <w:pPr>
        <w:spacing w:after="0" w:line="240" w:lineRule="auto"/>
        <w:rPr>
          <w:rFonts w:ascii="Times New Roman" w:hAnsi="Times New Roman" w:cs="Times New Roman"/>
          <w:color w:val="000000" w:themeColor="text1"/>
          <w:sz w:val="24"/>
          <w:szCs w:val="24"/>
        </w:rPr>
      </w:pPr>
    </w:p>
    <w:p w14:paraId="3CF11DE6" w14:textId="1B7C2A98" w:rsidR="00CB6B8A" w:rsidRDefault="00CB6B8A" w:rsidP="00140D87">
      <w:pPr>
        <w:pStyle w:val="Heading3"/>
        <w:spacing w:before="0" w:line="240" w:lineRule="auto"/>
        <w:ind w:left="0"/>
        <w:rPr>
          <w:rFonts w:ascii="Times New Roman" w:hAnsi="Times New Roman" w:cs="Times New Roman"/>
          <w:color w:val="000000" w:themeColor="text1"/>
          <w:sz w:val="24"/>
          <w:szCs w:val="24"/>
        </w:rPr>
      </w:pPr>
      <w:r w:rsidRPr="00C518A3">
        <w:rPr>
          <w:rFonts w:ascii="Times New Roman" w:hAnsi="Times New Roman" w:cs="Times New Roman"/>
          <w:color w:val="000000" w:themeColor="text1"/>
          <w:sz w:val="24"/>
          <w:szCs w:val="24"/>
        </w:rPr>
        <w:t>Id</w:t>
      </w:r>
      <w:r w:rsidR="00F73EBA">
        <w:rPr>
          <w:rFonts w:ascii="Times New Roman" w:hAnsi="Times New Roman" w:cs="Times New Roman"/>
          <w:color w:val="000000" w:themeColor="text1"/>
          <w:sz w:val="24"/>
          <w:szCs w:val="24"/>
        </w:rPr>
        <w:t>iopathic thrombocytopenic p</w:t>
      </w:r>
      <w:r w:rsidRPr="00C518A3">
        <w:rPr>
          <w:rFonts w:ascii="Times New Roman" w:hAnsi="Times New Roman" w:cs="Times New Roman"/>
          <w:color w:val="000000" w:themeColor="text1"/>
          <w:sz w:val="24"/>
          <w:szCs w:val="24"/>
        </w:rPr>
        <w:t>urpura (ITP)</w:t>
      </w:r>
    </w:p>
    <w:p w14:paraId="5511876C" w14:textId="77777777" w:rsidR="00140D87" w:rsidRPr="00140D87" w:rsidRDefault="00140D87" w:rsidP="00D226C4">
      <w:pPr>
        <w:spacing w:after="0" w:line="240" w:lineRule="auto"/>
      </w:pPr>
    </w:p>
    <w:p w14:paraId="0914DE72" w14:textId="77777777" w:rsidR="00CB6B8A" w:rsidRDefault="00CB6B8A" w:rsidP="00C518A3">
      <w:pPr>
        <w:spacing w:after="0" w:line="240" w:lineRule="auto"/>
        <w:rPr>
          <w:rFonts w:ascii="Times New Roman" w:hAnsi="Times New Roman" w:cs="Times New Roman"/>
          <w:color w:val="000000" w:themeColor="text1"/>
          <w:sz w:val="24"/>
          <w:szCs w:val="24"/>
        </w:rPr>
      </w:pPr>
      <w:r w:rsidRPr="00C518A3">
        <w:rPr>
          <w:rFonts w:ascii="Times New Roman" w:hAnsi="Times New Roman" w:cs="Times New Roman"/>
          <w:color w:val="000000" w:themeColor="text1"/>
          <w:sz w:val="24"/>
          <w:szCs w:val="24"/>
        </w:rPr>
        <w:t>Headache was reported more frequently in ITP patients than in PID or MMN, however, no patients in the ITP study reported migraine, which occurred commonly in the other patient populations. Muscle spasms and pain in extremity were common for patients with ITP but uncommon for other indications.</w:t>
      </w:r>
    </w:p>
    <w:p w14:paraId="035EFD14" w14:textId="77777777" w:rsidR="00C518A3" w:rsidRDefault="00C518A3" w:rsidP="00C518A3">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439"/>
        <w:gridCol w:w="3457"/>
        <w:gridCol w:w="1320"/>
        <w:gridCol w:w="1800"/>
      </w:tblGrid>
      <w:tr w:rsidR="00BE3B8C" w14:paraId="272EBE21" w14:textId="77777777" w:rsidTr="00BE3B8C">
        <w:tc>
          <w:tcPr>
            <w:tcW w:w="9242" w:type="dxa"/>
            <w:gridSpan w:val="4"/>
          </w:tcPr>
          <w:p w14:paraId="247244D4" w14:textId="4ADDDF3B" w:rsidR="00BE3B8C" w:rsidRDefault="00BE3B8C" w:rsidP="00BE3B8C">
            <w:pPr>
              <w:jc w:val="center"/>
              <w:rPr>
                <w:rFonts w:ascii="Times New Roman" w:hAnsi="Times New Roman" w:cs="Times New Roman"/>
                <w:b/>
                <w:bCs/>
                <w:color w:val="000000" w:themeColor="text1"/>
                <w:sz w:val="20"/>
                <w:szCs w:val="20"/>
              </w:rPr>
            </w:pPr>
            <w:r w:rsidRPr="00BE3B8C">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4</w:t>
            </w:r>
            <w:r w:rsidRPr="00BE3B8C">
              <w:rPr>
                <w:rFonts w:ascii="Times New Roman" w:hAnsi="Times New Roman" w:cs="Times New Roman"/>
                <w:b/>
                <w:bCs/>
                <w:color w:val="000000" w:themeColor="text1"/>
                <w:sz w:val="20"/>
                <w:szCs w:val="20"/>
              </w:rPr>
              <w:t>: ITP Clinical Trial ADRs [N=23] (160002)</w:t>
            </w:r>
          </w:p>
          <w:p w14:paraId="438A2EB5" w14:textId="70188C40" w:rsidR="00BE3B8C" w:rsidRPr="00BE3B8C" w:rsidRDefault="00BE3B8C" w:rsidP="00BE3B8C">
            <w:pPr>
              <w:jc w:val="center"/>
              <w:rPr>
                <w:rFonts w:ascii="Times New Roman" w:hAnsi="Times New Roman" w:cs="Times New Roman"/>
                <w:color w:val="000000" w:themeColor="text1"/>
                <w:sz w:val="20"/>
                <w:szCs w:val="20"/>
              </w:rPr>
            </w:pPr>
          </w:p>
        </w:tc>
      </w:tr>
      <w:tr w:rsidR="00BE3B8C" w14:paraId="3B56D8A6" w14:textId="77777777" w:rsidTr="00BE3B8C">
        <w:tc>
          <w:tcPr>
            <w:tcW w:w="2448" w:type="dxa"/>
          </w:tcPr>
          <w:p w14:paraId="4740D2CD" w14:textId="78C97493" w:rsidR="00BE3B8C" w:rsidRPr="00BE3B8C" w:rsidRDefault="00BE3B8C" w:rsidP="00F83CCE">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System Organ Class</w:t>
            </w:r>
          </w:p>
        </w:tc>
        <w:tc>
          <w:tcPr>
            <w:tcW w:w="3600" w:type="dxa"/>
          </w:tcPr>
          <w:p w14:paraId="1CE3E202" w14:textId="231E678B" w:rsidR="00BE3B8C" w:rsidRPr="00BE3B8C" w:rsidRDefault="00BE3B8C" w:rsidP="00F83CCE">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 xml:space="preserve">Preferred MedDRA Term </w:t>
            </w:r>
            <w:r>
              <w:rPr>
                <w:rFonts w:ascii="Times New Roman" w:hAnsi="Times New Roman" w:cs="Times New Roman"/>
                <w:b/>
                <w:bCs/>
                <w:color w:val="000000" w:themeColor="text1"/>
                <w:sz w:val="20"/>
                <w:szCs w:val="20"/>
              </w:rPr>
              <w:br/>
            </w:r>
            <w:r w:rsidRPr="00BE3B8C">
              <w:rPr>
                <w:rFonts w:ascii="Times New Roman" w:hAnsi="Times New Roman" w:cs="Times New Roman"/>
                <w:b/>
                <w:bCs/>
                <w:color w:val="000000" w:themeColor="text1"/>
                <w:sz w:val="20"/>
                <w:szCs w:val="20"/>
              </w:rPr>
              <w:t>(Version 17.0)</w:t>
            </w:r>
          </w:p>
        </w:tc>
        <w:tc>
          <w:tcPr>
            <w:tcW w:w="1350" w:type="dxa"/>
          </w:tcPr>
          <w:p w14:paraId="6D6230E7" w14:textId="43E90B63" w:rsidR="00BE3B8C" w:rsidRPr="00BE3B8C" w:rsidRDefault="00BE3B8C" w:rsidP="00F83CCE">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By Subject % (N=23)</w:t>
            </w:r>
          </w:p>
        </w:tc>
        <w:tc>
          <w:tcPr>
            <w:tcW w:w="1844" w:type="dxa"/>
          </w:tcPr>
          <w:p w14:paraId="6AFB0760" w14:textId="5E66AFC7" w:rsidR="00BE3B8C" w:rsidRPr="00BE3B8C" w:rsidRDefault="00BE3B8C" w:rsidP="00F83CCE">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Frequency Category</w:t>
            </w:r>
          </w:p>
        </w:tc>
      </w:tr>
      <w:tr w:rsidR="00BE3B8C" w14:paraId="2DAA0585" w14:textId="77777777" w:rsidTr="00BE3B8C">
        <w:tc>
          <w:tcPr>
            <w:tcW w:w="2448" w:type="dxa"/>
          </w:tcPr>
          <w:p w14:paraId="0DC22C01" w14:textId="73A1295E"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PSYCHIATRIC DISORDERS</w:t>
            </w:r>
          </w:p>
        </w:tc>
        <w:tc>
          <w:tcPr>
            <w:tcW w:w="3600" w:type="dxa"/>
          </w:tcPr>
          <w:p w14:paraId="6D1ED1B7" w14:textId="11ED9736"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Anxiety</w:t>
            </w:r>
          </w:p>
        </w:tc>
        <w:tc>
          <w:tcPr>
            <w:tcW w:w="1350" w:type="dxa"/>
          </w:tcPr>
          <w:p w14:paraId="526051E4" w14:textId="62CEBF6B"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54326DC5" w14:textId="30924CAE"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32BDE9C9" w14:textId="77777777" w:rsidTr="00BE3B8C">
        <w:tc>
          <w:tcPr>
            <w:tcW w:w="2448" w:type="dxa"/>
            <w:vMerge w:val="restart"/>
          </w:tcPr>
          <w:p w14:paraId="6EA288D2" w14:textId="08BD0399"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NERVOUS SYSTEM DISORDERS</w:t>
            </w:r>
          </w:p>
        </w:tc>
        <w:tc>
          <w:tcPr>
            <w:tcW w:w="3600" w:type="dxa"/>
          </w:tcPr>
          <w:p w14:paraId="6C67C165" w14:textId="77947CC2"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Headache</w:t>
            </w:r>
          </w:p>
        </w:tc>
        <w:tc>
          <w:tcPr>
            <w:tcW w:w="1350" w:type="dxa"/>
          </w:tcPr>
          <w:p w14:paraId="6373291D" w14:textId="16831E9B"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34.8</w:t>
            </w:r>
          </w:p>
        </w:tc>
        <w:tc>
          <w:tcPr>
            <w:tcW w:w="1844" w:type="dxa"/>
          </w:tcPr>
          <w:p w14:paraId="53FD2D41" w14:textId="7806D2DA" w:rsidR="00BE3B8C" w:rsidRPr="00BE3B8C" w:rsidRDefault="00BE3B8C" w:rsidP="00876B3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14:paraId="00A6B134" w14:textId="77777777" w:rsidTr="00BE3B8C">
        <w:tc>
          <w:tcPr>
            <w:tcW w:w="2448" w:type="dxa"/>
            <w:vMerge/>
          </w:tcPr>
          <w:p w14:paraId="04DFA716" w14:textId="77777777" w:rsidR="00BE3B8C" w:rsidRPr="00BE3B8C" w:rsidRDefault="00BE3B8C" w:rsidP="00C518A3">
            <w:pPr>
              <w:rPr>
                <w:rFonts w:ascii="Times New Roman" w:hAnsi="Times New Roman" w:cs="Times New Roman"/>
                <w:color w:val="000000" w:themeColor="text1"/>
                <w:sz w:val="20"/>
                <w:szCs w:val="20"/>
              </w:rPr>
            </w:pPr>
          </w:p>
        </w:tc>
        <w:tc>
          <w:tcPr>
            <w:tcW w:w="3600" w:type="dxa"/>
          </w:tcPr>
          <w:p w14:paraId="1319B6C2" w14:textId="15E8BB2F"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Insomnia</w:t>
            </w:r>
          </w:p>
        </w:tc>
        <w:tc>
          <w:tcPr>
            <w:tcW w:w="1350" w:type="dxa"/>
          </w:tcPr>
          <w:p w14:paraId="5C84FA0E" w14:textId="1C61C2C2"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7479D329" w14:textId="6D7952CB"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0ABEA6EC" w14:textId="77777777" w:rsidTr="00BE3B8C">
        <w:tc>
          <w:tcPr>
            <w:tcW w:w="2448" w:type="dxa"/>
            <w:vMerge w:val="restart"/>
          </w:tcPr>
          <w:p w14:paraId="0F883CF8" w14:textId="563FAF37"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VASCULAR DISORDERS</w:t>
            </w:r>
          </w:p>
        </w:tc>
        <w:tc>
          <w:tcPr>
            <w:tcW w:w="3600" w:type="dxa"/>
          </w:tcPr>
          <w:p w14:paraId="7897B99A" w14:textId="4F1665BA"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Hypertension</w:t>
            </w:r>
          </w:p>
        </w:tc>
        <w:tc>
          <w:tcPr>
            <w:tcW w:w="1350" w:type="dxa"/>
          </w:tcPr>
          <w:p w14:paraId="6FB83C08" w14:textId="2949810A"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17.4</w:t>
            </w:r>
          </w:p>
        </w:tc>
        <w:tc>
          <w:tcPr>
            <w:tcW w:w="1844" w:type="dxa"/>
          </w:tcPr>
          <w:p w14:paraId="09E3FF1D" w14:textId="349171CA" w:rsidR="00BE3B8C" w:rsidRPr="00BE3B8C" w:rsidRDefault="00BE3B8C" w:rsidP="00876B3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14:paraId="796466F8" w14:textId="77777777" w:rsidTr="00BE3B8C">
        <w:tc>
          <w:tcPr>
            <w:tcW w:w="2448" w:type="dxa"/>
            <w:vMerge/>
          </w:tcPr>
          <w:p w14:paraId="017B6B26" w14:textId="77777777" w:rsidR="00BE3B8C" w:rsidRPr="00BE3B8C" w:rsidRDefault="00BE3B8C" w:rsidP="00C518A3">
            <w:pPr>
              <w:rPr>
                <w:rFonts w:ascii="Times New Roman" w:hAnsi="Times New Roman" w:cs="Times New Roman"/>
                <w:color w:val="000000" w:themeColor="text1"/>
                <w:sz w:val="20"/>
                <w:szCs w:val="20"/>
              </w:rPr>
            </w:pPr>
          </w:p>
        </w:tc>
        <w:tc>
          <w:tcPr>
            <w:tcW w:w="3600" w:type="dxa"/>
          </w:tcPr>
          <w:p w14:paraId="76CA4DCB" w14:textId="1BCF269E"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Flushing</w:t>
            </w:r>
          </w:p>
        </w:tc>
        <w:tc>
          <w:tcPr>
            <w:tcW w:w="1350" w:type="dxa"/>
          </w:tcPr>
          <w:p w14:paraId="4A175F68" w14:textId="75092BE0"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7DB3E4FB" w14:textId="7BE51E37"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34EFE964" w14:textId="77777777" w:rsidTr="00BE3B8C">
        <w:tc>
          <w:tcPr>
            <w:tcW w:w="2448" w:type="dxa"/>
            <w:vMerge/>
          </w:tcPr>
          <w:p w14:paraId="323CE625" w14:textId="77777777" w:rsidR="00BE3B8C" w:rsidRPr="00BE3B8C" w:rsidRDefault="00BE3B8C" w:rsidP="00C518A3">
            <w:pPr>
              <w:rPr>
                <w:rFonts w:ascii="Times New Roman" w:hAnsi="Times New Roman" w:cs="Times New Roman"/>
                <w:color w:val="000000" w:themeColor="text1"/>
                <w:sz w:val="20"/>
                <w:szCs w:val="20"/>
              </w:rPr>
            </w:pPr>
          </w:p>
        </w:tc>
        <w:tc>
          <w:tcPr>
            <w:tcW w:w="3600" w:type="dxa"/>
          </w:tcPr>
          <w:p w14:paraId="6555F839" w14:textId="72D96AD4"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Phlebitis</w:t>
            </w:r>
          </w:p>
        </w:tc>
        <w:tc>
          <w:tcPr>
            <w:tcW w:w="1350" w:type="dxa"/>
          </w:tcPr>
          <w:p w14:paraId="2E209A4B" w14:textId="19E44E7D"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33CC0531" w14:textId="66A3D478"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44DCAC2A" w14:textId="77777777" w:rsidTr="00BE3B8C">
        <w:tc>
          <w:tcPr>
            <w:tcW w:w="2448" w:type="dxa"/>
          </w:tcPr>
          <w:p w14:paraId="6FF04BB2" w14:textId="6431B861"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RESPIRATORY, THORACIC AND MEDIASTINAL DISORDERS</w:t>
            </w:r>
          </w:p>
        </w:tc>
        <w:tc>
          <w:tcPr>
            <w:tcW w:w="3600" w:type="dxa"/>
          </w:tcPr>
          <w:p w14:paraId="7094D28A" w14:textId="0C413DAC" w:rsidR="00BE3B8C" w:rsidRPr="00BE3B8C" w:rsidRDefault="00487DD3"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Rhinorrhoea</w:t>
            </w:r>
          </w:p>
        </w:tc>
        <w:tc>
          <w:tcPr>
            <w:tcW w:w="1350" w:type="dxa"/>
          </w:tcPr>
          <w:p w14:paraId="185DE11C" w14:textId="163E2ABA"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6491B514" w14:textId="69F9D6FE"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04713FE6" w14:textId="77777777" w:rsidTr="00BE3B8C">
        <w:tc>
          <w:tcPr>
            <w:tcW w:w="2448" w:type="dxa"/>
          </w:tcPr>
          <w:p w14:paraId="26A5CCAF" w14:textId="627B548D"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GASTROINTESTINAL DISORDERS</w:t>
            </w:r>
          </w:p>
        </w:tc>
        <w:tc>
          <w:tcPr>
            <w:tcW w:w="3600" w:type="dxa"/>
          </w:tcPr>
          <w:p w14:paraId="41AA1A6F" w14:textId="07AD1AEC"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Nausea</w:t>
            </w:r>
          </w:p>
        </w:tc>
        <w:tc>
          <w:tcPr>
            <w:tcW w:w="1350" w:type="dxa"/>
          </w:tcPr>
          <w:p w14:paraId="35C4EB64" w14:textId="16EE8456"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13.0</w:t>
            </w:r>
          </w:p>
        </w:tc>
        <w:tc>
          <w:tcPr>
            <w:tcW w:w="1844" w:type="dxa"/>
          </w:tcPr>
          <w:p w14:paraId="5E8737B7" w14:textId="52B3DE03" w:rsidR="00BE3B8C" w:rsidRPr="00BE3B8C" w:rsidRDefault="00BE3B8C" w:rsidP="00876B3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14:paraId="79159513" w14:textId="77777777" w:rsidTr="00BE3B8C">
        <w:tc>
          <w:tcPr>
            <w:tcW w:w="2448" w:type="dxa"/>
            <w:vMerge w:val="restart"/>
          </w:tcPr>
          <w:p w14:paraId="1CFEFAD7" w14:textId="306793F8"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SKIN AND SUBCUTANEOUS TISSUE DISORDERS</w:t>
            </w:r>
          </w:p>
        </w:tc>
        <w:tc>
          <w:tcPr>
            <w:tcW w:w="3600" w:type="dxa"/>
          </w:tcPr>
          <w:p w14:paraId="7CE9BCAE" w14:textId="4C04EFEA"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Dermatitis</w:t>
            </w:r>
          </w:p>
        </w:tc>
        <w:tc>
          <w:tcPr>
            <w:tcW w:w="1350" w:type="dxa"/>
          </w:tcPr>
          <w:p w14:paraId="2DF8505B" w14:textId="7474C124"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2A2F712D" w14:textId="3E2279D0"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08B1D752" w14:textId="77777777" w:rsidTr="00BE3B8C">
        <w:tc>
          <w:tcPr>
            <w:tcW w:w="2448" w:type="dxa"/>
            <w:vMerge/>
          </w:tcPr>
          <w:p w14:paraId="1AC7E93C" w14:textId="77777777" w:rsidR="00BE3B8C" w:rsidRPr="00BE3B8C" w:rsidRDefault="00BE3B8C" w:rsidP="00C518A3">
            <w:pPr>
              <w:rPr>
                <w:rFonts w:ascii="Times New Roman" w:hAnsi="Times New Roman" w:cs="Times New Roman"/>
                <w:color w:val="000000" w:themeColor="text1"/>
                <w:sz w:val="20"/>
                <w:szCs w:val="20"/>
              </w:rPr>
            </w:pPr>
          </w:p>
        </w:tc>
        <w:tc>
          <w:tcPr>
            <w:tcW w:w="3600" w:type="dxa"/>
          </w:tcPr>
          <w:p w14:paraId="024B6FE7" w14:textId="299E1857"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Rash</w:t>
            </w:r>
          </w:p>
        </w:tc>
        <w:tc>
          <w:tcPr>
            <w:tcW w:w="1350" w:type="dxa"/>
          </w:tcPr>
          <w:p w14:paraId="2310A0E0" w14:textId="31189A3F"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4FF86E71" w14:textId="17E23828"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350F02B3" w14:textId="77777777" w:rsidTr="00BE3B8C">
        <w:tc>
          <w:tcPr>
            <w:tcW w:w="2448" w:type="dxa"/>
            <w:vMerge/>
          </w:tcPr>
          <w:p w14:paraId="5E74D3E8" w14:textId="77777777" w:rsidR="00BE3B8C" w:rsidRPr="00BE3B8C" w:rsidRDefault="00BE3B8C" w:rsidP="00C518A3">
            <w:pPr>
              <w:rPr>
                <w:rFonts w:ascii="Times New Roman" w:hAnsi="Times New Roman" w:cs="Times New Roman"/>
                <w:color w:val="000000" w:themeColor="text1"/>
                <w:sz w:val="20"/>
                <w:szCs w:val="20"/>
              </w:rPr>
            </w:pPr>
          </w:p>
        </w:tc>
        <w:tc>
          <w:tcPr>
            <w:tcW w:w="3600" w:type="dxa"/>
          </w:tcPr>
          <w:p w14:paraId="42F24D10" w14:textId="1BE7631F"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Urticaria</w:t>
            </w:r>
          </w:p>
        </w:tc>
        <w:tc>
          <w:tcPr>
            <w:tcW w:w="1350" w:type="dxa"/>
          </w:tcPr>
          <w:p w14:paraId="64833A39" w14:textId="16D26ACA"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195D8DA0" w14:textId="215788A6"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1536E993" w14:textId="77777777" w:rsidTr="00BE3B8C">
        <w:tc>
          <w:tcPr>
            <w:tcW w:w="2448" w:type="dxa"/>
            <w:vMerge w:val="restart"/>
          </w:tcPr>
          <w:p w14:paraId="609A5976" w14:textId="10A45668"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MUSCULOSKELETAL AND CONNECTIVE TISSUE DISORDERS</w:t>
            </w:r>
          </w:p>
        </w:tc>
        <w:tc>
          <w:tcPr>
            <w:tcW w:w="3600" w:type="dxa"/>
          </w:tcPr>
          <w:p w14:paraId="1C66E427" w14:textId="76AB7C33"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Pain in extremity</w:t>
            </w:r>
          </w:p>
        </w:tc>
        <w:tc>
          <w:tcPr>
            <w:tcW w:w="1350" w:type="dxa"/>
          </w:tcPr>
          <w:p w14:paraId="324B6F4E" w14:textId="2BC89B87"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12F9D396" w14:textId="4A034C34"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130EA3F5" w14:textId="77777777" w:rsidTr="00BE3B8C">
        <w:tc>
          <w:tcPr>
            <w:tcW w:w="2448" w:type="dxa"/>
            <w:vMerge/>
          </w:tcPr>
          <w:p w14:paraId="358138B0" w14:textId="77777777" w:rsidR="00BE3B8C" w:rsidRPr="00BE3B8C" w:rsidRDefault="00BE3B8C" w:rsidP="00C518A3">
            <w:pPr>
              <w:rPr>
                <w:rFonts w:ascii="Times New Roman" w:hAnsi="Times New Roman" w:cs="Times New Roman"/>
                <w:color w:val="000000" w:themeColor="text1"/>
                <w:sz w:val="20"/>
                <w:szCs w:val="20"/>
              </w:rPr>
            </w:pPr>
          </w:p>
        </w:tc>
        <w:tc>
          <w:tcPr>
            <w:tcW w:w="3600" w:type="dxa"/>
          </w:tcPr>
          <w:p w14:paraId="396888B6" w14:textId="33B49784"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Back pain</w:t>
            </w:r>
          </w:p>
        </w:tc>
        <w:tc>
          <w:tcPr>
            <w:tcW w:w="1350" w:type="dxa"/>
          </w:tcPr>
          <w:p w14:paraId="7A51809C" w14:textId="32256E8F"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tcPr>
          <w:p w14:paraId="23BFE05A" w14:textId="610F21FD"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24306C36" w14:textId="77777777" w:rsidTr="00BE3B8C">
        <w:tc>
          <w:tcPr>
            <w:tcW w:w="2448" w:type="dxa"/>
            <w:vMerge w:val="restart"/>
          </w:tcPr>
          <w:p w14:paraId="46F18AB9" w14:textId="0B9387EF"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GENERAL DISORDERS AND ADMINISTRATION SITE CONDITIONS</w:t>
            </w:r>
          </w:p>
        </w:tc>
        <w:tc>
          <w:tcPr>
            <w:tcW w:w="3600" w:type="dxa"/>
          </w:tcPr>
          <w:p w14:paraId="3B63B7BE" w14:textId="70B41AA6"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Pyrexia (including Body temperature increased)</w:t>
            </w:r>
          </w:p>
        </w:tc>
        <w:tc>
          <w:tcPr>
            <w:tcW w:w="1350" w:type="dxa"/>
          </w:tcPr>
          <w:p w14:paraId="7B8CDA5F" w14:textId="486F33A3"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47.8</w:t>
            </w:r>
          </w:p>
        </w:tc>
        <w:tc>
          <w:tcPr>
            <w:tcW w:w="1844" w:type="dxa"/>
          </w:tcPr>
          <w:p w14:paraId="65A2735C" w14:textId="45D975B5" w:rsidR="00BE3B8C" w:rsidRPr="00BE3B8C" w:rsidRDefault="00BE3B8C" w:rsidP="00876B3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14:paraId="3606162E" w14:textId="77777777" w:rsidTr="00BE3B8C">
        <w:tc>
          <w:tcPr>
            <w:tcW w:w="2448" w:type="dxa"/>
            <w:vMerge/>
            <w:vAlign w:val="center"/>
          </w:tcPr>
          <w:p w14:paraId="5A46BA36" w14:textId="77777777" w:rsidR="00BE3B8C" w:rsidRPr="00BE3B8C" w:rsidRDefault="00BE3B8C" w:rsidP="00C518A3">
            <w:pPr>
              <w:rPr>
                <w:rFonts w:ascii="Times New Roman" w:hAnsi="Times New Roman" w:cs="Times New Roman"/>
                <w:color w:val="000000" w:themeColor="text1"/>
                <w:sz w:val="20"/>
                <w:szCs w:val="20"/>
              </w:rPr>
            </w:pPr>
          </w:p>
        </w:tc>
        <w:tc>
          <w:tcPr>
            <w:tcW w:w="3600" w:type="dxa"/>
            <w:vAlign w:val="center"/>
          </w:tcPr>
          <w:p w14:paraId="666283E7" w14:textId="228DA04E"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Local reactions</w:t>
            </w:r>
          </w:p>
        </w:tc>
        <w:tc>
          <w:tcPr>
            <w:tcW w:w="1350" w:type="dxa"/>
            <w:vAlign w:val="center"/>
          </w:tcPr>
          <w:p w14:paraId="6C6B3066" w14:textId="2E4B8FA7"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vAlign w:val="center"/>
          </w:tcPr>
          <w:p w14:paraId="672CA014" w14:textId="23D2BFCE"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2CEE99FE" w14:textId="77777777" w:rsidTr="00BE3B8C">
        <w:tc>
          <w:tcPr>
            <w:tcW w:w="2448" w:type="dxa"/>
            <w:vMerge/>
            <w:vAlign w:val="center"/>
          </w:tcPr>
          <w:p w14:paraId="3E2A7FF6" w14:textId="77777777" w:rsidR="00BE3B8C" w:rsidRPr="00BE3B8C" w:rsidRDefault="00BE3B8C" w:rsidP="00C518A3">
            <w:pPr>
              <w:rPr>
                <w:rFonts w:ascii="Times New Roman" w:hAnsi="Times New Roman" w:cs="Times New Roman"/>
                <w:color w:val="000000" w:themeColor="text1"/>
                <w:sz w:val="20"/>
                <w:szCs w:val="20"/>
              </w:rPr>
            </w:pPr>
          </w:p>
        </w:tc>
        <w:tc>
          <w:tcPr>
            <w:tcW w:w="3600" w:type="dxa"/>
            <w:vAlign w:val="center"/>
          </w:tcPr>
          <w:p w14:paraId="7F7BE751" w14:textId="58966A6E"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Infusion site pain</w:t>
            </w:r>
          </w:p>
        </w:tc>
        <w:tc>
          <w:tcPr>
            <w:tcW w:w="1350" w:type="dxa"/>
            <w:vAlign w:val="center"/>
          </w:tcPr>
          <w:p w14:paraId="4F65FE4B" w14:textId="1D7DF0E7"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4.3</w:t>
            </w:r>
          </w:p>
        </w:tc>
        <w:tc>
          <w:tcPr>
            <w:tcW w:w="1844" w:type="dxa"/>
            <w:vAlign w:val="center"/>
          </w:tcPr>
          <w:p w14:paraId="16D9646E" w14:textId="038F99D3" w:rsidR="00BE3B8C" w:rsidRPr="00BE3B8C" w:rsidRDefault="00BE3B8C" w:rsidP="00C518A3">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14:paraId="7FD4F005" w14:textId="77777777" w:rsidTr="00484028">
        <w:tc>
          <w:tcPr>
            <w:tcW w:w="9242" w:type="dxa"/>
            <w:gridSpan w:val="4"/>
            <w:vAlign w:val="center"/>
          </w:tcPr>
          <w:p w14:paraId="3A8C4417" w14:textId="17B9B401"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Legend: ADR frequency is based upon the following scale: Very Common (≥1/10); Common (≥1/100 - &lt;1/10), Uncommon (≥1/1,000 - &lt;1/100), Rare (≥1/10,000 - &lt;1/1,000), Very Rare (&lt;1/10,000)</w:t>
            </w:r>
          </w:p>
          <w:p w14:paraId="7E618FC2" w14:textId="1B41AAFF" w:rsidR="00BE3B8C" w:rsidRPr="00BE3B8C" w:rsidRDefault="00BE3B8C" w:rsidP="00BE3B8C">
            <w:pPr>
              <w:rPr>
                <w:rFonts w:ascii="Times New Roman" w:hAnsi="Times New Roman" w:cs="Times New Roman"/>
                <w:color w:val="000000" w:themeColor="text1"/>
                <w:sz w:val="20"/>
                <w:szCs w:val="20"/>
              </w:rPr>
            </w:pPr>
            <w:proofErr w:type="gramStart"/>
            <w:r w:rsidRPr="00BE3B8C">
              <w:rPr>
                <w:rFonts w:ascii="Times New Roman" w:hAnsi="Times New Roman" w:cs="Times New Roman"/>
                <w:color w:val="000000" w:themeColor="text1"/>
                <w:sz w:val="20"/>
                <w:szCs w:val="20"/>
                <w:vertAlign w:val="superscript"/>
              </w:rPr>
              <w:t>a</w:t>
            </w:r>
            <w:r w:rsidRPr="00BE3B8C">
              <w:rPr>
                <w:rFonts w:ascii="Times New Roman" w:hAnsi="Times New Roman" w:cs="Times New Roman"/>
                <w:color w:val="000000" w:themeColor="text1"/>
                <w:sz w:val="20"/>
                <w:szCs w:val="20"/>
              </w:rPr>
              <w:t xml:space="preserve"> Number of</w:t>
            </w:r>
            <w:proofErr w:type="gramEnd"/>
            <w:r w:rsidRPr="00BE3B8C">
              <w:rPr>
                <w:rFonts w:ascii="Times New Roman" w:hAnsi="Times New Roman" w:cs="Times New Roman"/>
                <w:color w:val="000000" w:themeColor="text1"/>
                <w:sz w:val="20"/>
                <w:szCs w:val="20"/>
              </w:rPr>
              <w:t xml:space="preserve"> AEs divided by the total number of infusions multiplied by 100.</w:t>
            </w:r>
          </w:p>
        </w:tc>
      </w:tr>
    </w:tbl>
    <w:p w14:paraId="4E160618" w14:textId="77777777" w:rsidR="00CB6B8A" w:rsidRPr="00BE3B8C" w:rsidRDefault="00CB6B8A" w:rsidP="00BE3B8C">
      <w:pPr>
        <w:spacing w:after="0" w:line="240" w:lineRule="auto"/>
        <w:rPr>
          <w:rFonts w:ascii="Times New Roman" w:hAnsi="Times New Roman" w:cs="Times New Roman"/>
          <w:color w:val="000000" w:themeColor="text1"/>
          <w:sz w:val="24"/>
          <w:szCs w:val="24"/>
        </w:rPr>
      </w:pPr>
    </w:p>
    <w:p w14:paraId="3DF4AD39" w14:textId="5C91A336" w:rsidR="00CB6B8A" w:rsidRDefault="00BE3B8C" w:rsidP="00140D87">
      <w:pPr>
        <w:pStyle w:val="Heading3"/>
        <w:spacing w:before="0" w:line="240" w:lineRule="auto"/>
        <w:ind w:left="0"/>
        <w:rPr>
          <w:rFonts w:ascii="Times New Roman" w:hAnsi="Times New Roman" w:cs="Times New Roman"/>
          <w:color w:val="000000" w:themeColor="text1"/>
          <w:sz w:val="24"/>
          <w:szCs w:val="24"/>
        </w:rPr>
      </w:pPr>
      <w:r w:rsidRPr="00BE3B8C">
        <w:rPr>
          <w:rFonts w:ascii="Times New Roman" w:hAnsi="Times New Roman" w:cs="Times New Roman"/>
          <w:color w:val="000000" w:themeColor="text1"/>
          <w:sz w:val="24"/>
          <w:szCs w:val="24"/>
        </w:rPr>
        <w:t>Multifocal motor neuropathy (</w:t>
      </w:r>
      <w:r w:rsidR="00BF4A6A" w:rsidRPr="00BE3B8C">
        <w:rPr>
          <w:rFonts w:ascii="Times New Roman" w:hAnsi="Times New Roman" w:cs="Times New Roman"/>
          <w:color w:val="000000" w:themeColor="text1"/>
          <w:sz w:val="24"/>
          <w:szCs w:val="24"/>
        </w:rPr>
        <w:t>MMN</w:t>
      </w:r>
      <w:r w:rsidRPr="00BE3B8C">
        <w:rPr>
          <w:rFonts w:ascii="Times New Roman" w:hAnsi="Times New Roman" w:cs="Times New Roman"/>
          <w:color w:val="000000" w:themeColor="text1"/>
          <w:sz w:val="24"/>
          <w:szCs w:val="24"/>
        </w:rPr>
        <w:t>)</w:t>
      </w:r>
    </w:p>
    <w:p w14:paraId="2CF32A0E" w14:textId="77777777" w:rsidR="00140D87" w:rsidRPr="00140D87" w:rsidRDefault="00140D87" w:rsidP="00140D87">
      <w:pPr>
        <w:spacing w:after="0" w:line="240" w:lineRule="auto"/>
      </w:pPr>
    </w:p>
    <w:p w14:paraId="6EA629C3" w14:textId="77777777" w:rsidR="00CB6B8A" w:rsidRPr="00BE3B8C" w:rsidRDefault="00CB6B8A" w:rsidP="00BE3B8C">
      <w:pPr>
        <w:spacing w:after="0" w:line="240" w:lineRule="auto"/>
        <w:rPr>
          <w:rFonts w:ascii="Times New Roman" w:hAnsi="Times New Roman" w:cs="Times New Roman"/>
          <w:color w:val="000000" w:themeColor="text1"/>
          <w:sz w:val="24"/>
          <w:szCs w:val="24"/>
        </w:rPr>
      </w:pPr>
      <w:r w:rsidRPr="00BE3B8C">
        <w:rPr>
          <w:rFonts w:ascii="Times New Roman" w:hAnsi="Times New Roman" w:cs="Times New Roman"/>
          <w:color w:val="000000" w:themeColor="text1"/>
          <w:sz w:val="24"/>
          <w:szCs w:val="24"/>
        </w:rPr>
        <w:t xml:space="preserve">One serious adverse event, pulmonary embolism, was reported in the MMN clinical trial. Due to the low incidence of pulmonary embolism, it is not possible to come to any conclusions regarding risk factors by indication, dose, or individual patient characteristics. </w:t>
      </w:r>
    </w:p>
    <w:p w14:paraId="567F0905" w14:textId="77777777" w:rsidR="00AD6852" w:rsidRDefault="00AD6852" w:rsidP="00BE3B8C">
      <w:pPr>
        <w:spacing w:after="0" w:line="240" w:lineRule="auto"/>
        <w:rPr>
          <w:rFonts w:ascii="Times New Roman" w:hAnsi="Times New Roman" w:cs="Times New Roman"/>
          <w:color w:val="000000" w:themeColor="text1"/>
          <w:sz w:val="24"/>
          <w:szCs w:val="24"/>
        </w:rPr>
      </w:pPr>
    </w:p>
    <w:p w14:paraId="779D17AC" w14:textId="3DE7B265" w:rsidR="00CB6B8A" w:rsidRPr="00BE3B8C" w:rsidRDefault="00CB6B8A" w:rsidP="00BE3B8C">
      <w:pPr>
        <w:spacing w:after="0" w:line="240" w:lineRule="auto"/>
        <w:rPr>
          <w:rFonts w:ascii="Times New Roman" w:hAnsi="Times New Roman" w:cs="Times New Roman"/>
          <w:color w:val="000000" w:themeColor="text1"/>
          <w:sz w:val="24"/>
          <w:szCs w:val="24"/>
        </w:rPr>
      </w:pPr>
      <w:r w:rsidRPr="00BE3B8C">
        <w:rPr>
          <w:rFonts w:ascii="Times New Roman" w:hAnsi="Times New Roman" w:cs="Times New Roman"/>
          <w:color w:val="000000" w:themeColor="text1"/>
          <w:sz w:val="24"/>
          <w:szCs w:val="24"/>
        </w:rPr>
        <w:t xml:space="preserve">Muscle twitching and weakness were reported only in patients with </w:t>
      </w:r>
      <w:proofErr w:type="gramStart"/>
      <w:r w:rsidRPr="00BE3B8C">
        <w:rPr>
          <w:rFonts w:ascii="Times New Roman" w:hAnsi="Times New Roman" w:cs="Times New Roman"/>
          <w:color w:val="000000" w:themeColor="text1"/>
          <w:sz w:val="24"/>
          <w:szCs w:val="24"/>
        </w:rPr>
        <w:t>MMN, and</w:t>
      </w:r>
      <w:proofErr w:type="gramEnd"/>
      <w:r w:rsidRPr="00BE3B8C">
        <w:rPr>
          <w:rFonts w:ascii="Times New Roman" w:hAnsi="Times New Roman" w:cs="Times New Roman"/>
          <w:color w:val="000000" w:themeColor="text1"/>
          <w:sz w:val="24"/>
          <w:szCs w:val="24"/>
        </w:rPr>
        <w:t xml:space="preserve"> may also be related to their underlying neuromuscular condition.</w:t>
      </w:r>
    </w:p>
    <w:p w14:paraId="59E91972" w14:textId="77777777" w:rsidR="00F6542E" w:rsidRDefault="00F6542E" w:rsidP="00BE3B8C">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439"/>
        <w:gridCol w:w="3464"/>
        <w:gridCol w:w="1317"/>
        <w:gridCol w:w="1796"/>
      </w:tblGrid>
      <w:tr w:rsidR="00BE3B8C" w:rsidRPr="00BE3B8C" w14:paraId="7990B954" w14:textId="77777777" w:rsidTr="00BE3B8C">
        <w:tc>
          <w:tcPr>
            <w:tcW w:w="9242" w:type="dxa"/>
            <w:gridSpan w:val="4"/>
          </w:tcPr>
          <w:p w14:paraId="22D67477" w14:textId="3CC9B6E5" w:rsidR="00BE3B8C" w:rsidRDefault="00BE3B8C" w:rsidP="00BE3B8C">
            <w:pPr>
              <w:jc w:val="center"/>
              <w:rPr>
                <w:rFonts w:ascii="Times New Roman" w:hAnsi="Times New Roman" w:cs="Times New Roman"/>
                <w:b/>
                <w:bCs/>
                <w:color w:val="000000" w:themeColor="text1"/>
                <w:sz w:val="20"/>
                <w:szCs w:val="20"/>
              </w:rPr>
            </w:pPr>
            <w:r w:rsidRPr="00BE3B8C">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5</w:t>
            </w:r>
            <w:r w:rsidRPr="00BE3B8C">
              <w:rPr>
                <w:rFonts w:ascii="Times New Roman" w:hAnsi="Times New Roman" w:cs="Times New Roman"/>
                <w:b/>
                <w:bCs/>
                <w:color w:val="000000" w:themeColor="text1"/>
                <w:sz w:val="20"/>
                <w:szCs w:val="20"/>
              </w:rPr>
              <w:t>: MMN Clinical Trial ADRs [N=44] (160604)</w:t>
            </w:r>
          </w:p>
          <w:p w14:paraId="16C75EE8" w14:textId="0C858130" w:rsidR="00BE3B8C" w:rsidRPr="00BE3B8C" w:rsidRDefault="00BE3B8C" w:rsidP="00BE3B8C">
            <w:pPr>
              <w:rPr>
                <w:rFonts w:ascii="Times New Roman" w:hAnsi="Times New Roman" w:cs="Times New Roman"/>
                <w:color w:val="000000" w:themeColor="text1"/>
                <w:sz w:val="20"/>
                <w:szCs w:val="20"/>
              </w:rPr>
            </w:pPr>
          </w:p>
        </w:tc>
      </w:tr>
      <w:tr w:rsidR="00BE3B8C" w:rsidRPr="00BE3B8C" w14:paraId="2AF4A72E" w14:textId="77777777" w:rsidTr="00F83CCE">
        <w:tc>
          <w:tcPr>
            <w:tcW w:w="2448" w:type="dxa"/>
          </w:tcPr>
          <w:p w14:paraId="4022BD8F" w14:textId="78B9D4F1"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System Organ Class</w:t>
            </w:r>
          </w:p>
        </w:tc>
        <w:tc>
          <w:tcPr>
            <w:tcW w:w="3600" w:type="dxa"/>
          </w:tcPr>
          <w:p w14:paraId="0FCEDBF6" w14:textId="506401B2"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 xml:space="preserve">Preferred MedDRA Term </w:t>
            </w:r>
            <w:r w:rsidR="00F83CCE">
              <w:rPr>
                <w:rFonts w:ascii="Times New Roman" w:hAnsi="Times New Roman" w:cs="Times New Roman"/>
                <w:b/>
                <w:bCs/>
                <w:color w:val="000000" w:themeColor="text1"/>
                <w:sz w:val="20"/>
                <w:szCs w:val="20"/>
              </w:rPr>
              <w:br/>
            </w:r>
            <w:r w:rsidRPr="00BE3B8C">
              <w:rPr>
                <w:rFonts w:ascii="Times New Roman" w:hAnsi="Times New Roman" w:cs="Times New Roman"/>
                <w:b/>
                <w:bCs/>
                <w:color w:val="000000" w:themeColor="text1"/>
                <w:sz w:val="20"/>
                <w:szCs w:val="20"/>
              </w:rPr>
              <w:t>(Version 17.0)</w:t>
            </w:r>
          </w:p>
        </w:tc>
        <w:tc>
          <w:tcPr>
            <w:tcW w:w="1350" w:type="dxa"/>
          </w:tcPr>
          <w:p w14:paraId="0DD92B03" w14:textId="6D4A9FD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By Subject % (N=44)</w:t>
            </w:r>
          </w:p>
        </w:tc>
        <w:tc>
          <w:tcPr>
            <w:tcW w:w="1844" w:type="dxa"/>
          </w:tcPr>
          <w:p w14:paraId="5F53BFDF" w14:textId="62E268AC"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Frequency Category</w:t>
            </w:r>
          </w:p>
        </w:tc>
      </w:tr>
      <w:tr w:rsidR="00BE3B8C" w:rsidRPr="00BE3B8C" w14:paraId="31B317AB" w14:textId="77777777" w:rsidTr="00F83CCE">
        <w:tc>
          <w:tcPr>
            <w:tcW w:w="2448" w:type="dxa"/>
            <w:vMerge w:val="restart"/>
          </w:tcPr>
          <w:p w14:paraId="06BE4909" w14:textId="7EE31270"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NERVOUS SYSTEM DISORDERS</w:t>
            </w:r>
          </w:p>
        </w:tc>
        <w:tc>
          <w:tcPr>
            <w:tcW w:w="3600" w:type="dxa"/>
          </w:tcPr>
          <w:p w14:paraId="4D049005" w14:textId="4EC4B133"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Headache</w:t>
            </w:r>
          </w:p>
        </w:tc>
        <w:tc>
          <w:tcPr>
            <w:tcW w:w="1350" w:type="dxa"/>
          </w:tcPr>
          <w:p w14:paraId="43160108" w14:textId="6ACECFB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36.4</w:t>
            </w:r>
          </w:p>
        </w:tc>
        <w:tc>
          <w:tcPr>
            <w:tcW w:w="1844" w:type="dxa"/>
          </w:tcPr>
          <w:p w14:paraId="3E327B5B" w14:textId="5D9AD475" w:rsidR="00BE3B8C" w:rsidRPr="00BE3B8C" w:rsidRDefault="00BE3B8C" w:rsidP="00140D87">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rsidRPr="00BE3B8C" w14:paraId="54F1F032" w14:textId="77777777" w:rsidTr="00F83CCE">
        <w:tc>
          <w:tcPr>
            <w:tcW w:w="2448" w:type="dxa"/>
            <w:vMerge/>
          </w:tcPr>
          <w:p w14:paraId="3E9FCB25"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134123FC" w14:textId="6B6C9D5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Paraesthesia</w:t>
            </w:r>
          </w:p>
        </w:tc>
        <w:tc>
          <w:tcPr>
            <w:tcW w:w="1350" w:type="dxa"/>
          </w:tcPr>
          <w:p w14:paraId="450E3058" w14:textId="40DCD032"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6.8</w:t>
            </w:r>
          </w:p>
        </w:tc>
        <w:tc>
          <w:tcPr>
            <w:tcW w:w="1844" w:type="dxa"/>
          </w:tcPr>
          <w:p w14:paraId="4C6189D8" w14:textId="722BF3D7"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108D22B" w14:textId="77777777" w:rsidTr="00F83CCE">
        <w:tc>
          <w:tcPr>
            <w:tcW w:w="2448" w:type="dxa"/>
            <w:vMerge/>
          </w:tcPr>
          <w:p w14:paraId="6F2DC525"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49F118BF" w14:textId="0A73A56C"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Balance disorder</w:t>
            </w:r>
          </w:p>
        </w:tc>
        <w:tc>
          <w:tcPr>
            <w:tcW w:w="1350" w:type="dxa"/>
          </w:tcPr>
          <w:p w14:paraId="414F3E6A" w14:textId="119DE5F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181A38FC" w14:textId="718D1F3B"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AABCECC" w14:textId="77777777" w:rsidTr="00F83CCE">
        <w:tc>
          <w:tcPr>
            <w:tcW w:w="2448" w:type="dxa"/>
            <w:vMerge/>
          </w:tcPr>
          <w:p w14:paraId="78E20AE8"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12C95DF2" w14:textId="3C294612"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Migraine</w:t>
            </w:r>
          </w:p>
        </w:tc>
        <w:tc>
          <w:tcPr>
            <w:tcW w:w="1350" w:type="dxa"/>
          </w:tcPr>
          <w:p w14:paraId="5225C389" w14:textId="1671F1D7"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0DCB4892" w14:textId="2C577BA8"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DC76CEC" w14:textId="77777777" w:rsidTr="00F83CCE">
        <w:tc>
          <w:tcPr>
            <w:tcW w:w="2448" w:type="dxa"/>
          </w:tcPr>
          <w:p w14:paraId="098ABA1D" w14:textId="68475955"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CARDIAC DISORDERS</w:t>
            </w:r>
          </w:p>
        </w:tc>
        <w:tc>
          <w:tcPr>
            <w:tcW w:w="3600" w:type="dxa"/>
          </w:tcPr>
          <w:p w14:paraId="2A12A521" w14:textId="76AA704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Tachycardia</w:t>
            </w:r>
          </w:p>
        </w:tc>
        <w:tc>
          <w:tcPr>
            <w:tcW w:w="1350" w:type="dxa"/>
          </w:tcPr>
          <w:p w14:paraId="2855BE7A" w14:textId="03A225C5"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7C791FD7" w14:textId="7E8F9F19"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1D9946A4" w14:textId="77777777" w:rsidTr="00F83CCE">
        <w:tc>
          <w:tcPr>
            <w:tcW w:w="2448" w:type="dxa"/>
            <w:vMerge w:val="restart"/>
          </w:tcPr>
          <w:p w14:paraId="1D644CDA" w14:textId="143AFB75"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VASCULAR DISORDERS</w:t>
            </w:r>
          </w:p>
        </w:tc>
        <w:tc>
          <w:tcPr>
            <w:tcW w:w="3600" w:type="dxa"/>
          </w:tcPr>
          <w:p w14:paraId="2BE4FCC5" w14:textId="1C37B77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Flushing</w:t>
            </w:r>
          </w:p>
        </w:tc>
        <w:tc>
          <w:tcPr>
            <w:tcW w:w="1350" w:type="dxa"/>
          </w:tcPr>
          <w:p w14:paraId="0AC1E68A" w14:textId="2085A79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6.8</w:t>
            </w:r>
          </w:p>
        </w:tc>
        <w:tc>
          <w:tcPr>
            <w:tcW w:w="1844" w:type="dxa"/>
          </w:tcPr>
          <w:p w14:paraId="4BB5EEDC" w14:textId="427C475E"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5187CAD3" w14:textId="77777777" w:rsidTr="00F83CCE">
        <w:tc>
          <w:tcPr>
            <w:tcW w:w="2448" w:type="dxa"/>
            <w:vMerge/>
          </w:tcPr>
          <w:p w14:paraId="0256F719"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5D522BC2" w14:textId="617CD505"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Hypertension</w:t>
            </w:r>
          </w:p>
        </w:tc>
        <w:tc>
          <w:tcPr>
            <w:tcW w:w="1350" w:type="dxa"/>
          </w:tcPr>
          <w:p w14:paraId="34659BBA" w14:textId="0D050EE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6.8</w:t>
            </w:r>
          </w:p>
        </w:tc>
        <w:tc>
          <w:tcPr>
            <w:tcW w:w="1844" w:type="dxa"/>
          </w:tcPr>
          <w:p w14:paraId="39140EC7" w14:textId="1618EDCA"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79E9B44E" w14:textId="77777777" w:rsidTr="00F83CCE">
        <w:tc>
          <w:tcPr>
            <w:tcW w:w="2448" w:type="dxa"/>
            <w:vMerge/>
          </w:tcPr>
          <w:p w14:paraId="66258C39"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49816051" w14:textId="15B7097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Phlebitis</w:t>
            </w:r>
          </w:p>
        </w:tc>
        <w:tc>
          <w:tcPr>
            <w:tcW w:w="1350" w:type="dxa"/>
          </w:tcPr>
          <w:p w14:paraId="0358D5B3" w14:textId="29F26DF3"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020AF871" w14:textId="5470CFB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5322518D" w14:textId="77777777" w:rsidTr="00F83CCE">
        <w:tc>
          <w:tcPr>
            <w:tcW w:w="2448" w:type="dxa"/>
            <w:vMerge w:val="restart"/>
          </w:tcPr>
          <w:p w14:paraId="351DE987" w14:textId="35CD685C"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RESPIRATORY, THORACIC AND MEDIASTINAL DISORDERS</w:t>
            </w:r>
          </w:p>
        </w:tc>
        <w:tc>
          <w:tcPr>
            <w:tcW w:w="3600" w:type="dxa"/>
          </w:tcPr>
          <w:p w14:paraId="5794BB88" w14:textId="669F604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Oropharyngeal pain</w:t>
            </w:r>
          </w:p>
        </w:tc>
        <w:tc>
          <w:tcPr>
            <w:tcW w:w="1350" w:type="dxa"/>
          </w:tcPr>
          <w:p w14:paraId="7FEB21ED" w14:textId="0B3D0CF0"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15.9</w:t>
            </w:r>
          </w:p>
        </w:tc>
        <w:tc>
          <w:tcPr>
            <w:tcW w:w="1844" w:type="dxa"/>
          </w:tcPr>
          <w:p w14:paraId="7A8172E9" w14:textId="72FA5629" w:rsidR="00BE3B8C" w:rsidRPr="00BE3B8C" w:rsidRDefault="00BE3B8C" w:rsidP="00140D87">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rsidRPr="00BE3B8C" w14:paraId="33DA04BE" w14:textId="77777777" w:rsidTr="00F83CCE">
        <w:tc>
          <w:tcPr>
            <w:tcW w:w="2448" w:type="dxa"/>
            <w:vMerge/>
          </w:tcPr>
          <w:p w14:paraId="0FC266B8"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2FEB5B84" w14:textId="4DF4C6F0"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Pulmonary embolism</w:t>
            </w:r>
          </w:p>
        </w:tc>
        <w:tc>
          <w:tcPr>
            <w:tcW w:w="1350" w:type="dxa"/>
          </w:tcPr>
          <w:p w14:paraId="7322930B" w14:textId="4280BDD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107000C3" w14:textId="5FFF4348"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52BA997B" w14:textId="77777777" w:rsidTr="00F83CCE">
        <w:tc>
          <w:tcPr>
            <w:tcW w:w="2448" w:type="dxa"/>
            <w:vMerge w:val="restart"/>
          </w:tcPr>
          <w:p w14:paraId="66F25D75" w14:textId="24295562"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GASTROINTESTINAL DISORDERS</w:t>
            </w:r>
          </w:p>
        </w:tc>
        <w:tc>
          <w:tcPr>
            <w:tcW w:w="3600" w:type="dxa"/>
          </w:tcPr>
          <w:p w14:paraId="7AF83335" w14:textId="5B9ED92D"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Nausea</w:t>
            </w:r>
          </w:p>
        </w:tc>
        <w:tc>
          <w:tcPr>
            <w:tcW w:w="1350" w:type="dxa"/>
          </w:tcPr>
          <w:p w14:paraId="1ED17310" w14:textId="77FE76D9"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6.8</w:t>
            </w:r>
          </w:p>
        </w:tc>
        <w:tc>
          <w:tcPr>
            <w:tcW w:w="1844" w:type="dxa"/>
          </w:tcPr>
          <w:p w14:paraId="6437FB8F" w14:textId="78226B6C"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650FE768" w14:textId="77777777" w:rsidTr="00F83CCE">
        <w:tc>
          <w:tcPr>
            <w:tcW w:w="2448" w:type="dxa"/>
            <w:vMerge/>
          </w:tcPr>
          <w:p w14:paraId="25B4AD82"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1F710F92" w14:textId="2E2D5A79"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Vomiting</w:t>
            </w:r>
          </w:p>
        </w:tc>
        <w:tc>
          <w:tcPr>
            <w:tcW w:w="1350" w:type="dxa"/>
          </w:tcPr>
          <w:p w14:paraId="4F6F287C" w14:textId="1CF497B2"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7670EBB8" w14:textId="6E6C42EE"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56EBA6B2" w14:textId="77777777" w:rsidTr="00F83CCE">
        <w:tc>
          <w:tcPr>
            <w:tcW w:w="2448" w:type="dxa"/>
            <w:vMerge w:val="restart"/>
          </w:tcPr>
          <w:p w14:paraId="5300539A" w14:textId="60BD60C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SKIN AND SUBCUTANEOUS TISSUE DISORDERS</w:t>
            </w:r>
          </w:p>
        </w:tc>
        <w:tc>
          <w:tcPr>
            <w:tcW w:w="3600" w:type="dxa"/>
          </w:tcPr>
          <w:p w14:paraId="4E941ED3" w14:textId="2966E13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Photosensitivity reaction</w:t>
            </w:r>
          </w:p>
        </w:tc>
        <w:tc>
          <w:tcPr>
            <w:tcW w:w="1350" w:type="dxa"/>
          </w:tcPr>
          <w:p w14:paraId="236F635D" w14:textId="6ADBEB8D"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0343B10B" w14:textId="11E86CD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054029B1" w14:textId="77777777" w:rsidTr="00F83CCE">
        <w:tc>
          <w:tcPr>
            <w:tcW w:w="2448" w:type="dxa"/>
            <w:vMerge/>
          </w:tcPr>
          <w:p w14:paraId="56BEAF55"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6C593A93" w14:textId="098C19D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Night sweats</w:t>
            </w:r>
          </w:p>
        </w:tc>
        <w:tc>
          <w:tcPr>
            <w:tcW w:w="1350" w:type="dxa"/>
          </w:tcPr>
          <w:p w14:paraId="36290C6B" w14:textId="5EC7D280"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5FCE37D1" w14:textId="32E3555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456242D" w14:textId="77777777" w:rsidTr="00F83CCE">
        <w:tc>
          <w:tcPr>
            <w:tcW w:w="2448" w:type="dxa"/>
            <w:vMerge/>
          </w:tcPr>
          <w:p w14:paraId="486387CE"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2D5DC8EC" w14:textId="37B6A4C5"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Rash</w:t>
            </w:r>
          </w:p>
        </w:tc>
        <w:tc>
          <w:tcPr>
            <w:tcW w:w="1350" w:type="dxa"/>
          </w:tcPr>
          <w:p w14:paraId="01F1CC79" w14:textId="74DBEBE9"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343DDD0E" w14:textId="33F63B63"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209713E2" w14:textId="77777777" w:rsidTr="00F83CCE">
        <w:tc>
          <w:tcPr>
            <w:tcW w:w="2448" w:type="dxa"/>
            <w:vMerge w:val="restart"/>
          </w:tcPr>
          <w:p w14:paraId="0BFF3DF6" w14:textId="5C367367"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MUSCULOSKELETAL AND CONNECTIVE TISSUE DISORDERS</w:t>
            </w:r>
          </w:p>
        </w:tc>
        <w:tc>
          <w:tcPr>
            <w:tcW w:w="3600" w:type="dxa"/>
          </w:tcPr>
          <w:p w14:paraId="59F8B0A0" w14:textId="5EE275BA"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Muscular weakness</w:t>
            </w:r>
          </w:p>
        </w:tc>
        <w:tc>
          <w:tcPr>
            <w:tcW w:w="1350" w:type="dxa"/>
          </w:tcPr>
          <w:p w14:paraId="349CD50C" w14:textId="30CB5C5A"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13.6</w:t>
            </w:r>
          </w:p>
        </w:tc>
        <w:tc>
          <w:tcPr>
            <w:tcW w:w="1844" w:type="dxa"/>
          </w:tcPr>
          <w:p w14:paraId="7FA60EEA" w14:textId="04A2C53C"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rsidRPr="00BE3B8C" w14:paraId="271F6DBF" w14:textId="77777777" w:rsidTr="00F83CCE">
        <w:tc>
          <w:tcPr>
            <w:tcW w:w="2448" w:type="dxa"/>
            <w:vMerge/>
          </w:tcPr>
          <w:p w14:paraId="4DAF5C3B"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5B721747" w14:textId="7BC21153"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Pain in extremity</w:t>
            </w:r>
          </w:p>
        </w:tc>
        <w:tc>
          <w:tcPr>
            <w:tcW w:w="1350" w:type="dxa"/>
          </w:tcPr>
          <w:p w14:paraId="42F3E273" w14:textId="5F1F8E4B"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9.1</w:t>
            </w:r>
          </w:p>
        </w:tc>
        <w:tc>
          <w:tcPr>
            <w:tcW w:w="1844" w:type="dxa"/>
          </w:tcPr>
          <w:p w14:paraId="21431F95" w14:textId="58A2B7B9"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11C41415" w14:textId="77777777" w:rsidTr="00F83CCE">
        <w:tc>
          <w:tcPr>
            <w:tcW w:w="2448" w:type="dxa"/>
            <w:vMerge/>
          </w:tcPr>
          <w:p w14:paraId="3505E0FA"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3D94B588" w14:textId="2A4336A8"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Back pain</w:t>
            </w:r>
          </w:p>
        </w:tc>
        <w:tc>
          <w:tcPr>
            <w:tcW w:w="1350" w:type="dxa"/>
          </w:tcPr>
          <w:p w14:paraId="0D04ECAA" w14:textId="6F949A61"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11.4</w:t>
            </w:r>
          </w:p>
        </w:tc>
        <w:tc>
          <w:tcPr>
            <w:tcW w:w="1844" w:type="dxa"/>
          </w:tcPr>
          <w:p w14:paraId="10F7E976" w14:textId="098EB344" w:rsidR="00BE3B8C" w:rsidRPr="00BE3B8C" w:rsidRDefault="00BE3B8C" w:rsidP="00140D87">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rsidRPr="00BE3B8C" w14:paraId="1670CA51" w14:textId="77777777" w:rsidTr="00F83CCE">
        <w:tc>
          <w:tcPr>
            <w:tcW w:w="2448" w:type="dxa"/>
            <w:vMerge/>
          </w:tcPr>
          <w:p w14:paraId="63CE3C66"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79EFF376" w14:textId="000E360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Myalgia</w:t>
            </w:r>
          </w:p>
        </w:tc>
        <w:tc>
          <w:tcPr>
            <w:tcW w:w="1350" w:type="dxa"/>
          </w:tcPr>
          <w:p w14:paraId="055BF0FA" w14:textId="3C3C8C81"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4.5</w:t>
            </w:r>
          </w:p>
        </w:tc>
        <w:tc>
          <w:tcPr>
            <w:tcW w:w="1844" w:type="dxa"/>
          </w:tcPr>
          <w:p w14:paraId="33386B15" w14:textId="79E70D6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FF98EE3" w14:textId="77777777" w:rsidTr="00F83CCE">
        <w:tc>
          <w:tcPr>
            <w:tcW w:w="2448" w:type="dxa"/>
            <w:vMerge/>
          </w:tcPr>
          <w:p w14:paraId="432F936F"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1337EA5C" w14:textId="33EB6D69"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Muscle twitching</w:t>
            </w:r>
          </w:p>
        </w:tc>
        <w:tc>
          <w:tcPr>
            <w:tcW w:w="1350" w:type="dxa"/>
          </w:tcPr>
          <w:p w14:paraId="63268783" w14:textId="69D131E7"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5829A05A" w14:textId="1974662D"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3C1BD54" w14:textId="77777777" w:rsidTr="00F83CCE">
        <w:tc>
          <w:tcPr>
            <w:tcW w:w="2448" w:type="dxa"/>
          </w:tcPr>
          <w:p w14:paraId="7082A4E0" w14:textId="2FF630B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RENAL AND URINARY DISORDERS</w:t>
            </w:r>
          </w:p>
        </w:tc>
        <w:tc>
          <w:tcPr>
            <w:tcW w:w="3600" w:type="dxa"/>
          </w:tcPr>
          <w:p w14:paraId="5EFC2414" w14:textId="7A890558"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Proteinuria</w:t>
            </w:r>
          </w:p>
        </w:tc>
        <w:tc>
          <w:tcPr>
            <w:tcW w:w="1350" w:type="dxa"/>
          </w:tcPr>
          <w:p w14:paraId="0A00F31A" w14:textId="759F0C42"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617AEC22" w14:textId="71A63397"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E55C7E1" w14:textId="77777777" w:rsidTr="00F83CCE">
        <w:tc>
          <w:tcPr>
            <w:tcW w:w="2448" w:type="dxa"/>
            <w:vMerge w:val="restart"/>
          </w:tcPr>
          <w:p w14:paraId="7F7C66E0" w14:textId="12B72DA7"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GENERAL DISORDERS AND ADMINISTRATION SITE CONDITIONS</w:t>
            </w:r>
          </w:p>
        </w:tc>
        <w:tc>
          <w:tcPr>
            <w:tcW w:w="3600" w:type="dxa"/>
          </w:tcPr>
          <w:p w14:paraId="6283AD10" w14:textId="4BE1E126"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Influenza like illness</w:t>
            </w:r>
          </w:p>
        </w:tc>
        <w:tc>
          <w:tcPr>
            <w:tcW w:w="1350" w:type="dxa"/>
          </w:tcPr>
          <w:p w14:paraId="70932B3B" w14:textId="3387438D"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15.9</w:t>
            </w:r>
          </w:p>
        </w:tc>
        <w:tc>
          <w:tcPr>
            <w:tcW w:w="1844" w:type="dxa"/>
          </w:tcPr>
          <w:p w14:paraId="58EE7044" w14:textId="4395D10B" w:rsidR="00BE3B8C" w:rsidRPr="00BE3B8C" w:rsidRDefault="00BE3B8C" w:rsidP="00140D87">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rsidRPr="00BE3B8C" w14:paraId="17B5614D" w14:textId="77777777" w:rsidTr="00F83CCE">
        <w:tc>
          <w:tcPr>
            <w:tcW w:w="2448" w:type="dxa"/>
            <w:vMerge/>
          </w:tcPr>
          <w:p w14:paraId="274525DC"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22CA1F3F" w14:textId="24627FF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Fatigue</w:t>
            </w:r>
          </w:p>
        </w:tc>
        <w:tc>
          <w:tcPr>
            <w:tcW w:w="1350" w:type="dxa"/>
          </w:tcPr>
          <w:p w14:paraId="3F1D81D0" w14:textId="71D515E0"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6.8</w:t>
            </w:r>
          </w:p>
        </w:tc>
        <w:tc>
          <w:tcPr>
            <w:tcW w:w="1844" w:type="dxa"/>
          </w:tcPr>
          <w:p w14:paraId="6A09DECD" w14:textId="16B5341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4F84C63F" w14:textId="77777777" w:rsidTr="00F83CCE">
        <w:tc>
          <w:tcPr>
            <w:tcW w:w="2448" w:type="dxa"/>
            <w:vMerge/>
          </w:tcPr>
          <w:p w14:paraId="17768985"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39867EB2" w14:textId="33B6462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Local reactions</w:t>
            </w:r>
          </w:p>
        </w:tc>
        <w:tc>
          <w:tcPr>
            <w:tcW w:w="1350" w:type="dxa"/>
          </w:tcPr>
          <w:p w14:paraId="77B74229" w14:textId="72AD9217"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13.6</w:t>
            </w:r>
          </w:p>
        </w:tc>
        <w:tc>
          <w:tcPr>
            <w:tcW w:w="1844" w:type="dxa"/>
          </w:tcPr>
          <w:p w14:paraId="4C721462" w14:textId="3016CC7A" w:rsidR="00BE3B8C" w:rsidRPr="00BE3B8C" w:rsidRDefault="00BE3B8C" w:rsidP="00140D87">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Very Common</w:t>
            </w:r>
          </w:p>
        </w:tc>
      </w:tr>
      <w:tr w:rsidR="00BE3B8C" w:rsidRPr="00BE3B8C" w14:paraId="17BEAFE6" w14:textId="77777777" w:rsidTr="00F83CCE">
        <w:tc>
          <w:tcPr>
            <w:tcW w:w="2448" w:type="dxa"/>
            <w:vMerge/>
          </w:tcPr>
          <w:p w14:paraId="765A23E5"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7B200F35" w14:textId="096EC4A1"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Chest discomfort</w:t>
            </w:r>
          </w:p>
        </w:tc>
        <w:tc>
          <w:tcPr>
            <w:tcW w:w="1350" w:type="dxa"/>
          </w:tcPr>
          <w:p w14:paraId="17F47099" w14:textId="7979FF32"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6.8</w:t>
            </w:r>
          </w:p>
        </w:tc>
        <w:tc>
          <w:tcPr>
            <w:tcW w:w="1844" w:type="dxa"/>
          </w:tcPr>
          <w:p w14:paraId="1790594D" w14:textId="58400F88"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7062D630" w14:textId="77777777" w:rsidTr="00F83CCE">
        <w:tc>
          <w:tcPr>
            <w:tcW w:w="2448" w:type="dxa"/>
            <w:vMerge/>
          </w:tcPr>
          <w:p w14:paraId="6CAE84A9"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7E2448A4" w14:textId="1C31816C" w:rsidR="00BE3B8C" w:rsidRPr="00BE3B8C" w:rsidRDefault="00487DD3"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Oedema</w:t>
            </w:r>
          </w:p>
        </w:tc>
        <w:tc>
          <w:tcPr>
            <w:tcW w:w="1350" w:type="dxa"/>
          </w:tcPr>
          <w:p w14:paraId="5103C884" w14:textId="4C0969FC"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4.5</w:t>
            </w:r>
          </w:p>
        </w:tc>
        <w:tc>
          <w:tcPr>
            <w:tcW w:w="1844" w:type="dxa"/>
          </w:tcPr>
          <w:p w14:paraId="1930636C" w14:textId="2033D27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6FE8C13A" w14:textId="77777777" w:rsidTr="00F83CCE">
        <w:tc>
          <w:tcPr>
            <w:tcW w:w="2448" w:type="dxa"/>
            <w:vMerge/>
          </w:tcPr>
          <w:p w14:paraId="4033CF8B"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1EADD520" w14:textId="4F49BEC3"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Pyrexia</w:t>
            </w:r>
          </w:p>
        </w:tc>
        <w:tc>
          <w:tcPr>
            <w:tcW w:w="1350" w:type="dxa"/>
          </w:tcPr>
          <w:p w14:paraId="0DD5E6FF" w14:textId="5B281FD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4.5</w:t>
            </w:r>
          </w:p>
        </w:tc>
        <w:tc>
          <w:tcPr>
            <w:tcW w:w="1844" w:type="dxa"/>
          </w:tcPr>
          <w:p w14:paraId="620B8B38" w14:textId="2D5B9078"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0C13F4CC" w14:textId="77777777" w:rsidTr="00F83CCE">
        <w:tc>
          <w:tcPr>
            <w:tcW w:w="2448" w:type="dxa"/>
            <w:vMerge/>
          </w:tcPr>
          <w:p w14:paraId="48F8E011" w14:textId="77777777" w:rsidR="00BE3B8C" w:rsidRPr="00BE3B8C" w:rsidRDefault="00BE3B8C" w:rsidP="00BE3B8C">
            <w:pPr>
              <w:rPr>
                <w:rFonts w:ascii="Times New Roman" w:hAnsi="Times New Roman" w:cs="Times New Roman"/>
                <w:color w:val="000000" w:themeColor="text1"/>
                <w:sz w:val="20"/>
                <w:szCs w:val="20"/>
              </w:rPr>
            </w:pPr>
          </w:p>
        </w:tc>
        <w:tc>
          <w:tcPr>
            <w:tcW w:w="3600" w:type="dxa"/>
          </w:tcPr>
          <w:p w14:paraId="0EB8BE4D" w14:textId="74A2ECF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Chills</w:t>
            </w:r>
          </w:p>
        </w:tc>
        <w:tc>
          <w:tcPr>
            <w:tcW w:w="1350" w:type="dxa"/>
          </w:tcPr>
          <w:p w14:paraId="60694672" w14:textId="29694B59"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41C05F47" w14:textId="477C4ECD"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572419AC" w14:textId="77777777" w:rsidTr="00F83CCE">
        <w:tc>
          <w:tcPr>
            <w:tcW w:w="2448" w:type="dxa"/>
          </w:tcPr>
          <w:p w14:paraId="7C8A4927" w14:textId="185F255B"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b/>
                <w:bCs/>
                <w:color w:val="000000" w:themeColor="text1"/>
                <w:sz w:val="20"/>
                <w:szCs w:val="20"/>
              </w:rPr>
              <w:t>INVESTIGATIONS</w:t>
            </w:r>
          </w:p>
        </w:tc>
        <w:tc>
          <w:tcPr>
            <w:tcW w:w="3600" w:type="dxa"/>
          </w:tcPr>
          <w:p w14:paraId="602560D1" w14:textId="1EF9C56F"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Alanine aminotransferase increased</w:t>
            </w:r>
          </w:p>
        </w:tc>
        <w:tc>
          <w:tcPr>
            <w:tcW w:w="1350" w:type="dxa"/>
          </w:tcPr>
          <w:p w14:paraId="15001150" w14:textId="6F180704"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2.3</w:t>
            </w:r>
          </w:p>
        </w:tc>
        <w:tc>
          <w:tcPr>
            <w:tcW w:w="1844" w:type="dxa"/>
          </w:tcPr>
          <w:p w14:paraId="3EA4E64E" w14:textId="07D2208A"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Common</w:t>
            </w:r>
          </w:p>
        </w:tc>
      </w:tr>
      <w:tr w:rsidR="00BE3B8C" w:rsidRPr="00BE3B8C" w14:paraId="188914FD" w14:textId="77777777" w:rsidTr="00484028">
        <w:tc>
          <w:tcPr>
            <w:tcW w:w="9242" w:type="dxa"/>
            <w:gridSpan w:val="4"/>
          </w:tcPr>
          <w:p w14:paraId="0D7FBDE4" w14:textId="5E01E74D" w:rsidR="00BE3B8C" w:rsidRPr="00BE3B8C" w:rsidRDefault="00BE3B8C" w:rsidP="00BE3B8C">
            <w:pPr>
              <w:rPr>
                <w:rFonts w:ascii="Times New Roman" w:hAnsi="Times New Roman" w:cs="Times New Roman"/>
                <w:color w:val="000000" w:themeColor="text1"/>
                <w:sz w:val="20"/>
                <w:szCs w:val="20"/>
              </w:rPr>
            </w:pPr>
            <w:r w:rsidRPr="00BE3B8C">
              <w:rPr>
                <w:rFonts w:ascii="Times New Roman" w:hAnsi="Times New Roman" w:cs="Times New Roman"/>
                <w:color w:val="000000" w:themeColor="text1"/>
                <w:sz w:val="20"/>
                <w:szCs w:val="20"/>
              </w:rPr>
              <w:t>Legend: ADR frequency is based upon the following scale: Very Common (</w:t>
            </w:r>
            <w:r w:rsidRPr="00BE3B8C">
              <w:rPr>
                <w:rFonts w:ascii="Times New Roman" w:hAnsi="Times New Roman" w:cs="Times New Roman" w:hint="eastAsia"/>
                <w:color w:val="000000" w:themeColor="text1"/>
                <w:sz w:val="20"/>
                <w:szCs w:val="20"/>
              </w:rPr>
              <w:t>≥</w:t>
            </w:r>
            <w:r w:rsidRPr="00BE3B8C">
              <w:rPr>
                <w:rFonts w:ascii="Times New Roman" w:hAnsi="Times New Roman" w:cs="Times New Roman"/>
                <w:color w:val="000000" w:themeColor="text1"/>
                <w:sz w:val="20"/>
                <w:szCs w:val="20"/>
              </w:rPr>
              <w:t>1/10); Common (</w:t>
            </w:r>
            <w:r w:rsidRPr="00BE3B8C">
              <w:rPr>
                <w:rFonts w:ascii="Times New Roman" w:hAnsi="Times New Roman" w:cs="Times New Roman" w:hint="eastAsia"/>
                <w:color w:val="000000" w:themeColor="text1"/>
                <w:sz w:val="20"/>
                <w:szCs w:val="20"/>
              </w:rPr>
              <w:t>≥</w:t>
            </w:r>
            <w:r w:rsidRPr="00BE3B8C">
              <w:rPr>
                <w:rFonts w:ascii="Times New Roman" w:hAnsi="Times New Roman" w:cs="Times New Roman"/>
                <w:color w:val="000000" w:themeColor="text1"/>
                <w:sz w:val="20"/>
                <w:szCs w:val="20"/>
              </w:rPr>
              <w:t>1/100 - &lt;1/10), Uncommon (</w:t>
            </w:r>
            <w:r w:rsidRPr="00BE3B8C">
              <w:rPr>
                <w:rFonts w:ascii="Times New Roman" w:hAnsi="Times New Roman" w:cs="Times New Roman" w:hint="eastAsia"/>
                <w:color w:val="000000" w:themeColor="text1"/>
                <w:sz w:val="20"/>
                <w:szCs w:val="20"/>
              </w:rPr>
              <w:t>≥</w:t>
            </w:r>
            <w:r w:rsidRPr="00BE3B8C">
              <w:rPr>
                <w:rFonts w:ascii="Times New Roman" w:hAnsi="Times New Roman" w:cs="Times New Roman"/>
                <w:color w:val="000000" w:themeColor="text1"/>
                <w:sz w:val="20"/>
                <w:szCs w:val="20"/>
              </w:rPr>
              <w:t>1/1,000 - &lt;1/100), Rare (</w:t>
            </w:r>
            <w:r w:rsidRPr="00BE3B8C">
              <w:rPr>
                <w:rFonts w:ascii="Times New Roman" w:hAnsi="Times New Roman" w:cs="Times New Roman" w:hint="eastAsia"/>
                <w:color w:val="000000" w:themeColor="text1"/>
                <w:sz w:val="20"/>
                <w:szCs w:val="20"/>
              </w:rPr>
              <w:t>≥</w:t>
            </w:r>
            <w:r w:rsidRPr="00BE3B8C">
              <w:rPr>
                <w:rFonts w:ascii="Times New Roman" w:hAnsi="Times New Roman" w:cs="Times New Roman"/>
                <w:color w:val="000000" w:themeColor="text1"/>
                <w:sz w:val="20"/>
                <w:szCs w:val="20"/>
              </w:rPr>
              <w:t>1/10,000 - &lt;1/1,000), Very Rare (&lt;1/10,000)</w:t>
            </w:r>
          </w:p>
          <w:p w14:paraId="59C93F2A" w14:textId="5C37DDE0" w:rsidR="00BE3B8C" w:rsidRPr="00BE3B8C" w:rsidRDefault="00BE3B8C" w:rsidP="00BE3B8C">
            <w:pPr>
              <w:rPr>
                <w:rFonts w:ascii="Times New Roman" w:hAnsi="Times New Roman" w:cs="Times New Roman"/>
                <w:color w:val="000000" w:themeColor="text1"/>
                <w:sz w:val="20"/>
                <w:szCs w:val="20"/>
              </w:rPr>
            </w:pPr>
            <w:proofErr w:type="gramStart"/>
            <w:r w:rsidRPr="00BE3B8C">
              <w:rPr>
                <w:rFonts w:ascii="Times New Roman" w:hAnsi="Times New Roman" w:cs="Times New Roman"/>
                <w:color w:val="000000" w:themeColor="text1"/>
                <w:sz w:val="20"/>
                <w:szCs w:val="20"/>
                <w:vertAlign w:val="superscript"/>
              </w:rPr>
              <w:t>a</w:t>
            </w:r>
            <w:r w:rsidRPr="00BE3B8C">
              <w:rPr>
                <w:rFonts w:ascii="Times New Roman" w:hAnsi="Times New Roman" w:cs="Times New Roman"/>
                <w:color w:val="000000" w:themeColor="text1"/>
                <w:sz w:val="20"/>
                <w:szCs w:val="20"/>
              </w:rPr>
              <w:t xml:space="preserve"> Number of</w:t>
            </w:r>
            <w:proofErr w:type="gramEnd"/>
            <w:r w:rsidRPr="00BE3B8C">
              <w:rPr>
                <w:rFonts w:ascii="Times New Roman" w:hAnsi="Times New Roman" w:cs="Times New Roman"/>
                <w:color w:val="000000" w:themeColor="text1"/>
                <w:sz w:val="20"/>
                <w:szCs w:val="20"/>
              </w:rPr>
              <w:t xml:space="preserve"> AEs divided by the total number of infusions multiplied by 100.</w:t>
            </w:r>
          </w:p>
        </w:tc>
      </w:tr>
    </w:tbl>
    <w:p w14:paraId="443A5D30" w14:textId="77777777" w:rsidR="00BE3B8C" w:rsidRPr="00F83CCE" w:rsidRDefault="00BE3B8C" w:rsidP="00F83CCE">
      <w:pPr>
        <w:spacing w:after="0" w:line="240" w:lineRule="auto"/>
        <w:rPr>
          <w:rFonts w:ascii="Times New Roman" w:hAnsi="Times New Roman" w:cs="Times New Roman"/>
          <w:color w:val="000000" w:themeColor="text1"/>
          <w:sz w:val="24"/>
          <w:szCs w:val="24"/>
        </w:rPr>
      </w:pPr>
    </w:p>
    <w:p w14:paraId="5400A474" w14:textId="69267DD2" w:rsidR="00CB6B8A" w:rsidRDefault="00F73EBA" w:rsidP="00140D87">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Infusion-related adverse e</w:t>
      </w:r>
      <w:r w:rsidR="00CB6B8A" w:rsidRPr="00F83CCE">
        <w:rPr>
          <w:rFonts w:ascii="Times New Roman" w:hAnsi="Times New Roman" w:cs="Times New Roman"/>
          <w:color w:val="000000" w:themeColor="text1"/>
          <w:sz w:val="24"/>
          <w:szCs w:val="24"/>
        </w:rPr>
        <w:t>vents</w:t>
      </w:r>
    </w:p>
    <w:p w14:paraId="7A742F26" w14:textId="77777777" w:rsidR="00140D87" w:rsidRPr="00140D87" w:rsidRDefault="00140D87" w:rsidP="00140D87">
      <w:pPr>
        <w:spacing w:after="0" w:line="240" w:lineRule="auto"/>
      </w:pPr>
    </w:p>
    <w:p w14:paraId="37B1EB8E"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Certain adverse reactions such as headache, flushing and changes in pulse rate and blood pressure may occur.</w:t>
      </w:r>
    </w:p>
    <w:p w14:paraId="295EEBFF" w14:textId="77777777" w:rsidR="000E704D" w:rsidRPr="00F83CCE" w:rsidRDefault="000E704D" w:rsidP="00F83CCE">
      <w:pPr>
        <w:spacing w:after="0" w:line="240" w:lineRule="auto"/>
        <w:rPr>
          <w:rFonts w:ascii="Times New Roman" w:hAnsi="Times New Roman" w:cs="Times New Roman"/>
          <w:color w:val="000000" w:themeColor="text1"/>
          <w:sz w:val="24"/>
          <w:szCs w:val="24"/>
        </w:rPr>
      </w:pPr>
    </w:p>
    <w:p w14:paraId="6F7A5FB6" w14:textId="77777777" w:rsidR="00CB6B8A" w:rsidRPr="00BF4A6A" w:rsidRDefault="00CB6B8A" w:rsidP="00BF4A6A">
      <w:pPr>
        <w:spacing w:after="0" w:line="240" w:lineRule="auto"/>
        <w:rPr>
          <w:rFonts w:ascii="Times New Roman" w:hAnsi="Times New Roman" w:cs="Times New Roman"/>
          <w:color w:val="000000" w:themeColor="text1"/>
          <w:sz w:val="24"/>
          <w:szCs w:val="24"/>
          <w:u w:val="single"/>
        </w:rPr>
      </w:pPr>
      <w:r w:rsidRPr="00BF4A6A">
        <w:rPr>
          <w:rFonts w:ascii="Times New Roman" w:hAnsi="Times New Roman" w:cs="Times New Roman"/>
          <w:color w:val="000000" w:themeColor="text1"/>
          <w:sz w:val="24"/>
          <w:szCs w:val="24"/>
          <w:u w:val="single"/>
        </w:rPr>
        <w:t>Subcutaneous (SC) Administration</w:t>
      </w:r>
    </w:p>
    <w:p w14:paraId="44B6AE1F"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The safety of KIOVIG subcutaneous infusion was evaluated in a prospective, open-label, non-controlled, multi-centre clinical study in the 47 subjects who received at least one dose of subcutaneous treatment. </w:t>
      </w:r>
    </w:p>
    <w:p w14:paraId="2F42AF68"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2C5001F3" w14:textId="02131D3C"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lastRenderedPageBreak/>
        <w:t>One subject withdrew from the study after 10 treatments with KIOVIG subcutaneous infusion (2.5 months), due to increased fatigue and malaise. No serious adverse events</w:t>
      </w:r>
      <w:r w:rsidR="00C74B9C">
        <w:rPr>
          <w:rFonts w:ascii="Times New Roman" w:hAnsi="Times New Roman" w:cs="Times New Roman"/>
          <w:color w:val="000000" w:themeColor="text1"/>
          <w:sz w:val="24"/>
          <w:szCs w:val="24"/>
        </w:rPr>
        <w:t xml:space="preserve"> </w:t>
      </w:r>
      <w:r w:rsidRPr="00F83CCE">
        <w:rPr>
          <w:rFonts w:ascii="Times New Roman" w:hAnsi="Times New Roman" w:cs="Times New Roman"/>
          <w:color w:val="000000" w:themeColor="text1"/>
          <w:sz w:val="24"/>
          <w:szCs w:val="24"/>
        </w:rPr>
        <w:t>(SAEs) occurred during subcutaneous treatment.</w:t>
      </w:r>
    </w:p>
    <w:p w14:paraId="1467809A"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61BD45B2"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The most common adverse drug reactions (ADRs) with subcutaneous infusion of KIOVIG observed in ≥5% of study subjects in the clinical trial were local infusion site reactions (e.g. swelling, redness, pain), as well as systemic reactions of headache, fever, fatigue, increased heart rate, increased systolic blood pressure, and upper abdominal pain.</w:t>
      </w:r>
    </w:p>
    <w:p w14:paraId="3527AEE2"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4E6CD92F"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Of the 632 non-serious adverse events (AEs), the most frequent AEs, regardless of causality, and the most frequent temporally associated AEs, which occurred in ≥10% subjects.  </w:t>
      </w:r>
    </w:p>
    <w:p w14:paraId="40D4CC0C"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3EA4B862" w14:textId="6ED594D6" w:rsidR="00CB6B8A"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There were 150 AEs considered to be related to KIOVIG use. Of the non-serious AEs related to KIOVIG use, 124 (83%) were mild (transient discomfort that resolves spontaneously or with minimal intervention), 24 (16%) were moderate (limited impairment of function and resolves spontaneously or with minimal intervention with no sequelae), and 2 were severe (marked impairment of function or can lead to temporary inability to resume normal life pattern</w:t>
      </w:r>
      <w:r w:rsidRPr="00F83CCE">
        <w:rPr>
          <w:rFonts w:ascii="Times New Roman" w:hAnsi="Times New Roman" w:cs="Times New Roman" w:hint="eastAsia"/>
          <w:color w:val="000000" w:themeColor="text1"/>
          <w:sz w:val="24"/>
          <w:szCs w:val="24"/>
        </w:rPr>
        <w:t>)</w:t>
      </w:r>
      <w:r w:rsidRPr="00F83CCE">
        <w:rPr>
          <w:rFonts w:ascii="Times New Roman" w:hAnsi="Times New Roman" w:cs="Times New Roman"/>
          <w:color w:val="000000" w:themeColor="text1"/>
          <w:sz w:val="24"/>
          <w:szCs w:val="24"/>
        </w:rPr>
        <w:t xml:space="preserve">; requires prolonged intervention or results in sequelae. Neither of the severe AEs required hospitalisation or resulted in sequelae.  </w:t>
      </w:r>
    </w:p>
    <w:p w14:paraId="46CA43AA" w14:textId="77777777" w:rsidR="00226A4B" w:rsidRDefault="00226A4B" w:rsidP="00F83CCE">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440"/>
        <w:gridCol w:w="3455"/>
        <w:gridCol w:w="1320"/>
        <w:gridCol w:w="1801"/>
      </w:tblGrid>
      <w:tr w:rsidR="00F83CCE" w14:paraId="47C19005" w14:textId="77777777" w:rsidTr="00484028">
        <w:tc>
          <w:tcPr>
            <w:tcW w:w="9242" w:type="dxa"/>
            <w:gridSpan w:val="4"/>
          </w:tcPr>
          <w:p w14:paraId="1BFDCCBB" w14:textId="217A4E94" w:rsidR="00F83CCE" w:rsidRDefault="00F83CCE" w:rsidP="00F83CCE">
            <w:pPr>
              <w:jc w:val="center"/>
              <w:rPr>
                <w:rFonts w:ascii="Times New Roman" w:hAnsi="Times New Roman" w:cs="Times New Roman"/>
                <w:b/>
                <w:bCs/>
                <w:color w:val="000000" w:themeColor="text1"/>
                <w:sz w:val="20"/>
                <w:szCs w:val="20"/>
              </w:rPr>
            </w:pPr>
            <w:r w:rsidRPr="00F83CCE">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6</w:t>
            </w:r>
            <w:r w:rsidRPr="00F83CCE">
              <w:rPr>
                <w:rFonts w:ascii="Times New Roman" w:hAnsi="Times New Roman" w:cs="Times New Roman"/>
                <w:b/>
                <w:bCs/>
                <w:color w:val="000000" w:themeColor="text1"/>
                <w:sz w:val="20"/>
                <w:szCs w:val="20"/>
              </w:rPr>
              <w:t>: Subcutaneous Clinical Trial ADRs [N=47] (160601)</w:t>
            </w:r>
          </w:p>
          <w:p w14:paraId="75B8A5E7" w14:textId="137AD9B6" w:rsidR="00F83CCE" w:rsidRPr="00F83CCE" w:rsidRDefault="00F83CCE" w:rsidP="00F83CCE">
            <w:pPr>
              <w:rPr>
                <w:rFonts w:ascii="Times New Roman" w:hAnsi="Times New Roman" w:cs="Times New Roman"/>
                <w:color w:val="000000" w:themeColor="text1"/>
                <w:sz w:val="20"/>
                <w:szCs w:val="20"/>
              </w:rPr>
            </w:pPr>
          </w:p>
        </w:tc>
      </w:tr>
      <w:tr w:rsidR="00F83CCE" w14:paraId="022632F4" w14:textId="77777777" w:rsidTr="00F83CCE">
        <w:tc>
          <w:tcPr>
            <w:tcW w:w="2448" w:type="dxa"/>
          </w:tcPr>
          <w:p w14:paraId="67BEE874" w14:textId="6AFEE24C"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System Organ Class</w:t>
            </w:r>
          </w:p>
        </w:tc>
        <w:tc>
          <w:tcPr>
            <w:tcW w:w="3600" w:type="dxa"/>
          </w:tcPr>
          <w:p w14:paraId="21E8A5C6" w14:textId="0BA6DAC0"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Preferred MedDRA Term</w:t>
            </w:r>
            <w:r>
              <w:rPr>
                <w:rFonts w:ascii="Times New Roman" w:hAnsi="Times New Roman" w:cs="Times New Roman"/>
                <w:b/>
                <w:bCs/>
                <w:color w:val="000000" w:themeColor="text1"/>
                <w:sz w:val="20"/>
                <w:szCs w:val="20"/>
              </w:rPr>
              <w:br/>
            </w:r>
            <w:r w:rsidRPr="00F83CCE">
              <w:rPr>
                <w:rFonts w:ascii="Times New Roman" w:hAnsi="Times New Roman" w:cs="Times New Roman"/>
                <w:b/>
                <w:bCs/>
                <w:color w:val="000000" w:themeColor="text1"/>
                <w:sz w:val="20"/>
                <w:szCs w:val="20"/>
              </w:rPr>
              <w:t>(Version 17.0)</w:t>
            </w:r>
          </w:p>
        </w:tc>
        <w:tc>
          <w:tcPr>
            <w:tcW w:w="1350" w:type="dxa"/>
          </w:tcPr>
          <w:p w14:paraId="752C6B87" w14:textId="5C29C389"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By Subject % (N=47)</w:t>
            </w:r>
          </w:p>
        </w:tc>
        <w:tc>
          <w:tcPr>
            <w:tcW w:w="1844" w:type="dxa"/>
          </w:tcPr>
          <w:p w14:paraId="442608A3" w14:textId="493F49C4"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Frequency Category</w:t>
            </w:r>
          </w:p>
        </w:tc>
      </w:tr>
      <w:tr w:rsidR="00F83CCE" w14:paraId="62014067" w14:textId="77777777" w:rsidTr="00F83CCE">
        <w:tc>
          <w:tcPr>
            <w:tcW w:w="2448" w:type="dxa"/>
          </w:tcPr>
          <w:p w14:paraId="0E7D7709" w14:textId="6B6752F0"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NERVOUS SYSTEM DISORDERS</w:t>
            </w:r>
          </w:p>
        </w:tc>
        <w:tc>
          <w:tcPr>
            <w:tcW w:w="3600" w:type="dxa"/>
          </w:tcPr>
          <w:p w14:paraId="7E4C572E" w14:textId="23596523"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Headache</w:t>
            </w:r>
          </w:p>
        </w:tc>
        <w:tc>
          <w:tcPr>
            <w:tcW w:w="1350" w:type="dxa"/>
          </w:tcPr>
          <w:p w14:paraId="51B9786B" w14:textId="3789C116"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48.9</w:t>
            </w:r>
          </w:p>
        </w:tc>
        <w:tc>
          <w:tcPr>
            <w:tcW w:w="1844" w:type="dxa"/>
          </w:tcPr>
          <w:p w14:paraId="534D92B0" w14:textId="21395972" w:rsidR="00F83CCE" w:rsidRPr="00F83CCE" w:rsidRDefault="00F83CCE" w:rsidP="00140D87">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Very Common</w:t>
            </w:r>
          </w:p>
        </w:tc>
      </w:tr>
      <w:tr w:rsidR="00F83CCE" w14:paraId="64961572" w14:textId="77777777" w:rsidTr="00F83CCE">
        <w:tc>
          <w:tcPr>
            <w:tcW w:w="2448" w:type="dxa"/>
          </w:tcPr>
          <w:p w14:paraId="6510A0C8" w14:textId="75E5AC42"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CARDIAC DISORDERS</w:t>
            </w:r>
          </w:p>
        </w:tc>
        <w:tc>
          <w:tcPr>
            <w:tcW w:w="3600" w:type="dxa"/>
          </w:tcPr>
          <w:p w14:paraId="49F5120A" w14:textId="24AEE5B9"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Tachycardia</w:t>
            </w:r>
          </w:p>
        </w:tc>
        <w:tc>
          <w:tcPr>
            <w:tcW w:w="1350" w:type="dxa"/>
          </w:tcPr>
          <w:p w14:paraId="59C1ED5C" w14:textId="64AFB476"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6.4</w:t>
            </w:r>
          </w:p>
        </w:tc>
        <w:tc>
          <w:tcPr>
            <w:tcW w:w="1844" w:type="dxa"/>
          </w:tcPr>
          <w:p w14:paraId="7FBBD98E" w14:textId="43AAECEE"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Common</w:t>
            </w:r>
          </w:p>
        </w:tc>
      </w:tr>
      <w:tr w:rsidR="00F83CCE" w14:paraId="2139C67C" w14:textId="77777777" w:rsidTr="00F83CCE">
        <w:tc>
          <w:tcPr>
            <w:tcW w:w="2448" w:type="dxa"/>
            <w:vMerge w:val="restart"/>
          </w:tcPr>
          <w:p w14:paraId="39A6CD4B" w14:textId="070E4F8C"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GASTROINTESTINAL DISORDERS</w:t>
            </w:r>
          </w:p>
        </w:tc>
        <w:tc>
          <w:tcPr>
            <w:tcW w:w="3600" w:type="dxa"/>
          </w:tcPr>
          <w:p w14:paraId="4F1E7662" w14:textId="40803B18"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Vomiting</w:t>
            </w:r>
          </w:p>
        </w:tc>
        <w:tc>
          <w:tcPr>
            <w:tcW w:w="1350" w:type="dxa"/>
          </w:tcPr>
          <w:p w14:paraId="5EB07A05" w14:textId="1267DC77"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14.9</w:t>
            </w:r>
          </w:p>
        </w:tc>
        <w:tc>
          <w:tcPr>
            <w:tcW w:w="1844" w:type="dxa"/>
          </w:tcPr>
          <w:p w14:paraId="33460BA7" w14:textId="35413BEE" w:rsidR="00F83CCE" w:rsidRPr="00F83CCE" w:rsidRDefault="00F83CCE" w:rsidP="00140D87">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Very Common</w:t>
            </w:r>
          </w:p>
        </w:tc>
      </w:tr>
      <w:tr w:rsidR="00F83CCE" w14:paraId="409DE712" w14:textId="77777777" w:rsidTr="00F83CCE">
        <w:tc>
          <w:tcPr>
            <w:tcW w:w="2448" w:type="dxa"/>
            <w:vMerge/>
          </w:tcPr>
          <w:p w14:paraId="510434B5" w14:textId="77777777" w:rsidR="00F83CCE" w:rsidRPr="00F83CCE" w:rsidRDefault="00F83CCE" w:rsidP="00F83CCE">
            <w:pPr>
              <w:rPr>
                <w:rFonts w:ascii="Times New Roman" w:hAnsi="Times New Roman" w:cs="Times New Roman"/>
                <w:color w:val="000000" w:themeColor="text1"/>
                <w:sz w:val="20"/>
                <w:szCs w:val="20"/>
              </w:rPr>
            </w:pPr>
          </w:p>
        </w:tc>
        <w:tc>
          <w:tcPr>
            <w:tcW w:w="3600" w:type="dxa"/>
          </w:tcPr>
          <w:p w14:paraId="2966E05E" w14:textId="04B68073"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Nausea</w:t>
            </w:r>
          </w:p>
        </w:tc>
        <w:tc>
          <w:tcPr>
            <w:tcW w:w="1350" w:type="dxa"/>
          </w:tcPr>
          <w:p w14:paraId="6ABA3D1A" w14:textId="686A6642"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17.0</w:t>
            </w:r>
          </w:p>
        </w:tc>
        <w:tc>
          <w:tcPr>
            <w:tcW w:w="1844" w:type="dxa"/>
          </w:tcPr>
          <w:p w14:paraId="05C70F2D" w14:textId="2D50200F" w:rsidR="00F83CCE" w:rsidRPr="00F83CCE" w:rsidRDefault="00F83CCE" w:rsidP="00140D87">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Very Common</w:t>
            </w:r>
          </w:p>
        </w:tc>
      </w:tr>
      <w:tr w:rsidR="00F83CCE" w14:paraId="5D6BE6C2" w14:textId="77777777" w:rsidTr="00F83CCE">
        <w:tc>
          <w:tcPr>
            <w:tcW w:w="2448" w:type="dxa"/>
            <w:vMerge w:val="restart"/>
          </w:tcPr>
          <w:p w14:paraId="3FA7A30F" w14:textId="4B0E732B"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MUSCULOSKELETAL AND CONNECTIVE TISSUE DISORDERS</w:t>
            </w:r>
          </w:p>
        </w:tc>
        <w:tc>
          <w:tcPr>
            <w:tcW w:w="3600" w:type="dxa"/>
          </w:tcPr>
          <w:p w14:paraId="1D274DF8" w14:textId="0F808CAD"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Back pain</w:t>
            </w:r>
          </w:p>
        </w:tc>
        <w:tc>
          <w:tcPr>
            <w:tcW w:w="1350" w:type="dxa"/>
          </w:tcPr>
          <w:p w14:paraId="07E6DC91" w14:textId="51A18769"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4.3</w:t>
            </w:r>
          </w:p>
        </w:tc>
        <w:tc>
          <w:tcPr>
            <w:tcW w:w="1844" w:type="dxa"/>
          </w:tcPr>
          <w:p w14:paraId="3EA8665E" w14:textId="3CD4BAAF"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Common</w:t>
            </w:r>
          </w:p>
        </w:tc>
      </w:tr>
      <w:tr w:rsidR="00F83CCE" w14:paraId="7425D6FD" w14:textId="77777777" w:rsidTr="00F83CCE">
        <w:tc>
          <w:tcPr>
            <w:tcW w:w="2448" w:type="dxa"/>
            <w:vMerge/>
          </w:tcPr>
          <w:p w14:paraId="3CB9B336" w14:textId="77777777" w:rsidR="00F83CCE" w:rsidRPr="00F83CCE" w:rsidRDefault="00F83CCE" w:rsidP="00F83CCE">
            <w:pPr>
              <w:rPr>
                <w:rFonts w:ascii="Times New Roman" w:hAnsi="Times New Roman" w:cs="Times New Roman"/>
                <w:color w:val="000000" w:themeColor="text1"/>
                <w:sz w:val="20"/>
                <w:szCs w:val="20"/>
              </w:rPr>
            </w:pPr>
          </w:p>
        </w:tc>
        <w:tc>
          <w:tcPr>
            <w:tcW w:w="3600" w:type="dxa"/>
          </w:tcPr>
          <w:p w14:paraId="3B1CF5E9" w14:textId="6AB59EAB"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Arthralgia</w:t>
            </w:r>
          </w:p>
        </w:tc>
        <w:tc>
          <w:tcPr>
            <w:tcW w:w="1350" w:type="dxa"/>
          </w:tcPr>
          <w:p w14:paraId="6112B692" w14:textId="54950293"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6.4</w:t>
            </w:r>
          </w:p>
        </w:tc>
        <w:tc>
          <w:tcPr>
            <w:tcW w:w="1844" w:type="dxa"/>
          </w:tcPr>
          <w:p w14:paraId="25F2F175" w14:textId="7390B64A"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Common</w:t>
            </w:r>
          </w:p>
        </w:tc>
      </w:tr>
      <w:tr w:rsidR="00F83CCE" w14:paraId="3C13F67F" w14:textId="77777777" w:rsidTr="00F83CCE">
        <w:tc>
          <w:tcPr>
            <w:tcW w:w="2448" w:type="dxa"/>
            <w:vMerge w:val="restart"/>
          </w:tcPr>
          <w:p w14:paraId="69E1DED4" w14:textId="04651323"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GENERAL DISORDERS AND ADMINISTRATION SITE CONDITIONS</w:t>
            </w:r>
          </w:p>
        </w:tc>
        <w:tc>
          <w:tcPr>
            <w:tcW w:w="3600" w:type="dxa"/>
          </w:tcPr>
          <w:p w14:paraId="192E606E" w14:textId="64E43A47"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Local reactions</w:t>
            </w:r>
          </w:p>
        </w:tc>
        <w:tc>
          <w:tcPr>
            <w:tcW w:w="1350" w:type="dxa"/>
          </w:tcPr>
          <w:p w14:paraId="233627A4" w14:textId="229CB553"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40.4</w:t>
            </w:r>
          </w:p>
        </w:tc>
        <w:tc>
          <w:tcPr>
            <w:tcW w:w="1844" w:type="dxa"/>
          </w:tcPr>
          <w:p w14:paraId="6F9B8396" w14:textId="47E76829" w:rsidR="00F83CCE" w:rsidRPr="00F83CCE" w:rsidRDefault="00F83CCE" w:rsidP="00140D87">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Very Common</w:t>
            </w:r>
          </w:p>
        </w:tc>
      </w:tr>
      <w:tr w:rsidR="00F83CCE" w14:paraId="4744DC5F" w14:textId="77777777" w:rsidTr="00F83CCE">
        <w:tc>
          <w:tcPr>
            <w:tcW w:w="2448" w:type="dxa"/>
            <w:vMerge/>
          </w:tcPr>
          <w:p w14:paraId="4EC03CC2" w14:textId="77777777" w:rsidR="00F83CCE" w:rsidRPr="00F83CCE" w:rsidRDefault="00F83CCE" w:rsidP="00F83CCE">
            <w:pPr>
              <w:rPr>
                <w:rFonts w:ascii="Times New Roman" w:hAnsi="Times New Roman" w:cs="Times New Roman"/>
                <w:color w:val="000000" w:themeColor="text1"/>
                <w:sz w:val="20"/>
                <w:szCs w:val="20"/>
              </w:rPr>
            </w:pPr>
          </w:p>
        </w:tc>
        <w:tc>
          <w:tcPr>
            <w:tcW w:w="3600" w:type="dxa"/>
          </w:tcPr>
          <w:p w14:paraId="3FE7B804" w14:textId="37C7025A"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Pyrexia</w:t>
            </w:r>
          </w:p>
        </w:tc>
        <w:tc>
          <w:tcPr>
            <w:tcW w:w="1350" w:type="dxa"/>
          </w:tcPr>
          <w:p w14:paraId="378B4D9E" w14:textId="68B2085D"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29.8</w:t>
            </w:r>
          </w:p>
        </w:tc>
        <w:tc>
          <w:tcPr>
            <w:tcW w:w="1844" w:type="dxa"/>
          </w:tcPr>
          <w:p w14:paraId="762D69E8" w14:textId="2610F96C" w:rsidR="00F83CCE" w:rsidRPr="00F83CCE" w:rsidRDefault="00F83CCE" w:rsidP="00140D87">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Very Common</w:t>
            </w:r>
          </w:p>
        </w:tc>
      </w:tr>
      <w:tr w:rsidR="00F83CCE" w14:paraId="6A8F4868" w14:textId="77777777" w:rsidTr="00484028">
        <w:tc>
          <w:tcPr>
            <w:tcW w:w="9242" w:type="dxa"/>
            <w:gridSpan w:val="4"/>
          </w:tcPr>
          <w:p w14:paraId="2F4C71FC" w14:textId="7146682E"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Legend: ADR frequency is based upon the following scale: Very Common (</w:t>
            </w:r>
            <w:r w:rsidRPr="00F83CCE">
              <w:rPr>
                <w:rFonts w:ascii="Times New Roman" w:hAnsi="Times New Roman" w:cs="Times New Roman" w:hint="eastAsia"/>
                <w:color w:val="000000" w:themeColor="text1"/>
                <w:sz w:val="20"/>
                <w:szCs w:val="20"/>
              </w:rPr>
              <w:t>≥</w:t>
            </w:r>
            <w:r w:rsidRPr="00F83CCE">
              <w:rPr>
                <w:rFonts w:ascii="Times New Roman" w:hAnsi="Times New Roman" w:cs="Times New Roman"/>
                <w:color w:val="000000" w:themeColor="text1"/>
                <w:sz w:val="20"/>
                <w:szCs w:val="20"/>
              </w:rPr>
              <w:t>1/10); Common (</w:t>
            </w:r>
            <w:r w:rsidRPr="00F83CCE">
              <w:rPr>
                <w:rFonts w:ascii="Times New Roman" w:hAnsi="Times New Roman" w:cs="Times New Roman" w:hint="eastAsia"/>
                <w:color w:val="000000" w:themeColor="text1"/>
                <w:sz w:val="20"/>
                <w:szCs w:val="20"/>
              </w:rPr>
              <w:t>≥</w:t>
            </w:r>
            <w:r w:rsidRPr="00F83CCE">
              <w:rPr>
                <w:rFonts w:ascii="Times New Roman" w:hAnsi="Times New Roman" w:cs="Times New Roman"/>
                <w:color w:val="000000" w:themeColor="text1"/>
                <w:sz w:val="20"/>
                <w:szCs w:val="20"/>
              </w:rPr>
              <w:t>1/100 - &lt;1/10), Uncommon (</w:t>
            </w:r>
            <w:r w:rsidRPr="00F83CCE">
              <w:rPr>
                <w:rFonts w:ascii="Times New Roman" w:hAnsi="Times New Roman" w:cs="Times New Roman" w:hint="eastAsia"/>
                <w:color w:val="000000" w:themeColor="text1"/>
                <w:sz w:val="20"/>
                <w:szCs w:val="20"/>
              </w:rPr>
              <w:t>≥</w:t>
            </w:r>
            <w:r w:rsidRPr="00F83CCE">
              <w:rPr>
                <w:rFonts w:ascii="Times New Roman" w:hAnsi="Times New Roman" w:cs="Times New Roman"/>
                <w:color w:val="000000" w:themeColor="text1"/>
                <w:sz w:val="20"/>
                <w:szCs w:val="20"/>
              </w:rPr>
              <w:t>1/1,000 - &lt;1/100), Rare (</w:t>
            </w:r>
            <w:r w:rsidRPr="00F83CCE">
              <w:rPr>
                <w:rFonts w:ascii="Times New Roman" w:hAnsi="Times New Roman" w:cs="Times New Roman" w:hint="eastAsia"/>
                <w:color w:val="000000" w:themeColor="text1"/>
                <w:sz w:val="20"/>
                <w:szCs w:val="20"/>
              </w:rPr>
              <w:t>≥</w:t>
            </w:r>
            <w:r w:rsidRPr="00F83CCE">
              <w:rPr>
                <w:rFonts w:ascii="Times New Roman" w:hAnsi="Times New Roman" w:cs="Times New Roman"/>
                <w:color w:val="000000" w:themeColor="text1"/>
                <w:sz w:val="20"/>
                <w:szCs w:val="20"/>
              </w:rPr>
              <w:t>1/10,000 - &lt;1/1,000), Very Rare (&lt;1/10,000)</w:t>
            </w:r>
          </w:p>
          <w:p w14:paraId="71FBF913" w14:textId="60DCAE08" w:rsidR="00F83CCE" w:rsidRPr="00F83CCE" w:rsidRDefault="00F83CCE" w:rsidP="00F83CCE">
            <w:pPr>
              <w:rPr>
                <w:rFonts w:ascii="Times New Roman" w:hAnsi="Times New Roman" w:cs="Times New Roman"/>
                <w:color w:val="000000" w:themeColor="text1"/>
                <w:sz w:val="20"/>
                <w:szCs w:val="20"/>
              </w:rPr>
            </w:pPr>
            <w:proofErr w:type="gramStart"/>
            <w:r w:rsidRPr="00F83CCE">
              <w:rPr>
                <w:rFonts w:ascii="Times New Roman" w:hAnsi="Times New Roman" w:cs="Times New Roman"/>
                <w:color w:val="000000" w:themeColor="text1"/>
                <w:sz w:val="20"/>
                <w:szCs w:val="20"/>
                <w:vertAlign w:val="superscript"/>
              </w:rPr>
              <w:t>a</w:t>
            </w:r>
            <w:r w:rsidRPr="00F83CCE">
              <w:rPr>
                <w:rFonts w:ascii="Times New Roman" w:hAnsi="Times New Roman" w:cs="Times New Roman"/>
                <w:color w:val="000000" w:themeColor="text1"/>
                <w:sz w:val="20"/>
                <w:szCs w:val="20"/>
              </w:rPr>
              <w:t xml:space="preserve"> Number of</w:t>
            </w:r>
            <w:proofErr w:type="gramEnd"/>
            <w:r w:rsidRPr="00F83CCE">
              <w:rPr>
                <w:rFonts w:ascii="Times New Roman" w:hAnsi="Times New Roman" w:cs="Times New Roman"/>
                <w:color w:val="000000" w:themeColor="text1"/>
                <w:sz w:val="20"/>
                <w:szCs w:val="20"/>
              </w:rPr>
              <w:t xml:space="preserve"> AEs divided by the total number of infusions multiplied by 100.</w:t>
            </w:r>
          </w:p>
        </w:tc>
      </w:tr>
    </w:tbl>
    <w:p w14:paraId="3B7696AA" w14:textId="77777777" w:rsidR="00F83CCE" w:rsidRDefault="00F83CCE" w:rsidP="00F83CCE">
      <w:pPr>
        <w:spacing w:after="0" w:line="240" w:lineRule="auto"/>
        <w:rPr>
          <w:rFonts w:ascii="Times New Roman" w:hAnsi="Times New Roman" w:cs="Times New Roman"/>
          <w:color w:val="000000" w:themeColor="text1"/>
          <w:sz w:val="24"/>
          <w:szCs w:val="24"/>
        </w:rPr>
      </w:pPr>
    </w:p>
    <w:p w14:paraId="48F0506D" w14:textId="5CACF096" w:rsidR="00CB6B8A" w:rsidRPr="00537437" w:rsidRDefault="00F73EBA" w:rsidP="00F83CCE">
      <w:pPr>
        <w:pStyle w:val="Heading3"/>
        <w:spacing w:before="0" w:line="240" w:lineRule="auto"/>
        <w:ind w:left="0"/>
        <w:rPr>
          <w:i/>
          <w:iCs/>
        </w:rPr>
      </w:pPr>
      <w:r>
        <w:rPr>
          <w:rFonts w:ascii="Times New Roman" w:hAnsi="Times New Roman" w:cs="Times New Roman"/>
          <w:color w:val="000000" w:themeColor="text1"/>
          <w:sz w:val="24"/>
          <w:szCs w:val="24"/>
        </w:rPr>
        <w:t>Local adverse e</w:t>
      </w:r>
      <w:r w:rsidR="00CB6B8A" w:rsidRPr="00F83CCE">
        <w:rPr>
          <w:rFonts w:ascii="Times New Roman" w:hAnsi="Times New Roman" w:cs="Times New Roman"/>
          <w:color w:val="000000" w:themeColor="text1"/>
          <w:sz w:val="24"/>
          <w:szCs w:val="24"/>
        </w:rPr>
        <w:t>vents</w:t>
      </w:r>
    </w:p>
    <w:p w14:paraId="263526DB" w14:textId="77777777" w:rsidR="00F83CCE" w:rsidRDefault="00F83CCE" w:rsidP="00F83CCE">
      <w:pPr>
        <w:spacing w:after="0" w:line="240" w:lineRule="auto"/>
        <w:rPr>
          <w:rFonts w:ascii="Times New Roman" w:hAnsi="Times New Roman" w:cs="Times New Roman"/>
          <w:color w:val="000000" w:themeColor="text1"/>
          <w:sz w:val="24"/>
          <w:szCs w:val="24"/>
        </w:rPr>
      </w:pPr>
    </w:p>
    <w:p w14:paraId="464A5311" w14:textId="6C254001" w:rsidR="00CB6B8A"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The incidence of local AEs by MedDRA term during all KIOVIG subcutaneous treatment is shown in Table </w:t>
      </w:r>
      <w:r w:rsidR="00C405AF">
        <w:rPr>
          <w:rFonts w:ascii="Times New Roman" w:hAnsi="Times New Roman" w:cs="Times New Roman"/>
          <w:color w:val="000000" w:themeColor="text1"/>
          <w:sz w:val="24"/>
          <w:szCs w:val="24"/>
        </w:rPr>
        <w:t>7</w:t>
      </w:r>
      <w:r w:rsidRPr="00F83CCE">
        <w:rPr>
          <w:rFonts w:ascii="Times New Roman" w:hAnsi="Times New Roman" w:cs="Times New Roman"/>
          <w:color w:val="000000" w:themeColor="text1"/>
          <w:sz w:val="24"/>
          <w:szCs w:val="24"/>
        </w:rPr>
        <w:t>.</w:t>
      </w:r>
    </w:p>
    <w:p w14:paraId="625A14B9" w14:textId="77777777" w:rsidR="00AD6852" w:rsidRDefault="00AD6852" w:rsidP="00F83CCE">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842"/>
        <w:gridCol w:w="1794"/>
        <w:gridCol w:w="1802"/>
        <w:gridCol w:w="1789"/>
        <w:gridCol w:w="1789"/>
      </w:tblGrid>
      <w:tr w:rsidR="00F83CCE" w14:paraId="571C94A0" w14:textId="77777777" w:rsidTr="00484028">
        <w:tc>
          <w:tcPr>
            <w:tcW w:w="9242" w:type="dxa"/>
            <w:gridSpan w:val="5"/>
          </w:tcPr>
          <w:p w14:paraId="42BD8104" w14:textId="6C156810" w:rsidR="00F83CCE" w:rsidRDefault="00F83CCE" w:rsidP="00F83CCE">
            <w:pPr>
              <w:jc w:val="center"/>
              <w:rPr>
                <w:rFonts w:ascii="Times New Roman" w:hAnsi="Times New Roman" w:cs="Times New Roman"/>
                <w:b/>
                <w:bCs/>
                <w:color w:val="000000" w:themeColor="text1"/>
                <w:sz w:val="20"/>
                <w:szCs w:val="20"/>
              </w:rPr>
            </w:pPr>
            <w:r w:rsidRPr="00F83CCE">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7</w:t>
            </w:r>
            <w:r w:rsidR="00745013">
              <w:rPr>
                <w:rFonts w:ascii="Times New Roman" w:hAnsi="Times New Roman" w:cs="Times New Roman"/>
                <w:b/>
                <w:bCs/>
                <w:color w:val="000000" w:themeColor="text1"/>
                <w:sz w:val="20"/>
                <w:szCs w:val="20"/>
              </w:rPr>
              <w:t>:</w:t>
            </w:r>
            <w:r w:rsidRPr="00F83CCE">
              <w:rPr>
                <w:rFonts w:ascii="Times New Roman" w:hAnsi="Times New Roman" w:cs="Times New Roman"/>
                <w:b/>
                <w:bCs/>
                <w:color w:val="000000" w:themeColor="text1"/>
                <w:sz w:val="20"/>
                <w:szCs w:val="20"/>
              </w:rPr>
              <w:t xml:space="preserve"> Local Adverse Events (&gt; 1 </w:t>
            </w:r>
            <w:proofErr w:type="gramStart"/>
            <w:r w:rsidRPr="00F83CCE">
              <w:rPr>
                <w:rFonts w:ascii="Times New Roman" w:hAnsi="Times New Roman" w:cs="Times New Roman"/>
                <w:b/>
                <w:bCs/>
                <w:color w:val="000000" w:themeColor="text1"/>
                <w:sz w:val="20"/>
                <w:szCs w:val="20"/>
              </w:rPr>
              <w:t>Event)*</w:t>
            </w:r>
            <w:proofErr w:type="gramEnd"/>
            <w:r w:rsidRPr="00F83CCE">
              <w:rPr>
                <w:rFonts w:ascii="Times New Roman" w:hAnsi="Times New Roman" w:cs="Times New Roman"/>
                <w:b/>
                <w:bCs/>
                <w:color w:val="000000" w:themeColor="text1"/>
                <w:sz w:val="20"/>
                <w:szCs w:val="20"/>
              </w:rPr>
              <w:t xml:space="preserve"> in All Subjects</w:t>
            </w:r>
          </w:p>
          <w:p w14:paraId="76C3F861" w14:textId="388789C8" w:rsidR="00F83CCE" w:rsidRPr="00F83CCE" w:rsidRDefault="00F83CCE" w:rsidP="00F83CCE">
            <w:pPr>
              <w:jc w:val="center"/>
              <w:rPr>
                <w:rFonts w:ascii="Times New Roman" w:hAnsi="Times New Roman" w:cs="Times New Roman"/>
                <w:color w:val="000000" w:themeColor="text1"/>
                <w:sz w:val="20"/>
                <w:szCs w:val="20"/>
              </w:rPr>
            </w:pPr>
          </w:p>
        </w:tc>
      </w:tr>
      <w:tr w:rsidR="00F83CCE" w14:paraId="25A341DF" w14:textId="77777777" w:rsidTr="00484028">
        <w:tc>
          <w:tcPr>
            <w:tcW w:w="1848" w:type="dxa"/>
            <w:vMerge w:val="restart"/>
          </w:tcPr>
          <w:p w14:paraId="7E7EB3D5" w14:textId="498D0DEC"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Local Adverse Event</w:t>
            </w:r>
          </w:p>
        </w:tc>
        <w:tc>
          <w:tcPr>
            <w:tcW w:w="7394" w:type="dxa"/>
            <w:gridSpan w:val="4"/>
          </w:tcPr>
          <w:p w14:paraId="18EBB59F" w14:textId="4044157C"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Number (Rate) of Subcutaneous Infusions</w:t>
            </w:r>
          </w:p>
        </w:tc>
      </w:tr>
      <w:tr w:rsidR="00F83CCE" w14:paraId="07B7B562" w14:textId="77777777" w:rsidTr="00484028">
        <w:tc>
          <w:tcPr>
            <w:tcW w:w="1848" w:type="dxa"/>
            <w:vMerge/>
          </w:tcPr>
          <w:p w14:paraId="0322C8D4" w14:textId="77777777" w:rsidR="00F83CCE" w:rsidRPr="00F83CCE" w:rsidRDefault="00F83CCE" w:rsidP="00F83CCE">
            <w:pPr>
              <w:rPr>
                <w:rFonts w:ascii="Times New Roman" w:hAnsi="Times New Roman" w:cs="Times New Roman"/>
                <w:color w:val="000000" w:themeColor="text1"/>
                <w:sz w:val="20"/>
                <w:szCs w:val="20"/>
              </w:rPr>
            </w:pPr>
          </w:p>
        </w:tc>
        <w:tc>
          <w:tcPr>
            <w:tcW w:w="1848" w:type="dxa"/>
            <w:vAlign w:val="center"/>
          </w:tcPr>
          <w:p w14:paraId="687F250F" w14:textId="3CFDFBF8"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Mild</w:t>
            </w:r>
          </w:p>
        </w:tc>
        <w:tc>
          <w:tcPr>
            <w:tcW w:w="1848" w:type="dxa"/>
            <w:vAlign w:val="center"/>
          </w:tcPr>
          <w:p w14:paraId="70BDAB8E" w14:textId="76B830FB"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Moderate</w:t>
            </w:r>
          </w:p>
        </w:tc>
        <w:tc>
          <w:tcPr>
            <w:tcW w:w="1849" w:type="dxa"/>
            <w:vAlign w:val="center"/>
          </w:tcPr>
          <w:p w14:paraId="376B6823" w14:textId="133C0FDD"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Severe</w:t>
            </w:r>
          </w:p>
        </w:tc>
        <w:tc>
          <w:tcPr>
            <w:tcW w:w="1849" w:type="dxa"/>
            <w:vAlign w:val="center"/>
          </w:tcPr>
          <w:p w14:paraId="2E86E2CE" w14:textId="02393C5F"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Total</w:t>
            </w:r>
          </w:p>
        </w:tc>
      </w:tr>
      <w:tr w:rsidR="00F83CCE" w14:paraId="4C02E723" w14:textId="77777777" w:rsidTr="00484028">
        <w:tc>
          <w:tcPr>
            <w:tcW w:w="1848" w:type="dxa"/>
          </w:tcPr>
          <w:p w14:paraId="59AA8F67" w14:textId="5C0EC7C5"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PAIN</w:t>
            </w:r>
          </w:p>
        </w:tc>
        <w:tc>
          <w:tcPr>
            <w:tcW w:w="1848" w:type="dxa"/>
            <w:vAlign w:val="center"/>
          </w:tcPr>
          <w:p w14:paraId="7F4C4E76" w14:textId="01874844"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14 (0.006)</w:t>
            </w:r>
          </w:p>
        </w:tc>
        <w:tc>
          <w:tcPr>
            <w:tcW w:w="1848" w:type="dxa"/>
            <w:vAlign w:val="center"/>
          </w:tcPr>
          <w:p w14:paraId="2D6B0239" w14:textId="3DEC04E9"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8 (0.003)</w:t>
            </w:r>
          </w:p>
        </w:tc>
        <w:tc>
          <w:tcPr>
            <w:tcW w:w="1849" w:type="dxa"/>
            <w:vAlign w:val="center"/>
          </w:tcPr>
          <w:p w14:paraId="7D411A32" w14:textId="22853EEE"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4596FA08" w14:textId="6CCBFF0F"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22 (0.010)</w:t>
            </w:r>
          </w:p>
        </w:tc>
      </w:tr>
      <w:tr w:rsidR="00F83CCE" w14:paraId="203ED57E" w14:textId="77777777" w:rsidTr="00484028">
        <w:tc>
          <w:tcPr>
            <w:tcW w:w="1848" w:type="dxa"/>
          </w:tcPr>
          <w:p w14:paraId="33650A33" w14:textId="3E12C322"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HEMATOMA</w:t>
            </w:r>
          </w:p>
        </w:tc>
        <w:tc>
          <w:tcPr>
            <w:tcW w:w="1848" w:type="dxa"/>
            <w:vAlign w:val="center"/>
          </w:tcPr>
          <w:p w14:paraId="46450B76" w14:textId="6904D10B"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13 (0.006)</w:t>
            </w:r>
          </w:p>
        </w:tc>
        <w:tc>
          <w:tcPr>
            <w:tcW w:w="1848" w:type="dxa"/>
            <w:vAlign w:val="center"/>
          </w:tcPr>
          <w:p w14:paraId="61D58BE7" w14:textId="78D470BA"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 (&lt;0.001)</w:t>
            </w:r>
          </w:p>
        </w:tc>
        <w:tc>
          <w:tcPr>
            <w:tcW w:w="1849" w:type="dxa"/>
            <w:vAlign w:val="center"/>
          </w:tcPr>
          <w:p w14:paraId="5864F52F" w14:textId="08F598B1"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341EE4DE" w14:textId="50EF8136"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14 (0.006)</w:t>
            </w:r>
          </w:p>
        </w:tc>
      </w:tr>
      <w:tr w:rsidR="00F83CCE" w14:paraId="21148979" w14:textId="77777777" w:rsidTr="00484028">
        <w:tc>
          <w:tcPr>
            <w:tcW w:w="1848" w:type="dxa"/>
          </w:tcPr>
          <w:p w14:paraId="5ABC747F" w14:textId="70D4BEC6"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PRURITUS</w:t>
            </w:r>
          </w:p>
        </w:tc>
        <w:tc>
          <w:tcPr>
            <w:tcW w:w="1848" w:type="dxa"/>
            <w:vAlign w:val="center"/>
          </w:tcPr>
          <w:p w14:paraId="0ACE11E5" w14:textId="2BEAA393"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4 (0.002)</w:t>
            </w:r>
          </w:p>
        </w:tc>
        <w:tc>
          <w:tcPr>
            <w:tcW w:w="1848" w:type="dxa"/>
            <w:vAlign w:val="center"/>
          </w:tcPr>
          <w:p w14:paraId="1E9124EF" w14:textId="63921637"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 (0.001)</w:t>
            </w:r>
          </w:p>
        </w:tc>
        <w:tc>
          <w:tcPr>
            <w:tcW w:w="1849" w:type="dxa"/>
            <w:vAlign w:val="center"/>
          </w:tcPr>
          <w:p w14:paraId="414294C7" w14:textId="766B37AF"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325279B9" w14:textId="0A443082"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6 (0.003)</w:t>
            </w:r>
          </w:p>
        </w:tc>
      </w:tr>
      <w:tr w:rsidR="00F83CCE" w14:paraId="5D24BAFA" w14:textId="77777777" w:rsidTr="00484028">
        <w:tc>
          <w:tcPr>
            <w:tcW w:w="1848" w:type="dxa"/>
          </w:tcPr>
          <w:p w14:paraId="1D6B60A4" w14:textId="2CA7A073"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RASH</w:t>
            </w:r>
          </w:p>
        </w:tc>
        <w:tc>
          <w:tcPr>
            <w:tcW w:w="1848" w:type="dxa"/>
            <w:vAlign w:val="center"/>
          </w:tcPr>
          <w:p w14:paraId="3B672435" w14:textId="6525E069"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4 (0.002)</w:t>
            </w:r>
          </w:p>
        </w:tc>
        <w:tc>
          <w:tcPr>
            <w:tcW w:w="1848" w:type="dxa"/>
            <w:vAlign w:val="center"/>
          </w:tcPr>
          <w:p w14:paraId="7EE4DAAB" w14:textId="791F02F1"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2CA5D506" w14:textId="35C0DFD9"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70EA073E" w14:textId="43584AE5"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4 (0.002)</w:t>
            </w:r>
          </w:p>
        </w:tc>
      </w:tr>
      <w:tr w:rsidR="00F83CCE" w14:paraId="6EE164C2" w14:textId="77777777" w:rsidTr="00484028">
        <w:tc>
          <w:tcPr>
            <w:tcW w:w="1848" w:type="dxa"/>
          </w:tcPr>
          <w:p w14:paraId="34882317" w14:textId="35C3329F"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ERYTHEMA</w:t>
            </w:r>
          </w:p>
        </w:tc>
        <w:tc>
          <w:tcPr>
            <w:tcW w:w="1848" w:type="dxa"/>
            <w:vAlign w:val="center"/>
          </w:tcPr>
          <w:p w14:paraId="65B6EBE4" w14:textId="57E35A64"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3 (0.001)</w:t>
            </w:r>
          </w:p>
        </w:tc>
        <w:tc>
          <w:tcPr>
            <w:tcW w:w="1848" w:type="dxa"/>
            <w:vAlign w:val="center"/>
          </w:tcPr>
          <w:p w14:paraId="35846F0F" w14:textId="480F882B"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34A55523" w14:textId="16E7AB4C"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45BFEC84" w14:textId="50A335A3"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3 (0.001)</w:t>
            </w:r>
          </w:p>
        </w:tc>
      </w:tr>
      <w:tr w:rsidR="00F83CCE" w14:paraId="3DE33EC8" w14:textId="77777777" w:rsidTr="00484028">
        <w:tc>
          <w:tcPr>
            <w:tcW w:w="1848" w:type="dxa"/>
          </w:tcPr>
          <w:p w14:paraId="66A98F56" w14:textId="323EBB5E" w:rsidR="00F83CCE" w:rsidRPr="00F83CCE" w:rsidRDefault="00487DD3" w:rsidP="00F83CCE">
            <w:p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lastRenderedPageBreak/>
              <w:t>O</w:t>
            </w:r>
            <w:r w:rsidR="00F83CCE" w:rsidRPr="00F83CCE">
              <w:rPr>
                <w:rFonts w:ascii="Times New Roman" w:hAnsi="Times New Roman" w:cs="Times New Roman"/>
                <w:b/>
                <w:bCs/>
                <w:color w:val="000000" w:themeColor="text1"/>
                <w:sz w:val="20"/>
                <w:szCs w:val="20"/>
              </w:rPr>
              <w:t>EDEMA</w:t>
            </w:r>
          </w:p>
        </w:tc>
        <w:tc>
          <w:tcPr>
            <w:tcW w:w="1848" w:type="dxa"/>
            <w:vAlign w:val="center"/>
          </w:tcPr>
          <w:p w14:paraId="11ECC391" w14:textId="51EC581F"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3 (0.001)</w:t>
            </w:r>
          </w:p>
        </w:tc>
        <w:tc>
          <w:tcPr>
            <w:tcW w:w="1848" w:type="dxa"/>
            <w:vAlign w:val="center"/>
          </w:tcPr>
          <w:p w14:paraId="431745AD" w14:textId="72FD7274"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6ED8D9EF" w14:textId="001CBA24"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102D88BC" w14:textId="691D9D11"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3 (0.001)</w:t>
            </w:r>
          </w:p>
        </w:tc>
      </w:tr>
      <w:tr w:rsidR="00F83CCE" w14:paraId="3D284073" w14:textId="77777777" w:rsidTr="00484028">
        <w:tc>
          <w:tcPr>
            <w:tcW w:w="1848" w:type="dxa"/>
          </w:tcPr>
          <w:p w14:paraId="3C1F5B07" w14:textId="0690C04E"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HEMORRHAGE</w:t>
            </w:r>
          </w:p>
        </w:tc>
        <w:tc>
          <w:tcPr>
            <w:tcW w:w="1848" w:type="dxa"/>
            <w:vAlign w:val="center"/>
          </w:tcPr>
          <w:p w14:paraId="19F3FED4" w14:textId="4C3D4D39"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 (0.001)</w:t>
            </w:r>
          </w:p>
        </w:tc>
        <w:tc>
          <w:tcPr>
            <w:tcW w:w="1848" w:type="dxa"/>
            <w:vAlign w:val="center"/>
          </w:tcPr>
          <w:p w14:paraId="4083C8FB" w14:textId="66C86E8D"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1AC22758" w14:textId="3246182D"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256C0C80" w14:textId="461A40FA"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 (0.001)</w:t>
            </w:r>
          </w:p>
        </w:tc>
      </w:tr>
      <w:tr w:rsidR="00F83CCE" w14:paraId="2DE6BEE2" w14:textId="77777777" w:rsidTr="00484028">
        <w:tc>
          <w:tcPr>
            <w:tcW w:w="1848" w:type="dxa"/>
          </w:tcPr>
          <w:p w14:paraId="35077D94" w14:textId="7A2E2F92"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IRRITATION</w:t>
            </w:r>
          </w:p>
        </w:tc>
        <w:tc>
          <w:tcPr>
            <w:tcW w:w="1848" w:type="dxa"/>
            <w:vAlign w:val="center"/>
          </w:tcPr>
          <w:p w14:paraId="7B6971F3" w14:textId="0835BCE5"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 (0.001)</w:t>
            </w:r>
          </w:p>
        </w:tc>
        <w:tc>
          <w:tcPr>
            <w:tcW w:w="1848" w:type="dxa"/>
            <w:vAlign w:val="center"/>
          </w:tcPr>
          <w:p w14:paraId="174579A8" w14:textId="109C5A09"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5F58D79A" w14:textId="5936D1A0"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6E542A46" w14:textId="2714D678"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 (0.001)</w:t>
            </w:r>
          </w:p>
        </w:tc>
      </w:tr>
      <w:tr w:rsidR="00F83CCE" w14:paraId="15E1861C" w14:textId="77777777" w:rsidTr="00484028">
        <w:tc>
          <w:tcPr>
            <w:tcW w:w="1848" w:type="dxa"/>
          </w:tcPr>
          <w:p w14:paraId="6A38FCB2" w14:textId="58E3FFEE"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b/>
                <w:bCs/>
                <w:color w:val="000000" w:themeColor="text1"/>
                <w:sz w:val="20"/>
                <w:szCs w:val="20"/>
              </w:rPr>
              <w:t>SWELLING</w:t>
            </w:r>
          </w:p>
        </w:tc>
        <w:tc>
          <w:tcPr>
            <w:tcW w:w="1848" w:type="dxa"/>
            <w:vAlign w:val="center"/>
          </w:tcPr>
          <w:p w14:paraId="2743179A" w14:textId="07E29812"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 (&lt;0.001)</w:t>
            </w:r>
          </w:p>
        </w:tc>
        <w:tc>
          <w:tcPr>
            <w:tcW w:w="1848" w:type="dxa"/>
            <w:vAlign w:val="center"/>
          </w:tcPr>
          <w:p w14:paraId="53ED27BD" w14:textId="1AF0B159"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1 (&lt;0.001)</w:t>
            </w:r>
          </w:p>
        </w:tc>
        <w:tc>
          <w:tcPr>
            <w:tcW w:w="1849" w:type="dxa"/>
            <w:vAlign w:val="center"/>
          </w:tcPr>
          <w:p w14:paraId="4C1A71B9" w14:textId="1ED06FC3"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0 (0.000)</w:t>
            </w:r>
          </w:p>
        </w:tc>
        <w:tc>
          <w:tcPr>
            <w:tcW w:w="1849" w:type="dxa"/>
            <w:vAlign w:val="center"/>
          </w:tcPr>
          <w:p w14:paraId="2D89ADE9" w14:textId="3D5C49CE" w:rsidR="00F83CCE" w:rsidRPr="00F83CCE" w:rsidRDefault="00F83CCE" w:rsidP="00F83CCE">
            <w:pPr>
              <w:jc w:val="cente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2 (0.001)</w:t>
            </w:r>
          </w:p>
        </w:tc>
      </w:tr>
      <w:tr w:rsidR="00F83CCE" w14:paraId="5EAA4EE8" w14:textId="77777777" w:rsidTr="00484028">
        <w:tc>
          <w:tcPr>
            <w:tcW w:w="9242" w:type="dxa"/>
            <w:gridSpan w:val="5"/>
          </w:tcPr>
          <w:p w14:paraId="2D2B2508" w14:textId="546D1062" w:rsidR="00F83CCE" w:rsidRPr="00F83CCE" w:rsidRDefault="00F83CCE" w:rsidP="00F83CCE">
            <w:pPr>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 xml:space="preserve">* Excluding infections.  N=2294 subcutaneous infusions </w:t>
            </w:r>
          </w:p>
          <w:p w14:paraId="270206AD" w14:textId="6B385FC6" w:rsidR="00F83CCE" w:rsidRPr="00F83CCE" w:rsidRDefault="00F83CCE" w:rsidP="00F83CCE">
            <w:pPr>
              <w:ind w:left="180"/>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 xml:space="preserve">Mild:  transient discomfort that resolves spontaneously or with minimal intervention </w:t>
            </w:r>
          </w:p>
          <w:p w14:paraId="13C6E99A" w14:textId="12BBD679" w:rsidR="00F83CCE" w:rsidRPr="00F83CCE" w:rsidRDefault="00F83CCE" w:rsidP="00F83CCE">
            <w:pPr>
              <w:ind w:left="180"/>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Moderate: limited impairment of function and resolves spontaneously or with minimal intervention with no sequelae</w:t>
            </w:r>
          </w:p>
          <w:p w14:paraId="5D213991" w14:textId="4B1F95AE" w:rsidR="00F83CCE" w:rsidRPr="00F83CCE" w:rsidRDefault="00F83CCE" w:rsidP="00F83CCE">
            <w:pPr>
              <w:ind w:left="180"/>
              <w:rPr>
                <w:rFonts w:ascii="Times New Roman" w:hAnsi="Times New Roman" w:cs="Times New Roman"/>
                <w:color w:val="000000" w:themeColor="text1"/>
                <w:sz w:val="20"/>
                <w:szCs w:val="20"/>
              </w:rPr>
            </w:pPr>
            <w:r w:rsidRPr="00F83CCE">
              <w:rPr>
                <w:rFonts w:ascii="Times New Roman" w:hAnsi="Times New Roman" w:cs="Times New Roman"/>
                <w:color w:val="000000" w:themeColor="text1"/>
                <w:sz w:val="20"/>
                <w:szCs w:val="20"/>
              </w:rPr>
              <w:t>Severe: marked impairment of function or can lead to temporary inability to resume normal life pattern; requires prolonged intervention or results in sequelae.</w:t>
            </w:r>
          </w:p>
        </w:tc>
      </w:tr>
    </w:tbl>
    <w:p w14:paraId="6609609F"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10CC99BE" w14:textId="3889AABF"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The overall rate of local AEs (excluding infections) during the subcutaneous treatment periods was 2.8% per infusion.  In subcutaneous naïve patients, the incidence of local AEs (N=1757 infusions) was 3.3% (2.6% mild and 0.7% moderate with no severe AEs). In the subjects who were subcutaneous experienced (N=537 infusions), the incidence of local AEs was 1.1% (1.1% mild, and no moderate or severe AEs). </w:t>
      </w:r>
    </w:p>
    <w:p w14:paraId="1432C9AB"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7B6F6F12" w14:textId="36483CE9"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In the clinical study after all subcutaneous doses were adjusted, all subjects but one reached the maximum rate allowed in the protocol, 20 mL/site/hour if weight was below 40 kg and 30/ml/hour for weight above 40</w:t>
      </w:r>
      <w:r w:rsidR="00E04101">
        <w:rPr>
          <w:rFonts w:ascii="Times New Roman" w:hAnsi="Times New Roman" w:cs="Times New Roman"/>
          <w:color w:val="000000" w:themeColor="text1"/>
          <w:sz w:val="24"/>
          <w:szCs w:val="24"/>
        </w:rPr>
        <w:t xml:space="preserve"> </w:t>
      </w:r>
      <w:r w:rsidRPr="00F83CCE">
        <w:rPr>
          <w:rFonts w:ascii="Times New Roman" w:hAnsi="Times New Roman" w:cs="Times New Roman"/>
          <w:color w:val="000000" w:themeColor="text1"/>
          <w:sz w:val="24"/>
          <w:szCs w:val="24"/>
        </w:rPr>
        <w:t xml:space="preserve">kg, for one or more of the infusions. 70% (31 of 44) of these subjects opted for the highest rate for all infusions. No subject restricted the rate due to an ADR. In the clinical study, median duration of each weekly infusion was 1.2 hours (range: 0.8 – 2.3 hours) after all subcutaneous doses were adjusted. The rate set on the pump was that rate per site multiplied by the number of sites, with no maximum. </w:t>
      </w:r>
    </w:p>
    <w:p w14:paraId="46552934"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During all subcutaneous treatment periods, 99.8% of infusions were completed without a reduction, interruption, or discontinuation for tolerability reasons. The proportion of subjects who experienced local AEs (excluding infections) was highest immediately following the switch from intravenous to subcutaneous treatment in all age groups. Over subsequent subcutaneous infusions, there was a decrease of local AEs. The rate of all local AEs per infusion immediately after switching from intravenous to subcutaneous therapy was 4.9% (29/595), decreasing to 1.5% (8/538) by the end of the study and to 1.1% (10/893) in the Study Extension.  </w:t>
      </w:r>
    </w:p>
    <w:p w14:paraId="4C1A7B7E"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2F00752E" w14:textId="14683ADB"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Eight (17%) subjects experienced a local adverse reaction during the first infusion, but that decreased to 1 (2.1%) for the subsequent infusions, ranging from 0 to 4 (8.7%) during the first year of subcutaneous therapy. No subject reported a local adverse reaction from week 53 to end of study at week 68.</w:t>
      </w:r>
    </w:p>
    <w:p w14:paraId="3F9C2879"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64C97DBA" w14:textId="0084A875" w:rsidR="00CB6B8A" w:rsidRDefault="00F73EBA" w:rsidP="00140D87">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 –marketing adverse r</w:t>
      </w:r>
      <w:r w:rsidR="00CB6B8A" w:rsidRPr="00F83CCE">
        <w:rPr>
          <w:rFonts w:ascii="Times New Roman" w:hAnsi="Times New Roman" w:cs="Times New Roman"/>
          <w:color w:val="000000" w:themeColor="text1"/>
          <w:sz w:val="24"/>
          <w:szCs w:val="24"/>
        </w:rPr>
        <w:t>eactions</w:t>
      </w:r>
    </w:p>
    <w:p w14:paraId="0341B532" w14:textId="77777777" w:rsidR="00140D87" w:rsidRPr="00140D87" w:rsidRDefault="00140D87" w:rsidP="00140D87">
      <w:pPr>
        <w:spacing w:after="0" w:line="240" w:lineRule="auto"/>
      </w:pPr>
    </w:p>
    <w:p w14:paraId="2B4722E7"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In addition to the adverse reactions noted in clinical trials, the following adverse reactions have been reported in the post-marketing experience. These adverse reactions are listed by System Order Class (SOC), then by Preferred MedDRA term in order of severity.</w:t>
      </w:r>
    </w:p>
    <w:p w14:paraId="6312CE29" w14:textId="77777777" w:rsidR="00CB6B8A" w:rsidRDefault="00CB6B8A" w:rsidP="00F83CCE">
      <w:pPr>
        <w:spacing w:after="0" w:line="240" w:lineRule="auto"/>
        <w:rPr>
          <w:rFonts w:ascii="Times New Roman" w:hAnsi="Times New Roman" w:cs="Times New Roman"/>
          <w:color w:val="000000" w:themeColor="text1"/>
          <w:sz w:val="24"/>
          <w:szCs w:val="24"/>
        </w:rPr>
      </w:pPr>
    </w:p>
    <w:p w14:paraId="637BD75B" w14:textId="77777777" w:rsidR="00CB6B8A" w:rsidRPr="00F83CCE" w:rsidRDefault="00CB6B8A" w:rsidP="00F83CCE">
      <w:pPr>
        <w:spacing w:after="0" w:line="240" w:lineRule="auto"/>
        <w:rPr>
          <w:rFonts w:ascii="Times New Roman" w:hAnsi="Times New Roman" w:cs="Times New Roman"/>
          <w:color w:val="000000" w:themeColor="text1"/>
          <w:sz w:val="24"/>
          <w:szCs w:val="24"/>
          <w:u w:val="single"/>
        </w:rPr>
      </w:pPr>
      <w:r w:rsidRPr="00F83CCE">
        <w:rPr>
          <w:rFonts w:ascii="Times New Roman" w:hAnsi="Times New Roman" w:cs="Times New Roman"/>
          <w:color w:val="000000" w:themeColor="text1"/>
          <w:sz w:val="24"/>
          <w:szCs w:val="24"/>
          <w:u w:val="single"/>
        </w:rPr>
        <w:t>Intravenous administration</w:t>
      </w:r>
    </w:p>
    <w:p w14:paraId="5601DAA8"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BLOOD AND LYMPHATIC SYSTEM DISORDERS: Haemolysis</w:t>
      </w:r>
    </w:p>
    <w:p w14:paraId="202E3A5F"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28821219" w14:textId="564D6574"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IMMUNE SYSTEM DISORDERS: Anaphylactic shock, </w:t>
      </w:r>
      <w:r w:rsidR="001C5AC3">
        <w:rPr>
          <w:rFonts w:ascii="Times New Roman" w:hAnsi="Times New Roman" w:cs="Times New Roman"/>
          <w:color w:val="000000" w:themeColor="text1"/>
          <w:sz w:val="24"/>
          <w:szCs w:val="24"/>
        </w:rPr>
        <w:t>a</w:t>
      </w:r>
      <w:r w:rsidRPr="00F83CCE">
        <w:rPr>
          <w:rFonts w:ascii="Times New Roman" w:hAnsi="Times New Roman" w:cs="Times New Roman"/>
          <w:color w:val="000000" w:themeColor="text1"/>
          <w:sz w:val="24"/>
          <w:szCs w:val="24"/>
        </w:rPr>
        <w:t xml:space="preserve">naphylactic reaction, </w:t>
      </w:r>
      <w:r w:rsidR="001C5AC3">
        <w:rPr>
          <w:rFonts w:ascii="Times New Roman" w:hAnsi="Times New Roman" w:cs="Times New Roman"/>
          <w:color w:val="000000" w:themeColor="text1"/>
          <w:sz w:val="24"/>
          <w:szCs w:val="24"/>
        </w:rPr>
        <w:t>h</w:t>
      </w:r>
      <w:r w:rsidRPr="00F83CCE">
        <w:rPr>
          <w:rFonts w:ascii="Times New Roman" w:hAnsi="Times New Roman" w:cs="Times New Roman"/>
          <w:color w:val="000000" w:themeColor="text1"/>
          <w:sz w:val="24"/>
          <w:szCs w:val="24"/>
        </w:rPr>
        <w:t>ypersensitivity</w:t>
      </w:r>
    </w:p>
    <w:p w14:paraId="20FD1CC7"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2945D403" w14:textId="352AF500"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NERVOUS SYSTEM DISORDERS: Cerebral vascular accident, </w:t>
      </w:r>
      <w:r w:rsidR="001C5AC3">
        <w:rPr>
          <w:rFonts w:ascii="Times New Roman" w:hAnsi="Times New Roman" w:cs="Times New Roman"/>
          <w:color w:val="000000" w:themeColor="text1"/>
          <w:sz w:val="24"/>
          <w:szCs w:val="24"/>
        </w:rPr>
        <w:t>t</w:t>
      </w:r>
      <w:r w:rsidRPr="00F83CCE">
        <w:rPr>
          <w:rFonts w:ascii="Times New Roman" w:hAnsi="Times New Roman" w:cs="Times New Roman"/>
          <w:color w:val="000000" w:themeColor="text1"/>
          <w:sz w:val="24"/>
          <w:szCs w:val="24"/>
        </w:rPr>
        <w:t xml:space="preserve">ransient ischemic attack, </w:t>
      </w:r>
      <w:r w:rsidR="001C5AC3">
        <w:rPr>
          <w:rFonts w:ascii="Times New Roman" w:hAnsi="Times New Roman" w:cs="Times New Roman"/>
          <w:color w:val="000000" w:themeColor="text1"/>
          <w:sz w:val="24"/>
          <w:szCs w:val="24"/>
        </w:rPr>
        <w:t>t</w:t>
      </w:r>
      <w:r w:rsidRPr="00F83CCE">
        <w:rPr>
          <w:rFonts w:ascii="Times New Roman" w:hAnsi="Times New Roman" w:cs="Times New Roman"/>
          <w:color w:val="000000" w:themeColor="text1"/>
          <w:sz w:val="24"/>
          <w:szCs w:val="24"/>
        </w:rPr>
        <w:t>remor</w:t>
      </w:r>
    </w:p>
    <w:p w14:paraId="76E34922"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08799996"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CARDIAC DISORDERS: Myocardial infarction</w:t>
      </w:r>
    </w:p>
    <w:p w14:paraId="3C05C91D"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45012B29" w14:textId="436D28C4"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VASCULAR DISORDERS: Myocardial Infarction, </w:t>
      </w:r>
      <w:r w:rsidR="001C5AC3">
        <w:rPr>
          <w:rFonts w:ascii="Times New Roman" w:hAnsi="Times New Roman" w:cs="Times New Roman"/>
          <w:color w:val="000000" w:themeColor="text1"/>
          <w:sz w:val="24"/>
          <w:szCs w:val="24"/>
        </w:rPr>
        <w:t>d</w:t>
      </w:r>
      <w:r w:rsidRPr="00F83CCE">
        <w:rPr>
          <w:rFonts w:ascii="Times New Roman" w:hAnsi="Times New Roman" w:cs="Times New Roman"/>
          <w:color w:val="000000" w:themeColor="text1"/>
          <w:sz w:val="24"/>
          <w:szCs w:val="24"/>
        </w:rPr>
        <w:t>eep vein thrombosis</w:t>
      </w:r>
      <w:r w:rsidR="001C5AC3">
        <w:rPr>
          <w:rFonts w:ascii="Times New Roman" w:hAnsi="Times New Roman" w:cs="Times New Roman"/>
          <w:color w:val="000000" w:themeColor="text1"/>
          <w:sz w:val="24"/>
          <w:szCs w:val="24"/>
        </w:rPr>
        <w:t>,</w:t>
      </w:r>
      <w:r w:rsidRPr="00F83CCE">
        <w:rPr>
          <w:rFonts w:ascii="Times New Roman" w:hAnsi="Times New Roman" w:cs="Times New Roman"/>
          <w:color w:val="000000" w:themeColor="text1"/>
          <w:sz w:val="24"/>
          <w:szCs w:val="24"/>
        </w:rPr>
        <w:t xml:space="preserve"> </w:t>
      </w:r>
      <w:r w:rsidR="001C5AC3">
        <w:rPr>
          <w:rFonts w:ascii="Times New Roman" w:hAnsi="Times New Roman" w:cs="Times New Roman"/>
          <w:color w:val="000000" w:themeColor="text1"/>
          <w:sz w:val="24"/>
          <w:szCs w:val="24"/>
        </w:rPr>
        <w:t>h</w:t>
      </w:r>
      <w:r w:rsidRPr="00F83CCE">
        <w:rPr>
          <w:rFonts w:ascii="Times New Roman" w:hAnsi="Times New Roman" w:cs="Times New Roman"/>
          <w:color w:val="000000" w:themeColor="text1"/>
          <w:sz w:val="24"/>
          <w:szCs w:val="24"/>
        </w:rPr>
        <w:t>ypotension</w:t>
      </w:r>
    </w:p>
    <w:p w14:paraId="58E1A4A0"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63757B12" w14:textId="1F117DE9"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RESPIRATORY, THORACIC AND MEDIASTINAL DISORDERS: Pulmonary embolism, </w:t>
      </w:r>
      <w:r w:rsidR="001C5AC3">
        <w:rPr>
          <w:rFonts w:ascii="Times New Roman" w:hAnsi="Times New Roman" w:cs="Times New Roman"/>
          <w:color w:val="000000" w:themeColor="text1"/>
          <w:sz w:val="24"/>
          <w:szCs w:val="24"/>
        </w:rPr>
        <w:t>p</w:t>
      </w:r>
      <w:r w:rsidRPr="00F83CCE">
        <w:rPr>
          <w:rFonts w:ascii="Times New Roman" w:hAnsi="Times New Roman" w:cs="Times New Roman"/>
          <w:color w:val="000000" w:themeColor="text1"/>
          <w:sz w:val="24"/>
          <w:szCs w:val="24"/>
        </w:rPr>
        <w:t xml:space="preserve">ulmonary </w:t>
      </w:r>
      <w:r w:rsidR="00487DD3" w:rsidRPr="00F83CCE">
        <w:rPr>
          <w:rFonts w:ascii="Times New Roman" w:hAnsi="Times New Roman" w:cs="Times New Roman"/>
          <w:color w:val="000000" w:themeColor="text1"/>
          <w:sz w:val="24"/>
          <w:szCs w:val="24"/>
        </w:rPr>
        <w:t>oedema</w:t>
      </w:r>
      <w:r w:rsidRPr="00F83CCE">
        <w:rPr>
          <w:rFonts w:ascii="Times New Roman" w:hAnsi="Times New Roman" w:cs="Times New Roman"/>
          <w:color w:val="000000" w:themeColor="text1"/>
          <w:sz w:val="24"/>
          <w:szCs w:val="24"/>
        </w:rPr>
        <w:t xml:space="preserve">, </w:t>
      </w:r>
      <w:r w:rsidR="001C5AC3">
        <w:rPr>
          <w:rFonts w:ascii="Times New Roman" w:hAnsi="Times New Roman" w:cs="Times New Roman"/>
          <w:color w:val="000000" w:themeColor="text1"/>
          <w:sz w:val="24"/>
          <w:szCs w:val="24"/>
        </w:rPr>
        <w:t>d</w:t>
      </w:r>
      <w:r w:rsidR="00487DD3" w:rsidRPr="00F83CCE">
        <w:rPr>
          <w:rFonts w:ascii="Times New Roman" w:hAnsi="Times New Roman" w:cs="Times New Roman"/>
          <w:color w:val="000000" w:themeColor="text1"/>
          <w:sz w:val="24"/>
          <w:szCs w:val="24"/>
        </w:rPr>
        <w:t>yspnoea</w:t>
      </w:r>
    </w:p>
    <w:p w14:paraId="573102ED"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0E4A1F22" w14:textId="665B1BDE"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SKIN AND SUBCUTANEOUS TISSUE DISORDERS: Hyperhidrosis</w:t>
      </w:r>
      <w:r w:rsidR="00A1333D">
        <w:rPr>
          <w:rFonts w:ascii="Times New Roman" w:hAnsi="Times New Roman" w:cs="Times New Roman"/>
          <w:color w:val="000000" w:themeColor="text1"/>
          <w:sz w:val="24"/>
          <w:szCs w:val="24"/>
        </w:rPr>
        <w:t>, exfoliative dermatitis</w:t>
      </w:r>
    </w:p>
    <w:p w14:paraId="4C991772"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28253DD1" w14:textId="77777777"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INJURY, POISONING AND PROCEDURAL COMPLICATIONS: Transfusion-related acute lung injury</w:t>
      </w:r>
    </w:p>
    <w:p w14:paraId="37C146C1"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0CC42D10" w14:textId="7D180A44"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GENERAL DISORDERS AND ADMINISTRATION-SITE CONDITIONS: Chest pain, </w:t>
      </w:r>
      <w:r w:rsidR="001C5AC3">
        <w:rPr>
          <w:rFonts w:ascii="Times New Roman" w:hAnsi="Times New Roman" w:cs="Times New Roman"/>
          <w:color w:val="000000" w:themeColor="text1"/>
          <w:sz w:val="24"/>
          <w:szCs w:val="24"/>
        </w:rPr>
        <w:t>c</w:t>
      </w:r>
      <w:r w:rsidRPr="00F83CCE">
        <w:rPr>
          <w:rFonts w:ascii="Times New Roman" w:hAnsi="Times New Roman" w:cs="Times New Roman"/>
          <w:color w:val="000000" w:themeColor="text1"/>
          <w:sz w:val="24"/>
          <w:szCs w:val="24"/>
        </w:rPr>
        <w:t>hills</w:t>
      </w:r>
    </w:p>
    <w:p w14:paraId="5D017536" w14:textId="77777777" w:rsidR="00CB6B8A" w:rsidRPr="00F83CCE" w:rsidRDefault="00CB6B8A" w:rsidP="00F83CCE">
      <w:pPr>
        <w:spacing w:after="0" w:line="240" w:lineRule="auto"/>
        <w:rPr>
          <w:rFonts w:ascii="Times New Roman" w:hAnsi="Times New Roman" w:cs="Times New Roman"/>
          <w:color w:val="000000" w:themeColor="text1"/>
          <w:sz w:val="24"/>
          <w:szCs w:val="24"/>
        </w:rPr>
      </w:pPr>
    </w:p>
    <w:p w14:paraId="1BFA6D83" w14:textId="1E4EBC81" w:rsidR="00CB6B8A" w:rsidRPr="00F83CCE"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 xml:space="preserve">INVESTIGATIONS: Coombs’ direct test positive, </w:t>
      </w:r>
      <w:r w:rsidR="001C5AC3">
        <w:rPr>
          <w:rFonts w:ascii="Times New Roman" w:hAnsi="Times New Roman" w:cs="Times New Roman"/>
          <w:color w:val="000000" w:themeColor="text1"/>
          <w:sz w:val="24"/>
          <w:szCs w:val="24"/>
        </w:rPr>
        <w:t>o</w:t>
      </w:r>
      <w:r w:rsidRPr="00F83CCE">
        <w:rPr>
          <w:rFonts w:ascii="Times New Roman" w:hAnsi="Times New Roman" w:cs="Times New Roman"/>
          <w:color w:val="000000" w:themeColor="text1"/>
          <w:sz w:val="24"/>
          <w:szCs w:val="24"/>
        </w:rPr>
        <w:t>xygen saturation decreased</w:t>
      </w:r>
    </w:p>
    <w:p w14:paraId="71480CB5" w14:textId="77777777" w:rsidR="00CB6B8A" w:rsidRPr="00F83CCE" w:rsidRDefault="00CB6B8A" w:rsidP="00F83CCE">
      <w:pPr>
        <w:spacing w:after="0" w:line="240" w:lineRule="auto"/>
        <w:rPr>
          <w:rFonts w:ascii="Times New Roman" w:hAnsi="Times New Roman" w:cs="Times New Roman"/>
          <w:color w:val="000000" w:themeColor="text1"/>
          <w:sz w:val="24"/>
          <w:szCs w:val="24"/>
        </w:rPr>
      </w:pPr>
      <w:bookmarkStart w:id="2" w:name="IDX"/>
      <w:bookmarkEnd w:id="2"/>
    </w:p>
    <w:p w14:paraId="741C7EF3" w14:textId="77777777" w:rsidR="00CB6B8A" w:rsidRPr="00F83CCE" w:rsidRDefault="00CB6B8A" w:rsidP="00F83CCE">
      <w:pPr>
        <w:spacing w:after="0" w:line="240" w:lineRule="auto"/>
        <w:rPr>
          <w:rFonts w:ascii="Times New Roman" w:hAnsi="Times New Roman" w:cs="Times New Roman"/>
          <w:color w:val="000000" w:themeColor="text1"/>
          <w:sz w:val="24"/>
          <w:szCs w:val="24"/>
          <w:u w:val="single"/>
        </w:rPr>
      </w:pPr>
      <w:r w:rsidRPr="00F83CCE">
        <w:rPr>
          <w:rFonts w:ascii="Times New Roman" w:hAnsi="Times New Roman" w:cs="Times New Roman"/>
          <w:color w:val="000000" w:themeColor="text1"/>
          <w:sz w:val="24"/>
          <w:szCs w:val="24"/>
          <w:u w:val="single"/>
        </w:rPr>
        <w:t>Subcutaneous Administration</w:t>
      </w:r>
    </w:p>
    <w:p w14:paraId="07842CD0" w14:textId="77777777" w:rsidR="00CB6B8A"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IMMUNE SYSTEM DISORDERS: Hypersensitivity</w:t>
      </w:r>
    </w:p>
    <w:p w14:paraId="069A72F8" w14:textId="77777777" w:rsidR="00F83CCE" w:rsidRPr="00F83CCE" w:rsidRDefault="00F83CCE" w:rsidP="00F83CCE">
      <w:pPr>
        <w:spacing w:after="0" w:line="240" w:lineRule="auto"/>
        <w:rPr>
          <w:rFonts w:ascii="Times New Roman" w:hAnsi="Times New Roman" w:cs="Times New Roman"/>
          <w:color w:val="000000" w:themeColor="text1"/>
          <w:sz w:val="24"/>
          <w:szCs w:val="24"/>
        </w:rPr>
      </w:pPr>
    </w:p>
    <w:p w14:paraId="74B7E141" w14:textId="6365015E" w:rsidR="00CB6B8A"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MUSCULOSKELETAL AND CONNECTIVE TISSUE DISORDERS: Myalgia</w:t>
      </w:r>
    </w:p>
    <w:p w14:paraId="6E3935F5" w14:textId="77777777" w:rsidR="00F83CCE" w:rsidRPr="00F83CCE" w:rsidRDefault="00F83CCE" w:rsidP="00F83CCE">
      <w:pPr>
        <w:spacing w:after="0" w:line="240" w:lineRule="auto"/>
        <w:rPr>
          <w:rFonts w:ascii="Times New Roman" w:hAnsi="Times New Roman" w:cs="Times New Roman"/>
          <w:color w:val="000000" w:themeColor="text1"/>
          <w:sz w:val="24"/>
          <w:szCs w:val="24"/>
        </w:rPr>
      </w:pPr>
    </w:p>
    <w:p w14:paraId="4D497592" w14:textId="77777777" w:rsidR="00CB6B8A" w:rsidRDefault="00CB6B8A" w:rsidP="00F83CCE">
      <w:pPr>
        <w:spacing w:after="0" w:line="240" w:lineRule="auto"/>
        <w:rPr>
          <w:rFonts w:ascii="Times New Roman" w:hAnsi="Times New Roman" w:cs="Times New Roman"/>
          <w:color w:val="000000" w:themeColor="text1"/>
          <w:sz w:val="24"/>
          <w:szCs w:val="24"/>
        </w:rPr>
      </w:pPr>
      <w:r w:rsidRPr="00F83CCE">
        <w:rPr>
          <w:rFonts w:ascii="Times New Roman" w:hAnsi="Times New Roman" w:cs="Times New Roman"/>
          <w:color w:val="000000" w:themeColor="text1"/>
          <w:sz w:val="24"/>
          <w:szCs w:val="24"/>
        </w:rPr>
        <w:t>GENERAL DISORDERS AND ADMINISTRATION SITE CONDITIONS: Chills</w:t>
      </w:r>
    </w:p>
    <w:p w14:paraId="16303EBA" w14:textId="6677373F" w:rsidR="00CB6B8A" w:rsidRPr="00F83CCE" w:rsidRDefault="00F73EBA" w:rsidP="00F83CCE">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 r</w:t>
      </w:r>
      <w:r w:rsidR="00CB6B8A" w:rsidRPr="00F83CCE">
        <w:rPr>
          <w:rFonts w:ascii="Times New Roman" w:hAnsi="Times New Roman" w:cs="Times New Roman"/>
          <w:color w:val="000000" w:themeColor="text1"/>
          <w:sz w:val="24"/>
          <w:szCs w:val="24"/>
        </w:rPr>
        <w:t xml:space="preserve">eactions </w:t>
      </w:r>
    </w:p>
    <w:p w14:paraId="34071A3B" w14:textId="77777777" w:rsidR="00715CED" w:rsidRDefault="00715CED" w:rsidP="00BF4A6A">
      <w:pPr>
        <w:spacing w:after="0" w:line="240" w:lineRule="auto"/>
        <w:rPr>
          <w:rFonts w:ascii="Times New Roman" w:hAnsi="Times New Roman" w:cs="Times New Roman"/>
          <w:color w:val="000000" w:themeColor="text1"/>
          <w:sz w:val="24"/>
          <w:szCs w:val="24"/>
          <w:u w:val="single"/>
        </w:rPr>
      </w:pPr>
    </w:p>
    <w:p w14:paraId="4E3B6561" w14:textId="77777777" w:rsidR="00CB6B8A" w:rsidRPr="00BF4A6A" w:rsidRDefault="00CB6B8A" w:rsidP="00BF4A6A">
      <w:pPr>
        <w:spacing w:after="0" w:line="240" w:lineRule="auto"/>
        <w:rPr>
          <w:rFonts w:ascii="Times New Roman" w:hAnsi="Times New Roman" w:cs="Times New Roman"/>
          <w:color w:val="000000" w:themeColor="text1"/>
          <w:sz w:val="24"/>
          <w:szCs w:val="24"/>
          <w:u w:val="single"/>
        </w:rPr>
      </w:pPr>
      <w:r w:rsidRPr="00BF4A6A">
        <w:rPr>
          <w:rFonts w:ascii="Times New Roman" w:hAnsi="Times New Roman" w:cs="Times New Roman"/>
          <w:color w:val="000000" w:themeColor="text1"/>
          <w:sz w:val="24"/>
          <w:szCs w:val="24"/>
          <w:u w:val="single"/>
        </w:rPr>
        <w:t xml:space="preserve">Subcutaneous Administration </w:t>
      </w:r>
    </w:p>
    <w:p w14:paraId="57AD16B3" w14:textId="4E06586D" w:rsidR="00CB6B8A" w:rsidRDefault="00CB6B8A" w:rsidP="00BF4A6A">
      <w:pPr>
        <w:spacing w:after="0" w:line="240" w:lineRule="auto"/>
        <w:rPr>
          <w:rFonts w:ascii="Times New Roman" w:hAnsi="Times New Roman" w:cs="Times New Roman"/>
          <w:color w:val="000000" w:themeColor="text1"/>
          <w:sz w:val="24"/>
          <w:szCs w:val="24"/>
        </w:rPr>
      </w:pPr>
      <w:r w:rsidRPr="00BF4A6A">
        <w:rPr>
          <w:rFonts w:ascii="Times New Roman" w:hAnsi="Times New Roman" w:cs="Times New Roman"/>
          <w:color w:val="000000" w:themeColor="text1"/>
          <w:sz w:val="24"/>
          <w:szCs w:val="24"/>
        </w:rPr>
        <w:t xml:space="preserve">Post-marketing ADRs have not been reported with KIOVIG administered subcutaneously. However, the following additional ADRs have been identified and reported during the post-marketing use of another subcutaneous immune globulin product: Anaphylactic reaction, </w:t>
      </w:r>
      <w:r w:rsidR="001C5AC3">
        <w:rPr>
          <w:rFonts w:ascii="Times New Roman" w:hAnsi="Times New Roman" w:cs="Times New Roman"/>
          <w:color w:val="000000" w:themeColor="text1"/>
          <w:sz w:val="24"/>
          <w:szCs w:val="24"/>
        </w:rPr>
        <w:t>p</w:t>
      </w:r>
      <w:r w:rsidR="001C5AC3" w:rsidRPr="00BF4A6A">
        <w:rPr>
          <w:rFonts w:ascii="Times New Roman" w:hAnsi="Times New Roman" w:cs="Times New Roman"/>
          <w:color w:val="000000" w:themeColor="text1"/>
          <w:sz w:val="24"/>
          <w:szCs w:val="24"/>
        </w:rPr>
        <w:t>araesthesia</w:t>
      </w:r>
      <w:r w:rsidRPr="00BF4A6A">
        <w:rPr>
          <w:rFonts w:ascii="Times New Roman" w:hAnsi="Times New Roman" w:cs="Times New Roman"/>
          <w:color w:val="000000" w:themeColor="text1"/>
          <w:sz w:val="24"/>
          <w:szCs w:val="24"/>
        </w:rPr>
        <w:t xml:space="preserve">, </w:t>
      </w:r>
      <w:r w:rsidR="001C5AC3">
        <w:rPr>
          <w:rFonts w:ascii="Times New Roman" w:hAnsi="Times New Roman" w:cs="Times New Roman"/>
          <w:color w:val="000000" w:themeColor="text1"/>
          <w:sz w:val="24"/>
          <w:szCs w:val="24"/>
        </w:rPr>
        <w:t>t</w:t>
      </w:r>
      <w:r w:rsidRPr="00BF4A6A">
        <w:rPr>
          <w:rFonts w:ascii="Times New Roman" w:hAnsi="Times New Roman" w:cs="Times New Roman"/>
          <w:color w:val="000000" w:themeColor="text1"/>
          <w:sz w:val="24"/>
          <w:szCs w:val="24"/>
        </w:rPr>
        <w:t xml:space="preserve">remor, </w:t>
      </w:r>
      <w:r w:rsidR="001C5AC3">
        <w:rPr>
          <w:rFonts w:ascii="Times New Roman" w:hAnsi="Times New Roman" w:cs="Times New Roman"/>
          <w:color w:val="000000" w:themeColor="text1"/>
          <w:sz w:val="24"/>
          <w:szCs w:val="24"/>
        </w:rPr>
        <w:t>t</w:t>
      </w:r>
      <w:r w:rsidRPr="00BF4A6A">
        <w:rPr>
          <w:rFonts w:ascii="Times New Roman" w:hAnsi="Times New Roman" w:cs="Times New Roman"/>
          <w:color w:val="000000" w:themeColor="text1"/>
          <w:sz w:val="24"/>
          <w:szCs w:val="24"/>
        </w:rPr>
        <w:t xml:space="preserve">achycardia, </w:t>
      </w:r>
      <w:r w:rsidR="001C5AC3">
        <w:rPr>
          <w:rFonts w:ascii="Times New Roman" w:hAnsi="Times New Roman" w:cs="Times New Roman"/>
          <w:color w:val="000000" w:themeColor="text1"/>
          <w:sz w:val="24"/>
          <w:szCs w:val="24"/>
        </w:rPr>
        <w:t>h</w:t>
      </w:r>
      <w:r w:rsidRPr="00BF4A6A">
        <w:rPr>
          <w:rFonts w:ascii="Times New Roman" w:hAnsi="Times New Roman" w:cs="Times New Roman"/>
          <w:color w:val="000000" w:themeColor="text1"/>
          <w:sz w:val="24"/>
          <w:szCs w:val="24"/>
        </w:rPr>
        <w:t xml:space="preserve">ypotension, </w:t>
      </w:r>
      <w:r w:rsidR="001C5AC3" w:rsidRPr="00BF4A6A">
        <w:rPr>
          <w:rFonts w:ascii="Times New Roman" w:hAnsi="Times New Roman" w:cs="Times New Roman"/>
          <w:color w:val="000000" w:themeColor="text1"/>
          <w:sz w:val="24"/>
          <w:szCs w:val="24"/>
        </w:rPr>
        <w:t>Dyspnoea</w:t>
      </w:r>
      <w:r w:rsidRPr="00BF4A6A">
        <w:rPr>
          <w:rFonts w:ascii="Times New Roman" w:hAnsi="Times New Roman" w:cs="Times New Roman"/>
          <w:color w:val="000000" w:themeColor="text1"/>
          <w:sz w:val="24"/>
          <w:szCs w:val="24"/>
        </w:rPr>
        <w:t xml:space="preserve">, </w:t>
      </w:r>
      <w:r w:rsidR="001C5AC3">
        <w:rPr>
          <w:rFonts w:ascii="Times New Roman" w:hAnsi="Times New Roman" w:cs="Times New Roman"/>
          <w:color w:val="000000" w:themeColor="text1"/>
          <w:sz w:val="24"/>
          <w:szCs w:val="24"/>
        </w:rPr>
        <w:t>l</w:t>
      </w:r>
      <w:r w:rsidRPr="00BF4A6A">
        <w:rPr>
          <w:rFonts w:ascii="Times New Roman" w:hAnsi="Times New Roman" w:cs="Times New Roman"/>
          <w:color w:val="000000" w:themeColor="text1"/>
          <w:sz w:val="24"/>
          <w:szCs w:val="24"/>
        </w:rPr>
        <w:t xml:space="preserve">aryngospasm, </w:t>
      </w:r>
      <w:r w:rsidR="001C5AC3">
        <w:rPr>
          <w:rFonts w:ascii="Times New Roman" w:hAnsi="Times New Roman" w:cs="Times New Roman"/>
          <w:color w:val="000000" w:themeColor="text1"/>
          <w:sz w:val="24"/>
          <w:szCs w:val="24"/>
        </w:rPr>
        <w:t>c</w:t>
      </w:r>
      <w:r w:rsidRPr="00BF4A6A">
        <w:rPr>
          <w:rFonts w:ascii="Times New Roman" w:hAnsi="Times New Roman" w:cs="Times New Roman"/>
          <w:color w:val="000000" w:themeColor="text1"/>
          <w:sz w:val="24"/>
          <w:szCs w:val="24"/>
        </w:rPr>
        <w:t xml:space="preserve">hest discomfort, </w:t>
      </w:r>
      <w:r w:rsidR="001C5AC3">
        <w:rPr>
          <w:rFonts w:ascii="Times New Roman" w:hAnsi="Times New Roman" w:cs="Times New Roman"/>
          <w:color w:val="000000" w:themeColor="text1"/>
          <w:sz w:val="24"/>
          <w:szCs w:val="24"/>
        </w:rPr>
        <w:t>i</w:t>
      </w:r>
      <w:r w:rsidRPr="00BF4A6A">
        <w:rPr>
          <w:rFonts w:ascii="Times New Roman" w:hAnsi="Times New Roman" w:cs="Times New Roman"/>
          <w:color w:val="000000" w:themeColor="text1"/>
          <w:sz w:val="24"/>
          <w:szCs w:val="24"/>
        </w:rPr>
        <w:t xml:space="preserve">njections site reaction (including </w:t>
      </w:r>
      <w:r w:rsidR="001C5AC3">
        <w:rPr>
          <w:rFonts w:ascii="Times New Roman" w:hAnsi="Times New Roman" w:cs="Times New Roman"/>
          <w:color w:val="000000" w:themeColor="text1"/>
          <w:sz w:val="24"/>
          <w:szCs w:val="24"/>
        </w:rPr>
        <w:t>i</w:t>
      </w:r>
      <w:r w:rsidRPr="00BF4A6A">
        <w:rPr>
          <w:rFonts w:ascii="Times New Roman" w:hAnsi="Times New Roman" w:cs="Times New Roman"/>
          <w:color w:val="000000" w:themeColor="text1"/>
          <w:sz w:val="24"/>
          <w:szCs w:val="24"/>
        </w:rPr>
        <w:t xml:space="preserve">nduration, </w:t>
      </w:r>
      <w:r w:rsidR="001C5AC3">
        <w:rPr>
          <w:rFonts w:ascii="Times New Roman" w:hAnsi="Times New Roman" w:cs="Times New Roman"/>
          <w:color w:val="000000" w:themeColor="text1"/>
          <w:sz w:val="24"/>
          <w:szCs w:val="24"/>
        </w:rPr>
        <w:t>w</w:t>
      </w:r>
      <w:r w:rsidRPr="00BF4A6A">
        <w:rPr>
          <w:rFonts w:ascii="Times New Roman" w:hAnsi="Times New Roman" w:cs="Times New Roman"/>
          <w:color w:val="000000" w:themeColor="text1"/>
          <w:sz w:val="24"/>
          <w:szCs w:val="24"/>
        </w:rPr>
        <w:t>armth).</w:t>
      </w:r>
    </w:p>
    <w:p w14:paraId="2D869574" w14:textId="77777777" w:rsidR="00BF4A6A" w:rsidRPr="00BF4A6A" w:rsidRDefault="00BF4A6A" w:rsidP="00BF4A6A">
      <w:pPr>
        <w:spacing w:after="0" w:line="240" w:lineRule="auto"/>
        <w:rPr>
          <w:rFonts w:ascii="Times New Roman" w:hAnsi="Times New Roman" w:cs="Times New Roman"/>
          <w:color w:val="000000" w:themeColor="text1"/>
          <w:sz w:val="24"/>
          <w:szCs w:val="24"/>
        </w:rPr>
      </w:pPr>
    </w:p>
    <w:p w14:paraId="598D5814" w14:textId="3AE6BCC5" w:rsidR="004F7EFF" w:rsidRDefault="00BF4A6A" w:rsidP="00715CED">
      <w:pPr>
        <w:pStyle w:val="Heading3"/>
        <w:spacing w:before="0" w:line="240" w:lineRule="auto"/>
        <w:ind w:left="0"/>
        <w:rPr>
          <w:rFonts w:ascii="Times New Roman" w:hAnsi="Times New Roman" w:cs="Times New Roman"/>
          <w:color w:val="000000" w:themeColor="text1"/>
          <w:sz w:val="24"/>
          <w:szCs w:val="24"/>
        </w:rPr>
      </w:pPr>
      <w:r w:rsidRPr="00BF4A6A">
        <w:rPr>
          <w:rFonts w:ascii="Times New Roman" w:hAnsi="Times New Roman" w:cs="Times New Roman"/>
          <w:color w:val="000000" w:themeColor="text1"/>
          <w:sz w:val="24"/>
          <w:szCs w:val="24"/>
        </w:rPr>
        <w:t>Reporting</w:t>
      </w:r>
      <w:r w:rsidR="008E7028">
        <w:rPr>
          <w:rFonts w:ascii="Times New Roman" w:hAnsi="Times New Roman" w:cs="Times New Roman"/>
          <w:color w:val="000000" w:themeColor="text1"/>
          <w:sz w:val="24"/>
          <w:szCs w:val="24"/>
        </w:rPr>
        <w:t xml:space="preserve"> suspected adverse effects</w:t>
      </w:r>
    </w:p>
    <w:p w14:paraId="0F862526" w14:textId="77777777" w:rsidR="00715CED" w:rsidRPr="00715CED" w:rsidRDefault="00715CED" w:rsidP="00715CED">
      <w:pPr>
        <w:spacing w:after="0" w:line="240" w:lineRule="auto"/>
      </w:pPr>
    </w:p>
    <w:p w14:paraId="1E78DC1F" w14:textId="790B8642" w:rsidR="004F7EFF" w:rsidRPr="00487DD3" w:rsidRDefault="00487DD3" w:rsidP="004F7EFF">
      <w:pPr>
        <w:spacing w:after="0" w:line="240" w:lineRule="auto"/>
        <w:rPr>
          <w:rFonts w:ascii="Times New Roman" w:hAnsi="Times New Roman" w:cs="Times New Roman"/>
          <w:color w:val="000000" w:themeColor="text1"/>
          <w:sz w:val="24"/>
          <w:szCs w:val="24"/>
        </w:rPr>
      </w:pPr>
      <w:r w:rsidRPr="00487DD3">
        <w:rPr>
          <w:rFonts w:ascii="Times New Roman" w:hAnsi="Times New Roman" w:cs="Times New Roman"/>
          <w:color w:val="000000" w:themeColor="text1"/>
          <w:sz w:val="24"/>
          <w:szCs w:val="24"/>
        </w:rPr>
        <w:t xml:space="preserve">Reporting suspected adverse reactions after registration of the medicinal product is important. It allows continued monitoring of the </w:t>
      </w:r>
      <w:r w:rsidR="00AC68D4" w:rsidRPr="00487DD3">
        <w:rPr>
          <w:rFonts w:ascii="Times New Roman" w:hAnsi="Times New Roman" w:cs="Times New Roman"/>
          <w:color w:val="000000" w:themeColor="text1"/>
          <w:sz w:val="24"/>
          <w:szCs w:val="24"/>
        </w:rPr>
        <w:t>benefit</w:t>
      </w:r>
      <w:r w:rsidRPr="00487DD3">
        <w:rPr>
          <w:rFonts w:ascii="Times New Roman" w:hAnsi="Times New Roman" w:cs="Times New Roman"/>
          <w:color w:val="000000" w:themeColor="text1"/>
          <w:sz w:val="24"/>
          <w:szCs w:val="24"/>
        </w:rPr>
        <w:t xml:space="preserve">-risk balance of the medicinal product. Healthcare professionals are asked to report ant suspected adverse reaction at </w:t>
      </w:r>
      <w:hyperlink r:id="rId11" w:history="1">
        <w:r w:rsidRPr="00487DD3">
          <w:rPr>
            <w:rStyle w:val="Hyperlink"/>
            <w:rFonts w:ascii="Times New Roman" w:hAnsi="Times New Roman" w:cs="Times New Roman"/>
            <w:sz w:val="24"/>
            <w:szCs w:val="24"/>
          </w:rPr>
          <w:t>http://www.tga.gov.au/reporting-problems</w:t>
        </w:r>
      </w:hyperlink>
      <w:r>
        <w:rPr>
          <w:rFonts w:ascii="Times New Roman" w:hAnsi="Times New Roman" w:cs="Times New Roman"/>
          <w:color w:val="000000" w:themeColor="text1"/>
          <w:sz w:val="24"/>
          <w:szCs w:val="24"/>
        </w:rPr>
        <w:t>.</w:t>
      </w:r>
      <w:r w:rsidRPr="00487DD3">
        <w:rPr>
          <w:rFonts w:ascii="Times New Roman" w:hAnsi="Times New Roman" w:cs="Times New Roman"/>
          <w:color w:val="000000" w:themeColor="text1"/>
          <w:sz w:val="24"/>
          <w:szCs w:val="24"/>
        </w:rPr>
        <w:t xml:space="preserve"> </w:t>
      </w:r>
    </w:p>
    <w:p w14:paraId="0CBEABBC" w14:textId="77777777" w:rsidR="00226A4B" w:rsidRPr="00DF694E" w:rsidRDefault="00226A4B" w:rsidP="00914208">
      <w:pPr>
        <w:spacing w:after="0" w:line="240" w:lineRule="auto"/>
        <w:rPr>
          <w:rFonts w:ascii="Times New Roman" w:hAnsi="Times New Roman" w:cs="Times New Roman"/>
          <w:color w:val="000000" w:themeColor="text1"/>
          <w:sz w:val="24"/>
          <w:szCs w:val="24"/>
          <w:highlight w:val="yellow"/>
        </w:rPr>
      </w:pPr>
    </w:p>
    <w:p w14:paraId="51A57800" w14:textId="439623E6" w:rsidR="009E6F12" w:rsidRPr="00BC377C" w:rsidRDefault="009E6F12" w:rsidP="00F73EBA">
      <w:pPr>
        <w:pStyle w:val="Heading2"/>
        <w:numPr>
          <w:ilvl w:val="0"/>
          <w:numId w:val="0"/>
        </w:numPr>
        <w:spacing w:before="0" w:after="0" w:line="240" w:lineRule="auto"/>
        <w:rPr>
          <w:rFonts w:ascii="Times New Roman" w:hAnsi="Times New Roman" w:cs="Times New Roman"/>
          <w:b w:val="0"/>
          <w:color w:val="000000" w:themeColor="text1"/>
        </w:rPr>
      </w:pPr>
      <w:r w:rsidRPr="00F73EBA">
        <w:rPr>
          <w:rFonts w:ascii="Times New Roman" w:hAnsi="Times New Roman" w:cs="Times New Roman"/>
          <w:smallCaps w:val="0"/>
          <w:color w:val="000000" w:themeColor="text1"/>
          <w:szCs w:val="24"/>
        </w:rPr>
        <w:t>4.9</w:t>
      </w:r>
      <w:r w:rsidRPr="00F73EBA">
        <w:rPr>
          <w:rFonts w:ascii="Times New Roman" w:hAnsi="Times New Roman" w:cs="Times New Roman"/>
          <w:smallCaps w:val="0"/>
          <w:color w:val="000000" w:themeColor="text1"/>
          <w:szCs w:val="24"/>
        </w:rPr>
        <w:tab/>
        <w:t xml:space="preserve">OVERDOSE </w:t>
      </w:r>
    </w:p>
    <w:p w14:paraId="35E3E0BF" w14:textId="77777777" w:rsidR="00660C44" w:rsidRPr="00DF694E" w:rsidRDefault="00660C44" w:rsidP="00660C44">
      <w:pPr>
        <w:spacing w:after="0" w:line="240" w:lineRule="auto"/>
        <w:rPr>
          <w:rFonts w:ascii="Times New Roman" w:hAnsi="Times New Roman" w:cs="Times New Roman"/>
          <w:color w:val="000000" w:themeColor="text1"/>
          <w:sz w:val="24"/>
          <w:szCs w:val="24"/>
          <w:highlight w:val="yellow"/>
        </w:rPr>
      </w:pPr>
    </w:p>
    <w:p w14:paraId="16EA92D1" w14:textId="77777777" w:rsidR="00BC377C" w:rsidRDefault="00BC377C" w:rsidP="00BC377C">
      <w:pPr>
        <w:spacing w:after="0" w:line="240" w:lineRule="auto"/>
        <w:rPr>
          <w:rFonts w:ascii="Times New Roman" w:hAnsi="Times New Roman" w:cs="Times New Roman"/>
          <w:color w:val="000000" w:themeColor="text1"/>
          <w:sz w:val="24"/>
          <w:szCs w:val="24"/>
        </w:rPr>
      </w:pPr>
      <w:r w:rsidRPr="00BC377C">
        <w:rPr>
          <w:rFonts w:ascii="Times New Roman" w:hAnsi="Times New Roman" w:cs="Times New Roman"/>
          <w:color w:val="000000" w:themeColor="text1"/>
          <w:sz w:val="24"/>
          <w:szCs w:val="24"/>
        </w:rPr>
        <w:t>With intravenous administration, overdose may lead to fluid overload and hyperviscosity. Patients at particular risk of complications of fluid overload and hyperviscosity include elderly patients and patients with cardiac or renal impairment.</w:t>
      </w:r>
    </w:p>
    <w:p w14:paraId="400F2AD4" w14:textId="77777777" w:rsidR="00BC377C" w:rsidRPr="00BC377C" w:rsidRDefault="00BC377C" w:rsidP="00BC377C">
      <w:pPr>
        <w:spacing w:after="0" w:line="240" w:lineRule="auto"/>
        <w:rPr>
          <w:rFonts w:ascii="Times New Roman" w:hAnsi="Times New Roman" w:cs="Times New Roman"/>
          <w:color w:val="000000" w:themeColor="text1"/>
          <w:sz w:val="24"/>
          <w:szCs w:val="24"/>
        </w:rPr>
      </w:pPr>
    </w:p>
    <w:p w14:paraId="2235AE1E" w14:textId="766515E8" w:rsidR="00487DD3" w:rsidRDefault="000B149A" w:rsidP="00487DD3">
      <w:pPr>
        <w:autoSpaceDE w:val="0"/>
        <w:autoSpaceDN w:val="0"/>
        <w:adjustRightInd w:val="0"/>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For information on the management of overdose, c</w:t>
      </w:r>
      <w:r w:rsidR="00487DD3" w:rsidRPr="00487DD3">
        <w:rPr>
          <w:rFonts w:ascii="Times New Roman" w:eastAsia="SimSun" w:hAnsi="Times New Roman" w:cs="Times New Roman"/>
          <w:sz w:val="24"/>
          <w:szCs w:val="24"/>
        </w:rPr>
        <w:t xml:space="preserve">ontact the Poisons Information Centre </w:t>
      </w:r>
      <w:r w:rsidR="00207CFD">
        <w:rPr>
          <w:rFonts w:ascii="Times New Roman" w:eastAsia="SimSun" w:hAnsi="Times New Roman" w:cs="Times New Roman"/>
          <w:sz w:val="24"/>
          <w:szCs w:val="24"/>
        </w:rPr>
        <w:t>on</w:t>
      </w:r>
      <w:r w:rsidR="00487DD3" w:rsidRPr="00487DD3">
        <w:rPr>
          <w:rFonts w:ascii="Times New Roman" w:eastAsia="SimSun" w:hAnsi="Times New Roman" w:cs="Times New Roman"/>
          <w:sz w:val="24"/>
          <w:szCs w:val="24"/>
        </w:rPr>
        <w:t xml:space="preserve"> 13 11 26</w:t>
      </w:r>
      <w:r>
        <w:rPr>
          <w:rFonts w:ascii="Times New Roman" w:eastAsia="SimSun" w:hAnsi="Times New Roman" w:cs="Times New Roman"/>
          <w:sz w:val="24"/>
          <w:szCs w:val="24"/>
        </w:rPr>
        <w:t xml:space="preserve"> (Australia).</w:t>
      </w:r>
    </w:p>
    <w:p w14:paraId="1F064C4F" w14:textId="4FAA433F" w:rsidR="00452002" w:rsidRDefault="00452002" w:rsidP="00487DD3">
      <w:pPr>
        <w:autoSpaceDE w:val="0"/>
        <w:autoSpaceDN w:val="0"/>
        <w:adjustRightInd w:val="0"/>
        <w:spacing w:after="0" w:line="240" w:lineRule="auto"/>
        <w:rPr>
          <w:rFonts w:ascii="Times New Roman" w:eastAsia="SimSun" w:hAnsi="Times New Roman" w:cs="Times New Roman"/>
          <w:sz w:val="24"/>
          <w:szCs w:val="24"/>
        </w:rPr>
      </w:pPr>
    </w:p>
    <w:p w14:paraId="63A84CE0" w14:textId="77777777" w:rsidR="006A1BE6" w:rsidRPr="00F73EBA" w:rsidRDefault="006A1BE6" w:rsidP="00F73EBA">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lastRenderedPageBreak/>
        <w:t>5</w:t>
      </w:r>
      <w:r w:rsidRPr="00F73EBA">
        <w:rPr>
          <w:rFonts w:ascii="Times New Roman" w:hAnsi="Times New Roman" w:cs="Times New Roman"/>
          <w:smallCaps w:val="0"/>
          <w:color w:val="000000" w:themeColor="text1"/>
          <w:szCs w:val="24"/>
        </w:rPr>
        <w:tab/>
        <w:t xml:space="preserve">PHARMACOLOGICAL PROPERTIES </w:t>
      </w:r>
    </w:p>
    <w:p w14:paraId="4A9A1CA5" w14:textId="77777777" w:rsidR="006A1BE6" w:rsidRPr="00F73EBA" w:rsidRDefault="006A1BE6" w:rsidP="00F73EBA">
      <w:pPr>
        <w:spacing w:after="0" w:line="240" w:lineRule="auto"/>
        <w:rPr>
          <w:rFonts w:ascii="Times New Roman" w:hAnsi="Times New Roman" w:cs="Times New Roman"/>
          <w:smallCaps/>
          <w:color w:val="000000" w:themeColor="text1"/>
          <w:sz w:val="24"/>
          <w:szCs w:val="24"/>
        </w:rPr>
      </w:pPr>
    </w:p>
    <w:p w14:paraId="1549B5AB" w14:textId="77777777" w:rsidR="006A1BE6" w:rsidRPr="00F73EBA" w:rsidRDefault="006A1BE6" w:rsidP="006A1BE6">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5.1</w:t>
      </w:r>
      <w:r w:rsidRPr="00F73EBA">
        <w:rPr>
          <w:rFonts w:ascii="Times New Roman" w:hAnsi="Times New Roman" w:cs="Times New Roman"/>
          <w:smallCaps w:val="0"/>
          <w:color w:val="000000" w:themeColor="text1"/>
          <w:szCs w:val="24"/>
        </w:rPr>
        <w:tab/>
        <w:t xml:space="preserve">PHARMACODYNAMIC PROPERTIES </w:t>
      </w:r>
    </w:p>
    <w:p w14:paraId="47CB1EC9" w14:textId="77777777" w:rsidR="006A1BE6" w:rsidRPr="00543B80" w:rsidRDefault="006A1BE6" w:rsidP="00914208">
      <w:pPr>
        <w:spacing w:after="0" w:line="240" w:lineRule="auto"/>
        <w:rPr>
          <w:rFonts w:ascii="Times New Roman" w:hAnsi="Times New Roman" w:cs="Times New Roman"/>
          <w:color w:val="000000" w:themeColor="text1"/>
          <w:sz w:val="24"/>
          <w:szCs w:val="24"/>
        </w:rPr>
      </w:pPr>
    </w:p>
    <w:p w14:paraId="7D958F8F" w14:textId="254B87E3" w:rsidR="00543B80" w:rsidRDefault="00543B80" w:rsidP="00715CED">
      <w:pPr>
        <w:pStyle w:val="Heading3"/>
        <w:spacing w:before="0" w:line="240" w:lineRule="auto"/>
        <w:ind w:left="0"/>
        <w:rPr>
          <w:rFonts w:ascii="Times New Roman" w:hAnsi="Times New Roman" w:cs="Times New Roman"/>
          <w:color w:val="000000" w:themeColor="text1"/>
          <w:sz w:val="24"/>
          <w:szCs w:val="24"/>
        </w:rPr>
      </w:pPr>
      <w:r w:rsidRPr="00543B80">
        <w:rPr>
          <w:rFonts w:ascii="Times New Roman" w:hAnsi="Times New Roman" w:cs="Times New Roman"/>
          <w:color w:val="000000" w:themeColor="text1"/>
          <w:sz w:val="24"/>
          <w:szCs w:val="24"/>
        </w:rPr>
        <w:t>Immunological mode of action</w:t>
      </w:r>
    </w:p>
    <w:p w14:paraId="1002A47A" w14:textId="77777777" w:rsidR="00715CED" w:rsidRPr="00715CED" w:rsidRDefault="00715CED" w:rsidP="00715CED">
      <w:pPr>
        <w:spacing w:after="0" w:line="240" w:lineRule="auto"/>
      </w:pPr>
    </w:p>
    <w:p w14:paraId="48A6C9D0" w14:textId="77777777" w:rsidR="00543B80" w:rsidRPr="00543B80" w:rsidRDefault="00543B80" w:rsidP="00543B80">
      <w:pPr>
        <w:widowControl w:val="0"/>
        <w:spacing w:after="0" w:line="240" w:lineRule="auto"/>
        <w:rPr>
          <w:rFonts w:ascii="Times New Roman" w:hAnsi="Times New Roman" w:cs="Times New Roman"/>
          <w:color w:val="000000" w:themeColor="text1"/>
          <w:sz w:val="24"/>
          <w:szCs w:val="24"/>
        </w:rPr>
      </w:pPr>
      <w:r w:rsidRPr="00543B80">
        <w:rPr>
          <w:rFonts w:ascii="Times New Roman" w:hAnsi="Times New Roman" w:cs="Times New Roman"/>
          <w:color w:val="000000" w:themeColor="text1"/>
          <w:sz w:val="24"/>
          <w:szCs w:val="24"/>
        </w:rPr>
        <w:t>IgG antibodies are protein molecules that are capable of specific interaction with molecules that are part of the membranes of infectious agents, foreign or abnormal cells, or toxic materials (antigens). Antibodies are produced by B lymphocytes, often with the help of T lymphocytes, macrophages, or dendritic cells. Following an initial interaction, some of the B-cells differentiate to memory cells, which upon encountering with the same infectious agent later in life, are capable of rapidly reproducing and producing increased quantities of the IgG antibodies specific to the same infectious agent.</w:t>
      </w:r>
    </w:p>
    <w:p w14:paraId="41991C16" w14:textId="77777777" w:rsidR="00543B80" w:rsidRPr="00543B80" w:rsidRDefault="00543B80" w:rsidP="00543B80">
      <w:pPr>
        <w:widowControl w:val="0"/>
        <w:spacing w:after="0" w:line="240" w:lineRule="auto"/>
        <w:rPr>
          <w:rFonts w:ascii="Times New Roman" w:hAnsi="Times New Roman" w:cs="Times New Roman"/>
          <w:color w:val="000000" w:themeColor="text1"/>
          <w:sz w:val="24"/>
          <w:szCs w:val="24"/>
        </w:rPr>
      </w:pPr>
    </w:p>
    <w:p w14:paraId="29D74492" w14:textId="22CC22B9" w:rsidR="00543B80" w:rsidRPr="00543B80" w:rsidRDefault="00543B80" w:rsidP="00543B80">
      <w:pPr>
        <w:widowControl w:val="0"/>
        <w:spacing w:after="0" w:line="240" w:lineRule="auto"/>
        <w:rPr>
          <w:rFonts w:ascii="Times New Roman" w:hAnsi="Times New Roman" w:cs="Times New Roman"/>
          <w:color w:val="000000" w:themeColor="text1"/>
          <w:sz w:val="24"/>
          <w:szCs w:val="24"/>
        </w:rPr>
      </w:pPr>
      <w:r w:rsidRPr="00543B80">
        <w:rPr>
          <w:rFonts w:ascii="Times New Roman" w:hAnsi="Times New Roman" w:cs="Times New Roman"/>
          <w:color w:val="000000" w:themeColor="text1"/>
          <w:sz w:val="24"/>
          <w:szCs w:val="24"/>
        </w:rPr>
        <w:t>The IgG molecules have two distinct and separable functions. One function is to bind specifically to the epitope in the antigen through the Fab end of the molecule, which is formed by the combination of the heavy and light chains. The other end of the IgG molecule, the Fc portion, can activate complement, bind to receptors on phagocytic cells to promote engulfment of the antigen/antibody complexes, and binding to the neonatal receptor which modulates the catabolism of IgG. In addition, binding of the Fc portion of the IgG molecule to regulatory receptors on B cells, T cells, and macrophages can modulate the activity of those cells, which may be useful in the control of autoimmune disease.</w:t>
      </w:r>
    </w:p>
    <w:p w14:paraId="426E60F1" w14:textId="77777777" w:rsidR="00543B80" w:rsidRPr="00543B80" w:rsidRDefault="00543B80" w:rsidP="00543B80">
      <w:pPr>
        <w:widowControl w:val="0"/>
        <w:spacing w:after="0" w:line="240" w:lineRule="auto"/>
        <w:rPr>
          <w:rFonts w:ascii="Times New Roman" w:hAnsi="Times New Roman" w:cs="Times New Roman"/>
          <w:color w:val="000000" w:themeColor="text1"/>
          <w:sz w:val="24"/>
          <w:szCs w:val="24"/>
        </w:rPr>
      </w:pPr>
    </w:p>
    <w:p w14:paraId="1F89D778" w14:textId="77777777" w:rsidR="00543B80" w:rsidRPr="00543B80" w:rsidRDefault="00543B80" w:rsidP="00543B80">
      <w:pPr>
        <w:widowControl w:val="0"/>
        <w:spacing w:after="0" w:line="240" w:lineRule="auto"/>
        <w:rPr>
          <w:rFonts w:ascii="Times New Roman" w:hAnsi="Times New Roman" w:cs="Times New Roman"/>
          <w:color w:val="000000" w:themeColor="text1"/>
          <w:sz w:val="24"/>
          <w:szCs w:val="24"/>
        </w:rPr>
      </w:pPr>
      <w:r w:rsidRPr="00543B80">
        <w:rPr>
          <w:rFonts w:ascii="Times New Roman" w:hAnsi="Times New Roman" w:cs="Times New Roman"/>
          <w:color w:val="000000" w:themeColor="text1"/>
          <w:sz w:val="24"/>
          <w:szCs w:val="24"/>
        </w:rPr>
        <w:t>Thus, the mode of action of intravenous immunoglobulin (IVIG) mimics the action of the normal plasma immunoglobulin in a healthy adult individual having a broad spectrum of antibodies against infectious agents. As the active ingredient in KIOVIG, IgG 10% w/v, is a plasma-derived immunoglobulin isolated from a pooled plasma of healthy donors, this product can be classified as a replacement therapy in patients who are unable to produce sufficient amount of IgG antibodies. Adequate doses of this medicinal product may restore the abnormally low IgG levels of immune deficient patients to a normal range.</w:t>
      </w:r>
    </w:p>
    <w:p w14:paraId="2F7C18CB" w14:textId="77777777" w:rsidR="007F0537" w:rsidRPr="00543B80" w:rsidRDefault="007F0537" w:rsidP="007F0537">
      <w:pPr>
        <w:widowControl w:val="0"/>
        <w:spacing w:after="0" w:line="240" w:lineRule="auto"/>
        <w:rPr>
          <w:rFonts w:ascii="Times New Roman" w:hAnsi="Times New Roman" w:cs="Times New Roman"/>
          <w:color w:val="000000" w:themeColor="text1"/>
          <w:sz w:val="24"/>
          <w:szCs w:val="24"/>
        </w:rPr>
      </w:pPr>
    </w:p>
    <w:p w14:paraId="4399DC0A" w14:textId="77777777" w:rsidR="001A3992" w:rsidRDefault="001A3992" w:rsidP="00715CED">
      <w:pPr>
        <w:pStyle w:val="Heading3"/>
        <w:spacing w:before="0" w:line="240" w:lineRule="auto"/>
        <w:ind w:left="0"/>
        <w:rPr>
          <w:rFonts w:ascii="Times New Roman" w:hAnsi="Times New Roman" w:cs="Times New Roman"/>
          <w:color w:val="000000" w:themeColor="text1"/>
          <w:sz w:val="24"/>
          <w:szCs w:val="24"/>
          <w:lang w:val="en-US"/>
        </w:rPr>
      </w:pPr>
      <w:r w:rsidRPr="002550DF">
        <w:rPr>
          <w:rFonts w:ascii="Times New Roman" w:hAnsi="Times New Roman" w:cs="Times New Roman"/>
          <w:color w:val="000000" w:themeColor="text1"/>
          <w:sz w:val="24"/>
          <w:szCs w:val="24"/>
        </w:rPr>
        <w:t>Clinical</w:t>
      </w:r>
      <w:r w:rsidRPr="002550DF">
        <w:rPr>
          <w:rFonts w:ascii="Times New Roman" w:hAnsi="Times New Roman" w:cs="Times New Roman"/>
          <w:color w:val="000000" w:themeColor="text1"/>
          <w:sz w:val="24"/>
          <w:szCs w:val="24"/>
          <w:lang w:val="en-US"/>
        </w:rPr>
        <w:t xml:space="preserve"> trials</w:t>
      </w:r>
    </w:p>
    <w:p w14:paraId="305C01ED" w14:textId="77777777" w:rsidR="00715CED" w:rsidRPr="00715CED" w:rsidRDefault="00715CED" w:rsidP="00715CED">
      <w:pPr>
        <w:spacing w:after="0" w:line="240" w:lineRule="auto"/>
        <w:rPr>
          <w:lang w:val="en-US"/>
        </w:rPr>
      </w:pPr>
    </w:p>
    <w:p w14:paraId="55C475C3" w14:textId="77777777" w:rsidR="002550DF" w:rsidRPr="002550DF" w:rsidRDefault="002550DF" w:rsidP="002550DF">
      <w:pPr>
        <w:pStyle w:val="Heading3"/>
        <w:spacing w:before="0" w:line="240" w:lineRule="auto"/>
        <w:ind w:left="0"/>
        <w:rPr>
          <w:rFonts w:ascii="Times New Roman" w:hAnsi="Times New Roman" w:cs="Times New Roman"/>
          <w:b w:val="0"/>
          <w:color w:val="000000" w:themeColor="text1"/>
          <w:sz w:val="24"/>
          <w:szCs w:val="24"/>
          <w:u w:val="single"/>
        </w:rPr>
      </w:pPr>
      <w:r w:rsidRPr="002550DF">
        <w:rPr>
          <w:rFonts w:ascii="Times New Roman" w:hAnsi="Times New Roman" w:cs="Times New Roman"/>
          <w:b w:val="0"/>
          <w:color w:val="000000" w:themeColor="text1"/>
          <w:sz w:val="24"/>
          <w:szCs w:val="24"/>
          <w:u w:val="single"/>
        </w:rPr>
        <w:t>Clinical Studies of Intravenous (IV) Administration</w:t>
      </w:r>
    </w:p>
    <w:p w14:paraId="6CE6957A" w14:textId="77777777" w:rsidR="002550DF" w:rsidRPr="002550DF" w:rsidRDefault="002550DF" w:rsidP="002550DF">
      <w:pPr>
        <w:widowControl w:val="0"/>
        <w:spacing w:after="0" w:line="240" w:lineRule="auto"/>
        <w:rPr>
          <w:rFonts w:ascii="Times New Roman" w:hAnsi="Times New Roman" w:cs="Times New Roman"/>
          <w:color w:val="000000" w:themeColor="text1"/>
          <w:sz w:val="24"/>
          <w:szCs w:val="24"/>
        </w:rPr>
      </w:pPr>
      <w:r w:rsidRPr="002550DF">
        <w:rPr>
          <w:rFonts w:ascii="Times New Roman" w:hAnsi="Times New Roman" w:cs="Times New Roman"/>
          <w:color w:val="000000" w:themeColor="text1"/>
          <w:sz w:val="24"/>
          <w:szCs w:val="24"/>
        </w:rPr>
        <w:t>Efficacy and safety of KIOVIG, 10% IVIG solution, was assessed in three clinical studies, a European study in 22 patients with hypo- or agammaglobulinemia, a US study in 61 patients with PID, and a European study in 23 patients with idiopathic thrombocytopenia purpura (ITP). None of these studies were designed to compare KIOVIG with another IVIG product.</w:t>
      </w:r>
    </w:p>
    <w:p w14:paraId="650148C7" w14:textId="77777777" w:rsidR="002550DF" w:rsidRPr="002550DF" w:rsidRDefault="002550DF" w:rsidP="002550DF">
      <w:pPr>
        <w:widowControl w:val="0"/>
        <w:spacing w:after="0" w:line="240" w:lineRule="auto"/>
        <w:rPr>
          <w:rFonts w:ascii="Times New Roman" w:hAnsi="Times New Roman" w:cs="Times New Roman"/>
          <w:color w:val="000000" w:themeColor="text1"/>
          <w:sz w:val="24"/>
          <w:szCs w:val="24"/>
        </w:rPr>
      </w:pPr>
    </w:p>
    <w:p w14:paraId="7D51E3DD" w14:textId="780D477A" w:rsidR="002550DF" w:rsidRDefault="002550DF" w:rsidP="002550DF">
      <w:pPr>
        <w:widowControl w:val="0"/>
        <w:spacing w:after="0" w:line="240" w:lineRule="auto"/>
        <w:rPr>
          <w:rFonts w:ascii="Times New Roman" w:hAnsi="Times New Roman" w:cs="Times New Roman"/>
          <w:color w:val="000000" w:themeColor="text1"/>
          <w:sz w:val="24"/>
          <w:szCs w:val="24"/>
        </w:rPr>
      </w:pPr>
      <w:r w:rsidRPr="002550DF">
        <w:rPr>
          <w:rFonts w:ascii="Times New Roman" w:hAnsi="Times New Roman" w:cs="Times New Roman"/>
          <w:color w:val="000000" w:themeColor="text1"/>
          <w:sz w:val="24"/>
          <w:szCs w:val="24"/>
        </w:rPr>
        <w:t xml:space="preserve">The use of KIOVIG, 10 % IVIG solution in patients with PID is supported by Phase 3 clinical Study 160101 in subjects who were treated with 300 to 600 mg/kg every 21 to 28 days for 12 months. The 61 subjects in this study were between 6 to 72 years of age, 54 % female and 46 % male, and 93% Caucasian, 5 % </w:t>
      </w:r>
      <w:proofErr w:type="gramStart"/>
      <w:r w:rsidRPr="002550DF">
        <w:rPr>
          <w:rFonts w:ascii="Times New Roman" w:hAnsi="Times New Roman" w:cs="Times New Roman"/>
          <w:color w:val="000000" w:themeColor="text1"/>
          <w:sz w:val="24"/>
          <w:szCs w:val="24"/>
        </w:rPr>
        <w:t>African-American</w:t>
      </w:r>
      <w:proofErr w:type="gramEnd"/>
      <w:r w:rsidRPr="002550DF">
        <w:rPr>
          <w:rFonts w:ascii="Times New Roman" w:hAnsi="Times New Roman" w:cs="Times New Roman"/>
          <w:color w:val="000000" w:themeColor="text1"/>
          <w:sz w:val="24"/>
          <w:szCs w:val="24"/>
        </w:rPr>
        <w:t xml:space="preserve">, and 2 % Asian. The description of this study is shown in Table </w:t>
      </w:r>
      <w:r w:rsidR="00C405AF">
        <w:rPr>
          <w:rFonts w:ascii="Times New Roman" w:hAnsi="Times New Roman" w:cs="Times New Roman"/>
          <w:color w:val="000000" w:themeColor="text1"/>
          <w:sz w:val="24"/>
          <w:szCs w:val="24"/>
        </w:rPr>
        <w:t>8</w:t>
      </w:r>
      <w:r w:rsidRPr="002550DF">
        <w:rPr>
          <w:rFonts w:ascii="Times New Roman" w:hAnsi="Times New Roman" w:cs="Times New Roman"/>
          <w:color w:val="000000" w:themeColor="text1"/>
          <w:sz w:val="24"/>
          <w:szCs w:val="24"/>
        </w:rPr>
        <w:t>.</w:t>
      </w:r>
    </w:p>
    <w:p w14:paraId="74A9BF85" w14:textId="77777777" w:rsidR="002550DF" w:rsidRPr="002550DF" w:rsidRDefault="002550DF" w:rsidP="00503302">
      <w:pPr>
        <w:pageBreakBefore/>
        <w:widowControl w:val="0"/>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490"/>
        <w:gridCol w:w="1518"/>
        <w:gridCol w:w="1539"/>
        <w:gridCol w:w="1490"/>
        <w:gridCol w:w="1488"/>
        <w:gridCol w:w="1491"/>
      </w:tblGrid>
      <w:tr w:rsidR="002550DF" w14:paraId="5CF9124D" w14:textId="77777777" w:rsidTr="00CB6B8A">
        <w:tc>
          <w:tcPr>
            <w:tcW w:w="9242" w:type="dxa"/>
            <w:gridSpan w:val="6"/>
          </w:tcPr>
          <w:p w14:paraId="5595F375" w14:textId="307C1240" w:rsidR="002550DF" w:rsidRDefault="002550DF" w:rsidP="002550DF">
            <w:pPr>
              <w:widowControl w:val="0"/>
              <w:jc w:val="center"/>
              <w:rPr>
                <w:rFonts w:ascii="Times New Roman" w:hAnsi="Times New Roman" w:cs="Times New Roman"/>
                <w:b/>
                <w:bCs/>
                <w:color w:val="000000" w:themeColor="text1"/>
                <w:sz w:val="20"/>
                <w:szCs w:val="20"/>
              </w:rPr>
            </w:pPr>
            <w:r w:rsidRPr="002550DF">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8</w:t>
            </w:r>
            <w:r w:rsidRPr="002550DF">
              <w:rPr>
                <w:rFonts w:ascii="Times New Roman" w:hAnsi="Times New Roman" w:cs="Times New Roman"/>
                <w:b/>
                <w:bCs/>
                <w:color w:val="000000" w:themeColor="text1"/>
                <w:sz w:val="20"/>
                <w:szCs w:val="20"/>
              </w:rPr>
              <w:t>: Summary of patient demographics for the US Clinical trials in PID (160101)</w:t>
            </w:r>
          </w:p>
          <w:p w14:paraId="38242054" w14:textId="3F8B1448" w:rsidR="002550DF" w:rsidRPr="002550DF" w:rsidRDefault="002550DF" w:rsidP="002550DF">
            <w:pPr>
              <w:widowControl w:val="0"/>
              <w:jc w:val="center"/>
              <w:rPr>
                <w:rFonts w:ascii="Times New Roman" w:hAnsi="Times New Roman" w:cs="Times New Roman"/>
                <w:color w:val="000000" w:themeColor="text1"/>
                <w:sz w:val="20"/>
                <w:szCs w:val="20"/>
              </w:rPr>
            </w:pPr>
          </w:p>
        </w:tc>
      </w:tr>
      <w:tr w:rsidR="002550DF" w14:paraId="368229F2" w14:textId="77777777" w:rsidTr="002550DF">
        <w:tc>
          <w:tcPr>
            <w:tcW w:w="1540" w:type="dxa"/>
          </w:tcPr>
          <w:p w14:paraId="5A40015E" w14:textId="0E26AE36"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b/>
                <w:bCs/>
                <w:color w:val="000000" w:themeColor="text1"/>
                <w:sz w:val="20"/>
                <w:szCs w:val="20"/>
              </w:rPr>
              <w:t>Study Number</w:t>
            </w:r>
          </w:p>
        </w:tc>
        <w:tc>
          <w:tcPr>
            <w:tcW w:w="1540" w:type="dxa"/>
          </w:tcPr>
          <w:p w14:paraId="6481547A" w14:textId="295D41E2"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b/>
                <w:bCs/>
                <w:color w:val="000000" w:themeColor="text1"/>
                <w:sz w:val="20"/>
                <w:szCs w:val="20"/>
              </w:rPr>
              <w:t>Trial Design</w:t>
            </w:r>
          </w:p>
        </w:tc>
        <w:tc>
          <w:tcPr>
            <w:tcW w:w="1540" w:type="dxa"/>
          </w:tcPr>
          <w:p w14:paraId="5092CAA6" w14:textId="140A027F"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b/>
                <w:bCs/>
                <w:color w:val="000000" w:themeColor="text1"/>
                <w:sz w:val="20"/>
                <w:szCs w:val="20"/>
              </w:rPr>
              <w:t xml:space="preserve">Dosage, </w:t>
            </w:r>
            <w:r>
              <w:rPr>
                <w:rFonts w:ascii="Times New Roman" w:hAnsi="Times New Roman" w:cs="Times New Roman"/>
                <w:b/>
                <w:bCs/>
                <w:color w:val="000000" w:themeColor="text1"/>
                <w:sz w:val="20"/>
                <w:szCs w:val="20"/>
              </w:rPr>
              <w:br/>
            </w:r>
            <w:r w:rsidRPr="002550DF">
              <w:rPr>
                <w:rFonts w:ascii="Times New Roman" w:hAnsi="Times New Roman" w:cs="Times New Roman"/>
                <w:b/>
                <w:bCs/>
                <w:color w:val="000000" w:themeColor="text1"/>
                <w:sz w:val="20"/>
                <w:szCs w:val="20"/>
              </w:rPr>
              <w:t>Route of Administration and Duration</w:t>
            </w:r>
          </w:p>
        </w:tc>
        <w:tc>
          <w:tcPr>
            <w:tcW w:w="1540" w:type="dxa"/>
          </w:tcPr>
          <w:p w14:paraId="2A752596" w14:textId="37A04BBD"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b/>
                <w:bCs/>
                <w:color w:val="000000" w:themeColor="text1"/>
                <w:sz w:val="20"/>
                <w:szCs w:val="20"/>
              </w:rPr>
              <w:t>Study Subjects</w:t>
            </w:r>
          </w:p>
        </w:tc>
        <w:tc>
          <w:tcPr>
            <w:tcW w:w="1541" w:type="dxa"/>
          </w:tcPr>
          <w:p w14:paraId="6B2FB8D1" w14:textId="032A97B1"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b/>
                <w:bCs/>
                <w:color w:val="000000" w:themeColor="text1"/>
                <w:sz w:val="20"/>
                <w:szCs w:val="20"/>
              </w:rPr>
              <w:t>Median Age</w:t>
            </w:r>
            <w:r>
              <w:rPr>
                <w:rFonts w:ascii="Times New Roman" w:hAnsi="Times New Roman" w:cs="Times New Roman"/>
                <w:b/>
                <w:bCs/>
                <w:color w:val="000000" w:themeColor="text1"/>
                <w:sz w:val="20"/>
                <w:szCs w:val="20"/>
              </w:rPr>
              <w:t xml:space="preserve"> </w:t>
            </w:r>
            <w:r w:rsidRPr="002550DF">
              <w:rPr>
                <w:rFonts w:ascii="Times New Roman" w:hAnsi="Times New Roman" w:cs="Times New Roman"/>
                <w:b/>
                <w:bCs/>
                <w:color w:val="000000" w:themeColor="text1"/>
                <w:sz w:val="20"/>
                <w:szCs w:val="20"/>
              </w:rPr>
              <w:t>(Range)</w:t>
            </w:r>
          </w:p>
        </w:tc>
        <w:tc>
          <w:tcPr>
            <w:tcW w:w="1541" w:type="dxa"/>
          </w:tcPr>
          <w:p w14:paraId="20D21527" w14:textId="3EE26417"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b/>
                <w:bCs/>
                <w:color w:val="000000" w:themeColor="text1"/>
                <w:sz w:val="20"/>
                <w:szCs w:val="20"/>
              </w:rPr>
              <w:t>Gender</w:t>
            </w:r>
          </w:p>
        </w:tc>
      </w:tr>
      <w:tr w:rsidR="002550DF" w14:paraId="2FB070C9" w14:textId="77777777" w:rsidTr="002550DF">
        <w:tc>
          <w:tcPr>
            <w:tcW w:w="1540" w:type="dxa"/>
          </w:tcPr>
          <w:p w14:paraId="3A900C45" w14:textId="397049C1" w:rsidR="002550DF" w:rsidRPr="002550DF" w:rsidRDefault="002550DF" w:rsidP="002550DF">
            <w:pPr>
              <w:rPr>
                <w:rFonts w:ascii="Times New Roman" w:hAnsi="Times New Roman" w:cs="Times New Roman"/>
                <w:color w:val="000000" w:themeColor="text1"/>
                <w:sz w:val="20"/>
                <w:szCs w:val="20"/>
              </w:rPr>
            </w:pPr>
            <w:r w:rsidRPr="002550DF">
              <w:rPr>
                <w:rFonts w:ascii="Times New Roman" w:hAnsi="Times New Roman" w:cs="Times New Roman"/>
                <w:b/>
                <w:sz w:val="20"/>
                <w:szCs w:val="20"/>
              </w:rPr>
              <w:t>160101</w:t>
            </w:r>
          </w:p>
        </w:tc>
        <w:tc>
          <w:tcPr>
            <w:tcW w:w="1540" w:type="dxa"/>
          </w:tcPr>
          <w:p w14:paraId="4333875C" w14:textId="10E9BD63"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sz w:val="20"/>
                <w:szCs w:val="20"/>
              </w:rPr>
              <w:t xml:space="preserve">Randomised, double-blinded, uncontrolled, </w:t>
            </w:r>
            <w:r w:rsidR="00C74B9C" w:rsidRPr="002550DF">
              <w:rPr>
                <w:rFonts w:ascii="Times New Roman" w:hAnsi="Times New Roman" w:cs="Times New Roman"/>
                <w:sz w:val="20"/>
                <w:szCs w:val="20"/>
              </w:rPr>
              <w:t>multicentre</w:t>
            </w:r>
          </w:p>
        </w:tc>
        <w:tc>
          <w:tcPr>
            <w:tcW w:w="1540" w:type="dxa"/>
          </w:tcPr>
          <w:p w14:paraId="2ADCBB86" w14:textId="47DAC259"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sz w:val="20"/>
                <w:szCs w:val="20"/>
              </w:rPr>
              <w:t>300 – 600mg/kg BW* every 21 – 28 days; IV one year, with the option to continue treatment.</w:t>
            </w:r>
          </w:p>
        </w:tc>
        <w:tc>
          <w:tcPr>
            <w:tcW w:w="1540" w:type="dxa"/>
          </w:tcPr>
          <w:p w14:paraId="7112DB1E" w14:textId="2E5EA2C2"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sz w:val="20"/>
                <w:szCs w:val="20"/>
              </w:rPr>
              <w:t>61 subjects with PID, older than 24 months of age were treated.</w:t>
            </w:r>
          </w:p>
        </w:tc>
        <w:tc>
          <w:tcPr>
            <w:tcW w:w="1541" w:type="dxa"/>
          </w:tcPr>
          <w:p w14:paraId="7F96AF75" w14:textId="77777777" w:rsidR="002550DF" w:rsidRPr="002550DF" w:rsidRDefault="002550DF" w:rsidP="00CB6B8A">
            <w:pPr>
              <w:rPr>
                <w:rFonts w:ascii="Times New Roman" w:hAnsi="Times New Roman" w:cs="Times New Roman"/>
                <w:sz w:val="20"/>
                <w:szCs w:val="20"/>
              </w:rPr>
            </w:pPr>
            <w:r w:rsidRPr="002550DF">
              <w:rPr>
                <w:rFonts w:ascii="Times New Roman" w:hAnsi="Times New Roman" w:cs="Times New Roman"/>
                <w:sz w:val="20"/>
                <w:szCs w:val="20"/>
              </w:rPr>
              <w:t>Median age:</w:t>
            </w:r>
          </w:p>
          <w:p w14:paraId="52D62A8B" w14:textId="77777777" w:rsidR="002550DF" w:rsidRPr="002550DF" w:rsidRDefault="002550DF" w:rsidP="00CB6B8A">
            <w:pPr>
              <w:rPr>
                <w:rFonts w:ascii="Times New Roman" w:hAnsi="Times New Roman" w:cs="Times New Roman"/>
                <w:sz w:val="20"/>
                <w:szCs w:val="20"/>
              </w:rPr>
            </w:pPr>
            <w:r w:rsidRPr="002550DF">
              <w:rPr>
                <w:rFonts w:ascii="Times New Roman" w:hAnsi="Times New Roman" w:cs="Times New Roman"/>
                <w:sz w:val="20"/>
                <w:szCs w:val="20"/>
              </w:rPr>
              <w:t>34 years,</w:t>
            </w:r>
          </w:p>
          <w:p w14:paraId="7B6D0D20" w14:textId="7D2AE6E4"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sz w:val="20"/>
                <w:szCs w:val="20"/>
              </w:rPr>
              <w:t>Range: 6 – 72 years</w:t>
            </w:r>
          </w:p>
        </w:tc>
        <w:tc>
          <w:tcPr>
            <w:tcW w:w="1541" w:type="dxa"/>
          </w:tcPr>
          <w:p w14:paraId="71E8B535" w14:textId="77777777" w:rsidR="002550DF" w:rsidRPr="002550DF" w:rsidRDefault="002550DF" w:rsidP="00CB6B8A">
            <w:pPr>
              <w:rPr>
                <w:rFonts w:ascii="Times New Roman" w:hAnsi="Times New Roman" w:cs="Times New Roman"/>
                <w:sz w:val="20"/>
                <w:szCs w:val="20"/>
              </w:rPr>
            </w:pPr>
            <w:r w:rsidRPr="002550DF">
              <w:rPr>
                <w:rFonts w:ascii="Times New Roman" w:hAnsi="Times New Roman" w:cs="Times New Roman"/>
                <w:sz w:val="20"/>
                <w:szCs w:val="20"/>
              </w:rPr>
              <w:t xml:space="preserve">Females: </w:t>
            </w:r>
          </w:p>
          <w:p w14:paraId="077CA02D" w14:textId="77777777" w:rsidR="002550DF" w:rsidRPr="002550DF" w:rsidRDefault="002550DF" w:rsidP="00CB6B8A">
            <w:pPr>
              <w:rPr>
                <w:rFonts w:ascii="Times New Roman" w:hAnsi="Times New Roman" w:cs="Times New Roman"/>
                <w:sz w:val="20"/>
                <w:szCs w:val="20"/>
                <w:lang w:val="pt-BR"/>
              </w:rPr>
            </w:pPr>
            <w:r w:rsidRPr="002550DF">
              <w:rPr>
                <w:rFonts w:ascii="Times New Roman" w:hAnsi="Times New Roman" w:cs="Times New Roman"/>
                <w:sz w:val="20"/>
                <w:szCs w:val="20"/>
                <w:lang w:val="pt-BR"/>
              </w:rPr>
              <w:t>N=33</w:t>
            </w:r>
          </w:p>
          <w:p w14:paraId="219D6ECD" w14:textId="5319A3CE"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sz w:val="20"/>
                <w:szCs w:val="20"/>
                <w:lang w:val="pt-BR"/>
              </w:rPr>
              <w:t>Males: N=28</w:t>
            </w:r>
          </w:p>
        </w:tc>
      </w:tr>
      <w:tr w:rsidR="002550DF" w14:paraId="2D897048" w14:textId="77777777" w:rsidTr="00CB6B8A">
        <w:tc>
          <w:tcPr>
            <w:tcW w:w="9242" w:type="dxa"/>
            <w:gridSpan w:val="6"/>
          </w:tcPr>
          <w:p w14:paraId="107D2F3A" w14:textId="52B95E80" w:rsidR="002550DF" w:rsidRPr="002550DF" w:rsidRDefault="002550DF" w:rsidP="002550DF">
            <w:pPr>
              <w:rPr>
                <w:rFonts w:ascii="Times New Roman" w:hAnsi="Times New Roman" w:cs="Times New Roman"/>
                <w:sz w:val="20"/>
                <w:szCs w:val="20"/>
              </w:rPr>
            </w:pPr>
            <w:r w:rsidRPr="002550DF">
              <w:rPr>
                <w:rFonts w:ascii="Times New Roman" w:hAnsi="Times New Roman" w:cs="Times New Roman"/>
                <w:sz w:val="20"/>
                <w:szCs w:val="20"/>
                <w:lang w:val="pt-BR"/>
              </w:rPr>
              <w:t>BW=Body Weight</w:t>
            </w:r>
          </w:p>
        </w:tc>
      </w:tr>
    </w:tbl>
    <w:p w14:paraId="4ED2D5A5" w14:textId="77777777" w:rsidR="002550DF" w:rsidRPr="002550DF" w:rsidRDefault="002550DF" w:rsidP="002550DF">
      <w:pPr>
        <w:widowControl w:val="0"/>
        <w:spacing w:after="0" w:line="240" w:lineRule="auto"/>
        <w:rPr>
          <w:rFonts w:ascii="Times New Roman" w:hAnsi="Times New Roman" w:cs="Times New Roman"/>
          <w:color w:val="000000" w:themeColor="text1"/>
          <w:sz w:val="24"/>
          <w:szCs w:val="24"/>
        </w:rPr>
      </w:pPr>
    </w:p>
    <w:p w14:paraId="41C8D5BE" w14:textId="369951C7" w:rsidR="00F6542E" w:rsidRDefault="002550DF" w:rsidP="002550DF">
      <w:pPr>
        <w:widowControl w:val="0"/>
        <w:spacing w:after="0" w:line="240" w:lineRule="auto"/>
        <w:rPr>
          <w:rFonts w:ascii="Times New Roman" w:hAnsi="Times New Roman" w:cs="Times New Roman"/>
          <w:color w:val="000000" w:themeColor="text1"/>
          <w:sz w:val="24"/>
          <w:szCs w:val="24"/>
        </w:rPr>
      </w:pPr>
      <w:r w:rsidRPr="002550DF">
        <w:rPr>
          <w:rFonts w:ascii="Times New Roman" w:hAnsi="Times New Roman" w:cs="Times New Roman"/>
          <w:color w:val="000000" w:themeColor="text1"/>
          <w:sz w:val="24"/>
          <w:szCs w:val="24"/>
        </w:rPr>
        <w:t xml:space="preserve">Three subjects were excluded from the protocol analysis due to non-study product related reasons. The primary efficacy endpoint was the annualised rate of specified acute serious bacterial infections, i.e. the mean number of specified acute serious bacterial infections per subject per year (see Table </w:t>
      </w:r>
      <w:r w:rsidR="00C405AF">
        <w:rPr>
          <w:rFonts w:ascii="Times New Roman" w:hAnsi="Times New Roman" w:cs="Times New Roman"/>
          <w:color w:val="000000" w:themeColor="text1"/>
          <w:sz w:val="24"/>
          <w:szCs w:val="24"/>
        </w:rPr>
        <w:t>9</w:t>
      </w:r>
      <w:r w:rsidRPr="002550DF">
        <w:rPr>
          <w:rFonts w:ascii="Times New Roman" w:hAnsi="Times New Roman" w:cs="Times New Roman"/>
          <w:color w:val="000000" w:themeColor="text1"/>
          <w:sz w:val="24"/>
          <w:szCs w:val="24"/>
        </w:rPr>
        <w:t>).</w:t>
      </w:r>
    </w:p>
    <w:p w14:paraId="72BE8FFF" w14:textId="77777777" w:rsidR="002550DF" w:rsidRDefault="002550DF" w:rsidP="002550DF">
      <w:pPr>
        <w:widowControl w:val="0"/>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166"/>
        <w:gridCol w:w="2850"/>
      </w:tblGrid>
      <w:tr w:rsidR="002550DF" w14:paraId="490DC08A" w14:textId="77777777" w:rsidTr="00CB6B8A">
        <w:tc>
          <w:tcPr>
            <w:tcW w:w="9242" w:type="dxa"/>
            <w:gridSpan w:val="2"/>
          </w:tcPr>
          <w:p w14:paraId="13A71370" w14:textId="5DFC86AF" w:rsidR="002550DF" w:rsidRDefault="00745013" w:rsidP="002550DF">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9</w:t>
            </w:r>
            <w:r w:rsidR="002550DF" w:rsidRPr="002550DF">
              <w:rPr>
                <w:rFonts w:ascii="Times New Roman" w:hAnsi="Times New Roman" w:cs="Times New Roman"/>
                <w:b/>
                <w:bCs/>
                <w:color w:val="000000" w:themeColor="text1"/>
                <w:sz w:val="20"/>
                <w:szCs w:val="20"/>
              </w:rPr>
              <w:t>: Summary of Validated Acute Serious Bacterial Infections for the Per-Protocol Analysis</w:t>
            </w:r>
          </w:p>
          <w:p w14:paraId="2136A968" w14:textId="233CE8E0" w:rsidR="002550DF" w:rsidRPr="002550DF" w:rsidRDefault="002550DF" w:rsidP="002550DF">
            <w:pPr>
              <w:widowControl w:val="0"/>
              <w:rPr>
                <w:rFonts w:ascii="Times New Roman" w:hAnsi="Times New Roman" w:cs="Times New Roman"/>
                <w:color w:val="000000" w:themeColor="text1"/>
                <w:sz w:val="20"/>
                <w:szCs w:val="20"/>
              </w:rPr>
            </w:pPr>
          </w:p>
        </w:tc>
      </w:tr>
      <w:tr w:rsidR="002550DF" w14:paraId="50B7A45D" w14:textId="77777777" w:rsidTr="002550DF">
        <w:tc>
          <w:tcPr>
            <w:tcW w:w="6318" w:type="dxa"/>
          </w:tcPr>
          <w:p w14:paraId="2FA04C18" w14:textId="08CEC99B" w:rsidR="002550DF" w:rsidRPr="002550DF" w:rsidRDefault="002550DF" w:rsidP="002550DF">
            <w:pPr>
              <w:widowControl w:val="0"/>
              <w:rPr>
                <w:rFonts w:ascii="Times New Roman" w:hAnsi="Times New Roman" w:cs="Times New Roman"/>
                <w:color w:val="000000" w:themeColor="text1"/>
                <w:sz w:val="20"/>
                <w:szCs w:val="20"/>
              </w:rPr>
            </w:pPr>
          </w:p>
        </w:tc>
        <w:tc>
          <w:tcPr>
            <w:tcW w:w="2924" w:type="dxa"/>
          </w:tcPr>
          <w:p w14:paraId="33940604" w14:textId="62BC5DDD"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b/>
                <w:bCs/>
                <w:color w:val="000000" w:themeColor="text1"/>
                <w:sz w:val="20"/>
                <w:szCs w:val="20"/>
              </w:rPr>
              <w:t>Number of Events</w:t>
            </w:r>
          </w:p>
        </w:tc>
      </w:tr>
      <w:tr w:rsidR="002550DF" w14:paraId="5BCFD261" w14:textId="77777777" w:rsidTr="002550DF">
        <w:tc>
          <w:tcPr>
            <w:tcW w:w="6318" w:type="dxa"/>
          </w:tcPr>
          <w:p w14:paraId="2DA8D270" w14:textId="0BA17573" w:rsidR="002550DF" w:rsidRPr="002550DF" w:rsidRDefault="002550DF" w:rsidP="00CB6B8A">
            <w:pPr>
              <w:rPr>
                <w:rFonts w:ascii="Times New Roman" w:hAnsi="Times New Roman" w:cs="Times New Roman"/>
                <w:b/>
                <w:bCs/>
                <w:sz w:val="20"/>
                <w:szCs w:val="20"/>
              </w:rPr>
            </w:pPr>
            <w:r w:rsidRPr="002550DF">
              <w:rPr>
                <w:rFonts w:ascii="Times New Roman" w:hAnsi="Times New Roman" w:cs="Times New Roman"/>
                <w:b/>
                <w:bCs/>
                <w:sz w:val="20"/>
                <w:szCs w:val="20"/>
              </w:rPr>
              <w:t xml:space="preserve">Validated </w:t>
            </w:r>
            <w:proofErr w:type="spellStart"/>
            <w:r w:rsidRPr="002550DF">
              <w:rPr>
                <w:rFonts w:ascii="Times New Roman" w:hAnsi="Times New Roman" w:cs="Times New Roman"/>
                <w:b/>
                <w:bCs/>
                <w:sz w:val="20"/>
                <w:szCs w:val="20"/>
              </w:rPr>
              <w:t>Infections</w:t>
            </w:r>
            <w:r w:rsidRPr="002550DF">
              <w:rPr>
                <w:rFonts w:ascii="Times New Roman" w:hAnsi="Times New Roman" w:cs="Times New Roman"/>
                <w:b/>
                <w:bCs/>
                <w:sz w:val="20"/>
                <w:szCs w:val="20"/>
                <w:vertAlign w:val="superscript"/>
              </w:rPr>
              <w:t>a</w:t>
            </w:r>
            <w:proofErr w:type="spellEnd"/>
          </w:p>
          <w:p w14:paraId="409DDC88" w14:textId="130EE63F" w:rsidR="002550DF" w:rsidRPr="002550DF" w:rsidRDefault="002550DF" w:rsidP="002550DF">
            <w:pPr>
              <w:ind w:left="360"/>
              <w:rPr>
                <w:rFonts w:ascii="Times New Roman" w:hAnsi="Times New Roman" w:cs="Times New Roman"/>
                <w:sz w:val="20"/>
                <w:szCs w:val="20"/>
              </w:rPr>
            </w:pPr>
            <w:proofErr w:type="spellStart"/>
            <w:r w:rsidRPr="002550DF">
              <w:rPr>
                <w:rFonts w:ascii="Times New Roman" w:hAnsi="Times New Roman" w:cs="Times New Roman"/>
                <w:sz w:val="20"/>
                <w:szCs w:val="20"/>
              </w:rPr>
              <w:t>Bacteremia</w:t>
            </w:r>
            <w:proofErr w:type="spellEnd"/>
            <w:r w:rsidRPr="002550DF">
              <w:rPr>
                <w:rFonts w:ascii="Times New Roman" w:hAnsi="Times New Roman" w:cs="Times New Roman"/>
                <w:sz w:val="20"/>
                <w:szCs w:val="20"/>
              </w:rPr>
              <w:t>/Sepsis</w:t>
            </w:r>
          </w:p>
          <w:p w14:paraId="03221454" w14:textId="584F96F6" w:rsidR="002550DF" w:rsidRPr="002550DF" w:rsidRDefault="002550DF" w:rsidP="002550DF">
            <w:pPr>
              <w:ind w:left="360"/>
              <w:rPr>
                <w:rFonts w:ascii="Times New Roman" w:hAnsi="Times New Roman" w:cs="Times New Roman"/>
                <w:sz w:val="20"/>
                <w:szCs w:val="20"/>
              </w:rPr>
            </w:pPr>
            <w:r w:rsidRPr="002550DF">
              <w:rPr>
                <w:rFonts w:ascii="Times New Roman" w:hAnsi="Times New Roman" w:cs="Times New Roman"/>
                <w:sz w:val="20"/>
                <w:szCs w:val="20"/>
              </w:rPr>
              <w:t xml:space="preserve">Bacterial </w:t>
            </w:r>
            <w:r w:rsidR="00330929">
              <w:rPr>
                <w:rFonts w:ascii="Times New Roman" w:hAnsi="Times New Roman" w:cs="Times New Roman"/>
                <w:sz w:val="20"/>
                <w:szCs w:val="20"/>
              </w:rPr>
              <w:t>m</w:t>
            </w:r>
            <w:r w:rsidRPr="002550DF">
              <w:rPr>
                <w:rFonts w:ascii="Times New Roman" w:hAnsi="Times New Roman" w:cs="Times New Roman"/>
                <w:sz w:val="20"/>
                <w:szCs w:val="20"/>
              </w:rPr>
              <w:t>eningitis</w:t>
            </w:r>
          </w:p>
          <w:p w14:paraId="4D729E40" w14:textId="005F4CBD" w:rsidR="002550DF" w:rsidRPr="002550DF" w:rsidRDefault="002550DF" w:rsidP="002550DF">
            <w:pPr>
              <w:ind w:left="360"/>
              <w:rPr>
                <w:rFonts w:ascii="Times New Roman" w:hAnsi="Times New Roman" w:cs="Times New Roman"/>
                <w:sz w:val="20"/>
                <w:szCs w:val="20"/>
              </w:rPr>
            </w:pPr>
            <w:r w:rsidRPr="002550DF">
              <w:rPr>
                <w:rFonts w:ascii="Times New Roman" w:hAnsi="Times New Roman" w:cs="Times New Roman"/>
                <w:sz w:val="20"/>
                <w:szCs w:val="20"/>
              </w:rPr>
              <w:t xml:space="preserve">Osteomyelitis/Septic </w:t>
            </w:r>
            <w:r w:rsidR="00330929">
              <w:rPr>
                <w:rFonts w:ascii="Times New Roman" w:hAnsi="Times New Roman" w:cs="Times New Roman"/>
                <w:sz w:val="20"/>
                <w:szCs w:val="20"/>
              </w:rPr>
              <w:t>a</w:t>
            </w:r>
            <w:r w:rsidRPr="002550DF">
              <w:rPr>
                <w:rFonts w:ascii="Times New Roman" w:hAnsi="Times New Roman" w:cs="Times New Roman"/>
                <w:sz w:val="20"/>
                <w:szCs w:val="20"/>
              </w:rPr>
              <w:t>rthritis</w:t>
            </w:r>
          </w:p>
          <w:p w14:paraId="412DDEE2" w14:textId="630F9B51" w:rsidR="002550DF" w:rsidRPr="002550DF" w:rsidRDefault="002550DF" w:rsidP="002550DF">
            <w:pPr>
              <w:ind w:left="360"/>
              <w:rPr>
                <w:rFonts w:ascii="Times New Roman" w:hAnsi="Times New Roman" w:cs="Times New Roman"/>
                <w:sz w:val="20"/>
                <w:szCs w:val="20"/>
              </w:rPr>
            </w:pPr>
            <w:r w:rsidRPr="002550DF">
              <w:rPr>
                <w:rFonts w:ascii="Times New Roman" w:hAnsi="Times New Roman" w:cs="Times New Roman"/>
                <w:sz w:val="20"/>
                <w:szCs w:val="20"/>
              </w:rPr>
              <w:t xml:space="preserve">Bacterial </w:t>
            </w:r>
            <w:r w:rsidR="00330929">
              <w:rPr>
                <w:rFonts w:ascii="Times New Roman" w:hAnsi="Times New Roman" w:cs="Times New Roman"/>
                <w:sz w:val="20"/>
                <w:szCs w:val="20"/>
              </w:rPr>
              <w:t>p</w:t>
            </w:r>
            <w:r w:rsidRPr="002550DF">
              <w:rPr>
                <w:rFonts w:ascii="Times New Roman" w:hAnsi="Times New Roman" w:cs="Times New Roman"/>
                <w:sz w:val="20"/>
                <w:szCs w:val="20"/>
              </w:rPr>
              <w:t>neumonia</w:t>
            </w:r>
          </w:p>
          <w:p w14:paraId="3029669E" w14:textId="68C65628" w:rsidR="002550DF" w:rsidRPr="002550DF" w:rsidRDefault="002550DF" w:rsidP="00330929">
            <w:pPr>
              <w:widowControl w:val="0"/>
              <w:ind w:left="360"/>
              <w:rPr>
                <w:rFonts w:ascii="Times New Roman" w:hAnsi="Times New Roman" w:cs="Times New Roman"/>
                <w:color w:val="000000" w:themeColor="text1"/>
                <w:sz w:val="20"/>
                <w:szCs w:val="20"/>
              </w:rPr>
            </w:pPr>
            <w:r w:rsidRPr="002550DF">
              <w:rPr>
                <w:rFonts w:ascii="Times New Roman" w:hAnsi="Times New Roman" w:cs="Times New Roman"/>
                <w:sz w:val="20"/>
                <w:szCs w:val="20"/>
              </w:rPr>
              <w:t xml:space="preserve">Visceral </w:t>
            </w:r>
            <w:r w:rsidR="00330929">
              <w:rPr>
                <w:rFonts w:ascii="Times New Roman" w:hAnsi="Times New Roman" w:cs="Times New Roman"/>
                <w:sz w:val="20"/>
                <w:szCs w:val="20"/>
              </w:rPr>
              <w:t>a</w:t>
            </w:r>
            <w:r w:rsidRPr="002550DF">
              <w:rPr>
                <w:rFonts w:ascii="Times New Roman" w:hAnsi="Times New Roman" w:cs="Times New Roman"/>
                <w:sz w:val="20"/>
                <w:szCs w:val="20"/>
              </w:rPr>
              <w:t>bscess</w:t>
            </w:r>
          </w:p>
        </w:tc>
        <w:tc>
          <w:tcPr>
            <w:tcW w:w="2924" w:type="dxa"/>
          </w:tcPr>
          <w:p w14:paraId="17D4E5DC" w14:textId="77777777" w:rsidR="002550DF" w:rsidRPr="002550DF" w:rsidRDefault="002550DF" w:rsidP="002550DF">
            <w:pPr>
              <w:jc w:val="center"/>
              <w:rPr>
                <w:rFonts w:ascii="Times New Roman" w:hAnsi="Times New Roman" w:cs="Times New Roman"/>
                <w:sz w:val="20"/>
                <w:szCs w:val="20"/>
              </w:rPr>
            </w:pPr>
          </w:p>
          <w:p w14:paraId="5D82F892" w14:textId="7C9AAB82" w:rsidR="002550DF" w:rsidRPr="002550DF" w:rsidRDefault="002550DF" w:rsidP="002550DF">
            <w:pPr>
              <w:jc w:val="center"/>
              <w:rPr>
                <w:rFonts w:ascii="Times New Roman" w:hAnsi="Times New Roman" w:cs="Times New Roman"/>
                <w:sz w:val="20"/>
                <w:szCs w:val="20"/>
              </w:rPr>
            </w:pPr>
            <w:r w:rsidRPr="002550DF">
              <w:rPr>
                <w:rFonts w:ascii="Times New Roman" w:hAnsi="Times New Roman" w:cs="Times New Roman"/>
                <w:sz w:val="20"/>
                <w:szCs w:val="20"/>
              </w:rPr>
              <w:t>0</w:t>
            </w:r>
          </w:p>
          <w:p w14:paraId="0486D61B" w14:textId="54B28765" w:rsidR="002550DF" w:rsidRPr="002550DF" w:rsidRDefault="002550DF" w:rsidP="002550DF">
            <w:pPr>
              <w:jc w:val="center"/>
              <w:rPr>
                <w:rFonts w:ascii="Times New Roman" w:hAnsi="Times New Roman" w:cs="Times New Roman"/>
                <w:sz w:val="20"/>
                <w:szCs w:val="20"/>
              </w:rPr>
            </w:pPr>
            <w:r w:rsidRPr="002550DF">
              <w:rPr>
                <w:rFonts w:ascii="Times New Roman" w:hAnsi="Times New Roman" w:cs="Times New Roman"/>
                <w:sz w:val="20"/>
                <w:szCs w:val="20"/>
              </w:rPr>
              <w:t>0</w:t>
            </w:r>
          </w:p>
          <w:p w14:paraId="43D06DD9" w14:textId="6001208E" w:rsidR="002550DF" w:rsidRPr="002550DF" w:rsidRDefault="002550DF" w:rsidP="002550DF">
            <w:pPr>
              <w:jc w:val="center"/>
              <w:rPr>
                <w:rFonts w:ascii="Times New Roman" w:hAnsi="Times New Roman" w:cs="Times New Roman"/>
                <w:sz w:val="20"/>
                <w:szCs w:val="20"/>
              </w:rPr>
            </w:pPr>
            <w:r w:rsidRPr="002550DF">
              <w:rPr>
                <w:rFonts w:ascii="Times New Roman" w:hAnsi="Times New Roman" w:cs="Times New Roman"/>
                <w:sz w:val="20"/>
                <w:szCs w:val="20"/>
              </w:rPr>
              <w:t>0</w:t>
            </w:r>
          </w:p>
          <w:p w14:paraId="2E1305D5" w14:textId="264AD2E3" w:rsidR="002550DF" w:rsidRPr="002550DF" w:rsidRDefault="002550DF" w:rsidP="002550DF">
            <w:pPr>
              <w:jc w:val="center"/>
              <w:rPr>
                <w:rFonts w:ascii="Times New Roman" w:hAnsi="Times New Roman" w:cs="Times New Roman"/>
                <w:sz w:val="20"/>
                <w:szCs w:val="20"/>
              </w:rPr>
            </w:pPr>
            <w:r w:rsidRPr="002550DF">
              <w:rPr>
                <w:rFonts w:ascii="Times New Roman" w:hAnsi="Times New Roman" w:cs="Times New Roman"/>
                <w:sz w:val="20"/>
                <w:szCs w:val="20"/>
              </w:rPr>
              <w:t>0</w:t>
            </w:r>
          </w:p>
          <w:p w14:paraId="3F528547" w14:textId="1F890624"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sz w:val="20"/>
                <w:szCs w:val="20"/>
              </w:rPr>
              <w:t>0</w:t>
            </w:r>
          </w:p>
        </w:tc>
      </w:tr>
      <w:tr w:rsidR="002550DF" w14:paraId="07187EE8" w14:textId="77777777" w:rsidTr="002550DF">
        <w:tc>
          <w:tcPr>
            <w:tcW w:w="6318" w:type="dxa"/>
          </w:tcPr>
          <w:p w14:paraId="4EC6A80E" w14:textId="2405EE16"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sz w:val="20"/>
                <w:szCs w:val="20"/>
              </w:rPr>
              <w:t>Total</w:t>
            </w:r>
          </w:p>
        </w:tc>
        <w:tc>
          <w:tcPr>
            <w:tcW w:w="2924" w:type="dxa"/>
          </w:tcPr>
          <w:p w14:paraId="362A129A" w14:textId="66BD44FA"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sz w:val="20"/>
                <w:szCs w:val="20"/>
              </w:rPr>
              <w:t>0</w:t>
            </w:r>
          </w:p>
        </w:tc>
      </w:tr>
      <w:tr w:rsidR="002550DF" w14:paraId="77395DC9" w14:textId="77777777" w:rsidTr="002550DF">
        <w:tc>
          <w:tcPr>
            <w:tcW w:w="6318" w:type="dxa"/>
          </w:tcPr>
          <w:p w14:paraId="51C93F68" w14:textId="30A1B564" w:rsidR="002550DF" w:rsidRPr="002550DF" w:rsidRDefault="002550DF" w:rsidP="002550DF">
            <w:pPr>
              <w:widowControl w:val="0"/>
              <w:rPr>
                <w:rFonts w:ascii="Times New Roman" w:hAnsi="Times New Roman" w:cs="Times New Roman"/>
                <w:color w:val="000000" w:themeColor="text1"/>
                <w:sz w:val="20"/>
                <w:szCs w:val="20"/>
              </w:rPr>
            </w:pPr>
            <w:r w:rsidRPr="002550DF">
              <w:rPr>
                <w:rFonts w:ascii="Times New Roman" w:hAnsi="Times New Roman" w:cs="Times New Roman"/>
                <w:sz w:val="20"/>
                <w:szCs w:val="20"/>
              </w:rPr>
              <w:t>Hospitalisations Secondary to Infection</w:t>
            </w:r>
          </w:p>
        </w:tc>
        <w:tc>
          <w:tcPr>
            <w:tcW w:w="2924" w:type="dxa"/>
          </w:tcPr>
          <w:p w14:paraId="30924A4E" w14:textId="060C29FA" w:rsidR="002550DF" w:rsidRPr="002550DF" w:rsidRDefault="002550DF" w:rsidP="002550DF">
            <w:pPr>
              <w:widowControl w:val="0"/>
              <w:jc w:val="center"/>
              <w:rPr>
                <w:rFonts w:ascii="Times New Roman" w:hAnsi="Times New Roman" w:cs="Times New Roman"/>
                <w:color w:val="000000" w:themeColor="text1"/>
                <w:sz w:val="20"/>
                <w:szCs w:val="20"/>
              </w:rPr>
            </w:pPr>
            <w:r w:rsidRPr="002550DF">
              <w:rPr>
                <w:rFonts w:ascii="Times New Roman" w:hAnsi="Times New Roman" w:cs="Times New Roman"/>
                <w:sz w:val="20"/>
                <w:szCs w:val="20"/>
              </w:rPr>
              <w:t>0</w:t>
            </w:r>
          </w:p>
        </w:tc>
      </w:tr>
      <w:tr w:rsidR="002550DF" w14:paraId="234D6565" w14:textId="77777777" w:rsidTr="002550DF">
        <w:tc>
          <w:tcPr>
            <w:tcW w:w="6318" w:type="dxa"/>
          </w:tcPr>
          <w:p w14:paraId="74BE94D9" w14:textId="77777777" w:rsidR="002550DF" w:rsidRPr="002550DF" w:rsidRDefault="002550DF" w:rsidP="00CB6B8A">
            <w:pPr>
              <w:rPr>
                <w:rFonts w:ascii="Times New Roman" w:hAnsi="Times New Roman" w:cs="Times New Roman"/>
                <w:sz w:val="20"/>
                <w:szCs w:val="20"/>
              </w:rPr>
            </w:pPr>
            <w:r w:rsidRPr="002550DF">
              <w:rPr>
                <w:rFonts w:ascii="Times New Roman" w:hAnsi="Times New Roman" w:cs="Times New Roman"/>
                <w:sz w:val="20"/>
                <w:szCs w:val="20"/>
              </w:rPr>
              <w:t>Mean Number of Validated Infections per Subject per year</w:t>
            </w:r>
          </w:p>
          <w:p w14:paraId="4E6134CE" w14:textId="5F3CED77" w:rsidR="002550DF" w:rsidRPr="002550DF" w:rsidRDefault="002550DF" w:rsidP="002550DF">
            <w:pPr>
              <w:ind w:left="360"/>
              <w:rPr>
                <w:rFonts w:ascii="Times New Roman" w:hAnsi="Times New Roman" w:cs="Times New Roman"/>
                <w:sz w:val="20"/>
                <w:szCs w:val="20"/>
              </w:rPr>
            </w:pPr>
            <w:r w:rsidRPr="002550DF">
              <w:rPr>
                <w:rFonts w:ascii="Times New Roman" w:hAnsi="Times New Roman" w:cs="Times New Roman"/>
                <w:sz w:val="20"/>
                <w:szCs w:val="20"/>
              </w:rPr>
              <w:t>p-</w:t>
            </w:r>
            <w:proofErr w:type="spellStart"/>
            <w:r w:rsidRPr="002550DF">
              <w:rPr>
                <w:rFonts w:ascii="Times New Roman" w:hAnsi="Times New Roman" w:cs="Times New Roman"/>
                <w:sz w:val="20"/>
                <w:szCs w:val="20"/>
              </w:rPr>
              <w:t>value</w:t>
            </w:r>
            <w:r w:rsidRPr="002550DF">
              <w:rPr>
                <w:rFonts w:ascii="Times New Roman" w:hAnsi="Times New Roman" w:cs="Times New Roman"/>
                <w:sz w:val="20"/>
                <w:szCs w:val="20"/>
                <w:vertAlign w:val="superscript"/>
              </w:rPr>
              <w:t>b</w:t>
            </w:r>
            <w:proofErr w:type="spellEnd"/>
          </w:p>
          <w:p w14:paraId="42BA8C37" w14:textId="3F6EE7FD" w:rsidR="002550DF" w:rsidRPr="002550DF" w:rsidRDefault="002550DF" w:rsidP="002550DF">
            <w:pPr>
              <w:widowControl w:val="0"/>
              <w:ind w:left="360"/>
              <w:rPr>
                <w:rFonts w:ascii="Times New Roman" w:hAnsi="Times New Roman" w:cs="Times New Roman"/>
                <w:sz w:val="20"/>
                <w:szCs w:val="20"/>
              </w:rPr>
            </w:pPr>
            <w:r w:rsidRPr="002550DF">
              <w:rPr>
                <w:rFonts w:ascii="Times New Roman" w:hAnsi="Times New Roman" w:cs="Times New Roman"/>
                <w:sz w:val="20"/>
                <w:szCs w:val="20"/>
              </w:rPr>
              <w:t xml:space="preserve">95% Confidence </w:t>
            </w:r>
            <w:proofErr w:type="spellStart"/>
            <w:r w:rsidRPr="002550DF">
              <w:rPr>
                <w:rFonts w:ascii="Times New Roman" w:hAnsi="Times New Roman" w:cs="Times New Roman"/>
                <w:sz w:val="20"/>
                <w:szCs w:val="20"/>
              </w:rPr>
              <w:t>Interval</w:t>
            </w:r>
            <w:r w:rsidRPr="002550DF">
              <w:rPr>
                <w:rFonts w:ascii="Times New Roman" w:hAnsi="Times New Roman" w:cs="Times New Roman"/>
                <w:sz w:val="20"/>
                <w:szCs w:val="20"/>
                <w:vertAlign w:val="superscript"/>
              </w:rPr>
              <w:t>b</w:t>
            </w:r>
            <w:proofErr w:type="spellEnd"/>
          </w:p>
        </w:tc>
        <w:tc>
          <w:tcPr>
            <w:tcW w:w="2924" w:type="dxa"/>
          </w:tcPr>
          <w:p w14:paraId="0F98BB56" w14:textId="1BB318AA" w:rsidR="002550DF" w:rsidRPr="002550DF" w:rsidRDefault="002550DF" w:rsidP="002550DF">
            <w:pPr>
              <w:jc w:val="center"/>
              <w:rPr>
                <w:rFonts w:ascii="Times New Roman" w:hAnsi="Times New Roman" w:cs="Times New Roman"/>
                <w:sz w:val="20"/>
                <w:szCs w:val="20"/>
              </w:rPr>
            </w:pPr>
            <w:r w:rsidRPr="002550DF">
              <w:rPr>
                <w:rFonts w:ascii="Times New Roman" w:hAnsi="Times New Roman" w:cs="Times New Roman"/>
                <w:sz w:val="20"/>
                <w:szCs w:val="20"/>
              </w:rPr>
              <w:t>0</w:t>
            </w:r>
          </w:p>
          <w:p w14:paraId="715783EB" w14:textId="40C5F81E" w:rsidR="002550DF" w:rsidRPr="002550DF" w:rsidRDefault="002550DF" w:rsidP="002550DF">
            <w:pPr>
              <w:jc w:val="center"/>
              <w:rPr>
                <w:rFonts w:ascii="Times New Roman" w:hAnsi="Times New Roman" w:cs="Times New Roman"/>
                <w:sz w:val="20"/>
                <w:szCs w:val="20"/>
              </w:rPr>
            </w:pPr>
            <w:r w:rsidRPr="002550DF">
              <w:rPr>
                <w:rFonts w:ascii="Times New Roman" w:hAnsi="Times New Roman" w:cs="Times New Roman"/>
                <w:sz w:val="20"/>
                <w:szCs w:val="20"/>
              </w:rPr>
              <w:t>p&lt; 0.0001</w:t>
            </w:r>
          </w:p>
          <w:p w14:paraId="09A1E7FC" w14:textId="456CCF9F" w:rsidR="002550DF" w:rsidRPr="002550DF" w:rsidRDefault="002550DF" w:rsidP="002550DF">
            <w:pPr>
              <w:widowControl w:val="0"/>
              <w:jc w:val="center"/>
              <w:rPr>
                <w:rFonts w:ascii="Times New Roman" w:hAnsi="Times New Roman" w:cs="Times New Roman"/>
                <w:sz w:val="20"/>
                <w:szCs w:val="20"/>
              </w:rPr>
            </w:pPr>
            <w:r w:rsidRPr="002550DF">
              <w:rPr>
                <w:rFonts w:ascii="Times New Roman" w:hAnsi="Times New Roman" w:cs="Times New Roman"/>
                <w:sz w:val="20"/>
                <w:szCs w:val="20"/>
              </w:rPr>
              <w:t>(0.000, 0.064)</w:t>
            </w:r>
          </w:p>
        </w:tc>
      </w:tr>
      <w:tr w:rsidR="002550DF" w14:paraId="4009DF59" w14:textId="77777777" w:rsidTr="00CB6B8A">
        <w:tc>
          <w:tcPr>
            <w:tcW w:w="9242" w:type="dxa"/>
            <w:gridSpan w:val="2"/>
          </w:tcPr>
          <w:p w14:paraId="2C823942" w14:textId="77777777" w:rsidR="002550DF" w:rsidRPr="002550DF" w:rsidRDefault="002550DF" w:rsidP="002550DF">
            <w:pPr>
              <w:rPr>
                <w:rFonts w:ascii="Times New Roman" w:hAnsi="Times New Roman" w:cs="Times New Roman"/>
                <w:sz w:val="20"/>
                <w:szCs w:val="20"/>
              </w:rPr>
            </w:pPr>
            <w:proofErr w:type="spellStart"/>
            <w:r w:rsidRPr="002550DF">
              <w:rPr>
                <w:rFonts w:ascii="Times New Roman" w:hAnsi="Times New Roman" w:cs="Times New Roman"/>
                <w:sz w:val="20"/>
                <w:szCs w:val="20"/>
                <w:vertAlign w:val="superscript"/>
              </w:rPr>
              <w:t>a</w:t>
            </w:r>
            <w:r w:rsidRPr="002550DF">
              <w:rPr>
                <w:rFonts w:ascii="Times New Roman" w:hAnsi="Times New Roman" w:cs="Times New Roman"/>
                <w:sz w:val="20"/>
                <w:szCs w:val="20"/>
              </w:rPr>
              <w:t>Serious</w:t>
            </w:r>
            <w:proofErr w:type="spellEnd"/>
            <w:r w:rsidRPr="002550DF">
              <w:rPr>
                <w:rFonts w:ascii="Times New Roman" w:hAnsi="Times New Roman" w:cs="Times New Roman"/>
                <w:sz w:val="20"/>
                <w:szCs w:val="20"/>
              </w:rPr>
              <w:t xml:space="preserve"> acute bacterial infections were defined by FDA and met specific diagnostic requirements</w:t>
            </w:r>
          </w:p>
          <w:p w14:paraId="12F79B34" w14:textId="1CC6B51F" w:rsidR="002550DF" w:rsidRPr="002550DF" w:rsidRDefault="002550DF" w:rsidP="002550DF">
            <w:pPr>
              <w:rPr>
                <w:rFonts w:ascii="Times New Roman" w:hAnsi="Times New Roman" w:cs="Times New Roman"/>
                <w:sz w:val="20"/>
                <w:szCs w:val="20"/>
              </w:rPr>
            </w:pPr>
            <w:proofErr w:type="spellStart"/>
            <w:r w:rsidRPr="002550DF">
              <w:rPr>
                <w:rFonts w:ascii="Times New Roman" w:hAnsi="Times New Roman" w:cs="Times New Roman"/>
                <w:sz w:val="20"/>
                <w:szCs w:val="20"/>
                <w:vertAlign w:val="superscript"/>
              </w:rPr>
              <w:t>b</w:t>
            </w:r>
            <w:r w:rsidRPr="002550DF">
              <w:rPr>
                <w:rFonts w:ascii="Times New Roman" w:hAnsi="Times New Roman" w:cs="Times New Roman"/>
                <w:sz w:val="20"/>
                <w:szCs w:val="20"/>
              </w:rPr>
              <w:t>The</w:t>
            </w:r>
            <w:proofErr w:type="spellEnd"/>
            <w:r w:rsidRPr="002550DF">
              <w:rPr>
                <w:rFonts w:ascii="Times New Roman" w:hAnsi="Times New Roman" w:cs="Times New Roman"/>
                <w:sz w:val="20"/>
                <w:szCs w:val="20"/>
              </w:rPr>
              <w:t xml:space="preserve"> rate of validated infections was compared with a rate of 1 per subject per year, in accordance with recommendations by the FDA Blood Products Advisory Committee</w:t>
            </w:r>
          </w:p>
        </w:tc>
      </w:tr>
    </w:tbl>
    <w:p w14:paraId="4758143C" w14:textId="77777777" w:rsidR="002550DF" w:rsidRPr="002550DF" w:rsidRDefault="002550DF" w:rsidP="002550DF">
      <w:pPr>
        <w:widowControl w:val="0"/>
        <w:spacing w:after="0" w:line="240" w:lineRule="auto"/>
        <w:rPr>
          <w:rFonts w:ascii="Times New Roman" w:hAnsi="Times New Roman" w:cs="Times New Roman"/>
          <w:color w:val="000000" w:themeColor="text1"/>
          <w:sz w:val="24"/>
          <w:szCs w:val="24"/>
        </w:rPr>
      </w:pPr>
    </w:p>
    <w:p w14:paraId="4416FDAE" w14:textId="32E3190F" w:rsidR="00802C7C" w:rsidRDefault="002550DF" w:rsidP="002550DF">
      <w:pPr>
        <w:widowControl w:val="0"/>
        <w:spacing w:after="0" w:line="240" w:lineRule="auto"/>
        <w:rPr>
          <w:rFonts w:ascii="Times New Roman" w:hAnsi="Times New Roman" w:cs="Times New Roman"/>
          <w:color w:val="000000" w:themeColor="text1"/>
          <w:sz w:val="24"/>
          <w:szCs w:val="24"/>
        </w:rPr>
      </w:pPr>
      <w:r w:rsidRPr="002550DF">
        <w:rPr>
          <w:rFonts w:ascii="Times New Roman" w:hAnsi="Times New Roman" w:cs="Times New Roman"/>
          <w:color w:val="000000" w:themeColor="text1"/>
          <w:sz w:val="24"/>
          <w:szCs w:val="24"/>
        </w:rPr>
        <w:t xml:space="preserve">The secondary efficacy endpoints in this study were the annualised rate of other specified validated bacterial infections and the number of hospitalisations secondary to infectious complications (see Table </w:t>
      </w:r>
      <w:r w:rsidR="00ED06FD">
        <w:rPr>
          <w:rFonts w:ascii="Times New Roman" w:hAnsi="Times New Roman" w:cs="Times New Roman"/>
          <w:color w:val="000000" w:themeColor="text1"/>
          <w:sz w:val="24"/>
          <w:szCs w:val="24"/>
        </w:rPr>
        <w:t>10</w:t>
      </w:r>
      <w:r w:rsidRPr="002550DF">
        <w:rPr>
          <w:rFonts w:ascii="Times New Roman" w:hAnsi="Times New Roman" w:cs="Times New Roman"/>
          <w:color w:val="000000" w:themeColor="text1"/>
          <w:sz w:val="24"/>
          <w:szCs w:val="24"/>
        </w:rPr>
        <w:t>). In this study, there were no validated acute serious bacterial infections in any of the treated subjects. The annualised rate of acute serious bacterial infections was significantly less than (p &lt; 0.0001) the rate of one infection per year, in accordance with recommendations by the FDA Blood Products Advisory Committee. Four of the 61 subjects reported a total of 4 other specified validated bacterial infections. None were serious or severe; none resulted in hospitali</w:t>
      </w:r>
      <w:r w:rsidR="00AD6852">
        <w:rPr>
          <w:rFonts w:ascii="Times New Roman" w:hAnsi="Times New Roman" w:cs="Times New Roman"/>
          <w:color w:val="000000" w:themeColor="text1"/>
          <w:sz w:val="24"/>
          <w:szCs w:val="24"/>
        </w:rPr>
        <w:t>s</w:t>
      </w:r>
      <w:r w:rsidRPr="002550DF">
        <w:rPr>
          <w:rFonts w:ascii="Times New Roman" w:hAnsi="Times New Roman" w:cs="Times New Roman"/>
          <w:color w:val="000000" w:themeColor="text1"/>
          <w:sz w:val="24"/>
          <w:szCs w:val="24"/>
        </w:rPr>
        <w:t>ation, and all resolved completely.</w:t>
      </w:r>
    </w:p>
    <w:p w14:paraId="6EA9FFC0" w14:textId="77777777" w:rsidR="00802C7C" w:rsidRDefault="00802C7C" w:rsidP="00503302">
      <w:pPr>
        <w:pageBreakBefore/>
        <w:widowControl w:val="0"/>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166"/>
        <w:gridCol w:w="2850"/>
      </w:tblGrid>
      <w:tr w:rsidR="0072018B" w14:paraId="33326B31" w14:textId="77777777" w:rsidTr="00CB6B8A">
        <w:tc>
          <w:tcPr>
            <w:tcW w:w="9242" w:type="dxa"/>
            <w:gridSpan w:val="2"/>
          </w:tcPr>
          <w:p w14:paraId="2A3BEAD7" w14:textId="3BC7CD8D" w:rsidR="0072018B" w:rsidRDefault="0072018B" w:rsidP="0072018B">
            <w:pPr>
              <w:widowControl w:val="0"/>
              <w:jc w:val="center"/>
              <w:rPr>
                <w:rFonts w:ascii="Times New Roman" w:hAnsi="Times New Roman" w:cs="Times New Roman"/>
                <w:b/>
                <w:bCs/>
                <w:color w:val="000000" w:themeColor="text1"/>
                <w:sz w:val="20"/>
                <w:szCs w:val="20"/>
              </w:rPr>
            </w:pPr>
            <w:r w:rsidRPr="0072018B">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10</w:t>
            </w:r>
            <w:r w:rsidRPr="0072018B">
              <w:rPr>
                <w:rFonts w:ascii="Times New Roman" w:hAnsi="Times New Roman" w:cs="Times New Roman"/>
                <w:b/>
                <w:bCs/>
                <w:color w:val="000000" w:themeColor="text1"/>
                <w:sz w:val="20"/>
                <w:szCs w:val="20"/>
              </w:rPr>
              <w:t>: Summary of Validated Other Bacterial Infections</w:t>
            </w:r>
          </w:p>
          <w:p w14:paraId="64EB5540" w14:textId="5024AE34" w:rsidR="0072018B" w:rsidRPr="0072018B" w:rsidRDefault="0072018B" w:rsidP="0072018B">
            <w:pPr>
              <w:widowControl w:val="0"/>
              <w:jc w:val="center"/>
              <w:rPr>
                <w:rFonts w:ascii="Times New Roman" w:hAnsi="Times New Roman" w:cs="Times New Roman"/>
                <w:color w:val="000000" w:themeColor="text1"/>
                <w:sz w:val="20"/>
                <w:szCs w:val="20"/>
              </w:rPr>
            </w:pPr>
          </w:p>
        </w:tc>
      </w:tr>
      <w:tr w:rsidR="0072018B" w14:paraId="341CC1FA" w14:textId="77777777" w:rsidTr="0072018B">
        <w:tc>
          <w:tcPr>
            <w:tcW w:w="6318" w:type="dxa"/>
          </w:tcPr>
          <w:p w14:paraId="304702B4" w14:textId="2FF47476" w:rsidR="0072018B" w:rsidRPr="0072018B" w:rsidRDefault="0072018B" w:rsidP="002550DF">
            <w:pPr>
              <w:widowControl w:val="0"/>
              <w:rPr>
                <w:rFonts w:ascii="Times New Roman" w:hAnsi="Times New Roman" w:cs="Times New Roman"/>
                <w:color w:val="000000" w:themeColor="text1"/>
                <w:sz w:val="20"/>
                <w:szCs w:val="20"/>
              </w:rPr>
            </w:pPr>
          </w:p>
        </w:tc>
        <w:tc>
          <w:tcPr>
            <w:tcW w:w="2924" w:type="dxa"/>
          </w:tcPr>
          <w:p w14:paraId="2F3F8D4E" w14:textId="0C48EA6A" w:rsidR="0072018B" w:rsidRPr="0072018B" w:rsidRDefault="0072018B" w:rsidP="0072018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b/>
                <w:bCs/>
                <w:color w:val="000000" w:themeColor="text1"/>
                <w:sz w:val="20"/>
                <w:szCs w:val="20"/>
              </w:rPr>
              <w:t>Number of events</w:t>
            </w:r>
          </w:p>
        </w:tc>
      </w:tr>
      <w:tr w:rsidR="0072018B" w14:paraId="188A303D" w14:textId="77777777" w:rsidTr="0072018B">
        <w:tc>
          <w:tcPr>
            <w:tcW w:w="6318" w:type="dxa"/>
          </w:tcPr>
          <w:p w14:paraId="23A7B3C3" w14:textId="77777777" w:rsidR="0072018B" w:rsidRPr="0072018B" w:rsidRDefault="0072018B" w:rsidP="00CB6B8A">
            <w:pPr>
              <w:rPr>
                <w:rFonts w:ascii="Times New Roman" w:hAnsi="Times New Roman" w:cs="Times New Roman"/>
                <w:b/>
                <w:bCs/>
                <w:sz w:val="20"/>
                <w:szCs w:val="20"/>
              </w:rPr>
            </w:pPr>
            <w:r w:rsidRPr="0072018B">
              <w:rPr>
                <w:rFonts w:ascii="Times New Roman" w:hAnsi="Times New Roman" w:cs="Times New Roman"/>
                <w:b/>
                <w:bCs/>
                <w:sz w:val="20"/>
                <w:szCs w:val="20"/>
              </w:rPr>
              <w:t xml:space="preserve">Validated </w:t>
            </w:r>
            <w:proofErr w:type="spellStart"/>
            <w:r w:rsidRPr="0072018B">
              <w:rPr>
                <w:rFonts w:ascii="Times New Roman" w:hAnsi="Times New Roman" w:cs="Times New Roman"/>
                <w:b/>
                <w:bCs/>
                <w:sz w:val="20"/>
                <w:szCs w:val="20"/>
              </w:rPr>
              <w:t>Infections</w:t>
            </w:r>
            <w:r w:rsidRPr="0072018B">
              <w:rPr>
                <w:rFonts w:ascii="Times New Roman" w:hAnsi="Times New Roman" w:cs="Times New Roman"/>
                <w:b/>
                <w:bCs/>
                <w:sz w:val="20"/>
                <w:szCs w:val="20"/>
                <w:vertAlign w:val="superscript"/>
              </w:rPr>
              <w:t>a</w:t>
            </w:r>
            <w:proofErr w:type="spellEnd"/>
          </w:p>
          <w:p w14:paraId="73A7F6D6" w14:textId="77777777" w:rsidR="0072018B" w:rsidRPr="0072018B" w:rsidRDefault="0072018B" w:rsidP="00CB6B8A">
            <w:pPr>
              <w:ind w:left="360"/>
              <w:rPr>
                <w:rFonts w:ascii="Times New Roman" w:hAnsi="Times New Roman" w:cs="Times New Roman"/>
                <w:sz w:val="20"/>
                <w:szCs w:val="20"/>
              </w:rPr>
            </w:pPr>
            <w:r w:rsidRPr="0072018B">
              <w:rPr>
                <w:rFonts w:ascii="Times New Roman" w:hAnsi="Times New Roman" w:cs="Times New Roman"/>
                <w:sz w:val="20"/>
                <w:szCs w:val="20"/>
              </w:rPr>
              <w:t>Urinary tract infection</w:t>
            </w:r>
          </w:p>
          <w:p w14:paraId="0DB55606" w14:textId="77777777" w:rsidR="0072018B" w:rsidRPr="0072018B" w:rsidRDefault="0072018B" w:rsidP="00CB6B8A">
            <w:pPr>
              <w:ind w:left="360"/>
              <w:rPr>
                <w:rFonts w:ascii="Times New Roman" w:hAnsi="Times New Roman" w:cs="Times New Roman"/>
                <w:sz w:val="20"/>
                <w:szCs w:val="20"/>
              </w:rPr>
            </w:pPr>
            <w:r w:rsidRPr="0072018B">
              <w:rPr>
                <w:rFonts w:ascii="Times New Roman" w:hAnsi="Times New Roman" w:cs="Times New Roman"/>
                <w:sz w:val="20"/>
                <w:szCs w:val="20"/>
              </w:rPr>
              <w:t>Gastroenteritis</w:t>
            </w:r>
          </w:p>
          <w:p w14:paraId="00B1D569" w14:textId="77777777" w:rsidR="0072018B" w:rsidRPr="0072018B" w:rsidRDefault="0072018B" w:rsidP="00CB6B8A">
            <w:pPr>
              <w:ind w:left="599" w:hanging="239"/>
              <w:rPr>
                <w:rFonts w:ascii="Times New Roman" w:hAnsi="Times New Roman" w:cs="Times New Roman"/>
                <w:sz w:val="20"/>
                <w:szCs w:val="20"/>
              </w:rPr>
            </w:pPr>
            <w:r w:rsidRPr="0072018B">
              <w:rPr>
                <w:rFonts w:ascii="Times New Roman" w:hAnsi="Times New Roman" w:cs="Times New Roman"/>
                <w:sz w:val="20"/>
                <w:szCs w:val="20"/>
              </w:rPr>
              <w:t>Lower Respiratory Tract Infection: tracheobronchitis</w:t>
            </w:r>
            <w:r>
              <w:rPr>
                <w:rFonts w:ascii="Times New Roman" w:hAnsi="Times New Roman" w:cs="Times New Roman"/>
                <w:sz w:val="20"/>
                <w:szCs w:val="20"/>
              </w:rPr>
              <w:t xml:space="preserve">, </w:t>
            </w:r>
            <w:r w:rsidRPr="0072018B">
              <w:rPr>
                <w:rFonts w:ascii="Times New Roman" w:hAnsi="Times New Roman" w:cs="Times New Roman"/>
                <w:sz w:val="20"/>
                <w:szCs w:val="20"/>
              </w:rPr>
              <w:t>bronchitis without evidence of pneumonia</w:t>
            </w:r>
          </w:p>
          <w:p w14:paraId="4154DD95" w14:textId="77777777" w:rsidR="0072018B" w:rsidRPr="0072018B" w:rsidRDefault="0072018B" w:rsidP="00CB6B8A">
            <w:pPr>
              <w:ind w:left="360"/>
              <w:rPr>
                <w:rFonts w:ascii="Times New Roman" w:hAnsi="Times New Roman" w:cs="Times New Roman"/>
                <w:sz w:val="20"/>
                <w:szCs w:val="20"/>
              </w:rPr>
            </w:pPr>
            <w:r w:rsidRPr="0072018B">
              <w:rPr>
                <w:rFonts w:ascii="Times New Roman" w:hAnsi="Times New Roman" w:cs="Times New Roman"/>
                <w:sz w:val="20"/>
                <w:szCs w:val="20"/>
              </w:rPr>
              <w:t xml:space="preserve">Lower Respiratory Tract Infection: </w:t>
            </w:r>
          </w:p>
          <w:p w14:paraId="6FC57F0F" w14:textId="77777777" w:rsidR="0072018B" w:rsidRPr="0072018B" w:rsidRDefault="0072018B" w:rsidP="00CB6B8A">
            <w:pPr>
              <w:ind w:left="360"/>
              <w:rPr>
                <w:rFonts w:ascii="Times New Roman" w:hAnsi="Times New Roman" w:cs="Times New Roman"/>
                <w:sz w:val="20"/>
                <w:szCs w:val="20"/>
              </w:rPr>
            </w:pPr>
            <w:r w:rsidRPr="0072018B">
              <w:rPr>
                <w:rFonts w:ascii="Times New Roman" w:hAnsi="Times New Roman" w:cs="Times New Roman"/>
                <w:sz w:val="20"/>
                <w:szCs w:val="20"/>
              </w:rPr>
              <w:t>Other infections (e.g., lung abscess, Empyema)</w:t>
            </w:r>
          </w:p>
          <w:p w14:paraId="06A85744" w14:textId="77777777" w:rsidR="0072018B" w:rsidRPr="0072018B" w:rsidRDefault="0072018B" w:rsidP="00CB6B8A">
            <w:pPr>
              <w:ind w:left="360"/>
              <w:rPr>
                <w:rFonts w:ascii="Times New Roman" w:hAnsi="Times New Roman" w:cs="Times New Roman"/>
                <w:sz w:val="20"/>
                <w:szCs w:val="20"/>
              </w:rPr>
            </w:pPr>
            <w:r w:rsidRPr="0072018B">
              <w:rPr>
                <w:rFonts w:ascii="Times New Roman" w:hAnsi="Times New Roman" w:cs="Times New Roman"/>
                <w:sz w:val="20"/>
                <w:szCs w:val="20"/>
              </w:rPr>
              <w:t>Otitis media</w:t>
            </w:r>
          </w:p>
          <w:p w14:paraId="4E4A6917" w14:textId="03288614" w:rsidR="0072018B" w:rsidRPr="0072018B" w:rsidRDefault="0072018B" w:rsidP="002550DF">
            <w:pPr>
              <w:widowControl w:val="0"/>
              <w:rPr>
                <w:rFonts w:ascii="Times New Roman" w:hAnsi="Times New Roman" w:cs="Times New Roman"/>
                <w:color w:val="000000" w:themeColor="text1"/>
                <w:sz w:val="20"/>
                <w:szCs w:val="20"/>
              </w:rPr>
            </w:pPr>
            <w:proofErr w:type="spellStart"/>
            <w:r w:rsidRPr="0072018B">
              <w:rPr>
                <w:rFonts w:ascii="Times New Roman" w:hAnsi="Times New Roman" w:cs="Times New Roman"/>
                <w:b/>
                <w:bCs/>
                <w:sz w:val="20"/>
                <w:vertAlign w:val="superscript"/>
              </w:rPr>
              <w:t>a</w:t>
            </w:r>
            <w:r w:rsidRPr="0072018B">
              <w:rPr>
                <w:rFonts w:ascii="Times New Roman" w:hAnsi="Times New Roman" w:cs="Times New Roman"/>
                <w:sz w:val="20"/>
              </w:rPr>
              <w:t>Other</w:t>
            </w:r>
            <w:proofErr w:type="spellEnd"/>
            <w:r w:rsidRPr="0072018B">
              <w:rPr>
                <w:rFonts w:ascii="Times New Roman" w:hAnsi="Times New Roman" w:cs="Times New Roman"/>
                <w:sz w:val="20"/>
              </w:rPr>
              <w:t xml:space="preserve"> bacterial infections that met specific diagnostic    requirements.</w:t>
            </w:r>
          </w:p>
        </w:tc>
        <w:tc>
          <w:tcPr>
            <w:tcW w:w="2924" w:type="dxa"/>
          </w:tcPr>
          <w:p w14:paraId="44AC4D7C" w14:textId="77777777" w:rsidR="0072018B" w:rsidRPr="0072018B" w:rsidRDefault="0072018B" w:rsidP="0072018B">
            <w:pPr>
              <w:ind w:left="72"/>
              <w:jc w:val="center"/>
              <w:rPr>
                <w:rFonts w:ascii="Times New Roman" w:hAnsi="Times New Roman" w:cs="Times New Roman"/>
                <w:sz w:val="20"/>
                <w:szCs w:val="20"/>
              </w:rPr>
            </w:pPr>
          </w:p>
          <w:p w14:paraId="21256BF0" w14:textId="77777777" w:rsidR="0072018B" w:rsidRPr="0072018B" w:rsidRDefault="0072018B" w:rsidP="0072018B">
            <w:pPr>
              <w:ind w:left="72"/>
              <w:jc w:val="center"/>
              <w:rPr>
                <w:rFonts w:ascii="Times New Roman" w:hAnsi="Times New Roman" w:cs="Times New Roman"/>
                <w:sz w:val="20"/>
                <w:szCs w:val="20"/>
              </w:rPr>
            </w:pPr>
            <w:r w:rsidRPr="0072018B">
              <w:rPr>
                <w:rFonts w:ascii="Times New Roman" w:hAnsi="Times New Roman" w:cs="Times New Roman"/>
                <w:sz w:val="20"/>
                <w:szCs w:val="20"/>
              </w:rPr>
              <w:t>1</w:t>
            </w:r>
          </w:p>
          <w:p w14:paraId="33AA9128" w14:textId="77777777" w:rsidR="0072018B" w:rsidRPr="0072018B" w:rsidRDefault="0072018B" w:rsidP="0072018B">
            <w:pPr>
              <w:ind w:left="72"/>
              <w:jc w:val="center"/>
              <w:rPr>
                <w:rFonts w:ascii="Times New Roman" w:hAnsi="Times New Roman" w:cs="Times New Roman"/>
                <w:sz w:val="20"/>
                <w:szCs w:val="20"/>
              </w:rPr>
            </w:pPr>
            <w:r w:rsidRPr="0072018B">
              <w:rPr>
                <w:rFonts w:ascii="Times New Roman" w:hAnsi="Times New Roman" w:cs="Times New Roman"/>
                <w:sz w:val="20"/>
                <w:szCs w:val="20"/>
              </w:rPr>
              <w:t>1</w:t>
            </w:r>
          </w:p>
          <w:p w14:paraId="318F8380" w14:textId="77777777" w:rsidR="0072018B" w:rsidRPr="0072018B" w:rsidRDefault="0072018B" w:rsidP="0072018B">
            <w:pPr>
              <w:ind w:left="72"/>
              <w:jc w:val="center"/>
              <w:rPr>
                <w:rFonts w:ascii="Times New Roman" w:hAnsi="Times New Roman" w:cs="Times New Roman"/>
                <w:sz w:val="20"/>
                <w:szCs w:val="20"/>
              </w:rPr>
            </w:pPr>
          </w:p>
          <w:p w14:paraId="69B4826A" w14:textId="77777777" w:rsidR="0072018B" w:rsidRPr="0072018B" w:rsidRDefault="0072018B" w:rsidP="0072018B">
            <w:pPr>
              <w:ind w:left="72"/>
              <w:jc w:val="center"/>
              <w:rPr>
                <w:rFonts w:ascii="Times New Roman" w:hAnsi="Times New Roman" w:cs="Times New Roman"/>
                <w:sz w:val="20"/>
                <w:szCs w:val="20"/>
              </w:rPr>
            </w:pPr>
            <w:r w:rsidRPr="0072018B">
              <w:rPr>
                <w:rFonts w:ascii="Times New Roman" w:hAnsi="Times New Roman" w:cs="Times New Roman"/>
                <w:sz w:val="20"/>
                <w:szCs w:val="20"/>
              </w:rPr>
              <w:t>0</w:t>
            </w:r>
          </w:p>
          <w:p w14:paraId="4CFC1032" w14:textId="77777777" w:rsidR="0072018B" w:rsidRPr="0072018B" w:rsidRDefault="0072018B" w:rsidP="0072018B">
            <w:pPr>
              <w:ind w:left="72"/>
              <w:jc w:val="center"/>
              <w:rPr>
                <w:rFonts w:ascii="Times New Roman" w:hAnsi="Times New Roman" w:cs="Times New Roman"/>
                <w:sz w:val="20"/>
                <w:szCs w:val="20"/>
              </w:rPr>
            </w:pPr>
          </w:p>
          <w:p w14:paraId="7D063962" w14:textId="77777777" w:rsidR="0072018B" w:rsidRPr="0072018B" w:rsidRDefault="0072018B" w:rsidP="0072018B">
            <w:pPr>
              <w:ind w:left="72"/>
              <w:jc w:val="center"/>
              <w:rPr>
                <w:rFonts w:ascii="Times New Roman" w:hAnsi="Times New Roman" w:cs="Times New Roman"/>
                <w:sz w:val="20"/>
                <w:szCs w:val="20"/>
              </w:rPr>
            </w:pPr>
            <w:r w:rsidRPr="0072018B">
              <w:rPr>
                <w:rFonts w:ascii="Times New Roman" w:hAnsi="Times New Roman" w:cs="Times New Roman"/>
                <w:sz w:val="20"/>
                <w:szCs w:val="20"/>
              </w:rPr>
              <w:t>0</w:t>
            </w:r>
          </w:p>
          <w:p w14:paraId="17AE65F5" w14:textId="72D46207" w:rsidR="0072018B" w:rsidRPr="0072018B" w:rsidRDefault="0072018B" w:rsidP="0072018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w:t>
            </w:r>
          </w:p>
        </w:tc>
      </w:tr>
      <w:tr w:rsidR="0072018B" w14:paraId="324BA52C" w14:textId="77777777" w:rsidTr="0072018B">
        <w:tc>
          <w:tcPr>
            <w:tcW w:w="6318" w:type="dxa"/>
          </w:tcPr>
          <w:p w14:paraId="08694B89" w14:textId="58C1A94B" w:rsidR="0072018B" w:rsidRPr="0072018B" w:rsidRDefault="0072018B" w:rsidP="002550DF">
            <w:pPr>
              <w:widowControl w:val="0"/>
              <w:rPr>
                <w:rFonts w:ascii="Times New Roman" w:hAnsi="Times New Roman" w:cs="Times New Roman"/>
                <w:color w:val="000000" w:themeColor="text1"/>
                <w:sz w:val="20"/>
                <w:szCs w:val="20"/>
              </w:rPr>
            </w:pPr>
            <w:r w:rsidRPr="0072018B">
              <w:rPr>
                <w:rFonts w:ascii="Times New Roman" w:hAnsi="Times New Roman" w:cs="Times New Roman"/>
                <w:sz w:val="20"/>
                <w:szCs w:val="20"/>
              </w:rPr>
              <w:t>Total</w:t>
            </w:r>
          </w:p>
        </w:tc>
        <w:tc>
          <w:tcPr>
            <w:tcW w:w="2924" w:type="dxa"/>
          </w:tcPr>
          <w:p w14:paraId="4A838329" w14:textId="18887ABD" w:rsidR="0072018B" w:rsidRPr="0072018B" w:rsidRDefault="0072018B" w:rsidP="0072018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4</w:t>
            </w:r>
          </w:p>
        </w:tc>
      </w:tr>
      <w:tr w:rsidR="0072018B" w14:paraId="249A490F" w14:textId="77777777" w:rsidTr="0072018B">
        <w:tc>
          <w:tcPr>
            <w:tcW w:w="6318" w:type="dxa"/>
          </w:tcPr>
          <w:p w14:paraId="048D3462" w14:textId="4DF1839D" w:rsidR="0072018B" w:rsidRPr="0072018B" w:rsidRDefault="0072018B" w:rsidP="002550DF">
            <w:pPr>
              <w:widowControl w:val="0"/>
              <w:rPr>
                <w:rFonts w:ascii="Times New Roman" w:hAnsi="Times New Roman" w:cs="Times New Roman"/>
                <w:sz w:val="20"/>
                <w:szCs w:val="20"/>
              </w:rPr>
            </w:pPr>
            <w:r w:rsidRPr="0072018B">
              <w:rPr>
                <w:rFonts w:ascii="Times New Roman" w:hAnsi="Times New Roman" w:cs="Times New Roman"/>
                <w:sz w:val="20"/>
                <w:szCs w:val="20"/>
              </w:rPr>
              <w:t>Hospitalisations secondary to Infection</w:t>
            </w:r>
          </w:p>
        </w:tc>
        <w:tc>
          <w:tcPr>
            <w:tcW w:w="2924" w:type="dxa"/>
          </w:tcPr>
          <w:p w14:paraId="381F5205" w14:textId="4552FC98" w:rsidR="0072018B" w:rsidRPr="0072018B" w:rsidRDefault="0072018B" w:rsidP="0072018B">
            <w:pPr>
              <w:widowControl w:val="0"/>
              <w:jc w:val="center"/>
              <w:rPr>
                <w:rFonts w:ascii="Times New Roman" w:hAnsi="Times New Roman" w:cs="Times New Roman"/>
                <w:sz w:val="20"/>
                <w:szCs w:val="20"/>
              </w:rPr>
            </w:pPr>
            <w:r w:rsidRPr="0072018B">
              <w:rPr>
                <w:rFonts w:ascii="Times New Roman" w:hAnsi="Times New Roman" w:cs="Times New Roman"/>
                <w:sz w:val="20"/>
                <w:szCs w:val="20"/>
              </w:rPr>
              <w:t>0</w:t>
            </w:r>
          </w:p>
        </w:tc>
      </w:tr>
      <w:tr w:rsidR="0072018B" w14:paraId="24A1465C" w14:textId="77777777" w:rsidTr="0072018B">
        <w:tc>
          <w:tcPr>
            <w:tcW w:w="6318" w:type="dxa"/>
          </w:tcPr>
          <w:p w14:paraId="1FDACFC0" w14:textId="41D69EB3" w:rsidR="0072018B" w:rsidRPr="0072018B" w:rsidRDefault="0072018B" w:rsidP="00330929">
            <w:pPr>
              <w:widowControl w:val="0"/>
              <w:rPr>
                <w:rFonts w:ascii="Times New Roman" w:hAnsi="Times New Roman" w:cs="Times New Roman"/>
                <w:sz w:val="20"/>
                <w:szCs w:val="20"/>
              </w:rPr>
            </w:pPr>
            <w:r w:rsidRPr="0072018B">
              <w:rPr>
                <w:rFonts w:ascii="Times New Roman" w:hAnsi="Times New Roman" w:cs="Times New Roman"/>
                <w:sz w:val="20"/>
                <w:szCs w:val="20"/>
              </w:rPr>
              <w:t xml:space="preserve">Mean </w:t>
            </w:r>
            <w:r w:rsidR="00330929">
              <w:rPr>
                <w:rFonts w:ascii="Times New Roman" w:hAnsi="Times New Roman" w:cs="Times New Roman"/>
                <w:sz w:val="20"/>
                <w:szCs w:val="20"/>
              </w:rPr>
              <w:t>n</w:t>
            </w:r>
            <w:r w:rsidRPr="0072018B">
              <w:rPr>
                <w:rFonts w:ascii="Times New Roman" w:hAnsi="Times New Roman" w:cs="Times New Roman"/>
                <w:sz w:val="20"/>
                <w:szCs w:val="20"/>
              </w:rPr>
              <w:t xml:space="preserve">umber of validated </w:t>
            </w:r>
            <w:r w:rsidR="00330929">
              <w:rPr>
                <w:rFonts w:ascii="Times New Roman" w:hAnsi="Times New Roman" w:cs="Times New Roman"/>
                <w:sz w:val="20"/>
                <w:szCs w:val="20"/>
              </w:rPr>
              <w:t>i</w:t>
            </w:r>
            <w:r w:rsidRPr="0072018B">
              <w:rPr>
                <w:rFonts w:ascii="Times New Roman" w:hAnsi="Times New Roman" w:cs="Times New Roman"/>
                <w:sz w:val="20"/>
                <w:szCs w:val="20"/>
              </w:rPr>
              <w:t xml:space="preserve">nfections per </w:t>
            </w:r>
            <w:r w:rsidR="00330929">
              <w:rPr>
                <w:rFonts w:ascii="Times New Roman" w:hAnsi="Times New Roman" w:cs="Times New Roman"/>
                <w:sz w:val="20"/>
                <w:szCs w:val="20"/>
              </w:rPr>
              <w:t>s</w:t>
            </w:r>
            <w:r w:rsidRPr="0072018B">
              <w:rPr>
                <w:rFonts w:ascii="Times New Roman" w:hAnsi="Times New Roman" w:cs="Times New Roman"/>
                <w:sz w:val="20"/>
                <w:szCs w:val="20"/>
              </w:rPr>
              <w:t xml:space="preserve">ubject per year, </w:t>
            </w:r>
            <w:r>
              <w:rPr>
                <w:rFonts w:ascii="Times New Roman" w:hAnsi="Times New Roman" w:cs="Times New Roman"/>
                <w:sz w:val="20"/>
                <w:szCs w:val="20"/>
              </w:rPr>
              <w:br/>
            </w:r>
            <w:r w:rsidRPr="0072018B">
              <w:rPr>
                <w:rFonts w:ascii="Times New Roman" w:hAnsi="Times New Roman" w:cs="Times New Roman"/>
                <w:sz w:val="20"/>
                <w:szCs w:val="20"/>
              </w:rPr>
              <w:t>with 95% Confidence Interval</w:t>
            </w:r>
          </w:p>
        </w:tc>
        <w:tc>
          <w:tcPr>
            <w:tcW w:w="2924" w:type="dxa"/>
          </w:tcPr>
          <w:p w14:paraId="70648123" w14:textId="77777777" w:rsidR="0072018B" w:rsidRPr="0072018B" w:rsidRDefault="0072018B" w:rsidP="0072018B">
            <w:pPr>
              <w:ind w:left="72"/>
              <w:jc w:val="center"/>
              <w:rPr>
                <w:rFonts w:ascii="Times New Roman" w:hAnsi="Times New Roman" w:cs="Times New Roman"/>
                <w:sz w:val="20"/>
                <w:szCs w:val="20"/>
              </w:rPr>
            </w:pPr>
            <w:r w:rsidRPr="0072018B">
              <w:rPr>
                <w:rFonts w:ascii="Times New Roman" w:hAnsi="Times New Roman" w:cs="Times New Roman"/>
                <w:sz w:val="20"/>
                <w:szCs w:val="20"/>
              </w:rPr>
              <w:t>0.07</w:t>
            </w:r>
          </w:p>
          <w:p w14:paraId="2860CCE5" w14:textId="5ABB0CEE" w:rsidR="0072018B" w:rsidRPr="0072018B" w:rsidRDefault="0072018B" w:rsidP="0072018B">
            <w:pPr>
              <w:widowControl w:val="0"/>
              <w:jc w:val="center"/>
              <w:rPr>
                <w:rFonts w:ascii="Times New Roman" w:hAnsi="Times New Roman" w:cs="Times New Roman"/>
                <w:sz w:val="20"/>
                <w:szCs w:val="20"/>
              </w:rPr>
            </w:pPr>
            <w:r w:rsidRPr="0072018B">
              <w:rPr>
                <w:rFonts w:ascii="Times New Roman" w:hAnsi="Times New Roman" w:cs="Times New Roman"/>
                <w:sz w:val="20"/>
                <w:szCs w:val="20"/>
              </w:rPr>
              <w:t>(0.018, 0.168)</w:t>
            </w:r>
          </w:p>
        </w:tc>
      </w:tr>
    </w:tbl>
    <w:p w14:paraId="50CF69ED" w14:textId="77777777" w:rsidR="0072018B" w:rsidRDefault="0072018B" w:rsidP="002550DF">
      <w:pPr>
        <w:widowControl w:val="0"/>
        <w:spacing w:after="0" w:line="240" w:lineRule="auto"/>
        <w:rPr>
          <w:rFonts w:ascii="Times New Roman" w:hAnsi="Times New Roman" w:cs="Times New Roman"/>
          <w:color w:val="000000" w:themeColor="text1"/>
          <w:sz w:val="24"/>
          <w:szCs w:val="24"/>
        </w:rPr>
      </w:pPr>
    </w:p>
    <w:p w14:paraId="537AD60A" w14:textId="0750623B"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 xml:space="preserve">The rate of all </w:t>
      </w:r>
      <w:proofErr w:type="gramStart"/>
      <w:r w:rsidRPr="0072018B">
        <w:rPr>
          <w:rFonts w:ascii="Times New Roman" w:hAnsi="Times New Roman" w:cs="Times New Roman"/>
          <w:color w:val="000000" w:themeColor="text1"/>
          <w:sz w:val="24"/>
          <w:szCs w:val="24"/>
        </w:rPr>
        <w:t>clinically-defined</w:t>
      </w:r>
      <w:proofErr w:type="gramEnd"/>
      <w:r w:rsidRPr="0072018B">
        <w:rPr>
          <w:rFonts w:ascii="Times New Roman" w:hAnsi="Times New Roman" w:cs="Times New Roman"/>
          <w:color w:val="000000" w:themeColor="text1"/>
          <w:sz w:val="24"/>
          <w:szCs w:val="24"/>
        </w:rPr>
        <w:t xml:space="preserve"> but non-validated infections was 3.4 infections per patient per year. These consisted primarily of recurrent episodes of common infections in this patient population (sinusitis, bronchitis, nasopharyngitis, urinary tract infections, and upper respiratory infections).</w:t>
      </w:r>
    </w:p>
    <w:p w14:paraId="2A721ED1"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771501F4" w14:textId="77777777" w:rsidR="002550DF" w:rsidRPr="002550DF" w:rsidRDefault="002550DF" w:rsidP="002550DF">
      <w:pPr>
        <w:pStyle w:val="Heading3"/>
        <w:spacing w:before="0" w:line="240" w:lineRule="auto"/>
        <w:ind w:left="0"/>
        <w:rPr>
          <w:rFonts w:ascii="Times New Roman" w:hAnsi="Times New Roman" w:cs="Times New Roman"/>
          <w:b w:val="0"/>
          <w:color w:val="000000" w:themeColor="text1"/>
          <w:sz w:val="24"/>
          <w:szCs w:val="24"/>
          <w:u w:val="single"/>
        </w:rPr>
      </w:pPr>
      <w:r w:rsidRPr="002550DF">
        <w:rPr>
          <w:rFonts w:ascii="Times New Roman" w:hAnsi="Times New Roman" w:cs="Times New Roman"/>
          <w:b w:val="0"/>
          <w:color w:val="000000" w:themeColor="text1"/>
          <w:sz w:val="24"/>
          <w:szCs w:val="24"/>
          <w:u w:val="single"/>
        </w:rPr>
        <w:t>Multifocal Motor Neuropathy (MMN)</w:t>
      </w:r>
    </w:p>
    <w:p w14:paraId="14AFECEA"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A randomised withdrawal, double-blind, placebo controlled, cross-over Study 160604 was conducted to evaluate the efficacy and safety/tolerability of KIOVIG in 44 adult subjects with MMN. The study examined grip strength in the more affected hand (measured with dynamometer), and Guy’s Neurological Disability Scale (GNDS) [upper limb part 6 subsection].</w:t>
      </w:r>
    </w:p>
    <w:p w14:paraId="3C207997"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44E5729E"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The median monthly dose of IVIG, 10% administered was 1.2 g/kg BW (range: 0.5 to 2.4). Subjects were treated at infusion cycles of 2, 3 or 4 weeks, the dose for each infusion cycle being administered either in a single infusion or divided over a maximum of 5 consecutive days.</w:t>
      </w:r>
    </w:p>
    <w:p w14:paraId="316AEC4B"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6DF7CB5D" w14:textId="5E271A10"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 xml:space="preserve">Study subjects were on a regimen of licensed </w:t>
      </w:r>
      <w:r w:rsidR="00715CED">
        <w:rPr>
          <w:rFonts w:ascii="Times New Roman" w:hAnsi="Times New Roman" w:cs="Times New Roman"/>
          <w:color w:val="000000" w:themeColor="text1"/>
          <w:sz w:val="24"/>
          <w:szCs w:val="24"/>
        </w:rPr>
        <w:t>i</w:t>
      </w:r>
      <w:r w:rsidR="00715CED" w:rsidRPr="0072018B">
        <w:rPr>
          <w:rFonts w:ascii="Times New Roman" w:hAnsi="Times New Roman" w:cs="Times New Roman"/>
          <w:color w:val="000000" w:themeColor="text1"/>
          <w:sz w:val="24"/>
          <w:szCs w:val="24"/>
        </w:rPr>
        <w:t xml:space="preserve">mmunoglobulin </w:t>
      </w:r>
      <w:r w:rsidRPr="0072018B">
        <w:rPr>
          <w:rFonts w:ascii="Times New Roman" w:hAnsi="Times New Roman" w:cs="Times New Roman"/>
          <w:color w:val="000000" w:themeColor="text1"/>
          <w:sz w:val="24"/>
          <w:szCs w:val="24"/>
        </w:rPr>
        <w:t>(existing maintenance dose ranging from 0.5 to 2.0 grams/kg/month) prior to enrolment. The clinical trial was an enrichment design; therefore</w:t>
      </w:r>
      <w:r w:rsidR="00B41586">
        <w:rPr>
          <w:rFonts w:ascii="Times New Roman" w:hAnsi="Times New Roman" w:cs="Times New Roman"/>
          <w:color w:val="000000" w:themeColor="text1"/>
          <w:sz w:val="24"/>
          <w:szCs w:val="24"/>
        </w:rPr>
        <w:t>,</w:t>
      </w:r>
      <w:r w:rsidRPr="0072018B">
        <w:rPr>
          <w:rFonts w:ascii="Times New Roman" w:hAnsi="Times New Roman" w:cs="Times New Roman"/>
          <w:color w:val="000000" w:themeColor="text1"/>
          <w:sz w:val="24"/>
          <w:szCs w:val="24"/>
        </w:rPr>
        <w:t xml:space="preserve"> the results cannot be generalised to naïve patients. Each subject completed a five part, 12-week study (3 </w:t>
      </w:r>
      <w:r w:rsidR="00715CED" w:rsidRPr="0072018B">
        <w:rPr>
          <w:rFonts w:ascii="Times New Roman" w:hAnsi="Times New Roman" w:cs="Times New Roman"/>
          <w:color w:val="000000" w:themeColor="text1"/>
          <w:sz w:val="24"/>
          <w:szCs w:val="24"/>
        </w:rPr>
        <w:t>stabili</w:t>
      </w:r>
      <w:r w:rsidR="00715CED">
        <w:rPr>
          <w:rFonts w:ascii="Times New Roman" w:hAnsi="Times New Roman" w:cs="Times New Roman"/>
          <w:color w:val="000000" w:themeColor="text1"/>
          <w:sz w:val="24"/>
          <w:szCs w:val="24"/>
        </w:rPr>
        <w:t>s</w:t>
      </w:r>
      <w:r w:rsidR="00715CED" w:rsidRPr="0072018B">
        <w:rPr>
          <w:rFonts w:ascii="Times New Roman" w:hAnsi="Times New Roman" w:cs="Times New Roman"/>
          <w:color w:val="000000" w:themeColor="text1"/>
          <w:sz w:val="24"/>
          <w:szCs w:val="24"/>
        </w:rPr>
        <w:t xml:space="preserve">ation </w:t>
      </w:r>
      <w:r w:rsidRPr="0072018B">
        <w:rPr>
          <w:rFonts w:ascii="Times New Roman" w:hAnsi="Times New Roman" w:cs="Times New Roman"/>
          <w:color w:val="000000" w:themeColor="text1"/>
          <w:sz w:val="24"/>
          <w:szCs w:val="24"/>
        </w:rPr>
        <w:t>phases, one randomised withdrawal and one cross-over period). If, during the double-</w:t>
      </w:r>
      <w:r w:rsidRPr="0072018B">
        <w:rPr>
          <w:rFonts w:ascii="Times New Roman" w:hAnsi="Times New Roman" w:cs="Times New Roman" w:hint="eastAsia"/>
          <w:color w:val="000000" w:themeColor="text1"/>
          <w:sz w:val="24"/>
          <w:szCs w:val="24"/>
        </w:rPr>
        <w:t xml:space="preserve">blinded treatment period, the </w:t>
      </w:r>
      <w:r w:rsidR="00083745" w:rsidRPr="0072018B">
        <w:rPr>
          <w:rFonts w:ascii="Times New Roman" w:hAnsi="Times New Roman" w:cs="Times New Roman"/>
          <w:color w:val="000000" w:themeColor="text1"/>
          <w:sz w:val="24"/>
          <w:szCs w:val="24"/>
        </w:rPr>
        <w:t>subject’s</w:t>
      </w:r>
      <w:r w:rsidRPr="0072018B">
        <w:rPr>
          <w:rFonts w:ascii="Times New Roman" w:hAnsi="Times New Roman" w:cs="Times New Roman" w:hint="eastAsia"/>
          <w:color w:val="000000" w:themeColor="text1"/>
          <w:sz w:val="24"/>
          <w:szCs w:val="24"/>
        </w:rPr>
        <w:t xml:space="preserve"> upper limb function involving the affected muscles deteriorated, such that the subject had difficulty completing daily activities or the subject experienced a decline in grip strength of</w:t>
      </w:r>
      <w:r w:rsidRPr="0072018B">
        <w:rPr>
          <w:rFonts w:ascii="Times New Roman" w:hAnsi="Times New Roman" w:cs="Times New Roman"/>
          <w:color w:val="000000" w:themeColor="text1"/>
          <w:sz w:val="24"/>
          <w:szCs w:val="24"/>
        </w:rPr>
        <w:t xml:space="preserve"> ≥</w:t>
      </w:r>
      <w:r w:rsidRPr="0072018B">
        <w:rPr>
          <w:rFonts w:ascii="Times New Roman" w:hAnsi="Times New Roman" w:cs="Times New Roman" w:hint="eastAsia"/>
          <w:color w:val="000000" w:themeColor="text1"/>
          <w:sz w:val="24"/>
          <w:szCs w:val="24"/>
        </w:rPr>
        <w:t>50% in the more affected han</w:t>
      </w:r>
      <w:r w:rsidRPr="0072018B">
        <w:rPr>
          <w:rFonts w:ascii="Times New Roman" w:hAnsi="Times New Roman" w:cs="Times New Roman"/>
          <w:color w:val="000000" w:themeColor="text1"/>
          <w:sz w:val="24"/>
          <w:szCs w:val="24"/>
        </w:rPr>
        <w:t>d, the subject was switched directly to the next stabilisation phase of open-label KIOVIG (“accelerated switch”) without breaking the blind.</w:t>
      </w:r>
    </w:p>
    <w:p w14:paraId="5641B1FC"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3155EC7C" w14:textId="065C9CE0"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All subjects were treated for 12 weeks with KIOVIG during the initial stabili</w:t>
      </w:r>
      <w:r w:rsidR="000B149A">
        <w:rPr>
          <w:rFonts w:ascii="Times New Roman" w:hAnsi="Times New Roman" w:cs="Times New Roman"/>
          <w:color w:val="000000" w:themeColor="text1"/>
          <w:sz w:val="24"/>
          <w:szCs w:val="24"/>
        </w:rPr>
        <w:t>s</w:t>
      </w:r>
      <w:r w:rsidRPr="0072018B">
        <w:rPr>
          <w:rFonts w:ascii="Times New Roman" w:hAnsi="Times New Roman" w:cs="Times New Roman"/>
          <w:color w:val="000000" w:themeColor="text1"/>
          <w:sz w:val="24"/>
          <w:szCs w:val="24"/>
        </w:rPr>
        <w:t>ation (</w:t>
      </w:r>
      <w:r w:rsidR="00715CED" w:rsidRPr="0072018B">
        <w:rPr>
          <w:rFonts w:ascii="Times New Roman" w:hAnsi="Times New Roman" w:cs="Times New Roman"/>
          <w:color w:val="000000" w:themeColor="text1"/>
          <w:sz w:val="24"/>
          <w:szCs w:val="24"/>
        </w:rPr>
        <w:t>Stabili</w:t>
      </w:r>
      <w:r w:rsidR="00715CED">
        <w:rPr>
          <w:rFonts w:ascii="Times New Roman" w:hAnsi="Times New Roman" w:cs="Times New Roman"/>
          <w:color w:val="000000" w:themeColor="text1"/>
          <w:sz w:val="24"/>
          <w:szCs w:val="24"/>
        </w:rPr>
        <w:t>s</w:t>
      </w:r>
      <w:r w:rsidR="00715CED" w:rsidRPr="0072018B">
        <w:rPr>
          <w:rFonts w:ascii="Times New Roman" w:hAnsi="Times New Roman" w:cs="Times New Roman"/>
          <w:color w:val="000000" w:themeColor="text1"/>
          <w:sz w:val="24"/>
          <w:szCs w:val="24"/>
        </w:rPr>
        <w:t>ation</w:t>
      </w:r>
      <w:r w:rsidRPr="0072018B">
        <w:rPr>
          <w:rFonts w:ascii="Times New Roman" w:hAnsi="Times New Roman" w:cs="Times New Roman"/>
          <w:color w:val="000000" w:themeColor="text1"/>
          <w:sz w:val="24"/>
          <w:szCs w:val="24"/>
        </w:rPr>
        <w:t xml:space="preserve">-1) phase. In the cross-over 1 period, each subject was then randomised to either withdrawal from KIOVIG to placebo or continue KIOVIG for a period of 12 weeks and then transferred to </w:t>
      </w:r>
      <w:r w:rsidR="00715CED" w:rsidRPr="0072018B">
        <w:rPr>
          <w:rFonts w:ascii="Times New Roman" w:hAnsi="Times New Roman" w:cs="Times New Roman"/>
          <w:color w:val="000000" w:themeColor="text1"/>
          <w:sz w:val="24"/>
          <w:szCs w:val="24"/>
        </w:rPr>
        <w:t>stabili</w:t>
      </w:r>
      <w:r w:rsidR="00715CED">
        <w:rPr>
          <w:rFonts w:ascii="Times New Roman" w:hAnsi="Times New Roman" w:cs="Times New Roman"/>
          <w:color w:val="000000" w:themeColor="text1"/>
          <w:sz w:val="24"/>
          <w:szCs w:val="24"/>
        </w:rPr>
        <w:t>s</w:t>
      </w:r>
      <w:r w:rsidR="00715CED" w:rsidRPr="0072018B">
        <w:rPr>
          <w:rFonts w:ascii="Times New Roman" w:hAnsi="Times New Roman" w:cs="Times New Roman"/>
          <w:color w:val="000000" w:themeColor="text1"/>
          <w:sz w:val="24"/>
          <w:szCs w:val="24"/>
        </w:rPr>
        <w:t xml:space="preserve">ation </w:t>
      </w:r>
      <w:r w:rsidRPr="0072018B">
        <w:rPr>
          <w:rFonts w:ascii="Times New Roman" w:hAnsi="Times New Roman" w:cs="Times New Roman"/>
          <w:color w:val="000000" w:themeColor="text1"/>
          <w:sz w:val="24"/>
          <w:szCs w:val="24"/>
        </w:rPr>
        <w:t xml:space="preserve">phase 2. Subjects that did not tolerate the treatment during the double-blind cross-over period were immediately transferred to open label KIOVIG </w:t>
      </w:r>
      <w:r w:rsidR="00715CED" w:rsidRPr="0072018B">
        <w:rPr>
          <w:rFonts w:ascii="Times New Roman" w:hAnsi="Times New Roman" w:cs="Times New Roman"/>
          <w:color w:val="000000" w:themeColor="text1"/>
          <w:sz w:val="24"/>
          <w:szCs w:val="24"/>
        </w:rPr>
        <w:t>stabili</w:t>
      </w:r>
      <w:r w:rsidR="00715CED">
        <w:rPr>
          <w:rFonts w:ascii="Times New Roman" w:hAnsi="Times New Roman" w:cs="Times New Roman"/>
          <w:color w:val="000000" w:themeColor="text1"/>
          <w:sz w:val="24"/>
          <w:szCs w:val="24"/>
        </w:rPr>
        <w:t>s</w:t>
      </w:r>
      <w:r w:rsidR="00715CED" w:rsidRPr="0072018B">
        <w:rPr>
          <w:rFonts w:ascii="Times New Roman" w:hAnsi="Times New Roman" w:cs="Times New Roman"/>
          <w:color w:val="000000" w:themeColor="text1"/>
          <w:sz w:val="24"/>
          <w:szCs w:val="24"/>
        </w:rPr>
        <w:t xml:space="preserve">ation </w:t>
      </w:r>
      <w:r w:rsidRPr="0072018B">
        <w:rPr>
          <w:rFonts w:ascii="Times New Roman" w:hAnsi="Times New Roman" w:cs="Times New Roman"/>
          <w:color w:val="000000" w:themeColor="text1"/>
          <w:sz w:val="24"/>
          <w:szCs w:val="24"/>
        </w:rPr>
        <w:t>phase 2.</w:t>
      </w:r>
    </w:p>
    <w:p w14:paraId="485E2604"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6891CF54" w14:textId="77777777" w:rsidR="00503302" w:rsidRDefault="00503302" w:rsidP="0072018B">
      <w:pPr>
        <w:widowControl w:val="0"/>
        <w:spacing w:after="0" w:line="240" w:lineRule="auto"/>
        <w:rPr>
          <w:rFonts w:ascii="Times New Roman" w:hAnsi="Times New Roman" w:cs="Times New Roman"/>
          <w:color w:val="000000" w:themeColor="text1"/>
          <w:sz w:val="24"/>
          <w:szCs w:val="24"/>
        </w:rPr>
      </w:pPr>
    </w:p>
    <w:p w14:paraId="5EE5408B" w14:textId="45BC6C41"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lastRenderedPageBreak/>
        <w:t xml:space="preserve">Following </w:t>
      </w:r>
      <w:r w:rsidR="00715CED" w:rsidRPr="0072018B">
        <w:rPr>
          <w:rFonts w:ascii="Times New Roman" w:hAnsi="Times New Roman" w:cs="Times New Roman"/>
          <w:color w:val="000000" w:themeColor="text1"/>
          <w:sz w:val="24"/>
          <w:szCs w:val="24"/>
        </w:rPr>
        <w:t>stabili</w:t>
      </w:r>
      <w:r w:rsidR="00715CED">
        <w:rPr>
          <w:rFonts w:ascii="Times New Roman" w:hAnsi="Times New Roman" w:cs="Times New Roman"/>
          <w:color w:val="000000" w:themeColor="text1"/>
          <w:sz w:val="24"/>
          <w:szCs w:val="24"/>
        </w:rPr>
        <w:t>s</w:t>
      </w:r>
      <w:r w:rsidR="00715CED" w:rsidRPr="0072018B">
        <w:rPr>
          <w:rFonts w:ascii="Times New Roman" w:hAnsi="Times New Roman" w:cs="Times New Roman"/>
          <w:color w:val="000000" w:themeColor="text1"/>
          <w:sz w:val="24"/>
          <w:szCs w:val="24"/>
        </w:rPr>
        <w:t xml:space="preserve">ation </w:t>
      </w:r>
      <w:r w:rsidRPr="0072018B">
        <w:rPr>
          <w:rFonts w:ascii="Times New Roman" w:hAnsi="Times New Roman" w:cs="Times New Roman"/>
          <w:color w:val="000000" w:themeColor="text1"/>
          <w:sz w:val="24"/>
          <w:szCs w:val="24"/>
        </w:rPr>
        <w:t xml:space="preserve">phase 2, the subjects were assigned to a second double-blind treatment for 12 weeks to either placebo or KIOVIG depending on </w:t>
      </w:r>
      <w:r w:rsidR="00715CED" w:rsidRPr="0072018B">
        <w:rPr>
          <w:rFonts w:ascii="Times New Roman" w:hAnsi="Times New Roman" w:cs="Times New Roman"/>
          <w:color w:val="000000" w:themeColor="text1"/>
          <w:sz w:val="24"/>
          <w:szCs w:val="24"/>
        </w:rPr>
        <w:t>randomi</w:t>
      </w:r>
      <w:r w:rsidR="00715CED">
        <w:rPr>
          <w:rFonts w:ascii="Times New Roman" w:hAnsi="Times New Roman" w:cs="Times New Roman"/>
          <w:color w:val="000000" w:themeColor="text1"/>
          <w:sz w:val="24"/>
          <w:szCs w:val="24"/>
        </w:rPr>
        <w:t>s</w:t>
      </w:r>
      <w:r w:rsidR="00715CED" w:rsidRPr="0072018B">
        <w:rPr>
          <w:rFonts w:ascii="Times New Roman" w:hAnsi="Times New Roman" w:cs="Times New Roman"/>
          <w:color w:val="000000" w:themeColor="text1"/>
          <w:sz w:val="24"/>
          <w:szCs w:val="24"/>
        </w:rPr>
        <w:t xml:space="preserve">ation </w:t>
      </w:r>
      <w:r w:rsidRPr="0072018B">
        <w:rPr>
          <w:rFonts w:ascii="Times New Roman" w:hAnsi="Times New Roman" w:cs="Times New Roman"/>
          <w:color w:val="000000" w:themeColor="text1"/>
          <w:sz w:val="24"/>
          <w:szCs w:val="24"/>
        </w:rPr>
        <w:t xml:space="preserve">received in cross-over period 1. No subject </w:t>
      </w:r>
      <w:proofErr w:type="gramStart"/>
      <w:r w:rsidRPr="0072018B">
        <w:rPr>
          <w:rFonts w:ascii="Times New Roman" w:hAnsi="Times New Roman" w:cs="Times New Roman"/>
          <w:color w:val="000000" w:themeColor="text1"/>
          <w:sz w:val="24"/>
          <w:szCs w:val="24"/>
        </w:rPr>
        <w:t>was allowed to</w:t>
      </w:r>
      <w:proofErr w:type="gramEnd"/>
      <w:r w:rsidRPr="0072018B">
        <w:rPr>
          <w:rFonts w:ascii="Times New Roman" w:hAnsi="Times New Roman" w:cs="Times New Roman"/>
          <w:color w:val="000000" w:themeColor="text1"/>
          <w:sz w:val="24"/>
          <w:szCs w:val="24"/>
        </w:rPr>
        <w:t xml:space="preserve"> experience placebo more than one time during the clinical study. Following this period</w:t>
      </w:r>
      <w:r w:rsidR="00B41586">
        <w:rPr>
          <w:rFonts w:ascii="Times New Roman" w:hAnsi="Times New Roman" w:cs="Times New Roman"/>
          <w:color w:val="000000" w:themeColor="text1"/>
          <w:sz w:val="24"/>
          <w:szCs w:val="24"/>
        </w:rPr>
        <w:t>,</w:t>
      </w:r>
      <w:r w:rsidRPr="0072018B">
        <w:rPr>
          <w:rFonts w:ascii="Times New Roman" w:hAnsi="Times New Roman" w:cs="Times New Roman"/>
          <w:color w:val="000000" w:themeColor="text1"/>
          <w:sz w:val="24"/>
          <w:szCs w:val="24"/>
        </w:rPr>
        <w:t xml:space="preserve"> the subjects were further stabilised for 12 weeks on open-label KIOVIG, </w:t>
      </w:r>
      <w:r w:rsidR="00715CED" w:rsidRPr="0072018B">
        <w:rPr>
          <w:rFonts w:ascii="Times New Roman" w:hAnsi="Times New Roman" w:cs="Times New Roman"/>
          <w:color w:val="000000" w:themeColor="text1"/>
          <w:sz w:val="24"/>
          <w:szCs w:val="24"/>
        </w:rPr>
        <w:t>stabili</w:t>
      </w:r>
      <w:r w:rsidR="00715CED">
        <w:rPr>
          <w:rFonts w:ascii="Times New Roman" w:hAnsi="Times New Roman" w:cs="Times New Roman"/>
          <w:color w:val="000000" w:themeColor="text1"/>
          <w:sz w:val="24"/>
          <w:szCs w:val="24"/>
        </w:rPr>
        <w:t>s</w:t>
      </w:r>
      <w:r w:rsidR="00715CED" w:rsidRPr="0072018B">
        <w:rPr>
          <w:rFonts w:ascii="Times New Roman" w:hAnsi="Times New Roman" w:cs="Times New Roman"/>
          <w:color w:val="000000" w:themeColor="text1"/>
          <w:sz w:val="24"/>
          <w:szCs w:val="24"/>
        </w:rPr>
        <w:t xml:space="preserve">ation </w:t>
      </w:r>
      <w:r w:rsidRPr="0072018B">
        <w:rPr>
          <w:rFonts w:ascii="Times New Roman" w:hAnsi="Times New Roman" w:cs="Times New Roman"/>
          <w:color w:val="000000" w:themeColor="text1"/>
          <w:sz w:val="24"/>
          <w:szCs w:val="24"/>
        </w:rPr>
        <w:t>phase 3.</w:t>
      </w:r>
    </w:p>
    <w:p w14:paraId="1BE9ED37"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783E0CDA"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 xml:space="preserve">Sixty nine percent (n=29) required an accelerated switch to open-label treatment with KIOVIG during the placebo period due to functional </w:t>
      </w:r>
      <w:proofErr w:type="gramStart"/>
      <w:r w:rsidRPr="0072018B">
        <w:rPr>
          <w:rFonts w:ascii="Times New Roman" w:hAnsi="Times New Roman" w:cs="Times New Roman"/>
          <w:color w:val="000000" w:themeColor="text1"/>
          <w:sz w:val="24"/>
          <w:szCs w:val="24"/>
        </w:rPr>
        <w:t>deterioration, but</w:t>
      </w:r>
      <w:proofErr w:type="gramEnd"/>
      <w:r w:rsidRPr="0072018B">
        <w:rPr>
          <w:rFonts w:ascii="Times New Roman" w:hAnsi="Times New Roman" w:cs="Times New Roman"/>
          <w:color w:val="000000" w:themeColor="text1"/>
          <w:sz w:val="24"/>
          <w:szCs w:val="24"/>
        </w:rPr>
        <w:t xml:space="preserve"> did not switch when receiving KIOVIG. The median treatment days for treatment with KIOVIG was 84 days and the median treatment days for the placebo was 28 days. Only one subject (2.4%) switched to open-label treatment during blinded KIOVIG cross-over period 1 but did not switch during placebo administration (p &lt;0.001).</w:t>
      </w:r>
    </w:p>
    <w:p w14:paraId="7F7FF809"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6B5B603C"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Forty-four subjects were evaluated to demonstrate effectiveness of KIOVIG to improve or maintain muscle strength and functional ability in patients with MMN.</w:t>
      </w:r>
    </w:p>
    <w:p w14:paraId="2B87DE73" w14:textId="77777777" w:rsidR="002550DF" w:rsidRPr="0072018B" w:rsidRDefault="002550DF" w:rsidP="0072018B">
      <w:pPr>
        <w:widowControl w:val="0"/>
        <w:spacing w:after="0" w:line="240" w:lineRule="auto"/>
        <w:rPr>
          <w:rFonts w:ascii="Times New Roman" w:hAnsi="Times New Roman" w:cs="Times New Roman"/>
          <w:color w:val="000000" w:themeColor="text1"/>
          <w:sz w:val="24"/>
          <w:szCs w:val="24"/>
        </w:rPr>
      </w:pPr>
    </w:p>
    <w:p w14:paraId="166DB6F9" w14:textId="52EC4DF8" w:rsidR="002550DF" w:rsidRDefault="002550DF" w:rsidP="0072018B">
      <w:pPr>
        <w:widowControl w:val="0"/>
        <w:spacing w:after="0" w:line="240" w:lineRule="auto"/>
        <w:rPr>
          <w:rFonts w:ascii="Times New Roman" w:hAnsi="Times New Roman" w:cs="Times New Roman"/>
          <w:color w:val="000000" w:themeColor="text1"/>
          <w:sz w:val="24"/>
          <w:szCs w:val="24"/>
        </w:rPr>
      </w:pPr>
      <w:r w:rsidRPr="0072018B">
        <w:rPr>
          <w:rFonts w:ascii="Times New Roman" w:hAnsi="Times New Roman" w:cs="Times New Roman"/>
          <w:color w:val="000000" w:themeColor="text1"/>
          <w:sz w:val="24"/>
          <w:szCs w:val="24"/>
        </w:rPr>
        <w:t xml:space="preserve">Statistical significance in </w:t>
      </w:r>
      <w:r w:rsidR="000B149A" w:rsidRPr="0072018B">
        <w:rPr>
          <w:rFonts w:ascii="Times New Roman" w:hAnsi="Times New Roman" w:cs="Times New Roman"/>
          <w:color w:val="000000" w:themeColor="text1"/>
          <w:sz w:val="24"/>
          <w:szCs w:val="24"/>
        </w:rPr>
        <w:t>favour</w:t>
      </w:r>
      <w:r w:rsidRPr="0072018B">
        <w:rPr>
          <w:rFonts w:ascii="Times New Roman" w:hAnsi="Times New Roman" w:cs="Times New Roman"/>
          <w:color w:val="000000" w:themeColor="text1"/>
          <w:sz w:val="24"/>
          <w:szCs w:val="24"/>
        </w:rPr>
        <w:t xml:space="preserve"> of KIOVIG over placebo was demonstrated by a substantially lower decline from baseline (22.30%; 95% CI: 9.92% to 34.67%) in the mean grip strength in the more affected hand following treatment (see Table </w:t>
      </w:r>
      <w:r w:rsidR="00745013">
        <w:rPr>
          <w:rFonts w:ascii="Times New Roman" w:hAnsi="Times New Roman" w:cs="Times New Roman"/>
          <w:color w:val="000000" w:themeColor="text1"/>
          <w:sz w:val="24"/>
          <w:szCs w:val="24"/>
        </w:rPr>
        <w:t>1</w:t>
      </w:r>
      <w:r w:rsidR="00C44986">
        <w:rPr>
          <w:rFonts w:ascii="Times New Roman" w:hAnsi="Times New Roman" w:cs="Times New Roman"/>
          <w:color w:val="000000" w:themeColor="text1"/>
          <w:sz w:val="24"/>
          <w:szCs w:val="24"/>
        </w:rPr>
        <w:t>1</w:t>
      </w:r>
      <w:r w:rsidRPr="0072018B">
        <w:rPr>
          <w:rFonts w:ascii="Times New Roman" w:hAnsi="Times New Roman" w:cs="Times New Roman"/>
          <w:color w:val="000000" w:themeColor="text1"/>
          <w:sz w:val="24"/>
          <w:szCs w:val="24"/>
        </w:rPr>
        <w:t>). The difference in relative change for KIOVIG and placebo of 22.94% (95% CI: 10.69 to 35.19) was statistically significant (p &lt;0.001).</w:t>
      </w:r>
    </w:p>
    <w:p w14:paraId="5AB546EE" w14:textId="77777777" w:rsidR="00C44986" w:rsidRDefault="00C44986" w:rsidP="0072018B">
      <w:pPr>
        <w:widowControl w:val="0"/>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504"/>
        <w:gridCol w:w="1502"/>
        <w:gridCol w:w="1497"/>
        <w:gridCol w:w="1497"/>
        <w:gridCol w:w="1502"/>
        <w:gridCol w:w="1514"/>
      </w:tblGrid>
      <w:tr w:rsidR="0072018B" w14:paraId="53058FED" w14:textId="77777777" w:rsidTr="00CB6B8A">
        <w:tc>
          <w:tcPr>
            <w:tcW w:w="9242" w:type="dxa"/>
            <w:gridSpan w:val="6"/>
          </w:tcPr>
          <w:p w14:paraId="149234B1" w14:textId="1EB8DA9B" w:rsidR="0072018B" w:rsidRDefault="0072018B" w:rsidP="0072018B">
            <w:pPr>
              <w:widowControl w:val="0"/>
              <w:jc w:val="center"/>
              <w:rPr>
                <w:rFonts w:ascii="Times New Roman" w:hAnsi="Times New Roman" w:cs="Times New Roman"/>
                <w:b/>
                <w:bCs/>
                <w:color w:val="000000" w:themeColor="text1"/>
                <w:sz w:val="20"/>
                <w:szCs w:val="20"/>
              </w:rPr>
            </w:pPr>
            <w:r w:rsidRPr="0072018B">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11</w:t>
            </w:r>
            <w:r w:rsidRPr="0072018B">
              <w:rPr>
                <w:rFonts w:ascii="Times New Roman" w:hAnsi="Times New Roman" w:cs="Times New Roman"/>
                <w:b/>
                <w:bCs/>
                <w:color w:val="000000" w:themeColor="text1"/>
                <w:sz w:val="20"/>
                <w:szCs w:val="20"/>
              </w:rPr>
              <w:t>:</w:t>
            </w:r>
            <w:r w:rsidR="00745013">
              <w:rPr>
                <w:rFonts w:ascii="Times New Roman" w:hAnsi="Times New Roman" w:cs="Times New Roman"/>
                <w:b/>
                <w:bCs/>
                <w:color w:val="000000" w:themeColor="text1"/>
                <w:sz w:val="20"/>
                <w:szCs w:val="20"/>
              </w:rPr>
              <w:t xml:space="preserve"> </w:t>
            </w:r>
            <w:r w:rsidRPr="0072018B">
              <w:rPr>
                <w:rFonts w:ascii="Times New Roman" w:hAnsi="Times New Roman" w:cs="Times New Roman"/>
                <w:b/>
                <w:bCs/>
                <w:color w:val="000000" w:themeColor="text1"/>
                <w:sz w:val="20"/>
                <w:szCs w:val="20"/>
              </w:rPr>
              <w:t xml:space="preserve">Relative Change in Grip Strength </w:t>
            </w:r>
            <w:r w:rsidR="00BC2462">
              <w:rPr>
                <w:rFonts w:ascii="Times New Roman" w:hAnsi="Times New Roman" w:cs="Times New Roman"/>
                <w:b/>
                <w:bCs/>
                <w:color w:val="000000" w:themeColor="text1"/>
                <w:sz w:val="20"/>
                <w:szCs w:val="20"/>
              </w:rPr>
              <w:t>i</w:t>
            </w:r>
            <w:r w:rsidRPr="0072018B">
              <w:rPr>
                <w:rFonts w:ascii="Times New Roman" w:hAnsi="Times New Roman" w:cs="Times New Roman"/>
                <w:b/>
                <w:bCs/>
                <w:color w:val="000000" w:themeColor="text1"/>
                <w:sz w:val="20"/>
                <w:szCs w:val="20"/>
              </w:rPr>
              <w:t>n the</w:t>
            </w:r>
            <w:r>
              <w:rPr>
                <w:rFonts w:ascii="Times New Roman" w:hAnsi="Times New Roman" w:cs="Times New Roman"/>
                <w:b/>
                <w:bCs/>
                <w:color w:val="000000" w:themeColor="text1"/>
                <w:sz w:val="20"/>
                <w:szCs w:val="20"/>
              </w:rPr>
              <w:t xml:space="preserve"> </w:t>
            </w:r>
            <w:r w:rsidRPr="0072018B">
              <w:rPr>
                <w:rFonts w:ascii="Times New Roman" w:hAnsi="Times New Roman" w:cs="Times New Roman"/>
                <w:b/>
                <w:bCs/>
                <w:color w:val="000000" w:themeColor="text1"/>
                <w:sz w:val="20"/>
                <w:szCs w:val="20"/>
              </w:rPr>
              <w:t>More Affected Hand During Cross-Over Period (ANOVA)</w:t>
            </w:r>
            <w:r w:rsidR="00745013">
              <w:rPr>
                <w:rFonts w:ascii="Times New Roman" w:hAnsi="Times New Roman" w:cs="Times New Roman"/>
                <w:b/>
                <w:bCs/>
                <w:color w:val="000000" w:themeColor="text1"/>
                <w:sz w:val="20"/>
                <w:szCs w:val="20"/>
              </w:rPr>
              <w:t xml:space="preserve"> </w:t>
            </w:r>
            <w:r w:rsidRPr="0072018B">
              <w:rPr>
                <w:rFonts w:ascii="Times New Roman" w:hAnsi="Times New Roman" w:cs="Times New Roman"/>
                <w:b/>
                <w:bCs/>
                <w:color w:val="000000" w:themeColor="text1"/>
                <w:sz w:val="20"/>
                <w:szCs w:val="20"/>
              </w:rPr>
              <w:t>(Intent-to-Treat Dataset)</w:t>
            </w:r>
            <w:r>
              <w:rPr>
                <w:rFonts w:ascii="Times New Roman" w:hAnsi="Times New Roman" w:cs="Times New Roman"/>
                <w:b/>
                <w:bCs/>
                <w:color w:val="000000" w:themeColor="text1"/>
                <w:sz w:val="20"/>
                <w:szCs w:val="20"/>
              </w:rPr>
              <w:t xml:space="preserve"> </w:t>
            </w:r>
            <w:r w:rsidRPr="0072018B">
              <w:rPr>
                <w:rFonts w:ascii="Times New Roman" w:hAnsi="Times New Roman" w:cs="Times New Roman"/>
                <w:b/>
                <w:bCs/>
                <w:color w:val="000000" w:themeColor="text1"/>
                <w:sz w:val="20"/>
                <w:szCs w:val="20"/>
              </w:rPr>
              <w:t>No. of Subjects (N=41)</w:t>
            </w:r>
          </w:p>
          <w:p w14:paraId="48828A6F" w14:textId="3CE0BBD2" w:rsidR="0072018B" w:rsidRPr="0072018B" w:rsidRDefault="0072018B" w:rsidP="0072018B">
            <w:pPr>
              <w:widowControl w:val="0"/>
              <w:jc w:val="center"/>
              <w:rPr>
                <w:rFonts w:ascii="Times New Roman" w:hAnsi="Times New Roman" w:cs="Times New Roman"/>
                <w:color w:val="000000" w:themeColor="text1"/>
                <w:sz w:val="20"/>
                <w:szCs w:val="20"/>
              </w:rPr>
            </w:pPr>
          </w:p>
        </w:tc>
      </w:tr>
      <w:tr w:rsidR="003D427B" w14:paraId="7E92C575" w14:textId="77777777" w:rsidTr="00CB6B8A">
        <w:tc>
          <w:tcPr>
            <w:tcW w:w="1540" w:type="dxa"/>
            <w:vMerge w:val="restart"/>
          </w:tcPr>
          <w:p w14:paraId="176F5B81" w14:textId="0E6DEC66" w:rsidR="003D427B" w:rsidRPr="0072018B" w:rsidRDefault="003D427B" w:rsidP="0072018B">
            <w:pPr>
              <w:widowControl w:val="0"/>
              <w:rPr>
                <w:rFonts w:ascii="Times New Roman" w:hAnsi="Times New Roman" w:cs="Times New Roman"/>
                <w:color w:val="000000" w:themeColor="text1"/>
                <w:sz w:val="20"/>
                <w:szCs w:val="20"/>
              </w:rPr>
            </w:pPr>
            <w:r w:rsidRPr="0072018B">
              <w:rPr>
                <w:rFonts w:ascii="Times New Roman" w:hAnsi="Times New Roman" w:cs="Times New Roman"/>
                <w:b/>
                <w:sz w:val="20"/>
                <w:szCs w:val="20"/>
              </w:rPr>
              <w:t>Statistics</w:t>
            </w:r>
          </w:p>
        </w:tc>
        <w:tc>
          <w:tcPr>
            <w:tcW w:w="3080" w:type="dxa"/>
            <w:gridSpan w:val="2"/>
          </w:tcPr>
          <w:p w14:paraId="3AD49BE5" w14:textId="3A666ED0"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b/>
                <w:sz w:val="20"/>
                <w:szCs w:val="20"/>
              </w:rPr>
              <w:t>Sequence 1</w:t>
            </w:r>
          </w:p>
        </w:tc>
        <w:tc>
          <w:tcPr>
            <w:tcW w:w="3081" w:type="dxa"/>
            <w:gridSpan w:val="2"/>
          </w:tcPr>
          <w:p w14:paraId="485C91AA" w14:textId="06B60153"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b/>
                <w:sz w:val="20"/>
                <w:szCs w:val="20"/>
              </w:rPr>
              <w:t>Sequence 2</w:t>
            </w:r>
          </w:p>
        </w:tc>
        <w:tc>
          <w:tcPr>
            <w:tcW w:w="1541" w:type="dxa"/>
          </w:tcPr>
          <w:p w14:paraId="224CFD01" w14:textId="0F5D85E0"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b/>
                <w:sz w:val="20"/>
                <w:szCs w:val="20"/>
              </w:rPr>
              <w:t>Difference</w:t>
            </w:r>
          </w:p>
        </w:tc>
      </w:tr>
      <w:tr w:rsidR="003D427B" w14:paraId="6C256941" w14:textId="77777777" w:rsidTr="0072018B">
        <w:tc>
          <w:tcPr>
            <w:tcW w:w="1540" w:type="dxa"/>
            <w:vMerge/>
          </w:tcPr>
          <w:p w14:paraId="5FAE1F40" w14:textId="77777777" w:rsidR="003D427B" w:rsidRPr="0072018B" w:rsidRDefault="003D427B" w:rsidP="0072018B">
            <w:pPr>
              <w:widowControl w:val="0"/>
              <w:rPr>
                <w:rFonts w:ascii="Times New Roman" w:hAnsi="Times New Roman" w:cs="Times New Roman"/>
                <w:color w:val="000000" w:themeColor="text1"/>
                <w:sz w:val="20"/>
                <w:szCs w:val="20"/>
              </w:rPr>
            </w:pPr>
          </w:p>
        </w:tc>
        <w:tc>
          <w:tcPr>
            <w:tcW w:w="1540" w:type="dxa"/>
          </w:tcPr>
          <w:p w14:paraId="35F1BCEE" w14:textId="2068A8E7"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KIOVIG</w:t>
            </w:r>
          </w:p>
        </w:tc>
        <w:tc>
          <w:tcPr>
            <w:tcW w:w="1540" w:type="dxa"/>
          </w:tcPr>
          <w:p w14:paraId="15E9D8C5" w14:textId="6A247843"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Placebo</w:t>
            </w:r>
          </w:p>
        </w:tc>
        <w:tc>
          <w:tcPr>
            <w:tcW w:w="1540" w:type="dxa"/>
          </w:tcPr>
          <w:p w14:paraId="472DBD08" w14:textId="14269416"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Placebo</w:t>
            </w:r>
          </w:p>
        </w:tc>
        <w:tc>
          <w:tcPr>
            <w:tcW w:w="1541" w:type="dxa"/>
          </w:tcPr>
          <w:p w14:paraId="40B9AFFA" w14:textId="270BB921"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KIOVIG</w:t>
            </w:r>
          </w:p>
        </w:tc>
        <w:tc>
          <w:tcPr>
            <w:tcW w:w="1541" w:type="dxa"/>
          </w:tcPr>
          <w:p w14:paraId="2EA0DC05" w14:textId="07C9F61E"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(KIOVIG – Placebo)</w:t>
            </w:r>
          </w:p>
        </w:tc>
      </w:tr>
      <w:tr w:rsidR="003D427B" w14:paraId="3817F47A" w14:textId="77777777" w:rsidTr="0072018B">
        <w:tc>
          <w:tcPr>
            <w:tcW w:w="1540" w:type="dxa"/>
          </w:tcPr>
          <w:p w14:paraId="7243E0B7" w14:textId="12D7B020" w:rsidR="003D427B" w:rsidRPr="0072018B" w:rsidRDefault="003D427B" w:rsidP="0072018B">
            <w:pPr>
              <w:widowControl w:val="0"/>
              <w:rPr>
                <w:rFonts w:ascii="Times New Roman" w:hAnsi="Times New Roman" w:cs="Times New Roman"/>
                <w:color w:val="000000" w:themeColor="text1"/>
                <w:sz w:val="20"/>
                <w:szCs w:val="20"/>
              </w:rPr>
            </w:pPr>
            <w:r w:rsidRPr="0072018B">
              <w:rPr>
                <w:rFonts w:ascii="Times New Roman" w:hAnsi="Times New Roman" w:cs="Times New Roman"/>
                <w:b/>
                <w:sz w:val="20"/>
                <w:szCs w:val="20"/>
              </w:rPr>
              <w:t>N</w:t>
            </w:r>
          </w:p>
        </w:tc>
        <w:tc>
          <w:tcPr>
            <w:tcW w:w="1540" w:type="dxa"/>
          </w:tcPr>
          <w:p w14:paraId="3110C14B" w14:textId="69F3892E"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22</w:t>
            </w:r>
          </w:p>
        </w:tc>
        <w:tc>
          <w:tcPr>
            <w:tcW w:w="1540" w:type="dxa"/>
          </w:tcPr>
          <w:p w14:paraId="6AD43AFA" w14:textId="3EE290F6"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22</w:t>
            </w:r>
          </w:p>
        </w:tc>
        <w:tc>
          <w:tcPr>
            <w:tcW w:w="1540" w:type="dxa"/>
          </w:tcPr>
          <w:p w14:paraId="6AE775C4" w14:textId="14E012C0"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19</w:t>
            </w:r>
          </w:p>
        </w:tc>
        <w:tc>
          <w:tcPr>
            <w:tcW w:w="1541" w:type="dxa"/>
          </w:tcPr>
          <w:p w14:paraId="4C9DBE16" w14:textId="733BFA02"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20*</w:t>
            </w:r>
          </w:p>
        </w:tc>
        <w:tc>
          <w:tcPr>
            <w:tcW w:w="1541" w:type="dxa"/>
          </w:tcPr>
          <w:p w14:paraId="5A9242C2" w14:textId="5EF309A6"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41</w:t>
            </w:r>
          </w:p>
        </w:tc>
      </w:tr>
      <w:tr w:rsidR="003D427B" w14:paraId="59766CE7" w14:textId="77777777" w:rsidTr="0072018B">
        <w:tc>
          <w:tcPr>
            <w:tcW w:w="1540" w:type="dxa"/>
          </w:tcPr>
          <w:p w14:paraId="7958B0C8" w14:textId="2F3CCD9C" w:rsidR="003D427B" w:rsidRPr="0072018B" w:rsidRDefault="003D427B" w:rsidP="0072018B">
            <w:pPr>
              <w:widowControl w:val="0"/>
              <w:rPr>
                <w:rFonts w:ascii="Times New Roman" w:hAnsi="Times New Roman" w:cs="Times New Roman"/>
                <w:b/>
                <w:sz w:val="20"/>
                <w:szCs w:val="20"/>
              </w:rPr>
            </w:pPr>
            <w:r w:rsidRPr="0072018B">
              <w:rPr>
                <w:rFonts w:ascii="Times New Roman" w:hAnsi="Times New Roman" w:cs="Times New Roman"/>
                <w:b/>
                <w:sz w:val="20"/>
                <w:szCs w:val="20"/>
              </w:rPr>
              <w:t>Mean (SD)</w:t>
            </w:r>
          </w:p>
        </w:tc>
        <w:tc>
          <w:tcPr>
            <w:tcW w:w="1540" w:type="dxa"/>
          </w:tcPr>
          <w:p w14:paraId="5A82ECAE" w14:textId="2CC606F0"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-16.36 (32.84)</w:t>
            </w:r>
          </w:p>
        </w:tc>
        <w:tc>
          <w:tcPr>
            <w:tcW w:w="1540" w:type="dxa"/>
          </w:tcPr>
          <w:p w14:paraId="6BBEAAFF" w14:textId="4404F2AA"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-30.52 (29.68)</w:t>
            </w:r>
          </w:p>
        </w:tc>
        <w:tc>
          <w:tcPr>
            <w:tcW w:w="1540" w:type="dxa"/>
          </w:tcPr>
          <w:p w14:paraId="0CB2E609" w14:textId="0CDE368F"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-29.19 (39.95)</w:t>
            </w:r>
          </w:p>
        </w:tc>
        <w:tc>
          <w:tcPr>
            <w:tcW w:w="1541" w:type="dxa"/>
          </w:tcPr>
          <w:p w14:paraId="462FA23D" w14:textId="43DFB469"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1.46 (10.72)</w:t>
            </w:r>
          </w:p>
        </w:tc>
        <w:tc>
          <w:tcPr>
            <w:tcW w:w="1541" w:type="dxa"/>
          </w:tcPr>
          <w:p w14:paraId="2C6FD621" w14:textId="7818FD47"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22.30 (39.21)</w:t>
            </w:r>
          </w:p>
        </w:tc>
      </w:tr>
      <w:tr w:rsidR="003D427B" w14:paraId="1B9220B3" w14:textId="77777777" w:rsidTr="0072018B">
        <w:tc>
          <w:tcPr>
            <w:tcW w:w="1540" w:type="dxa"/>
          </w:tcPr>
          <w:p w14:paraId="1083D4CB" w14:textId="4FFD46A6" w:rsidR="003D427B" w:rsidRPr="0072018B" w:rsidRDefault="003D427B" w:rsidP="0072018B">
            <w:pPr>
              <w:widowControl w:val="0"/>
              <w:rPr>
                <w:rFonts w:ascii="Times New Roman" w:hAnsi="Times New Roman" w:cs="Times New Roman"/>
                <w:b/>
                <w:sz w:val="20"/>
                <w:szCs w:val="20"/>
              </w:rPr>
            </w:pPr>
            <w:r w:rsidRPr="0072018B">
              <w:rPr>
                <w:rFonts w:ascii="Times New Roman" w:hAnsi="Times New Roman" w:cs="Times New Roman"/>
                <w:b/>
                <w:sz w:val="20"/>
                <w:szCs w:val="20"/>
              </w:rPr>
              <w:t>Median</w:t>
            </w:r>
          </w:p>
        </w:tc>
        <w:tc>
          <w:tcPr>
            <w:tcW w:w="1540" w:type="dxa"/>
          </w:tcPr>
          <w:p w14:paraId="2C8731C2" w14:textId="71B98487"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-3.90</w:t>
            </w:r>
          </w:p>
        </w:tc>
        <w:tc>
          <w:tcPr>
            <w:tcW w:w="1540" w:type="dxa"/>
          </w:tcPr>
          <w:p w14:paraId="598CBA4A" w14:textId="751E12EB"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-27.00</w:t>
            </w:r>
          </w:p>
        </w:tc>
        <w:tc>
          <w:tcPr>
            <w:tcW w:w="1540" w:type="dxa"/>
          </w:tcPr>
          <w:p w14:paraId="06D3886C" w14:textId="1DC8C685"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-25.03</w:t>
            </w:r>
          </w:p>
        </w:tc>
        <w:tc>
          <w:tcPr>
            <w:tcW w:w="1541" w:type="dxa"/>
          </w:tcPr>
          <w:p w14:paraId="7C253B0C" w14:textId="3A74AD9D"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-0.11</w:t>
            </w:r>
          </w:p>
        </w:tc>
        <w:tc>
          <w:tcPr>
            <w:tcW w:w="1541" w:type="dxa"/>
          </w:tcPr>
          <w:p w14:paraId="3B5734D2" w14:textId="29353CF3" w:rsidR="003D427B" w:rsidRPr="0072018B" w:rsidRDefault="003D427B" w:rsidP="003D427B">
            <w:pPr>
              <w:widowControl w:val="0"/>
              <w:jc w:val="center"/>
              <w:rPr>
                <w:rFonts w:ascii="Times New Roman" w:hAnsi="Times New Roman" w:cs="Times New Roman"/>
                <w:color w:val="000000" w:themeColor="text1"/>
                <w:sz w:val="20"/>
                <w:szCs w:val="20"/>
              </w:rPr>
            </w:pPr>
            <w:r w:rsidRPr="0072018B">
              <w:rPr>
                <w:rFonts w:ascii="Times New Roman" w:hAnsi="Times New Roman" w:cs="Times New Roman"/>
                <w:sz w:val="20"/>
                <w:szCs w:val="20"/>
              </w:rPr>
              <w:t>26.6</w:t>
            </w:r>
          </w:p>
        </w:tc>
      </w:tr>
      <w:tr w:rsidR="003D427B" w14:paraId="631D7472" w14:textId="77777777" w:rsidTr="00CB6B8A">
        <w:tc>
          <w:tcPr>
            <w:tcW w:w="9242" w:type="dxa"/>
            <w:gridSpan w:val="6"/>
          </w:tcPr>
          <w:p w14:paraId="75D40DAC" w14:textId="7460829D" w:rsidR="003D427B" w:rsidRPr="0072018B" w:rsidRDefault="003D427B" w:rsidP="003D427B">
            <w:pPr>
              <w:rPr>
                <w:rFonts w:ascii="Times New Roman" w:hAnsi="Times New Roman" w:cs="Times New Roman"/>
                <w:sz w:val="20"/>
                <w:szCs w:val="20"/>
              </w:rPr>
            </w:pPr>
            <w:r w:rsidRPr="003D427B">
              <w:rPr>
                <w:rFonts w:ascii="Times New Roman" w:hAnsi="Times New Roman" w:cs="Times New Roman"/>
                <w:sz w:val="20"/>
                <w:szCs w:val="20"/>
              </w:rPr>
              <w:t>*A single subject in sequence 2, who was considered an outlier, was excluded from analysis</w:t>
            </w:r>
          </w:p>
        </w:tc>
      </w:tr>
    </w:tbl>
    <w:p w14:paraId="51CC034E" w14:textId="77777777" w:rsidR="0072018B" w:rsidRPr="0072018B" w:rsidRDefault="0072018B" w:rsidP="0072018B">
      <w:pPr>
        <w:widowControl w:val="0"/>
        <w:spacing w:after="0" w:line="240" w:lineRule="auto"/>
        <w:rPr>
          <w:rFonts w:ascii="Times New Roman" w:hAnsi="Times New Roman" w:cs="Times New Roman"/>
          <w:color w:val="000000" w:themeColor="text1"/>
          <w:sz w:val="24"/>
          <w:szCs w:val="24"/>
        </w:rPr>
      </w:pPr>
    </w:p>
    <w:p w14:paraId="51C4E9AF" w14:textId="77A3D7AC"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 xml:space="preserve">Guy’s Neurological Disability Scores (GNDS) for the upper limbs, reflecting both fine motor skills and proximal strength, showed a significant difference in efficacy between KIOVIG and placebo at the 2.5% level in </w:t>
      </w:r>
      <w:r w:rsidR="00460677" w:rsidRPr="003D427B">
        <w:rPr>
          <w:rFonts w:ascii="Times New Roman" w:hAnsi="Times New Roman" w:cs="Times New Roman"/>
          <w:color w:val="000000" w:themeColor="text1"/>
          <w:sz w:val="24"/>
          <w:szCs w:val="24"/>
        </w:rPr>
        <w:t>favour</w:t>
      </w:r>
      <w:r w:rsidRPr="003D427B">
        <w:rPr>
          <w:rFonts w:ascii="Times New Roman" w:hAnsi="Times New Roman" w:cs="Times New Roman"/>
          <w:color w:val="000000" w:themeColor="text1"/>
          <w:sz w:val="24"/>
          <w:szCs w:val="24"/>
        </w:rPr>
        <w:t xml:space="preserve"> of KIOVIG. GNDS is a patient orientated clinical disability scale designed for multiple sclerosis and is considered appropriate for other neurological disorders.</w:t>
      </w:r>
    </w:p>
    <w:p w14:paraId="0A45B498"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36991C36" w14:textId="4E781429" w:rsid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 xml:space="preserve">As determined by GNDS scores for the upper limbs, 35.7% of subjects deteriorated while receiving the placebo, but not during treatment with KIOVIG whereas 11.9% of subjects deteriorated during KIOVIG but not over the placebo period. This difference was statistically significant (p=0.021) (see Table </w:t>
      </w:r>
      <w:r w:rsidR="00745013">
        <w:rPr>
          <w:rFonts w:ascii="Times New Roman" w:hAnsi="Times New Roman" w:cs="Times New Roman"/>
          <w:color w:val="000000" w:themeColor="text1"/>
          <w:sz w:val="24"/>
          <w:szCs w:val="24"/>
        </w:rPr>
        <w:t>1</w:t>
      </w:r>
      <w:r w:rsidR="00C44986">
        <w:rPr>
          <w:rFonts w:ascii="Times New Roman" w:hAnsi="Times New Roman" w:cs="Times New Roman"/>
          <w:color w:val="000000" w:themeColor="text1"/>
          <w:sz w:val="24"/>
          <w:szCs w:val="24"/>
        </w:rPr>
        <w:t>2</w:t>
      </w:r>
      <w:r w:rsidRPr="003D427B">
        <w:rPr>
          <w:rFonts w:ascii="Times New Roman" w:hAnsi="Times New Roman" w:cs="Times New Roman"/>
          <w:color w:val="000000" w:themeColor="text1"/>
          <w:sz w:val="24"/>
          <w:szCs w:val="24"/>
        </w:rPr>
        <w:t>). 4.8% of subjects showed deterioration with both placebo and KIOVIG, while 47.6% showed no deterioration on either.</w:t>
      </w:r>
    </w:p>
    <w:p w14:paraId="6843AF07" w14:textId="77777777" w:rsidR="000570B9" w:rsidRDefault="000570B9" w:rsidP="003D427B">
      <w:pPr>
        <w:widowControl w:val="0"/>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287"/>
        <w:gridCol w:w="3729"/>
      </w:tblGrid>
      <w:tr w:rsidR="003D427B" w14:paraId="03C7FE33" w14:textId="77777777" w:rsidTr="00CB6B8A">
        <w:tc>
          <w:tcPr>
            <w:tcW w:w="9242" w:type="dxa"/>
            <w:gridSpan w:val="2"/>
          </w:tcPr>
          <w:p w14:paraId="0E98733F" w14:textId="34A73D3B" w:rsidR="003D427B" w:rsidRPr="003D427B" w:rsidRDefault="003D427B" w:rsidP="003D427B">
            <w:pPr>
              <w:widowControl w:val="0"/>
              <w:jc w:val="center"/>
              <w:rPr>
                <w:rFonts w:ascii="Times New Roman" w:hAnsi="Times New Roman" w:cs="Times New Roman"/>
                <w:b/>
                <w:bCs/>
                <w:color w:val="000000" w:themeColor="text1"/>
                <w:sz w:val="20"/>
                <w:szCs w:val="20"/>
              </w:rPr>
            </w:pPr>
            <w:r w:rsidRPr="003D427B">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12</w:t>
            </w:r>
            <w:r w:rsidRPr="003D427B">
              <w:rPr>
                <w:rFonts w:ascii="Times New Roman" w:hAnsi="Times New Roman" w:cs="Times New Roman"/>
                <w:b/>
                <w:bCs/>
                <w:color w:val="000000" w:themeColor="text1"/>
                <w:sz w:val="20"/>
                <w:szCs w:val="20"/>
              </w:rPr>
              <w:t>:</w:t>
            </w:r>
            <w:r>
              <w:rPr>
                <w:rFonts w:ascii="Times New Roman" w:hAnsi="Times New Roman" w:cs="Times New Roman"/>
                <w:b/>
                <w:bCs/>
                <w:color w:val="000000" w:themeColor="text1"/>
                <w:sz w:val="20"/>
                <w:szCs w:val="20"/>
              </w:rPr>
              <w:t xml:space="preserve"> </w:t>
            </w:r>
            <w:proofErr w:type="spellStart"/>
            <w:r w:rsidRPr="003D427B">
              <w:rPr>
                <w:rFonts w:ascii="Times New Roman" w:hAnsi="Times New Roman" w:cs="Times New Roman"/>
                <w:b/>
                <w:bCs/>
                <w:color w:val="000000" w:themeColor="text1"/>
                <w:sz w:val="20"/>
                <w:szCs w:val="20"/>
              </w:rPr>
              <w:t>McNemar’s</w:t>
            </w:r>
            <w:proofErr w:type="spellEnd"/>
            <w:r w:rsidRPr="003D427B">
              <w:rPr>
                <w:rFonts w:ascii="Times New Roman" w:hAnsi="Times New Roman" w:cs="Times New Roman"/>
                <w:b/>
                <w:bCs/>
                <w:color w:val="000000" w:themeColor="text1"/>
                <w:sz w:val="20"/>
                <w:szCs w:val="20"/>
              </w:rPr>
              <w:t xml:space="preserve"> Test for Subjects with Deterioration in Guy’s Neurological Disability Score</w:t>
            </w:r>
          </w:p>
          <w:p w14:paraId="0C5BF1D9" w14:textId="610065C8" w:rsidR="003D427B" w:rsidRPr="003D427B" w:rsidRDefault="003D427B" w:rsidP="003D427B">
            <w:pPr>
              <w:widowControl w:val="0"/>
              <w:jc w:val="center"/>
              <w:rPr>
                <w:rFonts w:ascii="Times New Roman" w:hAnsi="Times New Roman" w:cs="Times New Roman"/>
                <w:b/>
                <w:bCs/>
                <w:color w:val="000000" w:themeColor="text1"/>
                <w:sz w:val="20"/>
                <w:szCs w:val="20"/>
              </w:rPr>
            </w:pPr>
            <w:r w:rsidRPr="003D427B">
              <w:rPr>
                <w:rFonts w:ascii="Times New Roman" w:hAnsi="Times New Roman" w:cs="Times New Roman"/>
                <w:b/>
                <w:bCs/>
                <w:color w:val="000000" w:themeColor="text1"/>
                <w:sz w:val="20"/>
                <w:szCs w:val="20"/>
              </w:rPr>
              <w:t>(Intent-to-Treat Dataset) No. of Subjects (N=42)</w:t>
            </w:r>
          </w:p>
          <w:p w14:paraId="23E42E11" w14:textId="77777777" w:rsidR="003D427B" w:rsidRPr="003D427B" w:rsidRDefault="003D427B" w:rsidP="003D427B">
            <w:pPr>
              <w:widowControl w:val="0"/>
              <w:rPr>
                <w:rFonts w:ascii="Times New Roman" w:hAnsi="Times New Roman" w:cs="Times New Roman"/>
                <w:color w:val="000000" w:themeColor="text1"/>
                <w:sz w:val="20"/>
                <w:szCs w:val="20"/>
              </w:rPr>
            </w:pPr>
          </w:p>
        </w:tc>
      </w:tr>
      <w:tr w:rsidR="003D427B" w14:paraId="65A036FA" w14:textId="77777777" w:rsidTr="003D427B">
        <w:tc>
          <w:tcPr>
            <w:tcW w:w="5418" w:type="dxa"/>
          </w:tcPr>
          <w:p w14:paraId="2A6F8A99" w14:textId="03FA4B78" w:rsidR="003D427B" w:rsidRPr="003D427B" w:rsidRDefault="003D427B" w:rsidP="003D427B">
            <w:pPr>
              <w:widowControl w:val="0"/>
              <w:rPr>
                <w:rFonts w:ascii="Times New Roman" w:hAnsi="Times New Roman" w:cs="Times New Roman"/>
                <w:color w:val="000000" w:themeColor="text1"/>
                <w:sz w:val="20"/>
                <w:szCs w:val="20"/>
              </w:rPr>
            </w:pPr>
            <w:r w:rsidRPr="003D427B">
              <w:rPr>
                <w:rFonts w:ascii="Times New Roman" w:hAnsi="Times New Roman" w:cs="Times New Roman"/>
                <w:b/>
                <w:sz w:val="20"/>
                <w:szCs w:val="20"/>
              </w:rPr>
              <w:t>Deterioration on placebo</w:t>
            </w:r>
          </w:p>
        </w:tc>
        <w:tc>
          <w:tcPr>
            <w:tcW w:w="3824" w:type="dxa"/>
          </w:tcPr>
          <w:p w14:paraId="1424DF89" w14:textId="198BE605" w:rsidR="003D427B" w:rsidRPr="003D427B" w:rsidRDefault="003D427B" w:rsidP="003D427B">
            <w:pPr>
              <w:widowControl w:val="0"/>
              <w:jc w:val="center"/>
              <w:rPr>
                <w:rFonts w:ascii="Times New Roman" w:hAnsi="Times New Roman" w:cs="Times New Roman"/>
                <w:color w:val="000000" w:themeColor="text1"/>
                <w:sz w:val="20"/>
                <w:szCs w:val="20"/>
              </w:rPr>
            </w:pPr>
            <w:r w:rsidRPr="003D427B">
              <w:rPr>
                <w:rFonts w:ascii="Times New Roman" w:hAnsi="Times New Roman" w:cs="Times New Roman"/>
                <w:sz w:val="20"/>
                <w:szCs w:val="20"/>
              </w:rPr>
              <w:t>15 (35.7%)</w:t>
            </w:r>
          </w:p>
        </w:tc>
      </w:tr>
      <w:tr w:rsidR="003D427B" w14:paraId="04F2472B" w14:textId="77777777" w:rsidTr="003D427B">
        <w:tc>
          <w:tcPr>
            <w:tcW w:w="5418" w:type="dxa"/>
          </w:tcPr>
          <w:p w14:paraId="4E69F51A" w14:textId="342DDD83" w:rsidR="003D427B" w:rsidRPr="003D427B" w:rsidRDefault="003D427B" w:rsidP="003D427B">
            <w:pPr>
              <w:widowControl w:val="0"/>
              <w:rPr>
                <w:rFonts w:ascii="Times New Roman" w:hAnsi="Times New Roman" w:cs="Times New Roman"/>
                <w:color w:val="000000" w:themeColor="text1"/>
                <w:sz w:val="20"/>
                <w:szCs w:val="20"/>
              </w:rPr>
            </w:pPr>
            <w:r w:rsidRPr="003D427B">
              <w:rPr>
                <w:rFonts w:ascii="Times New Roman" w:hAnsi="Times New Roman" w:cs="Times New Roman"/>
                <w:b/>
                <w:sz w:val="20"/>
                <w:szCs w:val="20"/>
              </w:rPr>
              <w:t>Deterioration on KIOVIG</w:t>
            </w:r>
          </w:p>
        </w:tc>
        <w:tc>
          <w:tcPr>
            <w:tcW w:w="3824" w:type="dxa"/>
          </w:tcPr>
          <w:p w14:paraId="51ECCFF2" w14:textId="270416B9" w:rsidR="003D427B" w:rsidRPr="003D427B" w:rsidRDefault="003D427B" w:rsidP="003D427B">
            <w:pPr>
              <w:widowControl w:val="0"/>
              <w:jc w:val="center"/>
              <w:rPr>
                <w:rFonts w:ascii="Times New Roman" w:hAnsi="Times New Roman" w:cs="Times New Roman"/>
                <w:color w:val="000000" w:themeColor="text1"/>
                <w:sz w:val="20"/>
                <w:szCs w:val="20"/>
              </w:rPr>
            </w:pPr>
            <w:r w:rsidRPr="003D427B">
              <w:rPr>
                <w:rFonts w:ascii="Times New Roman" w:hAnsi="Times New Roman" w:cs="Times New Roman"/>
                <w:sz w:val="20"/>
                <w:szCs w:val="20"/>
              </w:rPr>
              <w:t>5 (11.9%)</w:t>
            </w:r>
          </w:p>
        </w:tc>
      </w:tr>
      <w:tr w:rsidR="003D427B" w14:paraId="32EA7D6B" w14:textId="77777777" w:rsidTr="003D427B">
        <w:tc>
          <w:tcPr>
            <w:tcW w:w="5418" w:type="dxa"/>
          </w:tcPr>
          <w:p w14:paraId="5DA0DE56" w14:textId="5E97B6CA" w:rsidR="003D427B" w:rsidRPr="003D427B" w:rsidRDefault="003D427B" w:rsidP="003D427B">
            <w:pPr>
              <w:widowControl w:val="0"/>
              <w:rPr>
                <w:rFonts w:ascii="Times New Roman" w:hAnsi="Times New Roman" w:cs="Times New Roman"/>
                <w:color w:val="000000" w:themeColor="text1"/>
                <w:sz w:val="20"/>
                <w:szCs w:val="20"/>
              </w:rPr>
            </w:pPr>
            <w:r w:rsidRPr="003D427B">
              <w:rPr>
                <w:rFonts w:ascii="Times New Roman" w:hAnsi="Times New Roman" w:cs="Times New Roman"/>
                <w:b/>
                <w:sz w:val="20"/>
                <w:szCs w:val="20"/>
              </w:rPr>
              <w:t>Deterioration on both</w:t>
            </w:r>
          </w:p>
        </w:tc>
        <w:tc>
          <w:tcPr>
            <w:tcW w:w="3824" w:type="dxa"/>
          </w:tcPr>
          <w:p w14:paraId="7F7E7F67" w14:textId="62E886EE" w:rsidR="003D427B" w:rsidRPr="003D427B" w:rsidRDefault="003D427B" w:rsidP="003D427B">
            <w:pPr>
              <w:widowControl w:val="0"/>
              <w:jc w:val="center"/>
              <w:rPr>
                <w:rFonts w:ascii="Times New Roman" w:hAnsi="Times New Roman" w:cs="Times New Roman"/>
                <w:color w:val="000000" w:themeColor="text1"/>
                <w:sz w:val="20"/>
                <w:szCs w:val="20"/>
              </w:rPr>
            </w:pPr>
            <w:r w:rsidRPr="003D427B">
              <w:rPr>
                <w:rFonts w:ascii="Times New Roman" w:hAnsi="Times New Roman" w:cs="Times New Roman"/>
                <w:sz w:val="20"/>
                <w:szCs w:val="20"/>
              </w:rPr>
              <w:t>2 (4.8%)</w:t>
            </w:r>
          </w:p>
        </w:tc>
      </w:tr>
      <w:tr w:rsidR="003D427B" w14:paraId="4A774FB4" w14:textId="77777777" w:rsidTr="003D427B">
        <w:tc>
          <w:tcPr>
            <w:tcW w:w="5418" w:type="dxa"/>
          </w:tcPr>
          <w:p w14:paraId="7702FCEB" w14:textId="5E3994D7" w:rsidR="003D427B" w:rsidRPr="003D427B" w:rsidRDefault="003D427B" w:rsidP="003D427B">
            <w:pPr>
              <w:widowControl w:val="0"/>
              <w:rPr>
                <w:rFonts w:ascii="Times New Roman" w:hAnsi="Times New Roman" w:cs="Times New Roman"/>
                <w:b/>
                <w:sz w:val="20"/>
                <w:szCs w:val="20"/>
              </w:rPr>
            </w:pPr>
            <w:r w:rsidRPr="003D427B">
              <w:rPr>
                <w:rFonts w:ascii="Times New Roman" w:hAnsi="Times New Roman" w:cs="Times New Roman"/>
                <w:b/>
                <w:sz w:val="20"/>
                <w:szCs w:val="20"/>
              </w:rPr>
              <w:t>No deterioration</w:t>
            </w:r>
          </w:p>
        </w:tc>
        <w:tc>
          <w:tcPr>
            <w:tcW w:w="3824" w:type="dxa"/>
          </w:tcPr>
          <w:p w14:paraId="48ADB14A" w14:textId="0D8D3C7E" w:rsidR="003D427B" w:rsidRPr="003D427B" w:rsidRDefault="003D427B" w:rsidP="003D427B">
            <w:pPr>
              <w:widowControl w:val="0"/>
              <w:jc w:val="center"/>
              <w:rPr>
                <w:rFonts w:ascii="Times New Roman" w:hAnsi="Times New Roman" w:cs="Times New Roman"/>
                <w:color w:val="000000" w:themeColor="text1"/>
                <w:sz w:val="20"/>
                <w:szCs w:val="20"/>
              </w:rPr>
            </w:pPr>
            <w:r w:rsidRPr="003D427B">
              <w:rPr>
                <w:rFonts w:ascii="Times New Roman" w:hAnsi="Times New Roman" w:cs="Times New Roman"/>
                <w:sz w:val="20"/>
                <w:szCs w:val="20"/>
              </w:rPr>
              <w:t>20 (47.6%)</w:t>
            </w:r>
          </w:p>
        </w:tc>
      </w:tr>
    </w:tbl>
    <w:p w14:paraId="414E5F89" w14:textId="77777777" w:rsidR="003D427B" w:rsidRPr="003D427B" w:rsidRDefault="003D427B" w:rsidP="003D427B">
      <w:pPr>
        <w:widowControl w:val="0"/>
        <w:spacing w:after="0" w:line="240" w:lineRule="auto"/>
        <w:rPr>
          <w:rFonts w:ascii="Times New Roman" w:hAnsi="Times New Roman" w:cs="Times New Roman"/>
          <w:color w:val="000000" w:themeColor="text1"/>
          <w:sz w:val="24"/>
          <w:szCs w:val="24"/>
        </w:rPr>
      </w:pPr>
    </w:p>
    <w:p w14:paraId="229825D9"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hint="eastAsia"/>
          <w:color w:val="000000" w:themeColor="text1"/>
          <w:sz w:val="24"/>
          <w:szCs w:val="24"/>
        </w:rPr>
        <w:lastRenderedPageBreak/>
        <w:t xml:space="preserve">When data from both treatment sequences were combined, a relative decline of </w:t>
      </w:r>
      <w:r w:rsidRPr="003D427B">
        <w:rPr>
          <w:rFonts w:ascii="Times New Roman" w:hAnsi="Times New Roman" w:cs="Times New Roman"/>
          <w:color w:val="000000" w:themeColor="text1"/>
          <w:sz w:val="24"/>
          <w:szCs w:val="24"/>
        </w:rPr>
        <w:t>≥</w:t>
      </w:r>
      <w:r w:rsidRPr="003D427B">
        <w:rPr>
          <w:rFonts w:ascii="Times New Roman" w:hAnsi="Times New Roman" w:cs="Times New Roman" w:hint="eastAsia"/>
          <w:color w:val="000000" w:themeColor="text1"/>
          <w:sz w:val="24"/>
          <w:szCs w:val="24"/>
        </w:rPr>
        <w:t xml:space="preserve">30% in grip strength in the more affected hand occurred in 42.9% of subjects during the placebo period, but not during treatment with </w:t>
      </w:r>
      <w:r w:rsidRPr="003D427B">
        <w:rPr>
          <w:rFonts w:ascii="Times New Roman" w:hAnsi="Times New Roman" w:cs="Times New Roman"/>
          <w:color w:val="000000" w:themeColor="text1"/>
          <w:sz w:val="24"/>
          <w:szCs w:val="24"/>
        </w:rPr>
        <w:t>KIOVIG</w:t>
      </w:r>
      <w:r w:rsidRPr="003D427B">
        <w:rPr>
          <w:rFonts w:ascii="Times New Roman" w:hAnsi="Times New Roman" w:cs="Times New Roman" w:hint="eastAsia"/>
          <w:color w:val="000000" w:themeColor="text1"/>
          <w:sz w:val="24"/>
          <w:szCs w:val="24"/>
        </w:rPr>
        <w:t xml:space="preserve">. 4.8% of subjects experienced a </w:t>
      </w:r>
      <w:r w:rsidRPr="003D427B">
        <w:rPr>
          <w:rFonts w:ascii="Times New Roman" w:hAnsi="Times New Roman" w:cs="Times New Roman"/>
          <w:color w:val="000000" w:themeColor="text1"/>
          <w:sz w:val="24"/>
          <w:szCs w:val="24"/>
        </w:rPr>
        <w:t>≥</w:t>
      </w:r>
      <w:r w:rsidRPr="003D427B">
        <w:rPr>
          <w:rFonts w:ascii="Times New Roman" w:hAnsi="Times New Roman" w:cs="Times New Roman" w:hint="eastAsia"/>
          <w:color w:val="000000" w:themeColor="text1"/>
          <w:sz w:val="24"/>
          <w:szCs w:val="24"/>
        </w:rPr>
        <w:t xml:space="preserve">30% decline during treatment with </w:t>
      </w:r>
      <w:r w:rsidRPr="003D427B">
        <w:rPr>
          <w:rFonts w:ascii="Times New Roman" w:hAnsi="Times New Roman" w:cs="Times New Roman"/>
          <w:color w:val="000000" w:themeColor="text1"/>
          <w:sz w:val="24"/>
          <w:szCs w:val="24"/>
        </w:rPr>
        <w:t>KIOVIG</w:t>
      </w:r>
      <w:r w:rsidRPr="003D427B">
        <w:rPr>
          <w:rFonts w:ascii="Times New Roman" w:hAnsi="Times New Roman" w:cs="Times New Roman" w:hint="eastAsia"/>
          <w:color w:val="000000" w:themeColor="text1"/>
          <w:sz w:val="24"/>
          <w:szCs w:val="24"/>
        </w:rPr>
        <w:t xml:space="preserve">, but not during placebo. A relative decline of </w:t>
      </w:r>
      <w:r w:rsidRPr="003D427B">
        <w:rPr>
          <w:rFonts w:ascii="Times New Roman" w:hAnsi="Times New Roman" w:cs="Times New Roman"/>
          <w:color w:val="000000" w:themeColor="text1"/>
          <w:sz w:val="24"/>
          <w:szCs w:val="24"/>
        </w:rPr>
        <w:t>≥</w:t>
      </w:r>
      <w:r w:rsidRPr="003D427B">
        <w:rPr>
          <w:rFonts w:ascii="Times New Roman" w:hAnsi="Times New Roman" w:cs="Times New Roman" w:hint="eastAsia"/>
          <w:color w:val="000000" w:themeColor="text1"/>
          <w:sz w:val="24"/>
          <w:szCs w:val="24"/>
        </w:rPr>
        <w:t xml:space="preserve">30% in grip strength in the less affected hand occurred in 31.0% of subjects during the placebo period, but not during treatment with </w:t>
      </w:r>
      <w:r w:rsidRPr="003D427B">
        <w:rPr>
          <w:rFonts w:ascii="Times New Roman" w:hAnsi="Times New Roman" w:cs="Times New Roman"/>
          <w:color w:val="000000" w:themeColor="text1"/>
          <w:sz w:val="24"/>
          <w:szCs w:val="24"/>
        </w:rPr>
        <w:t>KIOVIG</w:t>
      </w:r>
      <w:r w:rsidRPr="003D427B">
        <w:rPr>
          <w:rFonts w:ascii="Times New Roman" w:hAnsi="Times New Roman" w:cs="Times New Roman" w:hint="eastAsia"/>
          <w:color w:val="000000" w:themeColor="text1"/>
          <w:sz w:val="24"/>
          <w:szCs w:val="24"/>
        </w:rPr>
        <w:t xml:space="preserve">. No subject experienced a </w:t>
      </w:r>
      <w:r w:rsidRPr="003D427B">
        <w:rPr>
          <w:rFonts w:ascii="Times New Roman" w:hAnsi="Times New Roman" w:cs="Times New Roman"/>
          <w:color w:val="000000" w:themeColor="text1"/>
          <w:sz w:val="24"/>
          <w:szCs w:val="24"/>
        </w:rPr>
        <w:t>≥</w:t>
      </w:r>
      <w:r w:rsidRPr="003D427B">
        <w:rPr>
          <w:rFonts w:ascii="Times New Roman" w:hAnsi="Times New Roman" w:cs="Times New Roman" w:hint="eastAsia"/>
          <w:color w:val="000000" w:themeColor="text1"/>
          <w:sz w:val="24"/>
          <w:szCs w:val="24"/>
        </w:rPr>
        <w:t xml:space="preserve">30% decline during treatment with </w:t>
      </w:r>
      <w:r w:rsidRPr="003D427B">
        <w:rPr>
          <w:rFonts w:ascii="Times New Roman" w:hAnsi="Times New Roman" w:cs="Times New Roman"/>
          <w:color w:val="000000" w:themeColor="text1"/>
          <w:sz w:val="24"/>
          <w:szCs w:val="24"/>
        </w:rPr>
        <w:t>KIOVIG</w:t>
      </w:r>
      <w:r w:rsidRPr="003D427B">
        <w:rPr>
          <w:rFonts w:ascii="Times New Roman" w:hAnsi="Times New Roman" w:cs="Times New Roman" w:hint="eastAsia"/>
          <w:color w:val="000000" w:themeColor="text1"/>
          <w:sz w:val="24"/>
          <w:szCs w:val="24"/>
        </w:rPr>
        <w:t>.</w:t>
      </w:r>
    </w:p>
    <w:p w14:paraId="41F0A962"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489EED3E"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The Overall Disability Sum Score (ODSS) changed by -7.14% during placebo (indicating worsening of disability), and by -1.11% (indicating no change in disability) during treatment with KIOVIG.</w:t>
      </w:r>
    </w:p>
    <w:p w14:paraId="140038CB"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678F9258"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At the end of the placebo period, subjects required 17% longer to complete the 9-hole peg test (a measure of dexterity) with the dominant hand, and 33% longer with the non-dominant hand, compared to baseline. During KIOVIG treatment, dexterity increased by a mean of 1.2% compared to baseline in the dominant hand and 6.7% in the non-dominant hand.</w:t>
      </w:r>
    </w:p>
    <w:p w14:paraId="09EE2891"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1096FA0D" w14:textId="3DDD45D4"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 xml:space="preserve">Compared to baseline, patients’ assessment of physical functioning, as measured by visual </w:t>
      </w:r>
      <w:r w:rsidR="00C74B9C" w:rsidRPr="003D427B">
        <w:rPr>
          <w:rFonts w:ascii="Times New Roman" w:hAnsi="Times New Roman" w:cs="Times New Roman"/>
          <w:color w:val="000000" w:themeColor="text1"/>
          <w:sz w:val="24"/>
          <w:szCs w:val="24"/>
        </w:rPr>
        <w:t>analogue</w:t>
      </w:r>
      <w:r w:rsidRPr="003D427B">
        <w:rPr>
          <w:rFonts w:ascii="Times New Roman" w:hAnsi="Times New Roman" w:cs="Times New Roman"/>
          <w:color w:val="000000" w:themeColor="text1"/>
          <w:sz w:val="24"/>
          <w:szCs w:val="24"/>
        </w:rPr>
        <w:t xml:space="preserve"> scale (VAS), showed a mean change of 290% during placebo compared to baseline. Patient’s assessments of physical functioning showed a mean change of 73% during KIOVIG treatment. Higher visual </w:t>
      </w:r>
      <w:r w:rsidR="00C74B9C" w:rsidRPr="003D427B">
        <w:rPr>
          <w:rFonts w:ascii="Times New Roman" w:hAnsi="Times New Roman" w:cs="Times New Roman"/>
          <w:color w:val="000000" w:themeColor="text1"/>
          <w:sz w:val="24"/>
          <w:szCs w:val="24"/>
        </w:rPr>
        <w:t>analogue</w:t>
      </w:r>
      <w:r w:rsidRPr="003D427B">
        <w:rPr>
          <w:rFonts w:ascii="Times New Roman" w:hAnsi="Times New Roman" w:cs="Times New Roman"/>
          <w:color w:val="000000" w:themeColor="text1"/>
          <w:sz w:val="24"/>
          <w:szCs w:val="24"/>
        </w:rPr>
        <w:t xml:space="preserve"> scale scores represent more severe disability.</w:t>
      </w:r>
    </w:p>
    <w:p w14:paraId="0B03811E"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207D1ED0" w14:textId="77777777" w:rsidR="002550DF" w:rsidRPr="002550DF" w:rsidRDefault="002550DF" w:rsidP="002550DF">
      <w:pPr>
        <w:pStyle w:val="Heading3"/>
        <w:spacing w:before="0" w:line="240" w:lineRule="auto"/>
        <w:ind w:left="0"/>
        <w:rPr>
          <w:rFonts w:ascii="Times New Roman" w:hAnsi="Times New Roman" w:cs="Times New Roman"/>
          <w:b w:val="0"/>
          <w:color w:val="000000" w:themeColor="text1"/>
          <w:sz w:val="24"/>
          <w:szCs w:val="24"/>
          <w:u w:val="single"/>
        </w:rPr>
      </w:pPr>
      <w:r w:rsidRPr="002550DF">
        <w:rPr>
          <w:rFonts w:ascii="Times New Roman" w:hAnsi="Times New Roman" w:cs="Times New Roman"/>
          <w:b w:val="0"/>
          <w:color w:val="000000" w:themeColor="text1"/>
          <w:sz w:val="24"/>
          <w:szCs w:val="24"/>
          <w:u w:val="single"/>
        </w:rPr>
        <w:t>Clinical Study of Subcutaneous (SC) Administration</w:t>
      </w:r>
    </w:p>
    <w:p w14:paraId="7B13CCE7" w14:textId="6D50288F"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 xml:space="preserve">A prospective, open-label, non-randomised, multi-centre study was conducted to determine the pharmacokinetic equivalence of KIOVIG subcutaneous infusion in 49 adult and paediatric subjects with PID. Rates of acute serious bacterial infections, overall infection rate, safety and tolerability were analysed as secondary efficacy endpoints. All subjects were treated for 12 weeks with KIOVIG intravenous infusion every 3 or 4 weeks. Subjects who were on intravenous therapy prior to entering the study were switched to KIOVIG at the same dose and frequency. Subjects who were receiving subcutaneous immunoglobulin were switched to KIOVIG at the intravenous dose they had been given prior to switching to subcutaneous therapy. A PK analysis was performed at the end of the intravenous period in all subjects aged 12 years and older. </w:t>
      </w:r>
    </w:p>
    <w:p w14:paraId="41A8B4BA"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002A1253" w14:textId="3730F4A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 xml:space="preserve">One week after the last intravenous infusion, each subject began subcutaneous therapy with KIOVIG at 130% of the weekly equivalent of the intravenous dose for a minimum of 12 weeks. PK data from the first 15 adult subjects were used to determine the dose required to ensure that the IgG exposure with subcutaneous therapy was not inferior to that with intravenous therapy. The median dose determined from these subjects was 137% of the intravenous dose, and subsequently all subjects were treated for a minimum of 6 weeks at this dose. After 6 subcutaneous infusions, a trough IgG level was obtained and used to individually adapt the subcutaneous dose of KIOVIG to compensate for individual variation from the mean value of 137%. All subjects received a minimum of 12 infusions at this individually adapted dose. Following the formal protocol, all subjects continued to receive subcutaneous treatment with KIOVIG until the last subject completed the study. There were 47 subjects treated with 2,294 subcutaneous infusions of KIOVIG: 4 subjects treated for up to 29 weeks, 17 subjects for 30 to 52 weeks, and 26 subjects for 53 weeks or longer.  The median duration of subcutaneous treatment was 379 days (range: 57 to 477 days).  </w:t>
      </w:r>
    </w:p>
    <w:p w14:paraId="690DA9F4"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6FDB76F6" w14:textId="77777777" w:rsidR="00503302" w:rsidRDefault="00503302" w:rsidP="003D427B">
      <w:pPr>
        <w:widowControl w:val="0"/>
        <w:spacing w:after="0" w:line="240" w:lineRule="auto"/>
        <w:rPr>
          <w:rFonts w:ascii="Times New Roman" w:hAnsi="Times New Roman" w:cs="Times New Roman"/>
          <w:color w:val="000000" w:themeColor="text1"/>
          <w:sz w:val="24"/>
          <w:szCs w:val="24"/>
        </w:rPr>
      </w:pPr>
    </w:p>
    <w:p w14:paraId="4C3DF180" w14:textId="3CCBC1ED"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lastRenderedPageBreak/>
        <w:t xml:space="preserve">Efficacy was determined throughout the entire subcutaneous phase. There were 31 adults 16 years or older, 4 adolescents between 12 and &lt; 16 years of age, and 14 children between 2 years and &lt;12. The volume of KIOVIG infused was 30 mL per site for patients weighing 40 kg or more, and 20 mL per site for those weighing less than 40 kg.  The total weekly dose was divided by those values to determine the number of sites. </w:t>
      </w:r>
    </w:p>
    <w:p w14:paraId="7F668706"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1B56F4FB" w14:textId="6C268A80"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Mean weekly subcutaneous doses ranged from 181.9 mg/kg to 190.7 mg/kg (at 130% to 137% of the intravenous dose). In the study, the number of infusion sites per infusion was dependent on the dose of IgG and in 73% of infusions, the number of infusion sites was 5 or fewer.</w:t>
      </w:r>
    </w:p>
    <w:p w14:paraId="72010823"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2CA22771"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 xml:space="preserve">There were 3 serious validated bacterial infections, all bacterial pneumonia. None of these subjects required hospitalisation to treat their infection. The annual rate of acute serious bacterial infections while on KIOVIG subcutaneous treatment was 0.067, with an upper 99% confidence limit of 0.133, which is lower than the minimal goal of achieving a rate of &lt;1 bacterial infection per patient-year. </w:t>
      </w:r>
    </w:p>
    <w:p w14:paraId="63CFF623" w14:textId="77777777" w:rsidR="002550DF" w:rsidRPr="003D427B" w:rsidRDefault="002550DF" w:rsidP="003D427B">
      <w:pPr>
        <w:widowControl w:val="0"/>
        <w:spacing w:after="0" w:line="240" w:lineRule="auto"/>
        <w:rPr>
          <w:rFonts w:ascii="Times New Roman" w:hAnsi="Times New Roman" w:cs="Times New Roman"/>
          <w:color w:val="000000" w:themeColor="text1"/>
          <w:sz w:val="24"/>
          <w:szCs w:val="24"/>
        </w:rPr>
      </w:pPr>
    </w:p>
    <w:p w14:paraId="3C227F9F" w14:textId="6F498E91" w:rsidR="002550DF" w:rsidRDefault="002550DF" w:rsidP="003D427B">
      <w:pPr>
        <w:widowControl w:val="0"/>
        <w:spacing w:after="0" w:line="240" w:lineRule="auto"/>
        <w:rPr>
          <w:rFonts w:ascii="Times New Roman" w:hAnsi="Times New Roman" w:cs="Times New Roman"/>
          <w:color w:val="000000" w:themeColor="text1"/>
          <w:sz w:val="24"/>
          <w:szCs w:val="24"/>
        </w:rPr>
      </w:pPr>
      <w:r w:rsidRPr="003D427B">
        <w:rPr>
          <w:rFonts w:ascii="Times New Roman" w:hAnsi="Times New Roman" w:cs="Times New Roman"/>
          <w:color w:val="000000" w:themeColor="text1"/>
          <w:sz w:val="24"/>
          <w:szCs w:val="24"/>
        </w:rPr>
        <w:t xml:space="preserve">The summary of infections and associated events for subjects during subcutaneous therapy with KIOVIG is summarised in Table </w:t>
      </w:r>
      <w:r w:rsidR="00ED06FD">
        <w:rPr>
          <w:rFonts w:ascii="Times New Roman" w:hAnsi="Times New Roman" w:cs="Times New Roman"/>
          <w:color w:val="000000" w:themeColor="text1"/>
          <w:sz w:val="24"/>
          <w:szCs w:val="24"/>
        </w:rPr>
        <w:t>13</w:t>
      </w:r>
      <w:r w:rsidRPr="003D427B">
        <w:rPr>
          <w:rFonts w:ascii="Times New Roman" w:hAnsi="Times New Roman" w:cs="Times New Roman"/>
          <w:color w:val="000000" w:themeColor="text1"/>
          <w:sz w:val="24"/>
          <w:szCs w:val="24"/>
        </w:rPr>
        <w:t>. The annual rate of any infection in this study during subcutaneous therapy, including viral and fungal infections, was 4.1 infections per subject per year. This is consistent with the rate of infections observed in other clinical studies of intravenous and subcutaneous immunoglobulin.</w:t>
      </w:r>
      <w:r w:rsidRPr="003D427B" w:rsidDel="00413F43">
        <w:rPr>
          <w:rFonts w:ascii="Times New Roman" w:hAnsi="Times New Roman" w:cs="Times New Roman"/>
          <w:color w:val="000000" w:themeColor="text1"/>
          <w:sz w:val="24"/>
          <w:szCs w:val="24"/>
        </w:rPr>
        <w:t xml:space="preserve"> </w:t>
      </w:r>
    </w:p>
    <w:p w14:paraId="36BDF705" w14:textId="77777777" w:rsidR="00677C77" w:rsidRDefault="00677C77" w:rsidP="003D427B">
      <w:pPr>
        <w:widowControl w:val="0"/>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4930"/>
        <w:gridCol w:w="4086"/>
      </w:tblGrid>
      <w:tr w:rsidR="00BE75D2" w14:paraId="4BC4F081" w14:textId="77777777" w:rsidTr="00BE75D2">
        <w:tc>
          <w:tcPr>
            <w:tcW w:w="9242" w:type="dxa"/>
            <w:gridSpan w:val="2"/>
            <w:tcBorders>
              <w:bottom w:val="single" w:sz="4" w:space="0" w:color="auto"/>
            </w:tcBorders>
          </w:tcPr>
          <w:p w14:paraId="6822C392" w14:textId="0EE4E0DF" w:rsidR="00BE75D2" w:rsidRDefault="00BE75D2" w:rsidP="00BE75D2">
            <w:pPr>
              <w:widowControl w:val="0"/>
              <w:jc w:val="center"/>
              <w:rPr>
                <w:rFonts w:ascii="Times New Roman" w:hAnsi="Times New Roman" w:cs="Times New Roman"/>
                <w:b/>
                <w:bCs/>
                <w:color w:val="000000" w:themeColor="text1"/>
                <w:sz w:val="20"/>
                <w:szCs w:val="20"/>
              </w:rPr>
            </w:pPr>
            <w:r w:rsidRPr="00BE75D2">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13</w:t>
            </w:r>
            <w:r w:rsidRPr="00BE75D2">
              <w:rPr>
                <w:rFonts w:ascii="Times New Roman" w:hAnsi="Times New Roman" w:cs="Times New Roman"/>
                <w:b/>
                <w:bCs/>
                <w:color w:val="000000" w:themeColor="text1"/>
                <w:sz w:val="20"/>
                <w:szCs w:val="20"/>
              </w:rPr>
              <w:t>: Summary of Infections and Associated Events</w:t>
            </w:r>
          </w:p>
          <w:p w14:paraId="6654516F" w14:textId="1BAA1CE2" w:rsidR="00BE75D2" w:rsidRPr="00BE75D2" w:rsidRDefault="00BE75D2" w:rsidP="00BE75D2">
            <w:pPr>
              <w:widowControl w:val="0"/>
              <w:rPr>
                <w:rFonts w:ascii="Times New Roman" w:hAnsi="Times New Roman" w:cs="Times New Roman"/>
                <w:color w:val="000000" w:themeColor="text1"/>
                <w:sz w:val="20"/>
                <w:szCs w:val="20"/>
              </w:rPr>
            </w:pPr>
          </w:p>
        </w:tc>
      </w:tr>
      <w:tr w:rsidR="00BE75D2" w14:paraId="10034D4B" w14:textId="77777777" w:rsidTr="00BE75D2">
        <w:tc>
          <w:tcPr>
            <w:tcW w:w="5058" w:type="dxa"/>
            <w:tcBorders>
              <w:bottom w:val="nil"/>
            </w:tcBorders>
          </w:tcPr>
          <w:p w14:paraId="5D4B7541" w14:textId="64CD4FFD" w:rsidR="00BE75D2" w:rsidRPr="00BE75D2" w:rsidRDefault="00BE75D2" w:rsidP="003D427B">
            <w:pPr>
              <w:widowControl w:val="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 xml:space="preserve">Number of subjects (efficacy phase) </w:t>
            </w:r>
          </w:p>
        </w:tc>
        <w:tc>
          <w:tcPr>
            <w:tcW w:w="4184" w:type="dxa"/>
            <w:tcBorders>
              <w:bottom w:val="nil"/>
            </w:tcBorders>
          </w:tcPr>
          <w:p w14:paraId="32DE2A23" w14:textId="33829146"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47</w:t>
            </w:r>
          </w:p>
        </w:tc>
      </w:tr>
      <w:tr w:rsidR="00BE75D2" w14:paraId="48437C7C" w14:textId="77777777" w:rsidTr="00BE75D2">
        <w:tc>
          <w:tcPr>
            <w:tcW w:w="5058" w:type="dxa"/>
            <w:tcBorders>
              <w:top w:val="nil"/>
              <w:bottom w:val="nil"/>
            </w:tcBorders>
          </w:tcPr>
          <w:p w14:paraId="69B90225" w14:textId="330C07A4" w:rsidR="00BE75D2" w:rsidRPr="00BE75D2" w:rsidRDefault="00BE75D2" w:rsidP="00BE75D2">
            <w:pPr>
              <w:widowControl w:val="0"/>
              <w:ind w:left="72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 xml:space="preserve">Total number of subject years </w:t>
            </w:r>
          </w:p>
        </w:tc>
        <w:tc>
          <w:tcPr>
            <w:tcW w:w="4184" w:type="dxa"/>
            <w:tcBorders>
              <w:top w:val="nil"/>
              <w:bottom w:val="nil"/>
            </w:tcBorders>
          </w:tcPr>
          <w:p w14:paraId="799445B7" w14:textId="6F8DF6EA"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44</w:t>
            </w:r>
          </w:p>
        </w:tc>
      </w:tr>
      <w:tr w:rsidR="00BE75D2" w14:paraId="7E6DCEA9" w14:textId="77777777" w:rsidTr="00BE75D2">
        <w:tc>
          <w:tcPr>
            <w:tcW w:w="5058" w:type="dxa"/>
            <w:tcBorders>
              <w:top w:val="nil"/>
            </w:tcBorders>
          </w:tcPr>
          <w:p w14:paraId="600B7663" w14:textId="34467521" w:rsidR="00BE75D2" w:rsidRPr="00BE75D2" w:rsidRDefault="00BE75D2" w:rsidP="00BE75D2">
            <w:pPr>
              <w:widowControl w:val="0"/>
              <w:ind w:left="72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 xml:space="preserve">Annual rate of any infections </w:t>
            </w:r>
          </w:p>
        </w:tc>
        <w:tc>
          <w:tcPr>
            <w:tcW w:w="4184" w:type="dxa"/>
            <w:tcBorders>
              <w:top w:val="nil"/>
            </w:tcBorders>
          </w:tcPr>
          <w:p w14:paraId="32C9AFE6" w14:textId="0E085213"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4.1 (95% CI 3.2 to 5.1) infections/subject year</w:t>
            </w:r>
          </w:p>
        </w:tc>
      </w:tr>
      <w:tr w:rsidR="00BE75D2" w14:paraId="39CB7A9D" w14:textId="77777777" w:rsidTr="00BE75D2">
        <w:tc>
          <w:tcPr>
            <w:tcW w:w="5058" w:type="dxa"/>
            <w:tcBorders>
              <w:bottom w:val="nil"/>
            </w:tcBorders>
          </w:tcPr>
          <w:p w14:paraId="41F64A02" w14:textId="28C26FDF" w:rsidR="00BE75D2" w:rsidRPr="00BE75D2" w:rsidRDefault="00BE75D2" w:rsidP="003D427B">
            <w:pPr>
              <w:widowControl w:val="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Antibiotic use</w:t>
            </w:r>
            <w:r w:rsidRPr="00BE75D2">
              <w:rPr>
                <w:rFonts w:ascii="Times New Roman" w:hAnsi="Times New Roman" w:cs="Times New Roman"/>
                <w:sz w:val="20"/>
                <w:szCs w:val="20"/>
                <w:vertAlign w:val="superscript"/>
                <w:lang w:val="en-US"/>
              </w:rPr>
              <w:t>§</w:t>
            </w:r>
            <w:r w:rsidRPr="00BE75D2">
              <w:rPr>
                <w:rFonts w:ascii="Times New Roman" w:hAnsi="Times New Roman" w:cs="Times New Roman"/>
                <w:sz w:val="20"/>
                <w:szCs w:val="20"/>
                <w:lang w:val="en-US"/>
              </w:rPr>
              <w:t xml:space="preserve"> (prophylaxis or treatment)</w:t>
            </w:r>
          </w:p>
        </w:tc>
        <w:tc>
          <w:tcPr>
            <w:tcW w:w="4184" w:type="dxa"/>
            <w:tcBorders>
              <w:bottom w:val="nil"/>
            </w:tcBorders>
          </w:tcPr>
          <w:p w14:paraId="2082177B" w14:textId="77777777" w:rsidR="00BE75D2" w:rsidRPr="00BE75D2" w:rsidRDefault="00BE75D2" w:rsidP="00BE75D2">
            <w:pPr>
              <w:widowControl w:val="0"/>
              <w:jc w:val="center"/>
              <w:rPr>
                <w:rFonts w:ascii="Times New Roman" w:hAnsi="Times New Roman" w:cs="Times New Roman"/>
                <w:color w:val="000000" w:themeColor="text1"/>
                <w:sz w:val="20"/>
                <w:szCs w:val="20"/>
              </w:rPr>
            </w:pPr>
          </w:p>
        </w:tc>
      </w:tr>
      <w:tr w:rsidR="00BE75D2" w14:paraId="2BF20D25" w14:textId="77777777" w:rsidTr="00BE75D2">
        <w:tc>
          <w:tcPr>
            <w:tcW w:w="5058" w:type="dxa"/>
            <w:tcBorders>
              <w:top w:val="nil"/>
              <w:bottom w:val="nil"/>
            </w:tcBorders>
          </w:tcPr>
          <w:p w14:paraId="15970E83" w14:textId="2B0F0397" w:rsidR="00BE75D2" w:rsidRPr="00BE75D2" w:rsidRDefault="00BE75D2" w:rsidP="00BE75D2">
            <w:pPr>
              <w:widowControl w:val="0"/>
              <w:ind w:left="72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 xml:space="preserve">Number of subjects (%) </w:t>
            </w:r>
          </w:p>
        </w:tc>
        <w:tc>
          <w:tcPr>
            <w:tcW w:w="4184" w:type="dxa"/>
            <w:tcBorders>
              <w:top w:val="nil"/>
              <w:bottom w:val="nil"/>
            </w:tcBorders>
          </w:tcPr>
          <w:p w14:paraId="5F1461A0" w14:textId="35040B23"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40 (85.1%)</w:t>
            </w:r>
          </w:p>
        </w:tc>
      </w:tr>
      <w:tr w:rsidR="00BE75D2" w14:paraId="236DB972" w14:textId="77777777" w:rsidTr="00BE75D2">
        <w:tc>
          <w:tcPr>
            <w:tcW w:w="5058" w:type="dxa"/>
            <w:tcBorders>
              <w:top w:val="nil"/>
            </w:tcBorders>
          </w:tcPr>
          <w:p w14:paraId="36898E16" w14:textId="7A098135" w:rsidR="00BE75D2" w:rsidRPr="00BE75D2" w:rsidRDefault="00BE75D2" w:rsidP="00BE75D2">
            <w:pPr>
              <w:widowControl w:val="0"/>
              <w:ind w:left="72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Annual rate</w:t>
            </w:r>
          </w:p>
        </w:tc>
        <w:tc>
          <w:tcPr>
            <w:tcW w:w="4184" w:type="dxa"/>
            <w:tcBorders>
              <w:top w:val="nil"/>
            </w:tcBorders>
          </w:tcPr>
          <w:p w14:paraId="561CA188" w14:textId="7187D4A5"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50.2 (95% CI 33.4 to 71.9) days/subject year</w:t>
            </w:r>
          </w:p>
        </w:tc>
      </w:tr>
      <w:tr w:rsidR="00BE75D2" w14:paraId="6F718A0D" w14:textId="77777777" w:rsidTr="00BE75D2">
        <w:tc>
          <w:tcPr>
            <w:tcW w:w="5058" w:type="dxa"/>
            <w:tcBorders>
              <w:bottom w:val="nil"/>
            </w:tcBorders>
          </w:tcPr>
          <w:p w14:paraId="7E3908AE" w14:textId="3D4424BC" w:rsidR="00BE75D2" w:rsidRPr="00BE75D2" w:rsidRDefault="00BE75D2" w:rsidP="003D427B">
            <w:pPr>
              <w:widowControl w:val="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Days out of work/school/ day care or unable to perform normal activities</w:t>
            </w:r>
          </w:p>
        </w:tc>
        <w:tc>
          <w:tcPr>
            <w:tcW w:w="4184" w:type="dxa"/>
            <w:tcBorders>
              <w:bottom w:val="nil"/>
            </w:tcBorders>
          </w:tcPr>
          <w:p w14:paraId="6D0EE4EF" w14:textId="77777777" w:rsidR="00BE75D2" w:rsidRPr="00BE75D2" w:rsidRDefault="00BE75D2" w:rsidP="00BE75D2">
            <w:pPr>
              <w:widowControl w:val="0"/>
              <w:jc w:val="center"/>
              <w:rPr>
                <w:rFonts w:ascii="Times New Roman" w:hAnsi="Times New Roman" w:cs="Times New Roman"/>
                <w:color w:val="000000" w:themeColor="text1"/>
                <w:sz w:val="20"/>
                <w:szCs w:val="20"/>
              </w:rPr>
            </w:pPr>
          </w:p>
        </w:tc>
      </w:tr>
      <w:tr w:rsidR="00BE75D2" w14:paraId="18ED3B94" w14:textId="77777777" w:rsidTr="00BE75D2">
        <w:tc>
          <w:tcPr>
            <w:tcW w:w="5058" w:type="dxa"/>
            <w:tcBorders>
              <w:top w:val="nil"/>
              <w:bottom w:val="nil"/>
            </w:tcBorders>
          </w:tcPr>
          <w:p w14:paraId="70106D93" w14:textId="59AEC7C9" w:rsidR="00BE75D2" w:rsidRPr="00BE75D2" w:rsidRDefault="00BE75D2" w:rsidP="00BE75D2">
            <w:pPr>
              <w:widowControl w:val="0"/>
              <w:ind w:left="72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Number of subjects (%)</w:t>
            </w:r>
          </w:p>
        </w:tc>
        <w:tc>
          <w:tcPr>
            <w:tcW w:w="4184" w:type="dxa"/>
            <w:tcBorders>
              <w:top w:val="nil"/>
              <w:bottom w:val="nil"/>
            </w:tcBorders>
          </w:tcPr>
          <w:p w14:paraId="4148979D" w14:textId="5508815A"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25 (53.2%)</w:t>
            </w:r>
          </w:p>
        </w:tc>
      </w:tr>
      <w:tr w:rsidR="00BE75D2" w14:paraId="199BD7D5" w14:textId="77777777" w:rsidTr="00BE75D2">
        <w:tc>
          <w:tcPr>
            <w:tcW w:w="5058" w:type="dxa"/>
            <w:tcBorders>
              <w:top w:val="nil"/>
            </w:tcBorders>
          </w:tcPr>
          <w:p w14:paraId="76052629" w14:textId="21335BB0" w:rsidR="00BE75D2" w:rsidRPr="00BE75D2" w:rsidRDefault="00BE75D2" w:rsidP="00BE75D2">
            <w:pPr>
              <w:widowControl w:val="0"/>
              <w:ind w:left="720"/>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Annual rate</w:t>
            </w:r>
          </w:p>
        </w:tc>
        <w:tc>
          <w:tcPr>
            <w:tcW w:w="4184" w:type="dxa"/>
            <w:tcBorders>
              <w:top w:val="nil"/>
            </w:tcBorders>
          </w:tcPr>
          <w:p w14:paraId="3E95F319" w14:textId="006D12A5"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4.0 (95% CI 2.5 to 6.1</w:t>
            </w:r>
            <w:r>
              <w:rPr>
                <w:rFonts w:ascii="Times New Roman" w:hAnsi="Times New Roman" w:cs="Times New Roman"/>
                <w:sz w:val="20"/>
                <w:szCs w:val="20"/>
                <w:lang w:val="en-US"/>
              </w:rPr>
              <w:t xml:space="preserve">) </w:t>
            </w:r>
            <w:r w:rsidRPr="00BE75D2">
              <w:rPr>
                <w:rFonts w:ascii="Times New Roman" w:hAnsi="Times New Roman" w:cs="Times New Roman"/>
                <w:sz w:val="20"/>
                <w:szCs w:val="20"/>
                <w:lang w:val="en-US"/>
              </w:rPr>
              <w:t>days/subject year</w:t>
            </w:r>
          </w:p>
        </w:tc>
      </w:tr>
      <w:tr w:rsidR="00BE75D2" w14:paraId="719599F8" w14:textId="77777777" w:rsidTr="00BE75D2">
        <w:tc>
          <w:tcPr>
            <w:tcW w:w="5058" w:type="dxa"/>
            <w:tcBorders>
              <w:bottom w:val="nil"/>
            </w:tcBorders>
          </w:tcPr>
          <w:p w14:paraId="33DCC5AF" w14:textId="7D9375B8" w:rsidR="00BE75D2" w:rsidRPr="00BE75D2" w:rsidRDefault="00715CED" w:rsidP="00715CED">
            <w:pPr>
              <w:widowControl w:val="0"/>
              <w:rPr>
                <w:rFonts w:ascii="Times New Roman" w:hAnsi="Times New Roman" w:cs="Times New Roman"/>
                <w:color w:val="000000" w:themeColor="text1"/>
                <w:sz w:val="20"/>
                <w:szCs w:val="20"/>
              </w:rPr>
            </w:pPr>
            <w:proofErr w:type="spellStart"/>
            <w:r w:rsidRPr="00BE75D2">
              <w:rPr>
                <w:rFonts w:ascii="Times New Roman" w:hAnsi="Times New Roman" w:cs="Times New Roman"/>
                <w:sz w:val="20"/>
                <w:szCs w:val="20"/>
                <w:lang w:val="en-US"/>
              </w:rPr>
              <w:t>Hospitali</w:t>
            </w:r>
            <w:r>
              <w:rPr>
                <w:rFonts w:ascii="Times New Roman" w:hAnsi="Times New Roman" w:cs="Times New Roman"/>
                <w:sz w:val="20"/>
                <w:szCs w:val="20"/>
                <w:lang w:val="en-US"/>
              </w:rPr>
              <w:t>s</w:t>
            </w:r>
            <w:r w:rsidRPr="00BE75D2">
              <w:rPr>
                <w:rFonts w:ascii="Times New Roman" w:hAnsi="Times New Roman" w:cs="Times New Roman"/>
                <w:sz w:val="20"/>
                <w:szCs w:val="20"/>
                <w:lang w:val="en-US"/>
              </w:rPr>
              <w:t>ations</w:t>
            </w:r>
            <w:proofErr w:type="spellEnd"/>
            <w:r w:rsidRPr="00BE75D2">
              <w:rPr>
                <w:rFonts w:ascii="Times New Roman" w:hAnsi="Times New Roman" w:cs="Times New Roman"/>
                <w:sz w:val="20"/>
                <w:szCs w:val="20"/>
                <w:lang w:val="en-US"/>
              </w:rPr>
              <w:t xml:space="preserve"> </w:t>
            </w:r>
            <w:r w:rsidR="00BE75D2" w:rsidRPr="00BE75D2">
              <w:rPr>
                <w:rFonts w:ascii="Times New Roman" w:hAnsi="Times New Roman" w:cs="Times New Roman"/>
                <w:sz w:val="20"/>
                <w:szCs w:val="20"/>
                <w:lang w:val="en-US"/>
              </w:rPr>
              <w:t>due to infections</w:t>
            </w:r>
          </w:p>
        </w:tc>
        <w:tc>
          <w:tcPr>
            <w:tcW w:w="4184" w:type="dxa"/>
            <w:tcBorders>
              <w:bottom w:val="nil"/>
            </w:tcBorders>
          </w:tcPr>
          <w:p w14:paraId="37988791" w14:textId="77777777" w:rsidR="00BE75D2" w:rsidRPr="00BE75D2" w:rsidRDefault="00BE75D2" w:rsidP="00BE75D2">
            <w:pPr>
              <w:widowControl w:val="0"/>
              <w:jc w:val="center"/>
              <w:rPr>
                <w:rFonts w:ascii="Times New Roman" w:hAnsi="Times New Roman" w:cs="Times New Roman"/>
                <w:color w:val="000000" w:themeColor="text1"/>
                <w:sz w:val="20"/>
                <w:szCs w:val="20"/>
              </w:rPr>
            </w:pPr>
          </w:p>
        </w:tc>
      </w:tr>
      <w:tr w:rsidR="00BE75D2" w14:paraId="656F1F2E" w14:textId="77777777" w:rsidTr="00BE75D2">
        <w:tc>
          <w:tcPr>
            <w:tcW w:w="5058" w:type="dxa"/>
            <w:tcBorders>
              <w:top w:val="nil"/>
              <w:bottom w:val="nil"/>
            </w:tcBorders>
          </w:tcPr>
          <w:p w14:paraId="536840AB" w14:textId="4A513778" w:rsidR="00BE75D2" w:rsidRPr="00BE75D2" w:rsidRDefault="00BE75D2" w:rsidP="00BE75D2">
            <w:pPr>
              <w:widowControl w:val="0"/>
              <w:ind w:left="720"/>
              <w:rPr>
                <w:rFonts w:ascii="Times New Roman" w:hAnsi="Times New Roman" w:cs="Times New Roman"/>
                <w:sz w:val="20"/>
                <w:szCs w:val="20"/>
                <w:lang w:val="en-US"/>
              </w:rPr>
            </w:pPr>
            <w:r w:rsidRPr="00BE75D2">
              <w:rPr>
                <w:rFonts w:ascii="Times New Roman" w:hAnsi="Times New Roman" w:cs="Times New Roman"/>
                <w:sz w:val="20"/>
                <w:szCs w:val="20"/>
                <w:lang w:val="en-US"/>
              </w:rPr>
              <w:t>Number of subjects (%)</w:t>
            </w:r>
          </w:p>
        </w:tc>
        <w:tc>
          <w:tcPr>
            <w:tcW w:w="4184" w:type="dxa"/>
            <w:tcBorders>
              <w:top w:val="nil"/>
              <w:bottom w:val="nil"/>
            </w:tcBorders>
          </w:tcPr>
          <w:p w14:paraId="6185CF50" w14:textId="30C95732" w:rsidR="00BE75D2" w:rsidRPr="00BE75D2" w:rsidRDefault="00BE75D2" w:rsidP="00BE75D2">
            <w:pPr>
              <w:widowControl w:val="0"/>
              <w:jc w:val="center"/>
              <w:rPr>
                <w:rFonts w:ascii="Times New Roman" w:hAnsi="Times New Roman" w:cs="Times New Roman"/>
                <w:color w:val="000000" w:themeColor="text1"/>
                <w:sz w:val="20"/>
                <w:szCs w:val="20"/>
              </w:rPr>
            </w:pPr>
            <w:r w:rsidRPr="00BE75D2">
              <w:rPr>
                <w:rFonts w:ascii="Times New Roman" w:hAnsi="Times New Roman" w:cs="Times New Roman"/>
                <w:sz w:val="20"/>
                <w:szCs w:val="20"/>
                <w:lang w:val="en-US"/>
              </w:rPr>
              <w:t>0 (0.0%)</w:t>
            </w:r>
          </w:p>
        </w:tc>
      </w:tr>
      <w:tr w:rsidR="00BE75D2" w14:paraId="2E9EF3E3" w14:textId="77777777" w:rsidTr="00BE75D2">
        <w:tc>
          <w:tcPr>
            <w:tcW w:w="5058" w:type="dxa"/>
            <w:tcBorders>
              <w:top w:val="nil"/>
              <w:bottom w:val="single" w:sz="4" w:space="0" w:color="auto"/>
            </w:tcBorders>
          </w:tcPr>
          <w:p w14:paraId="7228672D" w14:textId="28C9C9D7" w:rsidR="00BE75D2" w:rsidRPr="00BE75D2" w:rsidRDefault="00BE75D2" w:rsidP="00BE75D2">
            <w:pPr>
              <w:widowControl w:val="0"/>
              <w:ind w:left="720"/>
              <w:rPr>
                <w:rFonts w:ascii="Times New Roman" w:hAnsi="Times New Roman" w:cs="Times New Roman"/>
                <w:sz w:val="20"/>
                <w:szCs w:val="20"/>
                <w:lang w:val="en-US"/>
              </w:rPr>
            </w:pPr>
            <w:r w:rsidRPr="00BE75D2">
              <w:rPr>
                <w:rFonts w:ascii="Times New Roman" w:hAnsi="Times New Roman" w:cs="Times New Roman"/>
                <w:sz w:val="20"/>
                <w:szCs w:val="20"/>
                <w:lang w:val="en-US"/>
              </w:rPr>
              <w:t>Annual rate</w:t>
            </w:r>
          </w:p>
        </w:tc>
        <w:tc>
          <w:tcPr>
            <w:tcW w:w="4184" w:type="dxa"/>
            <w:tcBorders>
              <w:top w:val="nil"/>
              <w:bottom w:val="single" w:sz="4" w:space="0" w:color="auto"/>
            </w:tcBorders>
          </w:tcPr>
          <w:p w14:paraId="130B2BE0" w14:textId="62AD3D21" w:rsidR="00BE75D2" w:rsidRPr="00BE75D2" w:rsidRDefault="00BE75D2" w:rsidP="00BE75D2">
            <w:pPr>
              <w:widowControl w:val="0"/>
              <w:jc w:val="center"/>
              <w:rPr>
                <w:rFonts w:ascii="Times New Roman" w:hAnsi="Times New Roman" w:cs="Times New Roman"/>
                <w:sz w:val="20"/>
                <w:szCs w:val="20"/>
                <w:lang w:val="en-US"/>
              </w:rPr>
            </w:pPr>
            <w:r w:rsidRPr="00BE75D2">
              <w:rPr>
                <w:rFonts w:ascii="Times New Roman" w:hAnsi="Times New Roman" w:cs="Times New Roman"/>
                <w:sz w:val="20"/>
                <w:szCs w:val="20"/>
                <w:lang w:val="en-US"/>
              </w:rPr>
              <w:t>0.0 (95% CI 0.0 to 0.1) days/subject year</w:t>
            </w:r>
          </w:p>
        </w:tc>
      </w:tr>
      <w:tr w:rsidR="00BE75D2" w14:paraId="4C8E7000" w14:textId="77777777" w:rsidTr="00CB6B8A">
        <w:tc>
          <w:tcPr>
            <w:tcW w:w="9242" w:type="dxa"/>
            <w:gridSpan w:val="2"/>
            <w:tcBorders>
              <w:top w:val="single" w:sz="4" w:space="0" w:color="auto"/>
            </w:tcBorders>
          </w:tcPr>
          <w:p w14:paraId="060A19DA" w14:textId="0114DE0B" w:rsidR="00BE75D2" w:rsidRPr="00BE75D2" w:rsidRDefault="00BE75D2" w:rsidP="00BE75D2">
            <w:pPr>
              <w:widowControl w:val="0"/>
              <w:rPr>
                <w:rFonts w:ascii="Times New Roman" w:hAnsi="Times New Roman" w:cs="Times New Roman"/>
                <w:sz w:val="20"/>
                <w:szCs w:val="20"/>
                <w:lang w:val="en-US"/>
              </w:rPr>
            </w:pPr>
            <w:r w:rsidRPr="00BE75D2">
              <w:rPr>
                <w:rFonts w:ascii="Times New Roman" w:hAnsi="Times New Roman" w:cs="Times New Roman"/>
                <w:sz w:val="18"/>
                <w:szCs w:val="18"/>
                <w:vertAlign w:val="superscript"/>
              </w:rPr>
              <w:t>§</w:t>
            </w:r>
            <w:r w:rsidRPr="00BE75D2">
              <w:rPr>
                <w:rFonts w:ascii="Times New Roman" w:hAnsi="Times New Roman" w:cs="Times New Roman"/>
                <w:sz w:val="18"/>
                <w:szCs w:val="18"/>
              </w:rPr>
              <w:t xml:space="preserve"> Included systemic and topical antibacterial, anti-fungal, anti-viral, and anti-protozoal antimicrobials</w:t>
            </w:r>
          </w:p>
        </w:tc>
      </w:tr>
    </w:tbl>
    <w:p w14:paraId="43873CD1" w14:textId="77777777" w:rsidR="00F6542E" w:rsidRPr="003D427B" w:rsidRDefault="00F6542E" w:rsidP="003D427B">
      <w:pPr>
        <w:widowControl w:val="0"/>
        <w:spacing w:after="0" w:line="240" w:lineRule="auto"/>
        <w:rPr>
          <w:rFonts w:ascii="Times New Roman" w:hAnsi="Times New Roman" w:cs="Times New Roman"/>
          <w:color w:val="000000" w:themeColor="text1"/>
          <w:sz w:val="24"/>
          <w:szCs w:val="24"/>
        </w:rPr>
      </w:pPr>
    </w:p>
    <w:p w14:paraId="1526D9F3" w14:textId="77777777" w:rsidR="00AC2205" w:rsidRPr="00F73EBA" w:rsidRDefault="00AC2205" w:rsidP="005B3B2F">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5.2</w:t>
      </w:r>
      <w:r w:rsidRPr="00F73EBA">
        <w:rPr>
          <w:rFonts w:ascii="Times New Roman" w:hAnsi="Times New Roman" w:cs="Times New Roman"/>
          <w:smallCaps w:val="0"/>
          <w:color w:val="000000" w:themeColor="text1"/>
          <w:szCs w:val="24"/>
        </w:rPr>
        <w:tab/>
        <w:t xml:space="preserve">PHARMACOKINETIC PROPERTIES </w:t>
      </w:r>
    </w:p>
    <w:p w14:paraId="0E840BB5" w14:textId="52B562EE" w:rsidR="00AC2205" w:rsidRPr="00DF694E" w:rsidRDefault="00AC2205" w:rsidP="00914208">
      <w:pPr>
        <w:spacing w:after="0" w:line="240" w:lineRule="auto"/>
        <w:rPr>
          <w:rFonts w:ascii="Times New Roman" w:hAnsi="Times New Roman" w:cs="Times New Roman"/>
          <w:color w:val="000000" w:themeColor="text1"/>
          <w:sz w:val="24"/>
          <w:szCs w:val="24"/>
          <w:highlight w:val="yellow"/>
        </w:rPr>
      </w:pPr>
    </w:p>
    <w:p w14:paraId="7A7D632F" w14:textId="6A175A72" w:rsidR="001130E1" w:rsidRDefault="001130E1" w:rsidP="00715CED">
      <w:pPr>
        <w:pStyle w:val="Heading3"/>
        <w:spacing w:before="0" w:line="240" w:lineRule="auto"/>
        <w:ind w:left="0"/>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t>Intravenous administration</w:t>
      </w:r>
    </w:p>
    <w:p w14:paraId="371A1C2B" w14:textId="77777777" w:rsidR="00715CED" w:rsidRPr="00715CED" w:rsidRDefault="00715CED" w:rsidP="00715CED">
      <w:pPr>
        <w:spacing w:after="0" w:line="240" w:lineRule="auto"/>
      </w:pPr>
    </w:p>
    <w:p w14:paraId="37530BF1" w14:textId="77777777" w:rsidR="001130E1" w:rsidRPr="001130E1" w:rsidRDefault="001130E1" w:rsidP="001130E1">
      <w:pPr>
        <w:spacing w:after="0" w:line="240" w:lineRule="auto"/>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t xml:space="preserve">Normal immunoglobulin (Human) is immediately and completely bioavailable in the recipient’s circulation after intravenous administration. It is rapidly and nearly evenly distributed between plasma and extravascular fluid; after approximately 3 – 5 days equilibrium is reached between the intra- and extravascular compartments. </w:t>
      </w:r>
    </w:p>
    <w:p w14:paraId="07FDFEC9" w14:textId="77777777" w:rsidR="001130E1" w:rsidRPr="001130E1" w:rsidRDefault="001130E1" w:rsidP="001130E1">
      <w:pPr>
        <w:spacing w:after="0" w:line="240" w:lineRule="auto"/>
        <w:rPr>
          <w:rFonts w:ascii="Times New Roman" w:hAnsi="Times New Roman" w:cs="Times New Roman"/>
          <w:color w:val="000000" w:themeColor="text1"/>
          <w:sz w:val="24"/>
          <w:szCs w:val="24"/>
        </w:rPr>
      </w:pPr>
    </w:p>
    <w:p w14:paraId="36241D84" w14:textId="47B55FD2" w:rsidR="001130E1" w:rsidRPr="001130E1" w:rsidRDefault="001130E1" w:rsidP="001130E1">
      <w:pPr>
        <w:spacing w:after="0" w:line="240" w:lineRule="auto"/>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t>Pharmacokinetic parameters for KIOVIG were assessed, in a prospective, open-label, non-controlled, multi-</w:t>
      </w:r>
      <w:r w:rsidR="00460677" w:rsidRPr="001130E1">
        <w:rPr>
          <w:rFonts w:ascii="Times New Roman" w:hAnsi="Times New Roman" w:cs="Times New Roman"/>
          <w:color w:val="000000" w:themeColor="text1"/>
          <w:sz w:val="24"/>
          <w:szCs w:val="24"/>
        </w:rPr>
        <w:t>centre</w:t>
      </w:r>
      <w:r w:rsidRPr="001130E1">
        <w:rPr>
          <w:rFonts w:ascii="Times New Roman" w:hAnsi="Times New Roman" w:cs="Times New Roman"/>
          <w:color w:val="000000" w:themeColor="text1"/>
          <w:sz w:val="24"/>
          <w:szCs w:val="24"/>
        </w:rPr>
        <w:t xml:space="preserve"> study design, Clinical Study 160001, in 22 subjects suffering from Primary Immunodeficiency (PID) with a clinical condition as hypo-and agammaglobulinemia. Subjects were initially treated with three infusions of KIOVIG at a </w:t>
      </w:r>
      <w:r w:rsidRPr="001130E1">
        <w:rPr>
          <w:rFonts w:ascii="Times New Roman" w:hAnsi="Times New Roman" w:cs="Times New Roman"/>
          <w:color w:val="000000" w:themeColor="text1"/>
          <w:sz w:val="24"/>
          <w:szCs w:val="24"/>
        </w:rPr>
        <w:lastRenderedPageBreak/>
        <w:t>dose of 300 to 450 mg/kg body weight/ infusion given every 3 weeks to standardise the IgG replacement therapy of all subjects to the same intravenous product and to acquire data with a licensed product. This is followed by treatment with KIOVIG of 10% IgG Solution with a dose of 300 – 450 mg/kg body weight/3 weeks for the remaining 9 infusions.</w:t>
      </w:r>
    </w:p>
    <w:p w14:paraId="228D2925" w14:textId="77777777" w:rsidR="001130E1" w:rsidRPr="001130E1" w:rsidRDefault="001130E1" w:rsidP="001130E1">
      <w:pPr>
        <w:spacing w:after="0" w:line="240" w:lineRule="auto"/>
        <w:rPr>
          <w:rFonts w:ascii="Times New Roman" w:hAnsi="Times New Roman" w:cs="Times New Roman"/>
          <w:color w:val="000000" w:themeColor="text1"/>
          <w:sz w:val="24"/>
          <w:szCs w:val="24"/>
        </w:rPr>
      </w:pPr>
    </w:p>
    <w:p w14:paraId="1C704244" w14:textId="77777777" w:rsidR="001130E1" w:rsidRPr="001130E1" w:rsidRDefault="001130E1" w:rsidP="001130E1">
      <w:pPr>
        <w:spacing w:after="0" w:line="240" w:lineRule="auto"/>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t xml:space="preserve">These regimens have been shown to be adequate to maintain IgG trough levels at or above the typically accepted threshold of 400 to 600 mg/dL. All pharmacokinetic parameters were calculated for individual subjects for total IgG and IgG subclasses (IgG1, IgG2, IgG3 and IgG4); whilst for the vivo recovery was assessed only </w:t>
      </w:r>
      <w:proofErr w:type="gramStart"/>
      <w:r w:rsidRPr="001130E1">
        <w:rPr>
          <w:rFonts w:ascii="Times New Roman" w:hAnsi="Times New Roman" w:cs="Times New Roman"/>
          <w:color w:val="000000" w:themeColor="text1"/>
          <w:sz w:val="24"/>
          <w:szCs w:val="24"/>
        </w:rPr>
        <w:t>on the basis of</w:t>
      </w:r>
      <w:proofErr w:type="gramEnd"/>
      <w:r w:rsidRPr="001130E1">
        <w:rPr>
          <w:rFonts w:ascii="Times New Roman" w:hAnsi="Times New Roman" w:cs="Times New Roman"/>
          <w:color w:val="000000" w:themeColor="text1"/>
          <w:sz w:val="24"/>
          <w:szCs w:val="24"/>
        </w:rPr>
        <w:t xml:space="preserve"> the total IgG plasma level.</w:t>
      </w:r>
    </w:p>
    <w:p w14:paraId="19AAEBAB" w14:textId="77777777" w:rsidR="001130E1" w:rsidRPr="001130E1" w:rsidRDefault="001130E1" w:rsidP="001130E1">
      <w:pPr>
        <w:spacing w:after="0" w:line="240" w:lineRule="auto"/>
        <w:rPr>
          <w:rFonts w:ascii="Times New Roman" w:hAnsi="Times New Roman" w:cs="Times New Roman"/>
          <w:color w:val="000000" w:themeColor="text1"/>
          <w:sz w:val="24"/>
          <w:szCs w:val="24"/>
        </w:rPr>
      </w:pPr>
    </w:p>
    <w:p w14:paraId="4D1FC51B" w14:textId="1D180237" w:rsidR="001130E1" w:rsidRDefault="001130E1" w:rsidP="001130E1">
      <w:pPr>
        <w:spacing w:after="0" w:line="240" w:lineRule="auto"/>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t xml:space="preserve">The results of the pharmacokinetic parameters are shown in Table </w:t>
      </w:r>
      <w:r w:rsidR="00C405AF">
        <w:rPr>
          <w:rFonts w:ascii="Times New Roman" w:hAnsi="Times New Roman" w:cs="Times New Roman"/>
          <w:color w:val="000000" w:themeColor="text1"/>
          <w:sz w:val="24"/>
          <w:szCs w:val="24"/>
        </w:rPr>
        <w:t>14</w:t>
      </w:r>
      <w:r w:rsidRPr="001130E1">
        <w:rPr>
          <w:rFonts w:ascii="Times New Roman" w:hAnsi="Times New Roman" w:cs="Times New Roman"/>
          <w:color w:val="000000" w:themeColor="text1"/>
          <w:sz w:val="24"/>
          <w:szCs w:val="24"/>
        </w:rPr>
        <w:t xml:space="preserve">. As shown in the table, KIOVIG had a half-life of about 30 days. This half-life may vary from patient to patient, </w:t>
      </w:r>
      <w:proofErr w:type="gramStart"/>
      <w:r w:rsidRPr="001130E1">
        <w:rPr>
          <w:rFonts w:ascii="Times New Roman" w:hAnsi="Times New Roman" w:cs="Times New Roman"/>
          <w:color w:val="000000" w:themeColor="text1"/>
          <w:sz w:val="24"/>
          <w:szCs w:val="24"/>
        </w:rPr>
        <w:t>in particular in</w:t>
      </w:r>
      <w:proofErr w:type="gramEnd"/>
      <w:r w:rsidR="00460677">
        <w:rPr>
          <w:rFonts w:ascii="Times New Roman" w:hAnsi="Times New Roman" w:cs="Times New Roman"/>
          <w:color w:val="000000" w:themeColor="text1"/>
          <w:sz w:val="24"/>
          <w:szCs w:val="24"/>
        </w:rPr>
        <w:t xml:space="preserve"> </w:t>
      </w:r>
      <w:r w:rsidRPr="001130E1">
        <w:rPr>
          <w:rFonts w:ascii="Times New Roman" w:hAnsi="Times New Roman" w:cs="Times New Roman"/>
          <w:color w:val="000000" w:themeColor="text1"/>
          <w:sz w:val="24"/>
          <w:szCs w:val="24"/>
        </w:rPr>
        <w:t>PID. The values obtained are comparable to parameters reported for other human immunoglobulins.</w:t>
      </w:r>
    </w:p>
    <w:p w14:paraId="6E63B7DF" w14:textId="77777777" w:rsidR="001130E1" w:rsidRDefault="001130E1" w:rsidP="001130E1">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603"/>
        <w:gridCol w:w="1930"/>
        <w:gridCol w:w="1413"/>
        <w:gridCol w:w="2070"/>
      </w:tblGrid>
      <w:tr w:rsidR="001130E1" w:rsidRPr="001130E1" w14:paraId="3846A160" w14:textId="77777777" w:rsidTr="00CB6B8A">
        <w:tc>
          <w:tcPr>
            <w:tcW w:w="9242" w:type="dxa"/>
            <w:gridSpan w:val="4"/>
          </w:tcPr>
          <w:p w14:paraId="047AFE29" w14:textId="3D19C0E3" w:rsidR="001130E1" w:rsidRDefault="001130E1" w:rsidP="001130E1">
            <w:pPr>
              <w:jc w:val="center"/>
              <w:rPr>
                <w:rFonts w:ascii="Times New Roman" w:hAnsi="Times New Roman" w:cs="Times New Roman"/>
                <w:b/>
                <w:bCs/>
                <w:color w:val="000000" w:themeColor="text1"/>
                <w:sz w:val="20"/>
                <w:szCs w:val="20"/>
              </w:rPr>
            </w:pPr>
            <w:r w:rsidRPr="001130E1">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14</w:t>
            </w:r>
            <w:r w:rsidRPr="001130E1">
              <w:rPr>
                <w:rFonts w:ascii="Times New Roman" w:hAnsi="Times New Roman" w:cs="Times New Roman"/>
                <w:b/>
                <w:bCs/>
                <w:color w:val="000000" w:themeColor="text1"/>
                <w:sz w:val="20"/>
                <w:szCs w:val="20"/>
              </w:rPr>
              <w:t>: Summary of KIOVIG Pharmacokinetic Parameters</w:t>
            </w:r>
          </w:p>
          <w:p w14:paraId="594B4944" w14:textId="6A4F6FA5" w:rsidR="001130E1" w:rsidRPr="001130E1" w:rsidRDefault="001130E1" w:rsidP="001130E1">
            <w:pPr>
              <w:rPr>
                <w:rFonts w:ascii="Times New Roman" w:hAnsi="Times New Roman" w:cs="Times New Roman"/>
                <w:color w:val="000000" w:themeColor="text1"/>
                <w:sz w:val="20"/>
                <w:szCs w:val="20"/>
              </w:rPr>
            </w:pPr>
          </w:p>
        </w:tc>
      </w:tr>
      <w:tr w:rsidR="001130E1" w:rsidRPr="001130E1" w14:paraId="72A5207E" w14:textId="77777777" w:rsidTr="001130E1">
        <w:tc>
          <w:tcPr>
            <w:tcW w:w="3708" w:type="dxa"/>
          </w:tcPr>
          <w:p w14:paraId="08A9BA64" w14:textId="32FB4E22" w:rsidR="001130E1" w:rsidRPr="001130E1" w:rsidRDefault="001130E1" w:rsidP="001130E1">
            <w:pPr>
              <w:rPr>
                <w:rFonts w:ascii="Times New Roman" w:hAnsi="Times New Roman" w:cs="Times New Roman"/>
                <w:color w:val="000000" w:themeColor="text1"/>
                <w:sz w:val="20"/>
                <w:szCs w:val="20"/>
              </w:rPr>
            </w:pPr>
            <w:r w:rsidRPr="001130E1">
              <w:rPr>
                <w:rFonts w:ascii="Times New Roman" w:hAnsi="Times New Roman" w:cs="Times New Roman"/>
                <w:b/>
                <w:bCs/>
                <w:color w:val="000000" w:themeColor="text1"/>
                <w:sz w:val="20"/>
                <w:szCs w:val="20"/>
              </w:rPr>
              <w:t>Parameters</w:t>
            </w:r>
          </w:p>
        </w:tc>
        <w:tc>
          <w:tcPr>
            <w:tcW w:w="1980" w:type="dxa"/>
          </w:tcPr>
          <w:p w14:paraId="726051FC" w14:textId="24CE49A6" w:rsidR="001130E1" w:rsidRPr="001130E1" w:rsidRDefault="001130E1" w:rsidP="001130E1">
            <w:pPr>
              <w:jc w:val="center"/>
              <w:rPr>
                <w:rFonts w:ascii="Times New Roman" w:hAnsi="Times New Roman" w:cs="Times New Roman"/>
                <w:b/>
                <w:bCs/>
                <w:color w:val="000000" w:themeColor="text1"/>
                <w:sz w:val="20"/>
                <w:szCs w:val="20"/>
              </w:rPr>
            </w:pPr>
            <w:r w:rsidRPr="001130E1">
              <w:rPr>
                <w:rFonts w:ascii="Times New Roman" w:hAnsi="Times New Roman" w:cs="Times New Roman"/>
                <w:b/>
                <w:bCs/>
                <w:color w:val="000000" w:themeColor="text1"/>
                <w:sz w:val="20"/>
                <w:szCs w:val="20"/>
              </w:rPr>
              <w:t>Number of</w:t>
            </w:r>
            <w:r>
              <w:rPr>
                <w:rFonts w:ascii="Times New Roman" w:hAnsi="Times New Roman" w:cs="Times New Roman"/>
                <w:b/>
                <w:bCs/>
                <w:color w:val="000000" w:themeColor="text1"/>
                <w:sz w:val="20"/>
                <w:szCs w:val="20"/>
              </w:rPr>
              <w:t xml:space="preserve"> </w:t>
            </w:r>
            <w:r w:rsidRPr="001130E1">
              <w:rPr>
                <w:rFonts w:ascii="Times New Roman" w:hAnsi="Times New Roman" w:cs="Times New Roman"/>
                <w:b/>
                <w:bCs/>
                <w:color w:val="000000" w:themeColor="text1"/>
                <w:sz w:val="20"/>
                <w:szCs w:val="20"/>
              </w:rPr>
              <w:t>Patients (N)</w:t>
            </w:r>
          </w:p>
        </w:tc>
        <w:tc>
          <w:tcPr>
            <w:tcW w:w="1440" w:type="dxa"/>
          </w:tcPr>
          <w:p w14:paraId="74363192" w14:textId="0E359A71" w:rsidR="001130E1" w:rsidRPr="001130E1" w:rsidRDefault="001130E1" w:rsidP="001130E1">
            <w:pPr>
              <w:jc w:val="center"/>
              <w:rPr>
                <w:rFonts w:ascii="Times New Roman" w:hAnsi="Times New Roman" w:cs="Times New Roman"/>
                <w:b/>
                <w:bCs/>
                <w:color w:val="000000" w:themeColor="text1"/>
                <w:sz w:val="20"/>
                <w:szCs w:val="20"/>
              </w:rPr>
            </w:pPr>
            <w:r w:rsidRPr="001130E1">
              <w:rPr>
                <w:rFonts w:ascii="Times New Roman" w:hAnsi="Times New Roman" w:cs="Times New Roman"/>
                <w:b/>
                <w:bCs/>
                <w:color w:val="000000" w:themeColor="text1"/>
                <w:sz w:val="20"/>
                <w:szCs w:val="20"/>
              </w:rPr>
              <w:t>Median</w:t>
            </w:r>
          </w:p>
        </w:tc>
        <w:tc>
          <w:tcPr>
            <w:tcW w:w="2114" w:type="dxa"/>
          </w:tcPr>
          <w:p w14:paraId="5E18A5FF" w14:textId="2F58AE88" w:rsidR="001130E1" w:rsidRPr="001130E1" w:rsidRDefault="001130E1" w:rsidP="001130E1">
            <w:pPr>
              <w:jc w:val="center"/>
              <w:rPr>
                <w:rFonts w:ascii="Times New Roman" w:hAnsi="Times New Roman" w:cs="Times New Roman"/>
                <w:b/>
                <w:bCs/>
                <w:color w:val="000000" w:themeColor="text1"/>
                <w:sz w:val="20"/>
                <w:szCs w:val="20"/>
              </w:rPr>
            </w:pPr>
            <w:r w:rsidRPr="001130E1">
              <w:rPr>
                <w:rFonts w:ascii="Times New Roman" w:hAnsi="Times New Roman" w:cs="Times New Roman"/>
                <w:b/>
                <w:bCs/>
                <w:color w:val="000000" w:themeColor="text1"/>
                <w:sz w:val="20"/>
                <w:szCs w:val="20"/>
              </w:rPr>
              <w:t>95% Confidence Interval</w:t>
            </w:r>
          </w:p>
        </w:tc>
      </w:tr>
      <w:tr w:rsidR="001130E1" w:rsidRPr="001130E1" w14:paraId="3D801E38" w14:textId="77777777" w:rsidTr="001130E1">
        <w:tc>
          <w:tcPr>
            <w:tcW w:w="3708" w:type="dxa"/>
          </w:tcPr>
          <w:p w14:paraId="43DC8174" w14:textId="00FA8F59" w:rsidR="001130E1" w:rsidRPr="001130E1" w:rsidRDefault="001130E1" w:rsidP="001130E1">
            <w:pPr>
              <w:rPr>
                <w:rFonts w:ascii="Times New Roman" w:hAnsi="Times New Roman" w:cs="Times New Roman"/>
                <w:color w:val="000000" w:themeColor="text1"/>
                <w:sz w:val="20"/>
                <w:szCs w:val="20"/>
              </w:rPr>
            </w:pPr>
            <w:r w:rsidRPr="001130E1">
              <w:rPr>
                <w:rFonts w:ascii="Times New Roman" w:hAnsi="Times New Roman" w:cs="Times New Roman"/>
                <w:bCs/>
                <w:color w:val="000000" w:themeColor="text1"/>
                <w:sz w:val="20"/>
                <w:szCs w:val="20"/>
              </w:rPr>
              <w:t>Terminal half-life (days)</w:t>
            </w:r>
          </w:p>
        </w:tc>
        <w:tc>
          <w:tcPr>
            <w:tcW w:w="1980" w:type="dxa"/>
          </w:tcPr>
          <w:p w14:paraId="7D5F0665" w14:textId="2759F744" w:rsidR="001130E1" w:rsidRPr="001130E1" w:rsidRDefault="001130E1" w:rsidP="001130E1">
            <w:pPr>
              <w:jc w:val="center"/>
              <w:rPr>
                <w:rFonts w:ascii="Times New Roman" w:hAnsi="Times New Roman" w:cs="Times New Roman"/>
                <w:color w:val="000000" w:themeColor="text1"/>
                <w:sz w:val="20"/>
                <w:szCs w:val="20"/>
              </w:rPr>
            </w:pPr>
            <w:r w:rsidRPr="001130E1">
              <w:rPr>
                <w:rFonts w:ascii="Times New Roman" w:hAnsi="Times New Roman" w:cs="Times New Roman"/>
                <w:bCs/>
                <w:color w:val="000000" w:themeColor="text1"/>
                <w:sz w:val="20"/>
                <w:szCs w:val="20"/>
              </w:rPr>
              <w:t>22</w:t>
            </w:r>
          </w:p>
        </w:tc>
        <w:tc>
          <w:tcPr>
            <w:tcW w:w="1440" w:type="dxa"/>
          </w:tcPr>
          <w:p w14:paraId="418546EE" w14:textId="41D36928" w:rsidR="001130E1" w:rsidRPr="001130E1" w:rsidRDefault="001130E1" w:rsidP="001130E1">
            <w:pPr>
              <w:jc w:val="center"/>
              <w:rPr>
                <w:rFonts w:ascii="Times New Roman" w:hAnsi="Times New Roman" w:cs="Times New Roman"/>
                <w:color w:val="000000" w:themeColor="text1"/>
                <w:sz w:val="20"/>
                <w:szCs w:val="20"/>
              </w:rPr>
            </w:pPr>
            <w:r w:rsidRPr="001130E1">
              <w:rPr>
                <w:rFonts w:ascii="Times New Roman" w:hAnsi="Times New Roman" w:cs="Times New Roman"/>
                <w:bCs/>
                <w:color w:val="000000" w:themeColor="text1"/>
                <w:sz w:val="20"/>
                <w:szCs w:val="20"/>
              </w:rPr>
              <w:t>30.1</w:t>
            </w:r>
          </w:p>
        </w:tc>
        <w:tc>
          <w:tcPr>
            <w:tcW w:w="2114" w:type="dxa"/>
          </w:tcPr>
          <w:p w14:paraId="30FEE411" w14:textId="17ACB4D4" w:rsidR="001130E1" w:rsidRPr="001130E1" w:rsidRDefault="001130E1" w:rsidP="001130E1">
            <w:pPr>
              <w:jc w:val="center"/>
              <w:rPr>
                <w:rFonts w:ascii="Times New Roman" w:hAnsi="Times New Roman" w:cs="Times New Roman"/>
                <w:color w:val="000000" w:themeColor="text1"/>
                <w:sz w:val="20"/>
                <w:szCs w:val="20"/>
              </w:rPr>
            </w:pPr>
            <w:proofErr w:type="gramStart"/>
            <w:r w:rsidRPr="001130E1">
              <w:rPr>
                <w:rFonts w:ascii="Times New Roman" w:hAnsi="Times New Roman" w:cs="Times New Roman"/>
                <w:bCs/>
                <w:color w:val="000000" w:themeColor="text1"/>
                <w:sz w:val="20"/>
                <w:szCs w:val="20"/>
              </w:rPr>
              <w:t>27.1 :</w:t>
            </w:r>
            <w:proofErr w:type="gramEnd"/>
            <w:r w:rsidRPr="001130E1">
              <w:rPr>
                <w:rFonts w:ascii="Times New Roman" w:hAnsi="Times New Roman" w:cs="Times New Roman"/>
                <w:bCs/>
                <w:color w:val="000000" w:themeColor="text1"/>
                <w:sz w:val="20"/>
                <w:szCs w:val="20"/>
              </w:rPr>
              <w:t xml:space="preserve">  43.3</w:t>
            </w:r>
          </w:p>
        </w:tc>
      </w:tr>
      <w:tr w:rsidR="001130E1" w:rsidRPr="001130E1" w14:paraId="73CE56AA" w14:textId="77777777" w:rsidTr="001130E1">
        <w:tc>
          <w:tcPr>
            <w:tcW w:w="3708" w:type="dxa"/>
          </w:tcPr>
          <w:p w14:paraId="21EF58E7" w14:textId="4DDF9CD6" w:rsidR="001130E1" w:rsidRPr="001130E1" w:rsidRDefault="001130E1" w:rsidP="001130E1">
            <w:pPr>
              <w:rPr>
                <w:rFonts w:ascii="Times New Roman" w:hAnsi="Times New Roman" w:cs="Times New Roman"/>
                <w:bCs/>
                <w:color w:val="000000" w:themeColor="text1"/>
                <w:sz w:val="20"/>
                <w:szCs w:val="20"/>
              </w:rPr>
            </w:pPr>
            <w:proofErr w:type="spellStart"/>
            <w:proofErr w:type="gramStart"/>
            <w:r w:rsidRPr="001130E1">
              <w:rPr>
                <w:rFonts w:ascii="Times New Roman" w:hAnsi="Times New Roman" w:cs="Times New Roman"/>
                <w:bCs/>
                <w:color w:val="000000" w:themeColor="text1"/>
                <w:sz w:val="20"/>
                <w:szCs w:val="20"/>
              </w:rPr>
              <w:t>C</w:t>
            </w:r>
            <w:r w:rsidRPr="001130E1">
              <w:rPr>
                <w:rFonts w:ascii="Times New Roman" w:hAnsi="Times New Roman" w:cs="Times New Roman"/>
                <w:bCs/>
                <w:color w:val="000000" w:themeColor="text1"/>
                <w:sz w:val="20"/>
                <w:szCs w:val="20"/>
                <w:vertAlign w:val="subscript"/>
              </w:rPr>
              <w:t>min</w:t>
            </w:r>
            <w:proofErr w:type="spellEnd"/>
            <w:r w:rsidRPr="001130E1">
              <w:rPr>
                <w:rFonts w:ascii="Times New Roman" w:hAnsi="Times New Roman" w:cs="Times New Roman"/>
                <w:bCs/>
                <w:color w:val="000000" w:themeColor="text1"/>
                <w:sz w:val="20"/>
                <w:szCs w:val="20"/>
              </w:rPr>
              <w:t xml:space="preserve">  (</w:t>
            </w:r>
            <w:proofErr w:type="gramEnd"/>
            <w:r w:rsidRPr="001130E1">
              <w:rPr>
                <w:rFonts w:ascii="Times New Roman" w:hAnsi="Times New Roman" w:cs="Times New Roman"/>
                <w:bCs/>
                <w:color w:val="000000" w:themeColor="text1"/>
                <w:sz w:val="20"/>
                <w:szCs w:val="20"/>
              </w:rPr>
              <w:t>mg/dL) (trough level)</w:t>
            </w:r>
          </w:p>
        </w:tc>
        <w:tc>
          <w:tcPr>
            <w:tcW w:w="1980" w:type="dxa"/>
          </w:tcPr>
          <w:p w14:paraId="763256BA" w14:textId="169098EF"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22</w:t>
            </w:r>
          </w:p>
        </w:tc>
        <w:tc>
          <w:tcPr>
            <w:tcW w:w="1440" w:type="dxa"/>
          </w:tcPr>
          <w:p w14:paraId="04362259" w14:textId="57A1D90B"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848</w:t>
            </w:r>
          </w:p>
        </w:tc>
        <w:tc>
          <w:tcPr>
            <w:tcW w:w="2114" w:type="dxa"/>
          </w:tcPr>
          <w:p w14:paraId="2BD05EB7" w14:textId="77106564" w:rsidR="001130E1" w:rsidRPr="001130E1" w:rsidRDefault="001130E1" w:rsidP="001130E1">
            <w:pPr>
              <w:jc w:val="center"/>
              <w:rPr>
                <w:rFonts w:ascii="Times New Roman" w:hAnsi="Times New Roman" w:cs="Times New Roman"/>
                <w:bCs/>
                <w:color w:val="000000" w:themeColor="text1"/>
                <w:sz w:val="20"/>
                <w:szCs w:val="20"/>
              </w:rPr>
            </w:pPr>
            <w:proofErr w:type="gramStart"/>
            <w:r w:rsidRPr="001130E1">
              <w:rPr>
                <w:rFonts w:ascii="Times New Roman" w:hAnsi="Times New Roman" w:cs="Times New Roman"/>
                <w:bCs/>
                <w:color w:val="000000" w:themeColor="text1"/>
                <w:sz w:val="20"/>
                <w:szCs w:val="20"/>
              </w:rPr>
              <w:t>772  :</w:t>
            </w:r>
            <w:proofErr w:type="gramEnd"/>
            <w:r w:rsidRPr="001130E1">
              <w:rPr>
                <w:rFonts w:ascii="Times New Roman" w:hAnsi="Times New Roman" w:cs="Times New Roman"/>
                <w:bCs/>
                <w:color w:val="000000" w:themeColor="text1"/>
                <w:sz w:val="20"/>
                <w:szCs w:val="20"/>
              </w:rPr>
              <w:t xml:space="preserve">  1000</w:t>
            </w:r>
          </w:p>
        </w:tc>
      </w:tr>
      <w:tr w:rsidR="001130E1" w:rsidRPr="001130E1" w14:paraId="3F55B2AC" w14:textId="77777777" w:rsidTr="001130E1">
        <w:tc>
          <w:tcPr>
            <w:tcW w:w="3708" w:type="dxa"/>
          </w:tcPr>
          <w:p w14:paraId="412DC03F" w14:textId="7F80A88F" w:rsidR="001130E1" w:rsidRPr="001130E1" w:rsidRDefault="001130E1" w:rsidP="001130E1">
            <w:pPr>
              <w:rPr>
                <w:rFonts w:ascii="Times New Roman" w:hAnsi="Times New Roman" w:cs="Times New Roman"/>
                <w:bCs/>
                <w:color w:val="000000" w:themeColor="text1"/>
                <w:sz w:val="20"/>
                <w:szCs w:val="20"/>
              </w:rPr>
            </w:pPr>
            <w:proofErr w:type="spellStart"/>
            <w:r w:rsidRPr="001130E1">
              <w:rPr>
                <w:rFonts w:ascii="Times New Roman" w:hAnsi="Times New Roman" w:cs="Times New Roman"/>
                <w:bCs/>
                <w:color w:val="000000" w:themeColor="text1"/>
                <w:sz w:val="20"/>
                <w:szCs w:val="20"/>
              </w:rPr>
              <w:t>C</w:t>
            </w:r>
            <w:r w:rsidRPr="001130E1">
              <w:rPr>
                <w:rFonts w:ascii="Times New Roman" w:hAnsi="Times New Roman" w:cs="Times New Roman"/>
                <w:bCs/>
                <w:color w:val="000000" w:themeColor="text1"/>
                <w:sz w:val="20"/>
                <w:szCs w:val="20"/>
                <w:vertAlign w:val="subscript"/>
              </w:rPr>
              <w:t>max</w:t>
            </w:r>
            <w:proofErr w:type="spellEnd"/>
            <w:r w:rsidRPr="001130E1">
              <w:rPr>
                <w:rFonts w:ascii="Times New Roman" w:hAnsi="Times New Roman" w:cs="Times New Roman"/>
                <w:bCs/>
                <w:color w:val="000000" w:themeColor="text1"/>
                <w:sz w:val="20"/>
                <w:szCs w:val="20"/>
              </w:rPr>
              <w:t xml:space="preserve"> (mg/dL) (peak level)</w:t>
            </w:r>
          </w:p>
        </w:tc>
        <w:tc>
          <w:tcPr>
            <w:tcW w:w="1980" w:type="dxa"/>
          </w:tcPr>
          <w:p w14:paraId="1334F97F" w14:textId="05CF7914"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22</w:t>
            </w:r>
          </w:p>
        </w:tc>
        <w:tc>
          <w:tcPr>
            <w:tcW w:w="1440" w:type="dxa"/>
          </w:tcPr>
          <w:p w14:paraId="725430FC" w14:textId="5766589B"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1630</w:t>
            </w:r>
          </w:p>
        </w:tc>
        <w:tc>
          <w:tcPr>
            <w:tcW w:w="2114" w:type="dxa"/>
          </w:tcPr>
          <w:p w14:paraId="22E82810" w14:textId="4B0EAAD5" w:rsidR="001130E1" w:rsidRPr="001130E1" w:rsidRDefault="001130E1" w:rsidP="001130E1">
            <w:pPr>
              <w:jc w:val="center"/>
              <w:rPr>
                <w:rFonts w:ascii="Times New Roman" w:hAnsi="Times New Roman" w:cs="Times New Roman"/>
                <w:bCs/>
                <w:color w:val="000000" w:themeColor="text1"/>
                <w:sz w:val="20"/>
                <w:szCs w:val="20"/>
              </w:rPr>
            </w:pPr>
            <w:proofErr w:type="gramStart"/>
            <w:r w:rsidRPr="001130E1">
              <w:rPr>
                <w:rFonts w:ascii="Times New Roman" w:hAnsi="Times New Roman" w:cs="Times New Roman"/>
                <w:bCs/>
                <w:color w:val="000000" w:themeColor="text1"/>
                <w:sz w:val="20"/>
                <w:szCs w:val="20"/>
              </w:rPr>
              <w:t>1470 :</w:t>
            </w:r>
            <w:proofErr w:type="gramEnd"/>
            <w:r w:rsidRPr="001130E1">
              <w:rPr>
                <w:rFonts w:ascii="Times New Roman" w:hAnsi="Times New Roman" w:cs="Times New Roman"/>
                <w:bCs/>
                <w:color w:val="000000" w:themeColor="text1"/>
                <w:sz w:val="20"/>
                <w:szCs w:val="20"/>
              </w:rPr>
              <w:t xml:space="preserve"> 1750</w:t>
            </w:r>
          </w:p>
        </w:tc>
      </w:tr>
      <w:tr w:rsidR="001130E1" w:rsidRPr="001130E1" w14:paraId="4A32DAF3" w14:textId="77777777" w:rsidTr="001130E1">
        <w:tc>
          <w:tcPr>
            <w:tcW w:w="3708" w:type="dxa"/>
          </w:tcPr>
          <w:p w14:paraId="690D4F31" w14:textId="76A2B391" w:rsidR="001130E1" w:rsidRPr="001130E1" w:rsidRDefault="001130E1" w:rsidP="001130E1">
            <w:pPr>
              <w:rPr>
                <w:rFonts w:ascii="Times New Roman" w:hAnsi="Times New Roman" w:cs="Times New Roman"/>
                <w:bCs/>
                <w:color w:val="000000" w:themeColor="text1"/>
                <w:sz w:val="20"/>
                <w:szCs w:val="20"/>
              </w:rPr>
            </w:pPr>
            <w:r w:rsidRPr="001130E1">
              <w:rPr>
                <w:rFonts w:ascii="Times New Roman" w:hAnsi="Times New Roman" w:cs="Times New Roman"/>
                <w:bCs/>
                <w:i/>
                <w:color w:val="000000" w:themeColor="text1"/>
                <w:sz w:val="20"/>
                <w:szCs w:val="20"/>
              </w:rPr>
              <w:t>In-vivo</w:t>
            </w:r>
            <w:r w:rsidRPr="001130E1">
              <w:rPr>
                <w:rFonts w:ascii="Times New Roman" w:hAnsi="Times New Roman" w:cs="Times New Roman"/>
                <w:bCs/>
                <w:color w:val="000000" w:themeColor="text1"/>
                <w:sz w:val="20"/>
                <w:szCs w:val="20"/>
              </w:rPr>
              <w:t xml:space="preserve"> recovery (%)</w:t>
            </w:r>
          </w:p>
        </w:tc>
        <w:tc>
          <w:tcPr>
            <w:tcW w:w="1980" w:type="dxa"/>
          </w:tcPr>
          <w:p w14:paraId="3EA3F37A" w14:textId="5ACFB164"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22</w:t>
            </w:r>
          </w:p>
        </w:tc>
        <w:tc>
          <w:tcPr>
            <w:tcW w:w="1440" w:type="dxa"/>
          </w:tcPr>
          <w:p w14:paraId="32C05FA5" w14:textId="0C6212AB"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89</w:t>
            </w:r>
          </w:p>
        </w:tc>
        <w:tc>
          <w:tcPr>
            <w:tcW w:w="2114" w:type="dxa"/>
          </w:tcPr>
          <w:p w14:paraId="19220BFE" w14:textId="0CBC90D0" w:rsidR="001130E1" w:rsidRPr="001130E1" w:rsidRDefault="001130E1" w:rsidP="001130E1">
            <w:pPr>
              <w:jc w:val="center"/>
              <w:rPr>
                <w:rFonts w:ascii="Times New Roman" w:hAnsi="Times New Roman" w:cs="Times New Roman"/>
                <w:bCs/>
                <w:color w:val="000000" w:themeColor="text1"/>
                <w:sz w:val="20"/>
                <w:szCs w:val="20"/>
              </w:rPr>
            </w:pPr>
            <w:proofErr w:type="gramStart"/>
            <w:r w:rsidRPr="001130E1">
              <w:rPr>
                <w:rFonts w:ascii="Times New Roman" w:hAnsi="Times New Roman" w:cs="Times New Roman"/>
                <w:bCs/>
                <w:color w:val="000000" w:themeColor="text1"/>
                <w:sz w:val="20"/>
                <w:szCs w:val="20"/>
              </w:rPr>
              <w:t>84 :</w:t>
            </w:r>
            <w:proofErr w:type="gramEnd"/>
            <w:r w:rsidRPr="001130E1">
              <w:rPr>
                <w:rFonts w:ascii="Times New Roman" w:hAnsi="Times New Roman" w:cs="Times New Roman"/>
                <w:bCs/>
                <w:color w:val="000000" w:themeColor="text1"/>
                <w:sz w:val="20"/>
                <w:szCs w:val="20"/>
              </w:rPr>
              <w:t xml:space="preserve">  101</w:t>
            </w:r>
          </w:p>
        </w:tc>
      </w:tr>
      <w:tr w:rsidR="001130E1" w:rsidRPr="001130E1" w14:paraId="791C69FB" w14:textId="77777777" w:rsidTr="001130E1">
        <w:tc>
          <w:tcPr>
            <w:tcW w:w="3708" w:type="dxa"/>
          </w:tcPr>
          <w:p w14:paraId="4CE5AB89" w14:textId="5CD84A46" w:rsidR="001130E1" w:rsidRPr="001130E1" w:rsidRDefault="001130E1" w:rsidP="001130E1">
            <w:pP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Incremental recovery (mg/dL/(mg/kg)</w:t>
            </w:r>
          </w:p>
        </w:tc>
        <w:tc>
          <w:tcPr>
            <w:tcW w:w="1980" w:type="dxa"/>
          </w:tcPr>
          <w:p w14:paraId="21F27EE3" w14:textId="70A65969"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22</w:t>
            </w:r>
          </w:p>
        </w:tc>
        <w:tc>
          <w:tcPr>
            <w:tcW w:w="1440" w:type="dxa"/>
          </w:tcPr>
          <w:p w14:paraId="6EFA9551" w14:textId="2972F43A"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1.85</w:t>
            </w:r>
          </w:p>
        </w:tc>
        <w:tc>
          <w:tcPr>
            <w:tcW w:w="2114" w:type="dxa"/>
          </w:tcPr>
          <w:p w14:paraId="1E3F2FE0" w14:textId="390C3076" w:rsidR="001130E1" w:rsidRPr="001130E1" w:rsidRDefault="001130E1" w:rsidP="001130E1">
            <w:pPr>
              <w:jc w:val="center"/>
              <w:rPr>
                <w:rFonts w:ascii="Times New Roman" w:hAnsi="Times New Roman" w:cs="Times New Roman"/>
                <w:bCs/>
                <w:color w:val="000000" w:themeColor="text1"/>
                <w:sz w:val="20"/>
                <w:szCs w:val="20"/>
              </w:rPr>
            </w:pPr>
            <w:proofErr w:type="gramStart"/>
            <w:r w:rsidRPr="001130E1">
              <w:rPr>
                <w:rFonts w:ascii="Times New Roman" w:hAnsi="Times New Roman" w:cs="Times New Roman"/>
                <w:bCs/>
                <w:color w:val="000000" w:themeColor="text1"/>
                <w:sz w:val="20"/>
                <w:szCs w:val="20"/>
              </w:rPr>
              <w:t>1.71 :</w:t>
            </w:r>
            <w:proofErr w:type="gramEnd"/>
            <w:r w:rsidRPr="001130E1">
              <w:rPr>
                <w:rFonts w:ascii="Times New Roman" w:hAnsi="Times New Roman" w:cs="Times New Roman"/>
                <w:bCs/>
                <w:color w:val="000000" w:themeColor="text1"/>
                <w:sz w:val="20"/>
                <w:szCs w:val="20"/>
              </w:rPr>
              <w:t xml:space="preserve">  2.14</w:t>
            </w:r>
          </w:p>
        </w:tc>
      </w:tr>
      <w:tr w:rsidR="001130E1" w:rsidRPr="001130E1" w14:paraId="3EC3F52C" w14:textId="77777777" w:rsidTr="001130E1">
        <w:tc>
          <w:tcPr>
            <w:tcW w:w="3708" w:type="dxa"/>
          </w:tcPr>
          <w:p w14:paraId="4DF4A12F" w14:textId="5CEE88CE" w:rsidR="001130E1" w:rsidRPr="001130E1" w:rsidRDefault="001130E1" w:rsidP="001130E1">
            <w:pPr>
              <w:rPr>
                <w:rFonts w:ascii="Times New Roman" w:hAnsi="Times New Roman" w:cs="Times New Roman"/>
                <w:bCs/>
                <w:color w:val="000000" w:themeColor="text1"/>
                <w:sz w:val="20"/>
                <w:szCs w:val="20"/>
              </w:rPr>
            </w:pPr>
            <w:proofErr w:type="spellStart"/>
            <w:r w:rsidRPr="001130E1">
              <w:rPr>
                <w:rFonts w:ascii="Times New Roman" w:hAnsi="Times New Roman" w:cs="Times New Roman"/>
                <w:bCs/>
                <w:color w:val="000000" w:themeColor="text1"/>
                <w:sz w:val="20"/>
                <w:szCs w:val="20"/>
              </w:rPr>
              <w:t>T</w:t>
            </w:r>
            <w:r w:rsidRPr="001130E1">
              <w:rPr>
                <w:rFonts w:ascii="Times New Roman" w:hAnsi="Times New Roman" w:cs="Times New Roman"/>
                <w:bCs/>
                <w:color w:val="000000" w:themeColor="text1"/>
                <w:sz w:val="20"/>
                <w:szCs w:val="20"/>
                <w:vertAlign w:val="subscript"/>
              </w:rPr>
              <w:t>max</w:t>
            </w:r>
            <w:proofErr w:type="spellEnd"/>
            <w:r w:rsidRPr="001130E1">
              <w:rPr>
                <w:rFonts w:ascii="Times New Roman" w:hAnsi="Times New Roman" w:cs="Times New Roman"/>
                <w:bCs/>
                <w:color w:val="000000" w:themeColor="text1"/>
                <w:sz w:val="20"/>
                <w:szCs w:val="20"/>
              </w:rPr>
              <w:t xml:space="preserve"> (hours</w:t>
            </w:r>
            <w:proofErr w:type="gramStart"/>
            <w:r w:rsidRPr="001130E1">
              <w:rPr>
                <w:rFonts w:ascii="Times New Roman" w:hAnsi="Times New Roman" w:cs="Times New Roman"/>
                <w:bCs/>
                <w:color w:val="000000" w:themeColor="text1"/>
                <w:sz w:val="20"/>
                <w:szCs w:val="20"/>
              </w:rPr>
              <w:t>)(</w:t>
            </w:r>
            <w:proofErr w:type="gramEnd"/>
            <w:r w:rsidRPr="001130E1">
              <w:rPr>
                <w:rFonts w:ascii="Times New Roman" w:hAnsi="Times New Roman" w:cs="Times New Roman"/>
                <w:bCs/>
                <w:color w:val="000000" w:themeColor="text1"/>
                <w:sz w:val="20"/>
                <w:szCs w:val="20"/>
              </w:rPr>
              <w:t>time to reach peak)</w:t>
            </w:r>
          </w:p>
        </w:tc>
        <w:tc>
          <w:tcPr>
            <w:tcW w:w="1980" w:type="dxa"/>
          </w:tcPr>
          <w:p w14:paraId="3CD861EA" w14:textId="46032638"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22</w:t>
            </w:r>
          </w:p>
        </w:tc>
        <w:tc>
          <w:tcPr>
            <w:tcW w:w="1440" w:type="dxa"/>
          </w:tcPr>
          <w:p w14:paraId="54311FAE" w14:textId="23AC01D9"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0.25</w:t>
            </w:r>
          </w:p>
        </w:tc>
        <w:tc>
          <w:tcPr>
            <w:tcW w:w="2114" w:type="dxa"/>
          </w:tcPr>
          <w:p w14:paraId="7B992F99" w14:textId="18CFB9A7" w:rsidR="001130E1" w:rsidRPr="001130E1" w:rsidRDefault="001130E1" w:rsidP="001130E1">
            <w:pPr>
              <w:jc w:val="center"/>
              <w:rPr>
                <w:rFonts w:ascii="Times New Roman" w:hAnsi="Times New Roman" w:cs="Times New Roman"/>
                <w:bCs/>
                <w:color w:val="000000" w:themeColor="text1"/>
                <w:sz w:val="20"/>
                <w:szCs w:val="20"/>
              </w:rPr>
            </w:pPr>
            <w:proofErr w:type="gramStart"/>
            <w:r w:rsidRPr="001130E1">
              <w:rPr>
                <w:rFonts w:ascii="Times New Roman" w:hAnsi="Times New Roman" w:cs="Times New Roman"/>
                <w:bCs/>
                <w:color w:val="000000" w:themeColor="text1"/>
                <w:sz w:val="20"/>
                <w:szCs w:val="20"/>
              </w:rPr>
              <w:t>0.25 :</w:t>
            </w:r>
            <w:proofErr w:type="gramEnd"/>
            <w:r w:rsidRPr="001130E1">
              <w:rPr>
                <w:rFonts w:ascii="Times New Roman" w:hAnsi="Times New Roman" w:cs="Times New Roman"/>
                <w:bCs/>
                <w:color w:val="000000" w:themeColor="text1"/>
                <w:sz w:val="20"/>
                <w:szCs w:val="20"/>
              </w:rPr>
              <w:t xml:space="preserve">  0.25</w:t>
            </w:r>
          </w:p>
        </w:tc>
      </w:tr>
      <w:tr w:rsidR="001130E1" w:rsidRPr="001130E1" w14:paraId="5E984121" w14:textId="77777777" w:rsidTr="001130E1">
        <w:tc>
          <w:tcPr>
            <w:tcW w:w="3708" w:type="dxa"/>
          </w:tcPr>
          <w:p w14:paraId="2517C897" w14:textId="246A35FD" w:rsidR="001130E1" w:rsidRPr="001130E1" w:rsidRDefault="001130E1" w:rsidP="001130E1">
            <w:pP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 xml:space="preserve">AUC </w:t>
            </w:r>
            <w:r w:rsidRPr="001130E1">
              <w:rPr>
                <w:rFonts w:ascii="Times New Roman" w:hAnsi="Times New Roman" w:cs="Times New Roman"/>
                <w:bCs/>
                <w:color w:val="000000" w:themeColor="text1"/>
                <w:sz w:val="20"/>
                <w:szCs w:val="20"/>
                <w:vertAlign w:val="subscript"/>
              </w:rPr>
              <w:t>0-21</w:t>
            </w:r>
            <w:proofErr w:type="gramStart"/>
            <w:r w:rsidRPr="001130E1">
              <w:rPr>
                <w:rFonts w:ascii="Times New Roman" w:hAnsi="Times New Roman" w:cs="Times New Roman"/>
                <w:bCs/>
                <w:color w:val="000000" w:themeColor="text1"/>
                <w:sz w:val="20"/>
                <w:szCs w:val="20"/>
                <w:vertAlign w:val="subscript"/>
              </w:rPr>
              <w:t>d</w:t>
            </w:r>
            <w:r w:rsidRPr="001130E1">
              <w:rPr>
                <w:rFonts w:ascii="Times New Roman" w:hAnsi="Times New Roman" w:cs="Times New Roman"/>
                <w:bCs/>
                <w:color w:val="000000" w:themeColor="text1"/>
                <w:sz w:val="20"/>
                <w:szCs w:val="20"/>
              </w:rPr>
              <w:t xml:space="preserve">  (</w:t>
            </w:r>
            <w:proofErr w:type="spellStart"/>
            <w:proofErr w:type="gramEnd"/>
            <w:r w:rsidRPr="001130E1">
              <w:rPr>
                <w:rFonts w:ascii="Times New Roman" w:hAnsi="Times New Roman" w:cs="Times New Roman"/>
                <w:bCs/>
                <w:color w:val="000000" w:themeColor="text1"/>
                <w:sz w:val="20"/>
                <w:szCs w:val="20"/>
              </w:rPr>
              <w:t>g.h</w:t>
            </w:r>
            <w:proofErr w:type="spellEnd"/>
            <w:r w:rsidRPr="001130E1">
              <w:rPr>
                <w:rFonts w:ascii="Times New Roman" w:hAnsi="Times New Roman" w:cs="Times New Roman"/>
                <w:bCs/>
                <w:color w:val="000000" w:themeColor="text1"/>
                <w:sz w:val="20"/>
                <w:szCs w:val="20"/>
              </w:rPr>
              <w:t>/dL) (area under the curve)</w:t>
            </w:r>
          </w:p>
        </w:tc>
        <w:tc>
          <w:tcPr>
            <w:tcW w:w="1980" w:type="dxa"/>
          </w:tcPr>
          <w:p w14:paraId="1C7713F0" w14:textId="19A5EF3F"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22</w:t>
            </w:r>
          </w:p>
        </w:tc>
        <w:tc>
          <w:tcPr>
            <w:tcW w:w="1440" w:type="dxa"/>
          </w:tcPr>
          <w:p w14:paraId="1F4491D1" w14:textId="17D669FC" w:rsidR="001130E1" w:rsidRPr="001130E1" w:rsidRDefault="001130E1" w:rsidP="001130E1">
            <w:pPr>
              <w:jc w:val="center"/>
              <w:rPr>
                <w:rFonts w:ascii="Times New Roman" w:hAnsi="Times New Roman" w:cs="Times New Roman"/>
                <w:bCs/>
                <w:color w:val="000000" w:themeColor="text1"/>
                <w:sz w:val="20"/>
                <w:szCs w:val="20"/>
              </w:rPr>
            </w:pPr>
            <w:r w:rsidRPr="001130E1">
              <w:rPr>
                <w:rFonts w:ascii="Times New Roman" w:hAnsi="Times New Roman" w:cs="Times New Roman"/>
                <w:bCs/>
                <w:color w:val="000000" w:themeColor="text1"/>
                <w:sz w:val="20"/>
                <w:szCs w:val="20"/>
              </w:rPr>
              <w:t>545</w:t>
            </w:r>
          </w:p>
        </w:tc>
        <w:tc>
          <w:tcPr>
            <w:tcW w:w="2114" w:type="dxa"/>
          </w:tcPr>
          <w:p w14:paraId="249AB82C" w14:textId="7411EAA5" w:rsidR="001130E1" w:rsidRPr="001130E1" w:rsidRDefault="001130E1" w:rsidP="001130E1">
            <w:pPr>
              <w:jc w:val="center"/>
              <w:rPr>
                <w:rFonts w:ascii="Times New Roman" w:hAnsi="Times New Roman" w:cs="Times New Roman"/>
                <w:bCs/>
                <w:color w:val="000000" w:themeColor="text1"/>
                <w:sz w:val="20"/>
                <w:szCs w:val="20"/>
              </w:rPr>
            </w:pPr>
            <w:proofErr w:type="gramStart"/>
            <w:r w:rsidRPr="001130E1">
              <w:rPr>
                <w:rFonts w:ascii="Times New Roman" w:hAnsi="Times New Roman" w:cs="Times New Roman"/>
                <w:bCs/>
                <w:color w:val="000000" w:themeColor="text1"/>
                <w:sz w:val="20"/>
                <w:szCs w:val="20"/>
              </w:rPr>
              <w:t>490 :</w:t>
            </w:r>
            <w:proofErr w:type="gramEnd"/>
            <w:r w:rsidRPr="001130E1">
              <w:rPr>
                <w:rFonts w:ascii="Times New Roman" w:hAnsi="Times New Roman" w:cs="Times New Roman"/>
                <w:bCs/>
                <w:color w:val="000000" w:themeColor="text1"/>
                <w:sz w:val="20"/>
                <w:szCs w:val="20"/>
              </w:rPr>
              <w:t xml:space="preserve">  603</w:t>
            </w:r>
          </w:p>
        </w:tc>
      </w:tr>
    </w:tbl>
    <w:p w14:paraId="19D736B2" w14:textId="77777777" w:rsidR="001130E1" w:rsidRPr="001130E1" w:rsidRDefault="001130E1" w:rsidP="001130E1">
      <w:pPr>
        <w:spacing w:after="0" w:line="240" w:lineRule="auto"/>
        <w:rPr>
          <w:rFonts w:ascii="Times New Roman" w:hAnsi="Times New Roman" w:cs="Times New Roman"/>
          <w:color w:val="000000" w:themeColor="text1"/>
          <w:sz w:val="20"/>
          <w:szCs w:val="20"/>
        </w:rPr>
      </w:pPr>
    </w:p>
    <w:p w14:paraId="7E250241" w14:textId="7BFC3216" w:rsidR="001130E1" w:rsidRDefault="001130E1" w:rsidP="00715CED">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Subcutaneous a</w:t>
      </w:r>
      <w:r w:rsidRPr="001130E1">
        <w:rPr>
          <w:rFonts w:ascii="Times New Roman" w:hAnsi="Times New Roman" w:cs="Times New Roman"/>
          <w:color w:val="000000" w:themeColor="text1"/>
          <w:sz w:val="24"/>
          <w:szCs w:val="24"/>
        </w:rPr>
        <w:t>dministration</w:t>
      </w:r>
    </w:p>
    <w:p w14:paraId="29EAA0C2" w14:textId="77777777" w:rsidR="00715CED" w:rsidRPr="00715CED" w:rsidRDefault="00715CED" w:rsidP="00715CED">
      <w:pPr>
        <w:spacing w:after="0" w:line="240" w:lineRule="auto"/>
      </w:pPr>
    </w:p>
    <w:p w14:paraId="6CD480F4" w14:textId="65BCD8E4" w:rsidR="001130E1" w:rsidRPr="001130E1" w:rsidRDefault="001130E1" w:rsidP="001130E1">
      <w:pPr>
        <w:spacing w:after="0" w:line="240" w:lineRule="auto"/>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t xml:space="preserve">Pharmacokinetic (PK) parameters of subcutaneously administered KIOVIG were evaluated in subjects with PID who </w:t>
      </w:r>
      <w:proofErr w:type="gramStart"/>
      <w:r w:rsidRPr="001130E1">
        <w:rPr>
          <w:rFonts w:ascii="Times New Roman" w:hAnsi="Times New Roman" w:cs="Times New Roman"/>
          <w:color w:val="000000" w:themeColor="text1"/>
          <w:sz w:val="24"/>
          <w:szCs w:val="24"/>
        </w:rPr>
        <w:t>were 12 years</w:t>
      </w:r>
      <w:proofErr w:type="gramEnd"/>
      <w:r w:rsidRPr="001130E1">
        <w:rPr>
          <w:rFonts w:ascii="Times New Roman" w:hAnsi="Times New Roman" w:cs="Times New Roman"/>
          <w:color w:val="000000" w:themeColor="text1"/>
          <w:sz w:val="24"/>
          <w:szCs w:val="24"/>
        </w:rPr>
        <w:t xml:space="preserve"> and older during a clinical study (see </w:t>
      </w:r>
      <w:r w:rsidR="00B714CF">
        <w:rPr>
          <w:rFonts w:ascii="Times New Roman" w:hAnsi="Times New Roman" w:cs="Times New Roman"/>
          <w:color w:val="000000" w:themeColor="text1"/>
          <w:sz w:val="24"/>
          <w:szCs w:val="24"/>
        </w:rPr>
        <w:t xml:space="preserve">Section 5.1 </w:t>
      </w:r>
      <w:r w:rsidR="00B714CF" w:rsidRPr="00F73EBA">
        <w:rPr>
          <w:rFonts w:ascii="Times New Roman" w:hAnsi="Times New Roman" w:cs="Times New Roman"/>
          <w:color w:val="000000" w:themeColor="text1"/>
          <w:sz w:val="24"/>
          <w:szCs w:val="24"/>
        </w:rPr>
        <w:t>PHARMACODYNAMIC PROPERTIES</w:t>
      </w:r>
      <w:r w:rsidR="00F73EBA">
        <w:rPr>
          <w:rFonts w:ascii="Times New Roman" w:hAnsi="Times New Roman" w:cs="Times New Roman"/>
          <w:color w:val="000000" w:themeColor="text1"/>
          <w:sz w:val="24"/>
          <w:szCs w:val="24"/>
        </w:rPr>
        <w:t>/Clinical trials/</w:t>
      </w:r>
      <w:r w:rsidRPr="001130E1">
        <w:rPr>
          <w:rFonts w:ascii="Times New Roman" w:hAnsi="Times New Roman" w:cs="Times New Roman"/>
          <w:color w:val="000000" w:themeColor="text1"/>
          <w:sz w:val="24"/>
          <w:szCs w:val="24"/>
        </w:rPr>
        <w:t xml:space="preserve">Clinical Study of Subcutaneous Administration).  Subjects were treated intravenously for 12 weeks with KIOVIG and then switched to weekly subcutaneous KIOVIG infusions. Initially, all subjects were treated for a minimum of 12 weeks at a subcutaneous dose that was 130% of the intravenous dose. A comparison of the area under the curve (AUC) for intravenous and subcutaneous infusions done on the first 15 adult subjects determined that the subcutaneous dose required to provide an exposure from subcutaneous administration that was not inferior to the exposure from intravenous administration was 137% of the intravenous dose. Subsequently, all subjects were treated with this dose for 6 weeks after which the dose was individualised for all subjects using the trough IgG levels, as described below. After a minimum of 8 weeks at this subcutaneous dose, the PK evaluation was conducted on 32 subjects 12 years of age or older.  </w:t>
      </w:r>
    </w:p>
    <w:p w14:paraId="2F640EE5" w14:textId="77777777" w:rsidR="001130E1" w:rsidRPr="001130E1" w:rsidRDefault="001130E1" w:rsidP="001130E1">
      <w:pPr>
        <w:spacing w:after="0" w:line="240" w:lineRule="auto"/>
        <w:rPr>
          <w:rFonts w:ascii="Times New Roman" w:hAnsi="Times New Roman" w:cs="Times New Roman"/>
          <w:color w:val="000000" w:themeColor="text1"/>
          <w:sz w:val="24"/>
          <w:szCs w:val="24"/>
        </w:rPr>
      </w:pPr>
    </w:p>
    <w:p w14:paraId="2C9C4394" w14:textId="77777777" w:rsidR="001130E1" w:rsidRPr="001130E1" w:rsidRDefault="001130E1" w:rsidP="001130E1">
      <w:pPr>
        <w:spacing w:after="0" w:line="240" w:lineRule="auto"/>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t>The mean adjusted dose at the end of the study was 137.3% (125.7 to 150.8) of the intravenous dose for subjects 12 years and older, and 141.0% (100.5 to 160.0) for subjects under the age of 12. Thus, there was not a significant dosing difference required for children. At this dose adjustment, the geometric mean ratio of the AUC for subcutaneous vs. intravenous KIOVIG administration was 95.2% (90% confidence limit 92.3 to 98.2). The peak IgG level occurred 2.9 (1.2 to 3.2) days after subcutaneous administration.</w:t>
      </w:r>
    </w:p>
    <w:p w14:paraId="01D95D2F" w14:textId="77777777" w:rsidR="001130E1" w:rsidRPr="001130E1" w:rsidRDefault="001130E1" w:rsidP="001130E1">
      <w:pPr>
        <w:spacing w:after="0" w:line="240" w:lineRule="auto"/>
        <w:rPr>
          <w:rFonts w:ascii="Times New Roman" w:hAnsi="Times New Roman" w:cs="Times New Roman"/>
          <w:color w:val="000000" w:themeColor="text1"/>
          <w:sz w:val="24"/>
          <w:szCs w:val="24"/>
        </w:rPr>
      </w:pPr>
    </w:p>
    <w:p w14:paraId="0AD89471" w14:textId="08BA69AB" w:rsidR="001130E1" w:rsidRDefault="001130E1" w:rsidP="001130E1">
      <w:pPr>
        <w:spacing w:after="0" w:line="240" w:lineRule="auto"/>
        <w:rPr>
          <w:rFonts w:ascii="Times New Roman" w:hAnsi="Times New Roman" w:cs="Times New Roman"/>
          <w:color w:val="000000" w:themeColor="text1"/>
          <w:sz w:val="24"/>
          <w:szCs w:val="24"/>
        </w:rPr>
      </w:pPr>
      <w:r w:rsidRPr="001130E1">
        <w:rPr>
          <w:rFonts w:ascii="Times New Roman" w:hAnsi="Times New Roman" w:cs="Times New Roman"/>
          <w:color w:val="000000" w:themeColor="text1"/>
          <w:sz w:val="24"/>
          <w:szCs w:val="24"/>
        </w:rPr>
        <w:lastRenderedPageBreak/>
        <w:t xml:space="preserve">The pharmacokinetic parameters of KIOVIG administered intravenously compared to subcutaneously in the clinical trial are shown in Table </w:t>
      </w:r>
      <w:r w:rsidR="00745013">
        <w:rPr>
          <w:rFonts w:ascii="Times New Roman" w:hAnsi="Times New Roman" w:cs="Times New Roman"/>
          <w:color w:val="000000" w:themeColor="text1"/>
          <w:sz w:val="24"/>
          <w:szCs w:val="24"/>
        </w:rPr>
        <w:t>16</w:t>
      </w:r>
      <w:r w:rsidRPr="001130E1">
        <w:rPr>
          <w:rFonts w:ascii="Times New Roman" w:hAnsi="Times New Roman" w:cs="Times New Roman"/>
          <w:color w:val="000000" w:themeColor="text1"/>
          <w:sz w:val="24"/>
          <w:szCs w:val="24"/>
        </w:rPr>
        <w:t>. The mean peak IgG levels were lower (1393 ± 289 mg/dL) during subcutaneous treatment with KIOVIG compared to when it was administered intravenously (2240 ± 536 mg/dL), consistent with the lower weekly dose compared to the dose administered every 3 or 4 weeks intravenously. In contrast, the mean trough levels were higher with KIOVIG given subcutaneously (1202 ± 282 mg/dL), compared to those when given intravenously (1050 ± 260</w:t>
      </w:r>
      <w:r w:rsidRPr="001130E1" w:rsidDel="002115FD">
        <w:rPr>
          <w:rFonts w:ascii="Times New Roman" w:hAnsi="Times New Roman" w:cs="Times New Roman"/>
          <w:color w:val="000000" w:themeColor="text1"/>
          <w:sz w:val="24"/>
          <w:szCs w:val="24"/>
        </w:rPr>
        <w:t xml:space="preserve"> </w:t>
      </w:r>
      <w:r w:rsidRPr="001130E1">
        <w:rPr>
          <w:rFonts w:ascii="Times New Roman" w:hAnsi="Times New Roman" w:cs="Times New Roman"/>
          <w:color w:val="000000" w:themeColor="text1"/>
          <w:sz w:val="24"/>
          <w:szCs w:val="24"/>
        </w:rPr>
        <w:t xml:space="preserve">mg/dL), a result of both higher monthly dose and more frequent dosing.  </w:t>
      </w:r>
    </w:p>
    <w:p w14:paraId="60383C50" w14:textId="77777777" w:rsidR="00F6542E" w:rsidRDefault="00F6542E" w:rsidP="001130E1">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000"/>
        <w:gridCol w:w="3008"/>
        <w:gridCol w:w="3008"/>
      </w:tblGrid>
      <w:tr w:rsidR="001130E1" w:rsidRPr="001130E1" w14:paraId="14F8562D" w14:textId="77777777" w:rsidTr="00CB6B8A">
        <w:tc>
          <w:tcPr>
            <w:tcW w:w="9242" w:type="dxa"/>
            <w:gridSpan w:val="3"/>
          </w:tcPr>
          <w:p w14:paraId="21D95F71" w14:textId="20099431" w:rsidR="001130E1" w:rsidRDefault="001130E1" w:rsidP="001130E1">
            <w:pPr>
              <w:jc w:val="center"/>
              <w:rPr>
                <w:rFonts w:ascii="Times New Roman" w:hAnsi="Times New Roman" w:cs="Times New Roman"/>
                <w:b/>
                <w:bCs/>
                <w:color w:val="000000" w:themeColor="text1"/>
                <w:sz w:val="20"/>
                <w:szCs w:val="20"/>
              </w:rPr>
            </w:pPr>
            <w:r w:rsidRPr="001130E1">
              <w:rPr>
                <w:rFonts w:ascii="Times New Roman" w:hAnsi="Times New Roman" w:cs="Times New Roman"/>
                <w:b/>
                <w:bCs/>
                <w:color w:val="000000" w:themeColor="text1"/>
                <w:sz w:val="20"/>
                <w:szCs w:val="20"/>
              </w:rPr>
              <w:t xml:space="preserve">Table </w:t>
            </w:r>
            <w:r w:rsidR="00C405AF">
              <w:rPr>
                <w:rFonts w:ascii="Times New Roman" w:hAnsi="Times New Roman" w:cs="Times New Roman"/>
                <w:b/>
                <w:bCs/>
                <w:color w:val="000000" w:themeColor="text1"/>
                <w:sz w:val="20"/>
                <w:szCs w:val="20"/>
              </w:rPr>
              <w:t>15</w:t>
            </w:r>
            <w:r w:rsidR="00745013">
              <w:rPr>
                <w:rFonts w:ascii="Times New Roman" w:hAnsi="Times New Roman" w:cs="Times New Roman"/>
                <w:b/>
                <w:bCs/>
                <w:color w:val="000000" w:themeColor="text1"/>
                <w:sz w:val="20"/>
                <w:szCs w:val="20"/>
              </w:rPr>
              <w:t>:</w:t>
            </w:r>
            <w:r w:rsidRPr="001130E1">
              <w:rPr>
                <w:rFonts w:ascii="Times New Roman" w:hAnsi="Times New Roman" w:cs="Times New Roman"/>
                <w:b/>
                <w:bCs/>
                <w:color w:val="000000" w:themeColor="text1"/>
                <w:sz w:val="20"/>
                <w:szCs w:val="20"/>
              </w:rPr>
              <w:t xml:space="preserve"> Pharmacokinetic Parameters of Subcutaneously Administered KIOVIG </w:t>
            </w:r>
            <w:r>
              <w:rPr>
                <w:rFonts w:ascii="Times New Roman" w:hAnsi="Times New Roman" w:cs="Times New Roman"/>
                <w:b/>
                <w:bCs/>
                <w:color w:val="000000" w:themeColor="text1"/>
                <w:sz w:val="20"/>
                <w:szCs w:val="20"/>
              </w:rPr>
              <w:br/>
            </w:r>
            <w:r w:rsidRPr="001130E1">
              <w:rPr>
                <w:rFonts w:ascii="Times New Roman" w:hAnsi="Times New Roman" w:cs="Times New Roman"/>
                <w:b/>
                <w:bCs/>
                <w:color w:val="000000" w:themeColor="text1"/>
                <w:sz w:val="20"/>
                <w:szCs w:val="20"/>
              </w:rPr>
              <w:t>Compared to KIOVIG Administered Intravenously</w:t>
            </w:r>
          </w:p>
          <w:p w14:paraId="14BC4038" w14:textId="2F4FC22F" w:rsidR="001130E1" w:rsidRPr="001130E1" w:rsidRDefault="001130E1" w:rsidP="001130E1">
            <w:pPr>
              <w:jc w:val="center"/>
              <w:rPr>
                <w:rFonts w:ascii="Times New Roman" w:hAnsi="Times New Roman" w:cs="Times New Roman"/>
                <w:color w:val="000000" w:themeColor="text1"/>
                <w:sz w:val="20"/>
                <w:szCs w:val="20"/>
              </w:rPr>
            </w:pPr>
          </w:p>
        </w:tc>
      </w:tr>
      <w:tr w:rsidR="001130E1" w:rsidRPr="001130E1" w14:paraId="2BD6FD07" w14:textId="77777777" w:rsidTr="001130E1">
        <w:tc>
          <w:tcPr>
            <w:tcW w:w="3080" w:type="dxa"/>
          </w:tcPr>
          <w:p w14:paraId="160EA7CF" w14:textId="77777777" w:rsidR="001130E1" w:rsidRPr="001130E1" w:rsidRDefault="001130E1" w:rsidP="001130E1">
            <w:pPr>
              <w:rPr>
                <w:rFonts w:ascii="Times New Roman" w:hAnsi="Times New Roman" w:cs="Times New Roman"/>
                <w:color w:val="000000" w:themeColor="text1"/>
                <w:sz w:val="20"/>
                <w:szCs w:val="20"/>
              </w:rPr>
            </w:pPr>
          </w:p>
        </w:tc>
        <w:tc>
          <w:tcPr>
            <w:tcW w:w="3081" w:type="dxa"/>
          </w:tcPr>
          <w:p w14:paraId="4B487129" w14:textId="33CDC19B" w:rsidR="001130E1" w:rsidRPr="001130E1" w:rsidRDefault="001130E1" w:rsidP="002550DF">
            <w:pPr>
              <w:jc w:val="center"/>
              <w:rPr>
                <w:rFonts w:ascii="Times New Roman" w:hAnsi="Times New Roman" w:cs="Times New Roman"/>
                <w:color w:val="000000" w:themeColor="text1"/>
                <w:sz w:val="20"/>
                <w:szCs w:val="20"/>
              </w:rPr>
            </w:pPr>
            <w:r w:rsidRPr="001130E1">
              <w:rPr>
                <w:rFonts w:ascii="Times New Roman" w:hAnsi="Times New Roman" w:cs="Times New Roman"/>
                <w:b/>
                <w:bCs/>
                <w:color w:val="000000" w:themeColor="text1"/>
                <w:sz w:val="20"/>
                <w:szCs w:val="20"/>
              </w:rPr>
              <w:t>Subcutaneous Administration</w:t>
            </w:r>
          </w:p>
        </w:tc>
        <w:tc>
          <w:tcPr>
            <w:tcW w:w="3081" w:type="dxa"/>
          </w:tcPr>
          <w:p w14:paraId="352A1E3E" w14:textId="77892515" w:rsidR="001130E1" w:rsidRPr="001130E1" w:rsidRDefault="001130E1" w:rsidP="002550DF">
            <w:pPr>
              <w:jc w:val="center"/>
              <w:rPr>
                <w:rFonts w:ascii="Times New Roman" w:hAnsi="Times New Roman" w:cs="Times New Roman"/>
                <w:color w:val="000000" w:themeColor="text1"/>
                <w:sz w:val="20"/>
                <w:szCs w:val="20"/>
              </w:rPr>
            </w:pPr>
            <w:r w:rsidRPr="001130E1">
              <w:rPr>
                <w:rFonts w:ascii="Times New Roman" w:hAnsi="Times New Roman" w:cs="Times New Roman"/>
                <w:b/>
                <w:bCs/>
                <w:color w:val="000000" w:themeColor="text1"/>
                <w:sz w:val="20"/>
                <w:szCs w:val="20"/>
              </w:rPr>
              <w:t>Intravenous Administration</w:t>
            </w:r>
          </w:p>
        </w:tc>
      </w:tr>
      <w:tr w:rsidR="001130E1" w:rsidRPr="001130E1" w14:paraId="065C4FD1" w14:textId="77777777" w:rsidTr="001130E1">
        <w:tc>
          <w:tcPr>
            <w:tcW w:w="3080" w:type="dxa"/>
          </w:tcPr>
          <w:p w14:paraId="71B5BA79" w14:textId="3F77BB96" w:rsidR="001130E1" w:rsidRPr="001130E1" w:rsidRDefault="001130E1" w:rsidP="001130E1">
            <w:pPr>
              <w:rPr>
                <w:rFonts w:ascii="Times New Roman" w:hAnsi="Times New Roman" w:cs="Times New Roman"/>
                <w:color w:val="000000" w:themeColor="text1"/>
                <w:sz w:val="20"/>
                <w:szCs w:val="20"/>
              </w:rPr>
            </w:pPr>
            <w:r w:rsidRPr="001130E1">
              <w:rPr>
                <w:rFonts w:ascii="Times New Roman" w:hAnsi="Times New Roman" w:cs="Times New Roman"/>
                <w:b/>
                <w:bCs/>
                <w:color w:val="000000" w:themeColor="text1"/>
                <w:sz w:val="20"/>
                <w:szCs w:val="20"/>
              </w:rPr>
              <w:t>Number of Subjects</w:t>
            </w:r>
          </w:p>
        </w:tc>
        <w:tc>
          <w:tcPr>
            <w:tcW w:w="3081" w:type="dxa"/>
          </w:tcPr>
          <w:p w14:paraId="63BFB85A" w14:textId="6F64461A" w:rsidR="001130E1" w:rsidRPr="001130E1" w:rsidRDefault="001130E1" w:rsidP="002550DF">
            <w:pPr>
              <w:jc w:val="center"/>
              <w:rPr>
                <w:rFonts w:ascii="Times New Roman" w:hAnsi="Times New Roman" w:cs="Times New Roman"/>
                <w:color w:val="000000" w:themeColor="text1"/>
                <w:sz w:val="20"/>
                <w:szCs w:val="20"/>
              </w:rPr>
            </w:pPr>
            <w:r w:rsidRPr="001130E1">
              <w:rPr>
                <w:rFonts w:ascii="Times New Roman" w:hAnsi="Times New Roman" w:cs="Times New Roman"/>
                <w:b/>
                <w:bCs/>
                <w:color w:val="000000" w:themeColor="text1"/>
                <w:sz w:val="20"/>
                <w:szCs w:val="20"/>
              </w:rPr>
              <w:t>32</w:t>
            </w:r>
          </w:p>
        </w:tc>
        <w:tc>
          <w:tcPr>
            <w:tcW w:w="3081" w:type="dxa"/>
          </w:tcPr>
          <w:p w14:paraId="4D105366" w14:textId="74E257C4" w:rsidR="001130E1" w:rsidRPr="001130E1" w:rsidRDefault="001130E1" w:rsidP="002550DF">
            <w:pPr>
              <w:jc w:val="center"/>
              <w:rPr>
                <w:rFonts w:ascii="Times New Roman" w:hAnsi="Times New Roman" w:cs="Times New Roman"/>
                <w:color w:val="000000" w:themeColor="text1"/>
                <w:sz w:val="20"/>
                <w:szCs w:val="20"/>
              </w:rPr>
            </w:pPr>
            <w:r w:rsidRPr="001130E1">
              <w:rPr>
                <w:rFonts w:ascii="Times New Roman" w:hAnsi="Times New Roman" w:cs="Times New Roman"/>
                <w:b/>
                <w:bCs/>
                <w:color w:val="000000" w:themeColor="text1"/>
                <w:sz w:val="20"/>
                <w:szCs w:val="20"/>
              </w:rPr>
              <w:t>32</w:t>
            </w:r>
          </w:p>
        </w:tc>
      </w:tr>
      <w:tr w:rsidR="002550DF" w:rsidRPr="001130E1" w14:paraId="262A3BCF" w14:textId="77777777" w:rsidTr="00CB6B8A">
        <w:trPr>
          <w:trHeight w:val="710"/>
        </w:trPr>
        <w:tc>
          <w:tcPr>
            <w:tcW w:w="3080" w:type="dxa"/>
            <w:vAlign w:val="bottom"/>
          </w:tcPr>
          <w:p w14:paraId="4497EA59"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Dose</w:t>
            </w:r>
            <w:r w:rsidRPr="001130E1">
              <w:rPr>
                <w:rFonts w:ascii="Times New Roman" w:hAnsi="Times New Roman" w:cs="Times New Roman"/>
                <w:sz w:val="20"/>
                <w:szCs w:val="20"/>
                <w:vertAlign w:val="superscript"/>
                <w:lang w:eastAsia="ko-KR"/>
              </w:rPr>
              <w:t>1</w:t>
            </w:r>
            <w:r w:rsidRPr="001130E1">
              <w:rPr>
                <w:rFonts w:ascii="Times New Roman" w:hAnsi="Times New Roman" w:cs="Times New Roman"/>
                <w:sz w:val="20"/>
                <w:szCs w:val="20"/>
              </w:rPr>
              <w:t xml:space="preserve"> (mg/kg)</w:t>
            </w:r>
          </w:p>
          <w:p w14:paraId="13063DB7"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Mean ±SD</w:t>
            </w:r>
          </w:p>
          <w:p w14:paraId="1E6EBDA6" w14:textId="717A3FBD"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Range (min to max)</w:t>
            </w:r>
          </w:p>
        </w:tc>
        <w:tc>
          <w:tcPr>
            <w:tcW w:w="3081" w:type="dxa"/>
          </w:tcPr>
          <w:p w14:paraId="38E95C59" w14:textId="77777777" w:rsidR="002550DF" w:rsidRDefault="002550DF" w:rsidP="002550DF">
            <w:pPr>
              <w:jc w:val="center"/>
              <w:rPr>
                <w:rFonts w:ascii="Times New Roman" w:hAnsi="Times New Roman" w:cs="Times New Roman"/>
                <w:sz w:val="20"/>
                <w:szCs w:val="20"/>
                <w:lang w:eastAsia="ko-KR"/>
              </w:rPr>
            </w:pPr>
          </w:p>
          <w:p w14:paraId="37D8D64C"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182.6 ± 48.4</w:t>
            </w:r>
          </w:p>
          <w:p w14:paraId="196E500A" w14:textId="14A1FF0C"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rPr>
              <w:t>94.2 to 293.8</w:t>
            </w:r>
          </w:p>
        </w:tc>
        <w:tc>
          <w:tcPr>
            <w:tcW w:w="3081" w:type="dxa"/>
          </w:tcPr>
          <w:p w14:paraId="0736CF63" w14:textId="77777777" w:rsidR="002550DF" w:rsidRDefault="002550DF" w:rsidP="002550DF">
            <w:pPr>
              <w:jc w:val="center"/>
              <w:rPr>
                <w:rFonts w:ascii="Times New Roman" w:hAnsi="Times New Roman" w:cs="Times New Roman"/>
                <w:sz w:val="20"/>
                <w:szCs w:val="20"/>
                <w:lang w:eastAsia="ko-KR"/>
              </w:rPr>
            </w:pPr>
          </w:p>
          <w:p w14:paraId="3ADF3C33"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133.2 ± 36.9</w:t>
            </w:r>
          </w:p>
          <w:p w14:paraId="38015518" w14:textId="21154EA4"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rPr>
              <w:t>62.7 to 195.4</w:t>
            </w:r>
          </w:p>
        </w:tc>
      </w:tr>
      <w:tr w:rsidR="002550DF" w:rsidRPr="001130E1" w14:paraId="141DB1D3" w14:textId="77777777" w:rsidTr="00CB6B8A">
        <w:trPr>
          <w:trHeight w:val="710"/>
        </w:trPr>
        <w:tc>
          <w:tcPr>
            <w:tcW w:w="3080" w:type="dxa"/>
          </w:tcPr>
          <w:p w14:paraId="58CA9091"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IgG Peak Levels (mg/dL)</w:t>
            </w:r>
          </w:p>
          <w:p w14:paraId="6E18E723"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Mean ±SD</w:t>
            </w:r>
          </w:p>
          <w:p w14:paraId="4F59FC0B" w14:textId="4C680919"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Range (min to max)</w:t>
            </w:r>
          </w:p>
        </w:tc>
        <w:tc>
          <w:tcPr>
            <w:tcW w:w="3081" w:type="dxa"/>
          </w:tcPr>
          <w:p w14:paraId="6B8887DD" w14:textId="77777777" w:rsidR="002550DF" w:rsidRDefault="002550DF" w:rsidP="002550DF">
            <w:pPr>
              <w:jc w:val="center"/>
              <w:rPr>
                <w:rFonts w:ascii="Times New Roman" w:hAnsi="Times New Roman" w:cs="Times New Roman"/>
                <w:sz w:val="20"/>
                <w:szCs w:val="20"/>
                <w:lang w:eastAsia="ko-KR"/>
              </w:rPr>
            </w:pPr>
          </w:p>
          <w:p w14:paraId="59209CFE"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1393 ± 289</w:t>
            </w:r>
          </w:p>
          <w:p w14:paraId="4A270D42" w14:textId="5333A672"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734 to 1900</w:t>
            </w:r>
          </w:p>
        </w:tc>
        <w:tc>
          <w:tcPr>
            <w:tcW w:w="3081" w:type="dxa"/>
          </w:tcPr>
          <w:p w14:paraId="5CBEC030" w14:textId="77777777" w:rsidR="002550DF" w:rsidRDefault="002550DF" w:rsidP="002550DF">
            <w:pPr>
              <w:jc w:val="center"/>
              <w:rPr>
                <w:rFonts w:ascii="Times New Roman" w:hAnsi="Times New Roman" w:cs="Times New Roman"/>
                <w:sz w:val="20"/>
                <w:szCs w:val="20"/>
                <w:lang w:eastAsia="ko-KR"/>
              </w:rPr>
            </w:pPr>
          </w:p>
          <w:p w14:paraId="474C25CA"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2240 ± 536</w:t>
            </w:r>
          </w:p>
          <w:p w14:paraId="57347FF5" w14:textId="4F52850F"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1130 to 3610</w:t>
            </w:r>
          </w:p>
        </w:tc>
      </w:tr>
      <w:tr w:rsidR="002550DF" w:rsidRPr="001130E1" w14:paraId="210B8405" w14:textId="77777777" w:rsidTr="00CB6B8A">
        <w:trPr>
          <w:trHeight w:val="710"/>
        </w:trPr>
        <w:tc>
          <w:tcPr>
            <w:tcW w:w="3080" w:type="dxa"/>
          </w:tcPr>
          <w:p w14:paraId="1CFB9295"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IgG Trough Levels (mg/dL)</w:t>
            </w:r>
          </w:p>
          <w:p w14:paraId="7A332D23"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Mean ± SD</w:t>
            </w:r>
          </w:p>
          <w:p w14:paraId="112C558C" w14:textId="18579975"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Range (min to max)</w:t>
            </w:r>
          </w:p>
        </w:tc>
        <w:tc>
          <w:tcPr>
            <w:tcW w:w="3081" w:type="dxa"/>
          </w:tcPr>
          <w:p w14:paraId="6FD118B3" w14:textId="77777777" w:rsidR="002550DF" w:rsidRDefault="002550DF" w:rsidP="002550DF">
            <w:pPr>
              <w:jc w:val="center"/>
              <w:rPr>
                <w:rFonts w:ascii="Times New Roman" w:hAnsi="Times New Roman" w:cs="Times New Roman"/>
                <w:sz w:val="20"/>
                <w:szCs w:val="20"/>
                <w:lang w:eastAsia="ko-KR"/>
              </w:rPr>
            </w:pPr>
          </w:p>
          <w:p w14:paraId="4C3F8DE0"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1202 ± 282</w:t>
            </w:r>
          </w:p>
          <w:p w14:paraId="6CDA8EF5" w14:textId="3D32B78C"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621 to 1700</w:t>
            </w:r>
          </w:p>
        </w:tc>
        <w:tc>
          <w:tcPr>
            <w:tcW w:w="3081" w:type="dxa"/>
          </w:tcPr>
          <w:p w14:paraId="1CDFC642" w14:textId="77777777" w:rsidR="002550DF" w:rsidRDefault="002550DF" w:rsidP="002550DF">
            <w:pPr>
              <w:jc w:val="center"/>
              <w:rPr>
                <w:rFonts w:ascii="Times New Roman" w:hAnsi="Times New Roman" w:cs="Times New Roman"/>
                <w:sz w:val="20"/>
                <w:szCs w:val="20"/>
                <w:lang w:eastAsia="ko-KR"/>
              </w:rPr>
            </w:pPr>
          </w:p>
          <w:p w14:paraId="0A56656F"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1050 ± 260</w:t>
            </w:r>
          </w:p>
          <w:p w14:paraId="17AB4890" w14:textId="2F7E0A53"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532 to 1460</w:t>
            </w:r>
          </w:p>
        </w:tc>
      </w:tr>
      <w:tr w:rsidR="002550DF" w:rsidRPr="001130E1" w14:paraId="48F1E8FE" w14:textId="77777777" w:rsidTr="00CB6B8A">
        <w:trPr>
          <w:trHeight w:val="710"/>
        </w:trPr>
        <w:tc>
          <w:tcPr>
            <w:tcW w:w="3080" w:type="dxa"/>
          </w:tcPr>
          <w:p w14:paraId="01EB7D91"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AUC</w:t>
            </w:r>
            <w:r w:rsidRPr="001130E1">
              <w:rPr>
                <w:rFonts w:ascii="Times New Roman" w:hAnsi="Times New Roman" w:cs="Times New Roman"/>
                <w:sz w:val="20"/>
                <w:szCs w:val="20"/>
                <w:vertAlign w:val="superscript"/>
                <w:lang w:eastAsia="ko-KR"/>
              </w:rPr>
              <w:t xml:space="preserve">2 </w:t>
            </w:r>
            <w:r w:rsidRPr="001130E1">
              <w:rPr>
                <w:rFonts w:ascii="Times New Roman" w:hAnsi="Times New Roman" w:cs="Times New Roman"/>
                <w:sz w:val="20"/>
                <w:szCs w:val="20"/>
              </w:rPr>
              <w:t>(days*mg/dL)</w:t>
            </w:r>
          </w:p>
          <w:p w14:paraId="423CD102"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Mean ± SD</w:t>
            </w:r>
          </w:p>
          <w:p w14:paraId="00AF808A" w14:textId="322B0F73"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Range (min to max)</w:t>
            </w:r>
          </w:p>
        </w:tc>
        <w:tc>
          <w:tcPr>
            <w:tcW w:w="3081" w:type="dxa"/>
          </w:tcPr>
          <w:p w14:paraId="43AD8F20" w14:textId="77777777" w:rsidR="002550DF" w:rsidRDefault="002550DF" w:rsidP="002550DF">
            <w:pPr>
              <w:jc w:val="center"/>
              <w:rPr>
                <w:rFonts w:ascii="Times New Roman" w:hAnsi="Times New Roman" w:cs="Times New Roman"/>
                <w:sz w:val="20"/>
                <w:szCs w:val="20"/>
                <w:lang w:eastAsia="ko-KR"/>
              </w:rPr>
            </w:pPr>
          </w:p>
          <w:p w14:paraId="25C9D3DF"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9176 ± 1928</w:t>
            </w:r>
          </w:p>
          <w:p w14:paraId="67E2DF6F" w14:textId="4AD1D66C"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4695 to 12468</w:t>
            </w:r>
          </w:p>
        </w:tc>
        <w:tc>
          <w:tcPr>
            <w:tcW w:w="3081" w:type="dxa"/>
          </w:tcPr>
          <w:p w14:paraId="4FC59D21" w14:textId="77777777" w:rsidR="002550DF" w:rsidRDefault="002550DF" w:rsidP="002550DF">
            <w:pPr>
              <w:jc w:val="center"/>
              <w:rPr>
                <w:rFonts w:ascii="Times New Roman" w:hAnsi="Times New Roman" w:cs="Times New Roman"/>
                <w:sz w:val="20"/>
                <w:szCs w:val="20"/>
                <w:lang w:eastAsia="ko-KR"/>
              </w:rPr>
            </w:pPr>
          </w:p>
          <w:p w14:paraId="1AE843F2"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9958 ± 2274</w:t>
            </w:r>
          </w:p>
          <w:p w14:paraId="05A29319" w14:textId="5B834E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lang w:eastAsia="ko-KR"/>
              </w:rPr>
              <w:t>5097 to 13831</w:t>
            </w:r>
          </w:p>
        </w:tc>
      </w:tr>
      <w:tr w:rsidR="002550DF" w:rsidRPr="001130E1" w14:paraId="316A95FA" w14:textId="77777777" w:rsidTr="00CB6B8A">
        <w:trPr>
          <w:trHeight w:val="710"/>
        </w:trPr>
        <w:tc>
          <w:tcPr>
            <w:tcW w:w="3080" w:type="dxa"/>
          </w:tcPr>
          <w:p w14:paraId="0A05954F"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rPr>
              <w:t>Clearance [mL/kg/day]</w:t>
            </w:r>
          </w:p>
          <w:p w14:paraId="133DBD16" w14:textId="77777777"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rPr>
              <w:t>Mean ± SD</w:t>
            </w:r>
          </w:p>
          <w:p w14:paraId="169B3361" w14:textId="428BB01C" w:rsidR="002550DF" w:rsidRPr="001130E1" w:rsidRDefault="002550DF" w:rsidP="001130E1">
            <w:pPr>
              <w:rPr>
                <w:rFonts w:ascii="Times New Roman" w:hAnsi="Times New Roman" w:cs="Times New Roman"/>
                <w:color w:val="000000" w:themeColor="text1"/>
                <w:sz w:val="20"/>
                <w:szCs w:val="20"/>
              </w:rPr>
            </w:pPr>
            <w:r w:rsidRPr="001130E1">
              <w:rPr>
                <w:rFonts w:ascii="Times New Roman" w:hAnsi="Times New Roman" w:cs="Times New Roman"/>
                <w:sz w:val="20"/>
                <w:szCs w:val="20"/>
              </w:rPr>
              <w:t>Range (min to max)</w:t>
            </w:r>
          </w:p>
        </w:tc>
        <w:tc>
          <w:tcPr>
            <w:tcW w:w="3081" w:type="dxa"/>
          </w:tcPr>
          <w:p w14:paraId="7458A174" w14:textId="77777777" w:rsidR="002550DF" w:rsidRDefault="002550DF" w:rsidP="002550DF">
            <w:pPr>
              <w:jc w:val="center"/>
              <w:rPr>
                <w:rFonts w:ascii="Times New Roman" w:hAnsi="Times New Roman" w:cs="Times New Roman"/>
                <w:sz w:val="20"/>
                <w:szCs w:val="20"/>
              </w:rPr>
            </w:pPr>
          </w:p>
          <w:p w14:paraId="53131611"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rPr>
              <w:t>2.023 ± 0.528</w:t>
            </w:r>
          </w:p>
          <w:p w14:paraId="5B0EDA0B" w14:textId="1E426AE9"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rPr>
              <w:t>1.225 to 3.747</w:t>
            </w:r>
          </w:p>
        </w:tc>
        <w:tc>
          <w:tcPr>
            <w:tcW w:w="3081" w:type="dxa"/>
          </w:tcPr>
          <w:p w14:paraId="6B29DBF1" w14:textId="77777777" w:rsidR="002550DF" w:rsidRDefault="002550DF" w:rsidP="002550DF">
            <w:pPr>
              <w:jc w:val="center"/>
              <w:rPr>
                <w:rFonts w:ascii="Times New Roman" w:hAnsi="Times New Roman" w:cs="Times New Roman"/>
                <w:sz w:val="20"/>
                <w:szCs w:val="20"/>
              </w:rPr>
            </w:pPr>
          </w:p>
          <w:p w14:paraId="3A02CB8C" w14:textId="77777777"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rPr>
              <w:t>1.355 ± 0.316</w:t>
            </w:r>
          </w:p>
          <w:p w14:paraId="63CFAE9D" w14:textId="1847829E" w:rsidR="002550DF" w:rsidRPr="001130E1" w:rsidRDefault="002550DF" w:rsidP="002550DF">
            <w:pPr>
              <w:jc w:val="center"/>
              <w:rPr>
                <w:rFonts w:ascii="Times New Roman" w:hAnsi="Times New Roman" w:cs="Times New Roman"/>
                <w:color w:val="000000" w:themeColor="text1"/>
                <w:sz w:val="20"/>
                <w:szCs w:val="20"/>
              </w:rPr>
            </w:pPr>
            <w:r w:rsidRPr="001130E1">
              <w:rPr>
                <w:rFonts w:ascii="Times New Roman" w:hAnsi="Times New Roman" w:cs="Times New Roman"/>
                <w:sz w:val="20"/>
                <w:szCs w:val="20"/>
              </w:rPr>
              <w:t>0.880 to 2.340</w:t>
            </w:r>
          </w:p>
        </w:tc>
      </w:tr>
      <w:tr w:rsidR="001130E1" w:rsidRPr="001130E1" w14:paraId="036339FA" w14:textId="77777777" w:rsidTr="00CB6B8A">
        <w:tc>
          <w:tcPr>
            <w:tcW w:w="9242" w:type="dxa"/>
            <w:gridSpan w:val="3"/>
          </w:tcPr>
          <w:p w14:paraId="0B59B665" w14:textId="77777777" w:rsidR="001130E1" w:rsidRPr="00537437" w:rsidRDefault="001130E1" w:rsidP="00F73EBA">
            <w:pPr>
              <w:pStyle w:val="Footnote"/>
              <w:keepLines w:val="0"/>
              <w:numPr>
                <w:ilvl w:val="0"/>
                <w:numId w:val="6"/>
              </w:numPr>
              <w:tabs>
                <w:tab w:val="clear" w:pos="288"/>
              </w:tabs>
              <w:ind w:left="360" w:firstLine="0"/>
            </w:pPr>
            <w:r w:rsidRPr="00537437">
              <w:t>Weekly equivalent dose</w:t>
            </w:r>
          </w:p>
          <w:p w14:paraId="69EEA600" w14:textId="02FE9B9A" w:rsidR="001130E1" w:rsidRPr="001130E1" w:rsidRDefault="001130E1" w:rsidP="00F73EBA">
            <w:pPr>
              <w:pStyle w:val="Footnote"/>
              <w:keepLines w:val="0"/>
              <w:numPr>
                <w:ilvl w:val="0"/>
                <w:numId w:val="6"/>
              </w:numPr>
              <w:tabs>
                <w:tab w:val="clear" w:pos="288"/>
              </w:tabs>
              <w:ind w:left="360" w:firstLine="0"/>
              <w:rPr>
                <w:color w:val="000000" w:themeColor="text1"/>
              </w:rPr>
            </w:pPr>
            <w:r w:rsidRPr="00537437">
              <w:t xml:space="preserve">Standardised to a </w:t>
            </w:r>
            <w:proofErr w:type="gramStart"/>
            <w:r w:rsidRPr="00537437">
              <w:t>7 day</w:t>
            </w:r>
            <w:proofErr w:type="gramEnd"/>
            <w:r w:rsidRPr="00537437">
              <w:t xml:space="preserve"> interval</w:t>
            </w:r>
          </w:p>
        </w:tc>
      </w:tr>
    </w:tbl>
    <w:p w14:paraId="3BA4FC4B" w14:textId="436FA974" w:rsidR="00C44986" w:rsidRDefault="00C44986" w:rsidP="001130E1">
      <w:pPr>
        <w:spacing w:after="0" w:line="240" w:lineRule="auto"/>
        <w:rPr>
          <w:rFonts w:ascii="Times New Roman" w:hAnsi="Times New Roman" w:cs="Times New Roman"/>
          <w:color w:val="000000" w:themeColor="text1"/>
          <w:sz w:val="20"/>
          <w:szCs w:val="20"/>
        </w:rPr>
      </w:pPr>
    </w:p>
    <w:p w14:paraId="2DC4A9AC" w14:textId="77777777" w:rsidR="00C44986" w:rsidRPr="001130E1" w:rsidRDefault="00C44986" w:rsidP="001130E1">
      <w:pPr>
        <w:spacing w:after="0" w:line="240" w:lineRule="auto"/>
        <w:rPr>
          <w:rFonts w:ascii="Times New Roman" w:hAnsi="Times New Roman" w:cs="Times New Roman"/>
          <w:color w:val="000000" w:themeColor="text1"/>
          <w:sz w:val="20"/>
          <w:szCs w:val="20"/>
        </w:rPr>
      </w:pPr>
    </w:p>
    <w:p w14:paraId="1F66D854" w14:textId="77777777" w:rsidR="00502D3C" w:rsidRPr="00F73EBA" w:rsidRDefault="00502D3C" w:rsidP="00502D3C">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5.3</w:t>
      </w:r>
      <w:r w:rsidRPr="00F73EBA">
        <w:rPr>
          <w:rFonts w:ascii="Times New Roman" w:hAnsi="Times New Roman" w:cs="Times New Roman"/>
          <w:smallCaps w:val="0"/>
          <w:color w:val="000000" w:themeColor="text1"/>
          <w:szCs w:val="24"/>
        </w:rPr>
        <w:tab/>
        <w:t xml:space="preserve">PRECLINICAL SAFETY DATA </w:t>
      </w:r>
    </w:p>
    <w:p w14:paraId="4785C045" w14:textId="77777777" w:rsidR="00502D3C" w:rsidRPr="00D16BB6" w:rsidRDefault="00502D3C" w:rsidP="00914208">
      <w:pPr>
        <w:spacing w:after="0" w:line="240" w:lineRule="auto"/>
        <w:rPr>
          <w:rFonts w:ascii="Times New Roman" w:hAnsi="Times New Roman" w:cs="Times New Roman"/>
          <w:color w:val="000000" w:themeColor="text1"/>
          <w:sz w:val="24"/>
          <w:szCs w:val="24"/>
        </w:rPr>
      </w:pPr>
    </w:p>
    <w:p w14:paraId="5BE6B8BF" w14:textId="77777777" w:rsidR="00FE62BE" w:rsidRDefault="00FE62BE" w:rsidP="00715CED">
      <w:pPr>
        <w:pStyle w:val="Heading3"/>
        <w:spacing w:before="0" w:line="240" w:lineRule="auto"/>
        <w:ind w:left="0"/>
        <w:rPr>
          <w:rFonts w:ascii="Times New Roman" w:hAnsi="Times New Roman" w:cs="Times New Roman"/>
          <w:color w:val="000000" w:themeColor="text1"/>
          <w:sz w:val="24"/>
          <w:szCs w:val="24"/>
          <w:lang w:val="en-US"/>
        </w:rPr>
      </w:pPr>
      <w:r w:rsidRPr="00D16BB6">
        <w:rPr>
          <w:rFonts w:ascii="Times New Roman" w:hAnsi="Times New Roman" w:cs="Times New Roman"/>
          <w:color w:val="000000" w:themeColor="text1"/>
          <w:sz w:val="24"/>
          <w:szCs w:val="24"/>
          <w:lang w:val="en-US"/>
        </w:rPr>
        <w:t>Genotoxicity</w:t>
      </w:r>
    </w:p>
    <w:p w14:paraId="1DAFDABC" w14:textId="77777777" w:rsidR="00715CED" w:rsidRPr="00715CED" w:rsidRDefault="00715CED" w:rsidP="00715CED">
      <w:pPr>
        <w:spacing w:after="0" w:line="240" w:lineRule="auto"/>
        <w:rPr>
          <w:lang w:val="en-US"/>
        </w:rPr>
      </w:pPr>
    </w:p>
    <w:p w14:paraId="0614A57E" w14:textId="77777777" w:rsidR="00D16BB6" w:rsidRPr="00D16BB6" w:rsidRDefault="00D16BB6" w:rsidP="00D16BB6">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KIOVIG contains a human plasma derived native protein, which is not anticipated to possess genotoxic potential.</w:t>
      </w:r>
    </w:p>
    <w:p w14:paraId="66E45233" w14:textId="77777777" w:rsidR="00FE62BE" w:rsidRPr="00DF694E" w:rsidRDefault="00FE62BE" w:rsidP="00FE62BE">
      <w:pPr>
        <w:spacing w:after="0" w:line="240" w:lineRule="auto"/>
        <w:rPr>
          <w:rFonts w:ascii="Times New Roman" w:hAnsi="Times New Roman" w:cs="Times New Roman"/>
          <w:color w:val="000000" w:themeColor="text1"/>
          <w:sz w:val="24"/>
          <w:szCs w:val="24"/>
          <w:highlight w:val="yellow"/>
        </w:rPr>
      </w:pPr>
    </w:p>
    <w:p w14:paraId="6032497D" w14:textId="77777777" w:rsidR="00FE62BE" w:rsidRDefault="00FE62BE" w:rsidP="00715CED">
      <w:pPr>
        <w:pStyle w:val="Heading3"/>
        <w:spacing w:before="0" w:line="240" w:lineRule="auto"/>
        <w:ind w:left="0"/>
        <w:rPr>
          <w:rFonts w:ascii="Times New Roman" w:hAnsi="Times New Roman" w:cs="Times New Roman"/>
          <w:color w:val="000000" w:themeColor="text1"/>
          <w:sz w:val="24"/>
          <w:szCs w:val="24"/>
          <w:lang w:val="en-US"/>
        </w:rPr>
      </w:pPr>
      <w:r w:rsidRPr="00D16BB6">
        <w:rPr>
          <w:rFonts w:ascii="Times New Roman" w:hAnsi="Times New Roman" w:cs="Times New Roman"/>
          <w:color w:val="000000" w:themeColor="text1"/>
          <w:sz w:val="24"/>
          <w:szCs w:val="24"/>
          <w:lang w:val="en-US"/>
        </w:rPr>
        <w:t xml:space="preserve">Carcinogenicity </w:t>
      </w:r>
    </w:p>
    <w:p w14:paraId="39569178" w14:textId="77777777" w:rsidR="00715CED" w:rsidRPr="00715CED" w:rsidRDefault="00715CED" w:rsidP="00715CED">
      <w:pPr>
        <w:spacing w:after="0" w:line="240" w:lineRule="auto"/>
        <w:rPr>
          <w:lang w:val="en-US"/>
        </w:rPr>
      </w:pPr>
    </w:p>
    <w:p w14:paraId="44FBC78F" w14:textId="77777777" w:rsidR="00D16BB6" w:rsidRPr="00D16BB6" w:rsidRDefault="00D16BB6" w:rsidP="00D16BB6">
      <w:pPr>
        <w:spacing w:after="0" w:line="240" w:lineRule="auto"/>
        <w:rPr>
          <w:rFonts w:ascii="Times New Roman" w:hAnsi="Times New Roman" w:cs="Times New Roman"/>
          <w:color w:val="000000" w:themeColor="text1"/>
          <w:sz w:val="24"/>
          <w:szCs w:val="24"/>
        </w:rPr>
      </w:pPr>
      <w:r w:rsidRPr="00D16BB6">
        <w:rPr>
          <w:rFonts w:ascii="Times New Roman" w:hAnsi="Times New Roman" w:cs="Times New Roman"/>
          <w:color w:val="000000" w:themeColor="text1"/>
          <w:sz w:val="24"/>
          <w:szCs w:val="24"/>
        </w:rPr>
        <w:t>KIOVIG contains a human plasma derived native protein, which is not anticipated to possess carcinogenic potential.</w:t>
      </w:r>
    </w:p>
    <w:p w14:paraId="589A0CA2" w14:textId="3634F452" w:rsidR="003D6B62" w:rsidRDefault="003D6B62" w:rsidP="00914208">
      <w:pPr>
        <w:spacing w:after="0" w:line="240" w:lineRule="auto"/>
        <w:rPr>
          <w:rFonts w:ascii="Times New Roman" w:hAnsi="Times New Roman" w:cs="Times New Roman"/>
          <w:color w:val="000000" w:themeColor="text1"/>
          <w:sz w:val="24"/>
          <w:szCs w:val="24"/>
          <w:highlight w:val="yellow"/>
        </w:rPr>
      </w:pPr>
    </w:p>
    <w:p w14:paraId="28E37773" w14:textId="77777777" w:rsidR="009E65E9" w:rsidRPr="00F73EBA" w:rsidRDefault="009E65E9" w:rsidP="009E65E9">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6</w:t>
      </w:r>
      <w:r w:rsidRPr="00F73EBA">
        <w:rPr>
          <w:rFonts w:ascii="Times New Roman" w:hAnsi="Times New Roman" w:cs="Times New Roman"/>
          <w:smallCaps w:val="0"/>
          <w:color w:val="000000" w:themeColor="text1"/>
          <w:szCs w:val="24"/>
        </w:rPr>
        <w:tab/>
        <w:t xml:space="preserve">PHARMACEUTICAL PARTICULARS </w:t>
      </w:r>
    </w:p>
    <w:p w14:paraId="396A2D07" w14:textId="77777777" w:rsidR="009E65E9" w:rsidRPr="00FF42F0" w:rsidRDefault="009E65E9" w:rsidP="009E65E9">
      <w:pPr>
        <w:spacing w:after="0" w:line="240" w:lineRule="auto"/>
        <w:rPr>
          <w:rFonts w:ascii="Times New Roman" w:hAnsi="Times New Roman" w:cs="Times New Roman"/>
          <w:color w:val="000000" w:themeColor="text1"/>
          <w:sz w:val="24"/>
          <w:szCs w:val="24"/>
        </w:rPr>
      </w:pPr>
    </w:p>
    <w:p w14:paraId="394E2C80" w14:textId="77777777" w:rsidR="009E65E9" w:rsidRPr="00F73EBA" w:rsidRDefault="009E65E9" w:rsidP="009E65E9">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6.1</w:t>
      </w:r>
      <w:r w:rsidRPr="00F73EBA">
        <w:rPr>
          <w:rFonts w:ascii="Times New Roman" w:hAnsi="Times New Roman" w:cs="Times New Roman"/>
          <w:smallCaps w:val="0"/>
          <w:color w:val="000000" w:themeColor="text1"/>
          <w:szCs w:val="24"/>
        </w:rPr>
        <w:tab/>
        <w:t xml:space="preserve">LIST OF EXCIPIENTS </w:t>
      </w:r>
    </w:p>
    <w:p w14:paraId="070E04DE" w14:textId="77777777" w:rsidR="009E65E9" w:rsidRPr="00FF42F0" w:rsidRDefault="009E65E9" w:rsidP="00914208">
      <w:pPr>
        <w:spacing w:after="0" w:line="240" w:lineRule="auto"/>
        <w:rPr>
          <w:rFonts w:ascii="Times New Roman" w:hAnsi="Times New Roman" w:cs="Times New Roman"/>
          <w:color w:val="000000" w:themeColor="text1"/>
          <w:sz w:val="24"/>
          <w:szCs w:val="24"/>
        </w:rPr>
      </w:pPr>
    </w:p>
    <w:p w14:paraId="57D2D6AA" w14:textId="5F15F7C0" w:rsidR="002D7CC1" w:rsidRDefault="00FF42F0" w:rsidP="002D7CC1">
      <w:pPr>
        <w:spacing w:after="0" w:line="240" w:lineRule="auto"/>
        <w:rPr>
          <w:rFonts w:ascii="Times New Roman" w:hAnsi="Times New Roman"/>
          <w:color w:val="000000" w:themeColor="text1"/>
          <w:sz w:val="24"/>
          <w:szCs w:val="24"/>
          <w:lang w:val="en-GB"/>
        </w:rPr>
      </w:pPr>
      <w:r w:rsidRPr="00FF42F0">
        <w:rPr>
          <w:rFonts w:ascii="Times New Roman" w:hAnsi="Times New Roman" w:cs="Times New Roman"/>
          <w:color w:val="000000" w:themeColor="text1"/>
          <w:sz w:val="24"/>
          <w:szCs w:val="24"/>
        </w:rPr>
        <w:t>KIOVIG</w:t>
      </w:r>
      <w:r w:rsidR="002D7CC1" w:rsidRPr="00FF42F0">
        <w:rPr>
          <w:rFonts w:ascii="Times New Roman" w:hAnsi="Times New Roman"/>
          <w:color w:val="000000" w:themeColor="text1"/>
          <w:sz w:val="24"/>
          <w:szCs w:val="24"/>
          <w:lang w:val="en-GB"/>
        </w:rPr>
        <w:t xml:space="preserve"> contains the </w:t>
      </w:r>
      <w:r w:rsidR="00313862">
        <w:rPr>
          <w:rFonts w:ascii="Times New Roman" w:hAnsi="Times New Roman"/>
          <w:color w:val="000000" w:themeColor="text1"/>
          <w:sz w:val="24"/>
          <w:szCs w:val="24"/>
          <w:lang w:val="en-GB"/>
        </w:rPr>
        <w:t xml:space="preserve">following </w:t>
      </w:r>
      <w:r w:rsidR="002D7CC1" w:rsidRPr="00FF42F0">
        <w:rPr>
          <w:rFonts w:ascii="Times New Roman" w:hAnsi="Times New Roman"/>
          <w:color w:val="000000" w:themeColor="text1"/>
          <w:sz w:val="24"/>
          <w:szCs w:val="24"/>
          <w:lang w:val="en-GB"/>
        </w:rPr>
        <w:t>excipients</w:t>
      </w:r>
      <w:r w:rsidR="00313862">
        <w:rPr>
          <w:rFonts w:ascii="Times New Roman" w:hAnsi="Times New Roman"/>
          <w:color w:val="000000" w:themeColor="text1"/>
          <w:sz w:val="24"/>
          <w:szCs w:val="24"/>
          <w:lang w:val="en-GB"/>
        </w:rPr>
        <w:t>:</w:t>
      </w:r>
      <w:r w:rsidR="002D7CC1" w:rsidRPr="00FF42F0">
        <w:rPr>
          <w:rFonts w:ascii="Times New Roman" w:hAnsi="Times New Roman"/>
          <w:color w:val="000000" w:themeColor="text1"/>
          <w:sz w:val="24"/>
          <w:szCs w:val="24"/>
          <w:lang w:val="en-GB"/>
        </w:rPr>
        <w:t xml:space="preserve">  </w:t>
      </w:r>
    </w:p>
    <w:p w14:paraId="4818CB7F" w14:textId="41C3A8F3" w:rsidR="00313862" w:rsidRDefault="00576BC2" w:rsidP="00576BC2">
      <w:pPr>
        <w:pStyle w:val="ListParagraph"/>
        <w:numPr>
          <w:ilvl w:val="0"/>
          <w:numId w:val="14"/>
        </w:num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Glycine</w:t>
      </w:r>
    </w:p>
    <w:p w14:paraId="49AD20E2" w14:textId="75106281" w:rsidR="00576BC2" w:rsidRPr="00576BC2" w:rsidRDefault="00576BC2" w:rsidP="00576BC2">
      <w:pPr>
        <w:pStyle w:val="ListParagraph"/>
        <w:numPr>
          <w:ilvl w:val="0"/>
          <w:numId w:val="14"/>
        </w:num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Water for injection</w:t>
      </w:r>
    </w:p>
    <w:p w14:paraId="3CCD0D7D" w14:textId="77777777" w:rsidR="00FF42F0" w:rsidRPr="00DF694E" w:rsidRDefault="00FF42F0" w:rsidP="00914208">
      <w:pPr>
        <w:spacing w:after="0" w:line="240" w:lineRule="auto"/>
        <w:rPr>
          <w:rFonts w:ascii="Times New Roman" w:hAnsi="Times New Roman" w:cs="Times New Roman"/>
          <w:color w:val="000000" w:themeColor="text1"/>
          <w:sz w:val="24"/>
          <w:szCs w:val="24"/>
          <w:highlight w:val="yellow"/>
        </w:rPr>
      </w:pPr>
    </w:p>
    <w:p w14:paraId="2BA27AB8" w14:textId="77777777" w:rsidR="009E65E9" w:rsidRPr="00F73EBA" w:rsidRDefault="009E65E9" w:rsidP="009544A4">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lastRenderedPageBreak/>
        <w:t>6.2</w:t>
      </w:r>
      <w:r w:rsidRPr="00F73EBA">
        <w:rPr>
          <w:rFonts w:ascii="Times New Roman" w:hAnsi="Times New Roman" w:cs="Times New Roman"/>
          <w:smallCaps w:val="0"/>
          <w:color w:val="000000" w:themeColor="text1"/>
          <w:szCs w:val="24"/>
        </w:rPr>
        <w:tab/>
        <w:t xml:space="preserve">INCOMPATIBILITIES </w:t>
      </w:r>
    </w:p>
    <w:p w14:paraId="75A4F0F7" w14:textId="77777777" w:rsidR="00715CED" w:rsidRDefault="00715CED" w:rsidP="00914208">
      <w:pPr>
        <w:spacing w:after="0" w:line="240" w:lineRule="auto"/>
        <w:rPr>
          <w:rFonts w:ascii="Times New Roman" w:hAnsi="Times New Roman" w:cs="Times New Roman"/>
          <w:color w:val="000000" w:themeColor="text1"/>
          <w:sz w:val="24"/>
          <w:szCs w:val="24"/>
        </w:rPr>
      </w:pPr>
    </w:p>
    <w:p w14:paraId="134ABE50" w14:textId="5414A2F8" w:rsidR="009E65E9" w:rsidRPr="00460677" w:rsidRDefault="00460677" w:rsidP="00914208">
      <w:pPr>
        <w:spacing w:after="0" w:line="240" w:lineRule="auto"/>
        <w:rPr>
          <w:rFonts w:ascii="Times New Roman" w:hAnsi="Times New Roman" w:cs="Times New Roman"/>
          <w:color w:val="000000" w:themeColor="text1"/>
          <w:sz w:val="24"/>
          <w:szCs w:val="24"/>
        </w:rPr>
      </w:pPr>
      <w:r w:rsidRPr="00460677">
        <w:rPr>
          <w:rFonts w:ascii="Times New Roman" w:hAnsi="Times New Roman" w:cs="Times New Roman"/>
          <w:color w:val="000000" w:themeColor="text1"/>
          <w:sz w:val="24"/>
          <w:szCs w:val="24"/>
        </w:rPr>
        <w:t>Incompatibilities were either not assessed or not identified as part of the registration of this medicine.</w:t>
      </w:r>
    </w:p>
    <w:p w14:paraId="327C65D3" w14:textId="77777777" w:rsidR="009E65E9" w:rsidRPr="00DF694E" w:rsidRDefault="009E65E9" w:rsidP="00914208">
      <w:pPr>
        <w:spacing w:after="0" w:line="240" w:lineRule="auto"/>
        <w:rPr>
          <w:rFonts w:ascii="Times New Roman" w:hAnsi="Times New Roman" w:cs="Times New Roman"/>
          <w:color w:val="000000" w:themeColor="text1"/>
          <w:sz w:val="24"/>
          <w:szCs w:val="24"/>
          <w:highlight w:val="yellow"/>
        </w:rPr>
      </w:pPr>
    </w:p>
    <w:p w14:paraId="3D89B27C" w14:textId="77777777" w:rsidR="00E74924" w:rsidRPr="00F73EBA" w:rsidRDefault="00E74924" w:rsidP="00E74924">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6.3</w:t>
      </w:r>
      <w:r w:rsidRPr="00F73EBA">
        <w:rPr>
          <w:rFonts w:ascii="Times New Roman" w:hAnsi="Times New Roman" w:cs="Times New Roman"/>
          <w:smallCaps w:val="0"/>
          <w:color w:val="000000" w:themeColor="text1"/>
          <w:szCs w:val="24"/>
        </w:rPr>
        <w:tab/>
        <w:t xml:space="preserve">SHELF LIFE </w:t>
      </w:r>
    </w:p>
    <w:p w14:paraId="66911690" w14:textId="77777777" w:rsidR="00E74924" w:rsidRPr="00DF694E" w:rsidRDefault="00E74924" w:rsidP="00914208">
      <w:pPr>
        <w:spacing w:after="0" w:line="240" w:lineRule="auto"/>
        <w:rPr>
          <w:rFonts w:ascii="Times New Roman" w:hAnsi="Times New Roman" w:cs="Times New Roman"/>
          <w:color w:val="000000" w:themeColor="text1"/>
          <w:sz w:val="24"/>
          <w:szCs w:val="24"/>
          <w:highlight w:val="yellow"/>
        </w:rPr>
      </w:pPr>
    </w:p>
    <w:p w14:paraId="51E31D87" w14:textId="686EB884" w:rsidR="000570B9" w:rsidRDefault="00576BC2" w:rsidP="00576BC2">
      <w:pPr>
        <w:autoSpaceDE w:val="0"/>
        <w:autoSpaceDN w:val="0"/>
        <w:adjustRightInd w:val="0"/>
        <w:spacing w:after="0" w:line="240" w:lineRule="auto"/>
        <w:rPr>
          <w:rFonts w:ascii="Times New Roman" w:hAnsi="Times New Roman" w:cs="Times New Roman"/>
          <w:sz w:val="24"/>
          <w:szCs w:val="24"/>
          <w:lang w:val="en-US"/>
        </w:rPr>
      </w:pPr>
      <w:r w:rsidRPr="00226A4B">
        <w:rPr>
          <w:rFonts w:ascii="Times New Roman" w:hAnsi="Times New Roman" w:cs="Times New Roman"/>
          <w:sz w:val="24"/>
          <w:szCs w:val="24"/>
          <w:lang w:val="en-US"/>
        </w:rPr>
        <w:t xml:space="preserve">In Australia, information on the shelf-life can be found on the public summary of the Australian Register of Therapeutic Goods (ARTG). The expiry date can be found on the packaging. </w:t>
      </w:r>
    </w:p>
    <w:p w14:paraId="7AA9943D" w14:textId="77777777" w:rsidR="00F6542E" w:rsidRPr="000570B9" w:rsidRDefault="00F6542E" w:rsidP="00576BC2">
      <w:pPr>
        <w:autoSpaceDE w:val="0"/>
        <w:autoSpaceDN w:val="0"/>
        <w:adjustRightInd w:val="0"/>
        <w:spacing w:after="0" w:line="240" w:lineRule="auto"/>
        <w:rPr>
          <w:rFonts w:ascii="Times New Roman" w:hAnsi="Times New Roman" w:cs="Times New Roman"/>
          <w:sz w:val="24"/>
          <w:szCs w:val="24"/>
        </w:rPr>
      </w:pPr>
    </w:p>
    <w:p w14:paraId="734F59BF" w14:textId="77777777" w:rsidR="00642B53" w:rsidRPr="00F73EBA" w:rsidRDefault="00642B53" w:rsidP="00642B53">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6.4</w:t>
      </w:r>
      <w:r w:rsidRPr="00F73EBA">
        <w:rPr>
          <w:rFonts w:ascii="Times New Roman" w:hAnsi="Times New Roman" w:cs="Times New Roman"/>
          <w:smallCaps w:val="0"/>
          <w:color w:val="000000" w:themeColor="text1"/>
          <w:szCs w:val="24"/>
        </w:rPr>
        <w:tab/>
        <w:t xml:space="preserve">SPECIAL PRECAUTIONS FOR STORAGE </w:t>
      </w:r>
    </w:p>
    <w:p w14:paraId="167955EB" w14:textId="77777777" w:rsidR="00877E69" w:rsidRPr="00DF694E" w:rsidRDefault="00877E69" w:rsidP="00914208">
      <w:pPr>
        <w:spacing w:after="0" w:line="240" w:lineRule="auto"/>
        <w:rPr>
          <w:rFonts w:ascii="Times New Roman" w:hAnsi="Times New Roman" w:cs="Times New Roman"/>
          <w:color w:val="000000" w:themeColor="text1"/>
          <w:sz w:val="24"/>
          <w:szCs w:val="24"/>
          <w:highlight w:val="yellow"/>
        </w:rPr>
      </w:pPr>
    </w:p>
    <w:p w14:paraId="269FBDBA" w14:textId="233D725D" w:rsidR="003574E9" w:rsidRDefault="003574E9" w:rsidP="00FF42F0">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Do not store above 25</w:t>
      </w:r>
      <w:r w:rsidRPr="00FF42F0">
        <w:rPr>
          <w:rFonts w:ascii="Times New Roman" w:eastAsia="Times New Roman" w:hAnsi="Times New Roman"/>
          <w:color w:val="000000" w:themeColor="text1"/>
          <w:spacing w:val="-1"/>
          <w:sz w:val="24"/>
        </w:rPr>
        <w:t>°</w:t>
      </w:r>
      <w:r>
        <w:rPr>
          <w:rFonts w:ascii="Times New Roman" w:eastAsia="Times New Roman" w:hAnsi="Times New Roman"/>
          <w:color w:val="000000" w:themeColor="text1"/>
          <w:spacing w:val="-1"/>
          <w:sz w:val="24"/>
        </w:rPr>
        <w:t>C.</w:t>
      </w:r>
    </w:p>
    <w:p w14:paraId="595F3BEB" w14:textId="4B841ED5" w:rsidR="00FF42F0" w:rsidRDefault="00FF42F0" w:rsidP="00FF42F0">
      <w:pPr>
        <w:spacing w:after="0" w:line="240" w:lineRule="auto"/>
        <w:rPr>
          <w:rFonts w:ascii="Times New Roman" w:eastAsia="Times New Roman" w:hAnsi="Times New Roman"/>
          <w:color w:val="000000" w:themeColor="text1"/>
          <w:spacing w:val="-1"/>
          <w:sz w:val="24"/>
        </w:rPr>
      </w:pPr>
      <w:r w:rsidRPr="00FF42F0">
        <w:rPr>
          <w:rFonts w:ascii="Times New Roman" w:eastAsia="Times New Roman" w:hAnsi="Times New Roman"/>
          <w:color w:val="000000" w:themeColor="text1"/>
          <w:spacing w:val="-1"/>
          <w:sz w:val="24"/>
        </w:rPr>
        <w:t>Do not freeze</w:t>
      </w:r>
      <w:r>
        <w:rPr>
          <w:rFonts w:ascii="Times New Roman" w:eastAsia="Times New Roman" w:hAnsi="Times New Roman"/>
          <w:color w:val="000000" w:themeColor="text1"/>
          <w:spacing w:val="-1"/>
          <w:sz w:val="24"/>
        </w:rPr>
        <w:t>.</w:t>
      </w:r>
    </w:p>
    <w:p w14:paraId="49392B48" w14:textId="77777777" w:rsidR="00FF42F0" w:rsidRPr="00FF42F0" w:rsidRDefault="00FF42F0" w:rsidP="00FF42F0">
      <w:pPr>
        <w:spacing w:after="0" w:line="240" w:lineRule="auto"/>
        <w:rPr>
          <w:rFonts w:ascii="Times New Roman" w:eastAsia="Times New Roman" w:hAnsi="Times New Roman"/>
          <w:color w:val="000000" w:themeColor="text1"/>
          <w:spacing w:val="-1"/>
          <w:sz w:val="24"/>
        </w:rPr>
      </w:pPr>
    </w:p>
    <w:p w14:paraId="1C0B187E" w14:textId="44F283F4" w:rsidR="00FF42F0" w:rsidRPr="00FF42F0" w:rsidRDefault="00FF42F0" w:rsidP="00FF42F0">
      <w:pPr>
        <w:spacing w:after="0" w:line="240" w:lineRule="auto"/>
        <w:rPr>
          <w:rFonts w:ascii="Times New Roman" w:eastAsia="Times New Roman" w:hAnsi="Times New Roman"/>
          <w:color w:val="000000" w:themeColor="text1"/>
          <w:spacing w:val="-1"/>
          <w:sz w:val="24"/>
        </w:rPr>
      </w:pPr>
      <w:r w:rsidRPr="00FF42F0">
        <w:rPr>
          <w:rFonts w:ascii="Times New Roman" w:eastAsia="Times New Roman" w:hAnsi="Times New Roman"/>
          <w:color w:val="000000" w:themeColor="text1"/>
          <w:spacing w:val="-1"/>
          <w:sz w:val="24"/>
        </w:rPr>
        <w:t>Do not use after the expiry date. Protect from light.</w:t>
      </w:r>
    </w:p>
    <w:p w14:paraId="70B758C9" w14:textId="77777777" w:rsidR="00FF42F0" w:rsidRPr="00FF42F0" w:rsidRDefault="00FF42F0" w:rsidP="00FF42F0">
      <w:pPr>
        <w:spacing w:after="0" w:line="240" w:lineRule="auto"/>
        <w:rPr>
          <w:rFonts w:ascii="Times New Roman" w:eastAsia="Times New Roman" w:hAnsi="Times New Roman"/>
          <w:color w:val="000000" w:themeColor="text1"/>
          <w:spacing w:val="-1"/>
          <w:sz w:val="24"/>
        </w:rPr>
      </w:pPr>
    </w:p>
    <w:p w14:paraId="56EBF1D0" w14:textId="5814EF54" w:rsidR="000570B9" w:rsidRDefault="00FF42F0" w:rsidP="00877E69">
      <w:pPr>
        <w:spacing w:after="0" w:line="240" w:lineRule="auto"/>
        <w:rPr>
          <w:rFonts w:ascii="Times New Roman" w:eastAsia="Times New Roman" w:hAnsi="Times New Roman"/>
          <w:color w:val="000000" w:themeColor="text1"/>
          <w:spacing w:val="-1"/>
          <w:sz w:val="24"/>
        </w:rPr>
      </w:pPr>
      <w:r w:rsidRPr="00FF42F0">
        <w:rPr>
          <w:rFonts w:ascii="Times New Roman" w:eastAsia="Times New Roman" w:hAnsi="Times New Roman"/>
          <w:color w:val="000000" w:themeColor="text1"/>
          <w:spacing w:val="-1"/>
          <w:sz w:val="24"/>
        </w:rPr>
        <w:t>If KIOVIG is diluted, the preparation should be used as soon as practicable as the product does not contain antimicrobial preservative. If storage is necessary, store the diluted preparation at 2°C to 8°C for not more than 24 hours. Product is for a single use in one patient only. Discard any residue.</w:t>
      </w:r>
    </w:p>
    <w:p w14:paraId="423EC881" w14:textId="77777777" w:rsidR="000570B9" w:rsidRPr="00FF42F0" w:rsidRDefault="000570B9" w:rsidP="00877E69">
      <w:pPr>
        <w:spacing w:after="0" w:line="240" w:lineRule="auto"/>
        <w:rPr>
          <w:rFonts w:ascii="Times New Roman" w:eastAsia="Times New Roman" w:hAnsi="Times New Roman"/>
          <w:color w:val="000000" w:themeColor="text1"/>
          <w:spacing w:val="-1"/>
          <w:sz w:val="24"/>
        </w:rPr>
      </w:pPr>
    </w:p>
    <w:p w14:paraId="401F5469" w14:textId="77777777" w:rsidR="00642B53" w:rsidRPr="00F73EBA" w:rsidRDefault="00642B53" w:rsidP="00642B53">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6.5</w:t>
      </w:r>
      <w:r w:rsidRPr="00F73EBA">
        <w:rPr>
          <w:rFonts w:ascii="Times New Roman" w:hAnsi="Times New Roman" w:cs="Times New Roman"/>
          <w:smallCaps w:val="0"/>
          <w:color w:val="000000" w:themeColor="text1"/>
          <w:szCs w:val="24"/>
        </w:rPr>
        <w:tab/>
        <w:t xml:space="preserve">NATURE AND CONTENTS OF CONTAINER </w:t>
      </w:r>
    </w:p>
    <w:p w14:paraId="37ABB5C3" w14:textId="77777777" w:rsidR="002D7CC1" w:rsidRPr="00FF42F0" w:rsidRDefault="002D7CC1" w:rsidP="002D7CC1">
      <w:pPr>
        <w:spacing w:after="0" w:line="240" w:lineRule="auto"/>
        <w:rPr>
          <w:rFonts w:ascii="Times New Roman" w:eastAsia="Times New Roman" w:hAnsi="Times New Roman"/>
          <w:color w:val="000000" w:themeColor="text1"/>
          <w:spacing w:val="-1"/>
          <w:sz w:val="24"/>
        </w:rPr>
      </w:pPr>
    </w:p>
    <w:p w14:paraId="00CCE731" w14:textId="77777777" w:rsidR="00FF42F0" w:rsidRPr="00FF42F0" w:rsidRDefault="00FF42F0" w:rsidP="00FF42F0">
      <w:pPr>
        <w:spacing w:after="0" w:line="240" w:lineRule="auto"/>
        <w:rPr>
          <w:rFonts w:ascii="Times New Roman" w:eastAsia="Times New Roman" w:hAnsi="Times New Roman"/>
          <w:color w:val="000000" w:themeColor="text1"/>
          <w:spacing w:val="-1"/>
          <w:sz w:val="24"/>
        </w:rPr>
      </w:pPr>
      <w:r w:rsidRPr="00FF42F0">
        <w:rPr>
          <w:rFonts w:ascii="Times New Roman" w:eastAsia="Times New Roman" w:hAnsi="Times New Roman"/>
          <w:color w:val="000000" w:themeColor="text1"/>
          <w:spacing w:val="-1"/>
          <w:sz w:val="24"/>
        </w:rPr>
        <w:t xml:space="preserve">KIOVIG is available in several sizes: 1g/10mL, 2.5g/25mL, 5g/50mL, 10g/100mL, 20g/200 mL and 30g/300mL. The product is filled into glass containers of type I, which are closed with </w:t>
      </w:r>
      <w:proofErr w:type="spellStart"/>
      <w:r w:rsidRPr="00FF42F0">
        <w:rPr>
          <w:rFonts w:ascii="Times New Roman" w:eastAsia="Times New Roman" w:hAnsi="Times New Roman"/>
          <w:color w:val="000000" w:themeColor="text1"/>
          <w:spacing w:val="-1"/>
          <w:sz w:val="24"/>
        </w:rPr>
        <w:t>bromobutyl</w:t>
      </w:r>
      <w:proofErr w:type="spellEnd"/>
      <w:r w:rsidRPr="00FF42F0">
        <w:rPr>
          <w:rFonts w:ascii="Times New Roman" w:eastAsia="Times New Roman" w:hAnsi="Times New Roman"/>
          <w:color w:val="000000" w:themeColor="text1"/>
          <w:spacing w:val="-1"/>
          <w:sz w:val="24"/>
        </w:rPr>
        <w:t xml:space="preserve"> rubber stoppers.  </w:t>
      </w:r>
    </w:p>
    <w:p w14:paraId="7710F123" w14:textId="77777777" w:rsidR="00EC4A08" w:rsidRPr="00DF694E" w:rsidRDefault="00EC4A08" w:rsidP="00EC4A08">
      <w:pPr>
        <w:spacing w:after="0" w:line="240" w:lineRule="auto"/>
        <w:rPr>
          <w:rFonts w:ascii="Times New Roman" w:eastAsia="Times New Roman" w:hAnsi="Times New Roman"/>
          <w:color w:val="000000" w:themeColor="text1"/>
          <w:spacing w:val="-1"/>
          <w:sz w:val="24"/>
          <w:highlight w:val="yellow"/>
        </w:rPr>
      </w:pPr>
    </w:p>
    <w:p w14:paraId="2B1E6A61" w14:textId="6CADFFDA" w:rsidR="000377C8" w:rsidRPr="00FF42F0" w:rsidRDefault="000377C8" w:rsidP="00914208">
      <w:pPr>
        <w:pStyle w:val="Heading3"/>
        <w:spacing w:before="0" w:line="240" w:lineRule="auto"/>
        <w:ind w:left="0"/>
        <w:rPr>
          <w:rFonts w:ascii="Times New Roman" w:hAnsi="Times New Roman" w:cs="Times New Roman"/>
          <w:color w:val="000000" w:themeColor="text1"/>
          <w:sz w:val="24"/>
          <w:szCs w:val="24"/>
          <w:lang w:val="en-US"/>
        </w:rPr>
      </w:pPr>
      <w:r w:rsidRPr="00FF42F0">
        <w:rPr>
          <w:rFonts w:ascii="Times New Roman" w:hAnsi="Times New Roman" w:cs="Times New Roman"/>
          <w:color w:val="000000" w:themeColor="text1"/>
          <w:sz w:val="24"/>
          <w:szCs w:val="24"/>
          <w:lang w:val="en-US"/>
        </w:rPr>
        <w:t>Pack size</w:t>
      </w:r>
    </w:p>
    <w:p w14:paraId="48E3DD49" w14:textId="77777777" w:rsidR="00642B53" w:rsidRPr="00DF694E" w:rsidRDefault="00642B53" w:rsidP="00642B53">
      <w:pPr>
        <w:spacing w:after="0" w:line="240" w:lineRule="auto"/>
        <w:rPr>
          <w:rFonts w:ascii="Times New Roman" w:hAnsi="Times New Roman" w:cs="Times New Roman"/>
          <w:color w:val="000000" w:themeColor="text1"/>
          <w:sz w:val="24"/>
          <w:szCs w:val="24"/>
          <w:highlight w:val="yellow"/>
        </w:rPr>
      </w:pPr>
    </w:p>
    <w:p w14:paraId="68AD2663" w14:textId="21E691D9" w:rsidR="006E5037" w:rsidRPr="00460677" w:rsidRDefault="00460677" w:rsidP="00914208">
      <w:pPr>
        <w:spacing w:after="0" w:line="240" w:lineRule="auto"/>
        <w:rPr>
          <w:rFonts w:ascii="Times New Roman" w:hAnsi="Times New Roman" w:cs="Times New Roman"/>
          <w:color w:val="000000" w:themeColor="text1"/>
          <w:sz w:val="24"/>
          <w:szCs w:val="24"/>
        </w:rPr>
      </w:pPr>
      <w:r w:rsidRPr="00460677">
        <w:rPr>
          <w:rFonts w:ascii="Times New Roman" w:hAnsi="Times New Roman" w:cs="Times New Roman"/>
          <w:color w:val="000000" w:themeColor="text1"/>
          <w:sz w:val="24"/>
          <w:szCs w:val="24"/>
        </w:rPr>
        <w:t>1 vial per carton</w:t>
      </w:r>
      <w:r w:rsidR="002A099E" w:rsidRPr="00460677">
        <w:rPr>
          <w:rFonts w:ascii="Times New Roman" w:hAnsi="Times New Roman" w:cs="Times New Roman"/>
          <w:color w:val="000000" w:themeColor="text1"/>
          <w:sz w:val="24"/>
          <w:szCs w:val="24"/>
        </w:rPr>
        <w:t>.</w:t>
      </w:r>
    </w:p>
    <w:p w14:paraId="55A6A13E" w14:textId="77777777" w:rsidR="003963F8" w:rsidRPr="00DF694E" w:rsidRDefault="003963F8" w:rsidP="00914208">
      <w:pPr>
        <w:spacing w:after="0" w:line="240" w:lineRule="auto"/>
        <w:rPr>
          <w:rFonts w:ascii="Times New Roman" w:hAnsi="Times New Roman" w:cs="Times New Roman"/>
          <w:color w:val="000000" w:themeColor="text1"/>
          <w:sz w:val="24"/>
          <w:szCs w:val="24"/>
          <w:highlight w:val="yellow"/>
        </w:rPr>
      </w:pPr>
    </w:p>
    <w:p w14:paraId="7484BC55" w14:textId="77777777" w:rsidR="003963F8" w:rsidRPr="00F73EBA" w:rsidRDefault="003963F8" w:rsidP="003963F8">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6.6</w:t>
      </w:r>
      <w:r w:rsidRPr="00F73EBA">
        <w:rPr>
          <w:rFonts w:ascii="Times New Roman" w:hAnsi="Times New Roman" w:cs="Times New Roman"/>
          <w:smallCaps w:val="0"/>
          <w:color w:val="000000" w:themeColor="text1"/>
          <w:szCs w:val="24"/>
        </w:rPr>
        <w:tab/>
        <w:t xml:space="preserve">SPECIAL PRECAUTIONS FOR DISPOSAL </w:t>
      </w:r>
    </w:p>
    <w:p w14:paraId="233A0FE7" w14:textId="77777777" w:rsidR="00642B53" w:rsidRPr="00DF694E" w:rsidRDefault="00642B53" w:rsidP="00914208">
      <w:pPr>
        <w:spacing w:after="0" w:line="240" w:lineRule="auto"/>
        <w:rPr>
          <w:rFonts w:ascii="Times New Roman" w:hAnsi="Times New Roman" w:cs="Times New Roman"/>
          <w:color w:val="000000" w:themeColor="text1"/>
          <w:sz w:val="24"/>
          <w:szCs w:val="24"/>
          <w:highlight w:val="yellow"/>
        </w:rPr>
      </w:pPr>
    </w:p>
    <w:p w14:paraId="0580D0B0" w14:textId="67EF0ACF" w:rsidR="003D2778" w:rsidRPr="00460677" w:rsidRDefault="00460677" w:rsidP="00914208">
      <w:pPr>
        <w:spacing w:after="0" w:line="240" w:lineRule="auto"/>
        <w:rPr>
          <w:rFonts w:ascii="Times New Roman" w:hAnsi="Times New Roman" w:cs="Times New Roman"/>
          <w:color w:val="000000" w:themeColor="text1"/>
          <w:sz w:val="24"/>
          <w:szCs w:val="24"/>
        </w:rPr>
      </w:pPr>
      <w:r w:rsidRPr="00460677">
        <w:rPr>
          <w:rFonts w:ascii="Times New Roman" w:hAnsi="Times New Roman" w:cs="Times New Roman"/>
          <w:color w:val="000000" w:themeColor="text1"/>
          <w:sz w:val="24"/>
          <w:szCs w:val="24"/>
        </w:rPr>
        <w:t>In Australia, any unused medicine or waste material should be disposed of by taking to your local pharmacy.</w:t>
      </w:r>
      <w:r w:rsidRPr="00460677" w:rsidDel="00460677">
        <w:rPr>
          <w:rFonts w:ascii="Times New Roman" w:hAnsi="Times New Roman" w:cs="Times New Roman"/>
          <w:color w:val="000000" w:themeColor="text1"/>
          <w:sz w:val="24"/>
          <w:szCs w:val="24"/>
        </w:rPr>
        <w:t xml:space="preserve"> </w:t>
      </w:r>
    </w:p>
    <w:p w14:paraId="5ACD8E90" w14:textId="765989AD" w:rsidR="00877E69" w:rsidRPr="00DF694E" w:rsidRDefault="00877E69" w:rsidP="00914208">
      <w:pPr>
        <w:spacing w:after="0" w:line="240" w:lineRule="auto"/>
        <w:rPr>
          <w:rFonts w:ascii="Times New Roman" w:hAnsi="Times New Roman" w:cs="Times New Roman"/>
          <w:color w:val="000000" w:themeColor="text1"/>
          <w:sz w:val="24"/>
          <w:szCs w:val="24"/>
          <w:highlight w:val="yellow"/>
        </w:rPr>
      </w:pPr>
    </w:p>
    <w:p w14:paraId="5E64273E" w14:textId="77777777" w:rsidR="00074513" w:rsidRPr="00F73EBA" w:rsidRDefault="00074513" w:rsidP="00074513">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 xml:space="preserve">6.7 </w:t>
      </w:r>
      <w:r w:rsidRPr="00F73EBA">
        <w:rPr>
          <w:rFonts w:ascii="Times New Roman" w:hAnsi="Times New Roman" w:cs="Times New Roman"/>
          <w:smallCaps w:val="0"/>
          <w:color w:val="000000" w:themeColor="text1"/>
          <w:szCs w:val="24"/>
        </w:rPr>
        <w:tab/>
        <w:t xml:space="preserve">PHYSICOCHEMICAL PROPERTIES </w:t>
      </w:r>
    </w:p>
    <w:p w14:paraId="43425AD4" w14:textId="77777777" w:rsidR="00074513" w:rsidRPr="00DF694E" w:rsidRDefault="00074513" w:rsidP="00914208">
      <w:pPr>
        <w:spacing w:after="0" w:line="240" w:lineRule="auto"/>
        <w:rPr>
          <w:rFonts w:ascii="Times New Roman" w:hAnsi="Times New Roman" w:cs="Times New Roman"/>
          <w:color w:val="000000" w:themeColor="text1"/>
          <w:sz w:val="24"/>
          <w:szCs w:val="24"/>
          <w:highlight w:val="yellow"/>
        </w:rPr>
      </w:pPr>
    </w:p>
    <w:p w14:paraId="1B39868D" w14:textId="1A1A092D" w:rsidR="00EC4A08" w:rsidRDefault="00EC4A08" w:rsidP="00EC4A08">
      <w:pPr>
        <w:spacing w:after="0" w:line="240" w:lineRule="auto"/>
        <w:rPr>
          <w:rFonts w:ascii="Times New Roman" w:eastAsia="Batang" w:hAnsi="Times New Roman"/>
          <w:b/>
          <w:bCs/>
          <w:iCs/>
          <w:color w:val="000000" w:themeColor="text1"/>
          <w:sz w:val="24"/>
          <w:szCs w:val="24"/>
        </w:rPr>
      </w:pPr>
      <w:r w:rsidRPr="00DF694E">
        <w:rPr>
          <w:rFonts w:ascii="Times New Roman" w:eastAsia="Batang" w:hAnsi="Times New Roman"/>
          <w:b/>
          <w:bCs/>
          <w:iCs/>
          <w:color w:val="000000" w:themeColor="text1"/>
          <w:sz w:val="24"/>
          <w:szCs w:val="24"/>
        </w:rPr>
        <w:t>Chemical name</w:t>
      </w:r>
    </w:p>
    <w:p w14:paraId="1A73011C" w14:textId="77777777" w:rsidR="00715CED" w:rsidRPr="00DF694E" w:rsidRDefault="00715CED" w:rsidP="00EC4A08">
      <w:pPr>
        <w:spacing w:after="0" w:line="240" w:lineRule="auto"/>
        <w:rPr>
          <w:rFonts w:ascii="Times New Roman" w:eastAsia="Batang" w:hAnsi="Times New Roman"/>
          <w:b/>
          <w:bCs/>
          <w:iCs/>
          <w:color w:val="000000" w:themeColor="text1"/>
          <w:sz w:val="24"/>
          <w:szCs w:val="24"/>
        </w:rPr>
      </w:pPr>
    </w:p>
    <w:p w14:paraId="2CC01F47" w14:textId="46BD0356" w:rsidR="00DF694E" w:rsidRPr="00DF694E" w:rsidRDefault="00DF694E" w:rsidP="00DF694E">
      <w:pPr>
        <w:spacing w:after="0" w:line="240" w:lineRule="auto"/>
        <w:rPr>
          <w:rFonts w:ascii="Times New Roman" w:eastAsia="Times New Roman" w:hAnsi="Times New Roman"/>
          <w:color w:val="000000" w:themeColor="text1"/>
          <w:spacing w:val="-1"/>
          <w:sz w:val="24"/>
        </w:rPr>
      </w:pPr>
      <w:r w:rsidRPr="00DF694E">
        <w:rPr>
          <w:rFonts w:ascii="Times New Roman" w:eastAsia="Times New Roman" w:hAnsi="Times New Roman"/>
          <w:color w:val="000000" w:themeColor="text1"/>
          <w:spacing w:val="-1"/>
          <w:sz w:val="24"/>
        </w:rPr>
        <w:t>Normal Immunoglobulin (human).</w:t>
      </w:r>
    </w:p>
    <w:p w14:paraId="0A9462AB" w14:textId="77777777" w:rsidR="00543B80" w:rsidRDefault="00543B80" w:rsidP="00EC4A08">
      <w:pPr>
        <w:spacing w:after="0" w:line="240" w:lineRule="auto"/>
        <w:rPr>
          <w:rFonts w:ascii="Times New Roman" w:hAnsi="Times New Roman" w:cs="Times New Roman"/>
          <w:color w:val="000000" w:themeColor="text1"/>
          <w:sz w:val="24"/>
          <w:szCs w:val="24"/>
          <w:highlight w:val="yellow"/>
        </w:rPr>
      </w:pPr>
    </w:p>
    <w:p w14:paraId="1F0691BC" w14:textId="75E9D255" w:rsidR="00543B80" w:rsidRDefault="00543B80" w:rsidP="00543B80">
      <w:pPr>
        <w:spacing w:after="0" w:line="240" w:lineRule="auto"/>
        <w:rPr>
          <w:rFonts w:ascii="Times New Roman" w:eastAsia="Batang" w:hAnsi="Times New Roman"/>
          <w:b/>
          <w:bCs/>
          <w:iCs/>
          <w:color w:val="000000" w:themeColor="text1"/>
          <w:sz w:val="24"/>
          <w:szCs w:val="24"/>
        </w:rPr>
      </w:pPr>
      <w:r>
        <w:rPr>
          <w:rFonts w:ascii="Times New Roman" w:eastAsia="Batang" w:hAnsi="Times New Roman"/>
          <w:b/>
          <w:bCs/>
          <w:iCs/>
          <w:color w:val="000000" w:themeColor="text1"/>
          <w:sz w:val="24"/>
          <w:szCs w:val="24"/>
        </w:rPr>
        <w:t>Chemical s</w:t>
      </w:r>
      <w:r w:rsidRPr="00543B80">
        <w:rPr>
          <w:rFonts w:ascii="Times New Roman" w:eastAsia="Batang" w:hAnsi="Times New Roman"/>
          <w:b/>
          <w:bCs/>
          <w:iCs/>
          <w:color w:val="000000" w:themeColor="text1"/>
          <w:sz w:val="24"/>
          <w:szCs w:val="24"/>
        </w:rPr>
        <w:t>tructures</w:t>
      </w:r>
    </w:p>
    <w:p w14:paraId="48FE5E4C" w14:textId="77777777" w:rsidR="00715CED" w:rsidRPr="00543B80" w:rsidRDefault="00715CED" w:rsidP="00543B80">
      <w:pPr>
        <w:spacing w:after="0" w:line="240" w:lineRule="auto"/>
        <w:rPr>
          <w:rFonts w:ascii="Times New Roman" w:eastAsia="Batang" w:hAnsi="Times New Roman"/>
          <w:b/>
          <w:bCs/>
          <w:iCs/>
          <w:color w:val="000000" w:themeColor="text1"/>
          <w:sz w:val="24"/>
          <w:szCs w:val="24"/>
        </w:rPr>
      </w:pPr>
    </w:p>
    <w:p w14:paraId="6F328F83" w14:textId="416D241B" w:rsidR="00543B80" w:rsidRPr="00543B80" w:rsidRDefault="00543B80" w:rsidP="00543B80">
      <w:pPr>
        <w:spacing w:after="0" w:line="240" w:lineRule="auto"/>
        <w:rPr>
          <w:rFonts w:ascii="Times New Roman" w:eastAsia="Times New Roman" w:hAnsi="Times New Roman"/>
          <w:color w:val="000000" w:themeColor="text1"/>
          <w:spacing w:val="-1"/>
          <w:sz w:val="24"/>
        </w:rPr>
      </w:pPr>
      <w:r w:rsidRPr="00543B80">
        <w:rPr>
          <w:rFonts w:ascii="Times New Roman" w:eastAsia="Times New Roman" w:hAnsi="Times New Roman"/>
          <w:color w:val="000000" w:themeColor="text1"/>
          <w:spacing w:val="-1"/>
          <w:sz w:val="24"/>
        </w:rPr>
        <w:t xml:space="preserve">The active ingredient in KIOVIG is </w:t>
      </w:r>
      <w:r w:rsidR="004A4F84">
        <w:rPr>
          <w:rFonts w:ascii="Times New Roman" w:eastAsia="Times New Roman" w:hAnsi="Times New Roman"/>
          <w:color w:val="000000" w:themeColor="text1"/>
          <w:spacing w:val="-1"/>
          <w:sz w:val="24"/>
        </w:rPr>
        <w:t>normal immunoglobulin</w:t>
      </w:r>
      <w:r w:rsidRPr="00543B80">
        <w:rPr>
          <w:rFonts w:ascii="Times New Roman" w:eastAsia="Times New Roman" w:hAnsi="Times New Roman"/>
          <w:color w:val="000000" w:themeColor="text1"/>
          <w:spacing w:val="-1"/>
          <w:sz w:val="24"/>
        </w:rPr>
        <w:t xml:space="preserve"> </w:t>
      </w:r>
      <w:r w:rsidR="004A4F84">
        <w:rPr>
          <w:rFonts w:ascii="Times New Roman" w:eastAsia="Times New Roman" w:hAnsi="Times New Roman"/>
          <w:color w:val="000000" w:themeColor="text1"/>
          <w:spacing w:val="-1"/>
          <w:sz w:val="24"/>
        </w:rPr>
        <w:t>(</w:t>
      </w:r>
      <w:r w:rsidRPr="00543B80">
        <w:rPr>
          <w:rFonts w:ascii="Times New Roman" w:eastAsia="Times New Roman" w:hAnsi="Times New Roman"/>
          <w:color w:val="000000" w:themeColor="text1"/>
          <w:spacing w:val="-1"/>
          <w:sz w:val="24"/>
        </w:rPr>
        <w:t>human</w:t>
      </w:r>
      <w:r w:rsidR="004A4F84">
        <w:rPr>
          <w:rFonts w:ascii="Times New Roman" w:eastAsia="Times New Roman" w:hAnsi="Times New Roman"/>
          <w:color w:val="000000" w:themeColor="text1"/>
          <w:spacing w:val="-1"/>
          <w:sz w:val="24"/>
        </w:rPr>
        <w:t>) comprising predominantly of</w:t>
      </w:r>
      <w:r w:rsidRPr="00543B80">
        <w:rPr>
          <w:rFonts w:ascii="Times New Roman" w:eastAsia="Times New Roman" w:hAnsi="Times New Roman"/>
          <w:color w:val="000000" w:themeColor="text1"/>
          <w:spacing w:val="-1"/>
          <w:sz w:val="24"/>
        </w:rPr>
        <w:t xml:space="preserve"> polyvalent IgG. Immunoglobulins are made up of four polypeptide chains, comprising two identical light chains of a molecular weight of approximately 25 </w:t>
      </w:r>
      <w:proofErr w:type="spellStart"/>
      <w:r w:rsidRPr="00543B80">
        <w:rPr>
          <w:rFonts w:ascii="Times New Roman" w:eastAsia="Times New Roman" w:hAnsi="Times New Roman"/>
          <w:color w:val="000000" w:themeColor="text1"/>
          <w:spacing w:val="-1"/>
          <w:sz w:val="24"/>
        </w:rPr>
        <w:t>kD</w:t>
      </w:r>
      <w:proofErr w:type="spellEnd"/>
      <w:r w:rsidRPr="00543B80">
        <w:rPr>
          <w:rFonts w:ascii="Times New Roman" w:eastAsia="Times New Roman" w:hAnsi="Times New Roman"/>
          <w:color w:val="000000" w:themeColor="text1"/>
          <w:spacing w:val="-1"/>
          <w:sz w:val="24"/>
        </w:rPr>
        <w:t xml:space="preserve"> and two identical heavy chain of molecular weight of approximately 50 </w:t>
      </w:r>
      <w:proofErr w:type="spellStart"/>
      <w:r w:rsidRPr="00543B80">
        <w:rPr>
          <w:rFonts w:ascii="Times New Roman" w:eastAsia="Times New Roman" w:hAnsi="Times New Roman"/>
          <w:color w:val="000000" w:themeColor="text1"/>
          <w:spacing w:val="-1"/>
          <w:sz w:val="24"/>
        </w:rPr>
        <w:t>kD</w:t>
      </w:r>
      <w:proofErr w:type="spellEnd"/>
      <w:r w:rsidRPr="00543B80">
        <w:rPr>
          <w:rFonts w:ascii="Times New Roman" w:eastAsia="Times New Roman" w:hAnsi="Times New Roman"/>
          <w:color w:val="000000" w:themeColor="text1"/>
          <w:spacing w:val="-1"/>
          <w:sz w:val="24"/>
        </w:rPr>
        <w:t xml:space="preserve">. The four chains form a </w:t>
      </w:r>
      <w:r w:rsidRPr="00543B80">
        <w:rPr>
          <w:rFonts w:ascii="Times New Roman" w:eastAsia="Times New Roman" w:hAnsi="Times New Roman"/>
          <w:color w:val="000000" w:themeColor="text1"/>
          <w:spacing w:val="-1"/>
          <w:sz w:val="24"/>
        </w:rPr>
        <w:lastRenderedPageBreak/>
        <w:t>three-dimensional Y-shaped structure as shown by X-ray crystallography. Carbohydrate groups are attached covalently at a distinct position of the heavy chains. The overall molecular weight of IgG is approximately 150 kD.</w:t>
      </w:r>
    </w:p>
    <w:p w14:paraId="01B885D0" w14:textId="77777777" w:rsidR="00543B80" w:rsidRPr="00543B80" w:rsidRDefault="00543B80" w:rsidP="00543B80">
      <w:pPr>
        <w:spacing w:after="0" w:line="240" w:lineRule="auto"/>
        <w:rPr>
          <w:rFonts w:ascii="Times New Roman" w:eastAsia="Times New Roman" w:hAnsi="Times New Roman"/>
          <w:color w:val="000000" w:themeColor="text1"/>
          <w:spacing w:val="-1"/>
          <w:sz w:val="24"/>
        </w:rPr>
      </w:pPr>
    </w:p>
    <w:p w14:paraId="1EF21B5C" w14:textId="164711D8" w:rsidR="00543B80" w:rsidRPr="00543B80" w:rsidRDefault="00543B80" w:rsidP="00543B80">
      <w:pPr>
        <w:spacing w:after="0" w:line="240" w:lineRule="auto"/>
        <w:rPr>
          <w:rFonts w:ascii="Times New Roman" w:eastAsia="Times New Roman" w:hAnsi="Times New Roman"/>
          <w:color w:val="000000" w:themeColor="text1"/>
          <w:spacing w:val="-1"/>
          <w:sz w:val="24"/>
        </w:rPr>
      </w:pPr>
      <w:r w:rsidRPr="00543B80">
        <w:rPr>
          <w:rFonts w:ascii="Times New Roman" w:eastAsia="Times New Roman" w:hAnsi="Times New Roman"/>
          <w:color w:val="000000" w:themeColor="text1"/>
          <w:spacing w:val="-1"/>
          <w:sz w:val="24"/>
        </w:rPr>
        <w:t xml:space="preserve">Immunoglobulin G antibodies are the most common immunoglobulin class, with a level of 9 –12 grams per </w:t>
      </w:r>
      <w:r w:rsidR="001C18E3" w:rsidRPr="00543B80">
        <w:rPr>
          <w:rFonts w:ascii="Times New Roman" w:eastAsia="Times New Roman" w:hAnsi="Times New Roman"/>
          <w:color w:val="000000" w:themeColor="text1"/>
          <w:spacing w:val="-1"/>
          <w:sz w:val="24"/>
        </w:rPr>
        <w:t>litre</w:t>
      </w:r>
      <w:r w:rsidRPr="00543B80">
        <w:rPr>
          <w:rFonts w:ascii="Times New Roman" w:eastAsia="Times New Roman" w:hAnsi="Times New Roman"/>
          <w:color w:val="000000" w:themeColor="text1"/>
          <w:spacing w:val="-1"/>
          <w:sz w:val="24"/>
        </w:rPr>
        <w:t xml:space="preserve"> of plasma, accounting for about 75 % of the total immunoglobulins in plasma of healthy individuals. Immunoglobulin G is further divided into subclasses with different heavy chain isotypes: IgG1, IgG2, IgG3, and IgG4.</w:t>
      </w:r>
    </w:p>
    <w:p w14:paraId="7999DED5" w14:textId="77777777" w:rsidR="00543B80" w:rsidRPr="00543B80" w:rsidRDefault="00543B80" w:rsidP="00EC4A08">
      <w:pPr>
        <w:spacing w:after="0" w:line="240" w:lineRule="auto"/>
        <w:rPr>
          <w:rFonts w:ascii="Times New Roman" w:eastAsia="Times New Roman" w:hAnsi="Times New Roman"/>
          <w:color w:val="000000" w:themeColor="text1"/>
          <w:spacing w:val="-1"/>
          <w:sz w:val="24"/>
        </w:rPr>
      </w:pPr>
    </w:p>
    <w:p w14:paraId="7A06D206" w14:textId="6347B82A" w:rsidR="0067310B" w:rsidRDefault="0067310B" w:rsidP="0067310B">
      <w:pPr>
        <w:spacing w:after="0" w:line="240" w:lineRule="auto"/>
        <w:rPr>
          <w:rFonts w:ascii="Times New Roman" w:eastAsia="Batang" w:hAnsi="Times New Roman"/>
          <w:bCs/>
          <w:iCs/>
          <w:color w:val="000000" w:themeColor="text1"/>
          <w:sz w:val="24"/>
          <w:szCs w:val="24"/>
        </w:rPr>
      </w:pPr>
      <w:r w:rsidRPr="00745013">
        <w:rPr>
          <w:rFonts w:ascii="Times New Roman" w:eastAsia="Batang" w:hAnsi="Times New Roman"/>
          <w:b/>
          <w:bCs/>
          <w:iCs/>
          <w:color w:val="000000" w:themeColor="text1"/>
          <w:sz w:val="24"/>
          <w:szCs w:val="24"/>
        </w:rPr>
        <w:t>CAS number</w:t>
      </w:r>
      <w:r w:rsidRPr="00745013">
        <w:rPr>
          <w:rFonts w:ascii="Times New Roman" w:eastAsia="Batang" w:hAnsi="Times New Roman"/>
          <w:bCs/>
          <w:iCs/>
          <w:color w:val="000000" w:themeColor="text1"/>
          <w:sz w:val="24"/>
          <w:szCs w:val="24"/>
        </w:rPr>
        <w:tab/>
      </w:r>
    </w:p>
    <w:p w14:paraId="61745C41" w14:textId="77777777" w:rsidR="00715CED" w:rsidRPr="00745013" w:rsidRDefault="00715CED" w:rsidP="0067310B">
      <w:pPr>
        <w:spacing w:after="0" w:line="240" w:lineRule="auto"/>
        <w:rPr>
          <w:rFonts w:ascii="Times New Roman" w:eastAsia="Batang" w:hAnsi="Times New Roman"/>
          <w:bCs/>
          <w:iCs/>
          <w:color w:val="000000" w:themeColor="text1"/>
          <w:sz w:val="24"/>
          <w:szCs w:val="24"/>
        </w:rPr>
      </w:pPr>
    </w:p>
    <w:p w14:paraId="63F81AB0" w14:textId="70F04B55" w:rsidR="00EC4A08" w:rsidRDefault="008B6EBB" w:rsidP="0067310B">
      <w:pPr>
        <w:spacing w:after="0" w:line="240" w:lineRule="auto"/>
        <w:rPr>
          <w:rFonts w:ascii="Times New Roman" w:eastAsia="Batang" w:hAnsi="Times New Roman"/>
          <w:bCs/>
          <w:iCs/>
          <w:color w:val="000000" w:themeColor="text1"/>
          <w:sz w:val="24"/>
          <w:szCs w:val="24"/>
        </w:rPr>
      </w:pPr>
      <w:r>
        <w:rPr>
          <w:rFonts w:ascii="Times New Roman" w:eastAsia="Batang" w:hAnsi="Times New Roman"/>
          <w:bCs/>
          <w:iCs/>
          <w:color w:val="000000" w:themeColor="text1"/>
          <w:sz w:val="24"/>
          <w:szCs w:val="24"/>
        </w:rPr>
        <w:t xml:space="preserve">Normal </w:t>
      </w:r>
      <w:r w:rsidR="00715CED">
        <w:rPr>
          <w:rFonts w:ascii="Times New Roman" w:eastAsia="Batang" w:hAnsi="Times New Roman"/>
          <w:bCs/>
          <w:iCs/>
          <w:color w:val="000000" w:themeColor="text1"/>
          <w:sz w:val="24"/>
          <w:szCs w:val="24"/>
        </w:rPr>
        <w:t xml:space="preserve">immunoglobulin </w:t>
      </w:r>
      <w:r>
        <w:rPr>
          <w:rFonts w:ascii="Times New Roman" w:eastAsia="Batang" w:hAnsi="Times New Roman"/>
          <w:bCs/>
          <w:iCs/>
          <w:color w:val="000000" w:themeColor="text1"/>
          <w:sz w:val="24"/>
          <w:szCs w:val="24"/>
        </w:rPr>
        <w:t>10% (Human): not available.</w:t>
      </w:r>
    </w:p>
    <w:p w14:paraId="6E253D9D" w14:textId="77777777" w:rsidR="00C405AF" w:rsidRPr="00DF694E" w:rsidRDefault="00C405AF" w:rsidP="0067310B">
      <w:pPr>
        <w:spacing w:after="0" w:line="240" w:lineRule="auto"/>
        <w:rPr>
          <w:rFonts w:ascii="Times New Roman" w:eastAsia="Batang" w:hAnsi="Times New Roman"/>
          <w:bCs/>
          <w:iCs/>
          <w:color w:val="000000" w:themeColor="text1"/>
          <w:sz w:val="24"/>
          <w:szCs w:val="24"/>
          <w:highlight w:val="yellow"/>
        </w:rPr>
      </w:pPr>
    </w:p>
    <w:p w14:paraId="2519A569" w14:textId="77777777" w:rsidR="00AF0223" w:rsidRPr="00F73EBA" w:rsidRDefault="00AF0223" w:rsidP="00AF0223">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7</w:t>
      </w:r>
      <w:r w:rsidRPr="00F73EBA">
        <w:rPr>
          <w:rFonts w:ascii="Times New Roman" w:hAnsi="Times New Roman" w:cs="Times New Roman"/>
          <w:smallCaps w:val="0"/>
          <w:color w:val="000000" w:themeColor="text1"/>
          <w:szCs w:val="24"/>
        </w:rPr>
        <w:tab/>
        <w:t xml:space="preserve">MEDICINE SCHEDULE (POISONS STANDARD) </w:t>
      </w:r>
    </w:p>
    <w:p w14:paraId="63EB6B68" w14:textId="77777777" w:rsidR="00AF0223" w:rsidRPr="00FF42F0" w:rsidRDefault="00AF0223" w:rsidP="00914208">
      <w:pPr>
        <w:spacing w:after="0" w:line="240" w:lineRule="auto"/>
        <w:rPr>
          <w:rFonts w:ascii="Times New Roman" w:hAnsi="Times New Roman" w:cs="Times New Roman"/>
          <w:color w:val="000000" w:themeColor="text1"/>
          <w:sz w:val="24"/>
          <w:szCs w:val="24"/>
        </w:rPr>
      </w:pPr>
    </w:p>
    <w:p w14:paraId="0B2F40DC" w14:textId="2D8C4AE4" w:rsidR="00FF42F0" w:rsidRPr="00FF42F0" w:rsidRDefault="00FF42F0" w:rsidP="00914208">
      <w:pPr>
        <w:spacing w:after="0" w:line="240" w:lineRule="auto"/>
        <w:rPr>
          <w:rFonts w:ascii="Times New Roman" w:hAnsi="Times New Roman" w:cs="Times New Roman"/>
          <w:color w:val="000000" w:themeColor="text1"/>
          <w:sz w:val="24"/>
          <w:szCs w:val="24"/>
        </w:rPr>
      </w:pPr>
      <w:r w:rsidRPr="00FF42F0">
        <w:rPr>
          <w:rFonts w:ascii="Times New Roman" w:hAnsi="Times New Roman" w:cs="Times New Roman"/>
          <w:color w:val="000000" w:themeColor="text1"/>
          <w:sz w:val="24"/>
          <w:szCs w:val="24"/>
        </w:rPr>
        <w:t>Prescription Only Medicine (S4).</w:t>
      </w:r>
    </w:p>
    <w:p w14:paraId="49355CF8" w14:textId="77777777" w:rsidR="00AF0223" w:rsidRPr="00DF694E" w:rsidRDefault="00AF0223" w:rsidP="00914208">
      <w:pPr>
        <w:spacing w:after="0" w:line="240" w:lineRule="auto"/>
        <w:rPr>
          <w:rFonts w:ascii="Times New Roman" w:hAnsi="Times New Roman" w:cs="Times New Roman"/>
          <w:color w:val="000000" w:themeColor="text1"/>
          <w:sz w:val="24"/>
          <w:szCs w:val="24"/>
          <w:highlight w:val="yellow"/>
        </w:rPr>
      </w:pPr>
    </w:p>
    <w:p w14:paraId="1F3C73E8" w14:textId="77777777" w:rsidR="00AF0223" w:rsidRPr="00F73EBA" w:rsidRDefault="00AF0223" w:rsidP="00AF0223">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8</w:t>
      </w:r>
      <w:r w:rsidRPr="00F73EBA">
        <w:rPr>
          <w:rFonts w:ascii="Times New Roman" w:hAnsi="Times New Roman" w:cs="Times New Roman"/>
          <w:smallCaps w:val="0"/>
          <w:color w:val="000000" w:themeColor="text1"/>
          <w:szCs w:val="24"/>
        </w:rPr>
        <w:tab/>
      </w:r>
      <w:proofErr w:type="gramStart"/>
      <w:r w:rsidRPr="00F73EBA">
        <w:rPr>
          <w:rFonts w:ascii="Times New Roman" w:hAnsi="Times New Roman" w:cs="Times New Roman"/>
          <w:smallCaps w:val="0"/>
          <w:color w:val="000000" w:themeColor="text1"/>
          <w:szCs w:val="24"/>
        </w:rPr>
        <w:t>SPONSOR</w:t>
      </w:r>
      <w:proofErr w:type="gramEnd"/>
      <w:r w:rsidRPr="00F73EBA">
        <w:rPr>
          <w:rFonts w:ascii="Times New Roman" w:hAnsi="Times New Roman" w:cs="Times New Roman"/>
          <w:smallCaps w:val="0"/>
          <w:color w:val="000000" w:themeColor="text1"/>
          <w:szCs w:val="24"/>
        </w:rPr>
        <w:t xml:space="preserve"> </w:t>
      </w:r>
    </w:p>
    <w:p w14:paraId="6D374EA4" w14:textId="77777777" w:rsidR="00AF0223" w:rsidRDefault="00AF0223" w:rsidP="00914208">
      <w:pPr>
        <w:spacing w:after="0" w:line="240" w:lineRule="auto"/>
        <w:rPr>
          <w:rFonts w:ascii="Times New Roman" w:hAnsi="Times New Roman" w:cs="Times New Roman"/>
          <w:color w:val="000000" w:themeColor="text1"/>
          <w:sz w:val="24"/>
          <w:szCs w:val="24"/>
          <w:highlight w:val="yellow"/>
        </w:rPr>
      </w:pPr>
    </w:p>
    <w:p w14:paraId="55BC4A0E" w14:textId="40652F4A" w:rsidR="00B64FD1" w:rsidRDefault="0083785C" w:rsidP="00032613">
      <w:pPr>
        <w:spacing w:after="0"/>
        <w:rPr>
          <w:rFonts w:ascii="Times New Roman" w:hAnsi="Times New Roman"/>
          <w:sz w:val="24"/>
          <w:szCs w:val="24"/>
          <w:lang w:val="en-GB"/>
        </w:rPr>
      </w:pPr>
      <w:r>
        <w:rPr>
          <w:rFonts w:ascii="Times New Roman" w:hAnsi="Times New Roman"/>
          <w:sz w:val="24"/>
          <w:szCs w:val="24"/>
          <w:lang w:val="en-GB"/>
        </w:rPr>
        <w:t>Takeda Pharmaceuticals Australia Pty Ltd</w:t>
      </w:r>
    </w:p>
    <w:p w14:paraId="55100253" w14:textId="04E3E18E" w:rsidR="00B82F57" w:rsidRDefault="00032613" w:rsidP="00032613">
      <w:pPr>
        <w:spacing w:after="0"/>
        <w:rPr>
          <w:rFonts w:ascii="Times New Roman" w:hAnsi="Times New Roman"/>
          <w:sz w:val="24"/>
          <w:szCs w:val="24"/>
          <w:lang w:val="en-GB"/>
        </w:rPr>
      </w:pPr>
      <w:r>
        <w:rPr>
          <w:rFonts w:ascii="Times New Roman" w:hAnsi="Times New Roman"/>
          <w:sz w:val="24"/>
          <w:szCs w:val="24"/>
          <w:lang w:val="en-GB"/>
        </w:rPr>
        <w:t>Level 39</w:t>
      </w:r>
    </w:p>
    <w:p w14:paraId="62AB52FF" w14:textId="7B4D06EF" w:rsidR="00032613" w:rsidRDefault="00032613" w:rsidP="00032613">
      <w:pPr>
        <w:spacing w:after="0"/>
        <w:rPr>
          <w:rFonts w:ascii="Times New Roman" w:hAnsi="Times New Roman"/>
          <w:sz w:val="24"/>
          <w:szCs w:val="24"/>
          <w:lang w:val="en-GB"/>
        </w:rPr>
      </w:pPr>
      <w:r>
        <w:rPr>
          <w:rFonts w:ascii="Times New Roman" w:hAnsi="Times New Roman"/>
          <w:sz w:val="24"/>
          <w:szCs w:val="24"/>
          <w:lang w:val="en-GB"/>
        </w:rPr>
        <w:t>225 George Street</w:t>
      </w:r>
    </w:p>
    <w:p w14:paraId="619BE869" w14:textId="77777777" w:rsidR="00032613" w:rsidRDefault="00032613" w:rsidP="00032613">
      <w:pPr>
        <w:spacing w:after="0"/>
        <w:rPr>
          <w:rFonts w:ascii="Times New Roman" w:hAnsi="Times New Roman"/>
          <w:sz w:val="24"/>
          <w:szCs w:val="24"/>
          <w:lang w:val="en-GB"/>
        </w:rPr>
      </w:pPr>
      <w:r>
        <w:rPr>
          <w:rFonts w:ascii="Times New Roman" w:hAnsi="Times New Roman"/>
          <w:sz w:val="24"/>
          <w:szCs w:val="24"/>
          <w:lang w:val="en-GB"/>
        </w:rPr>
        <w:t>Sydney NSW 2000</w:t>
      </w:r>
    </w:p>
    <w:p w14:paraId="352FF3F0" w14:textId="77777777" w:rsidR="00032613" w:rsidRDefault="00032613" w:rsidP="00032613">
      <w:pPr>
        <w:spacing w:after="0"/>
        <w:rPr>
          <w:rFonts w:ascii="Times New Roman" w:hAnsi="Times New Roman"/>
          <w:sz w:val="24"/>
          <w:szCs w:val="24"/>
          <w:lang w:val="en-GB"/>
        </w:rPr>
      </w:pPr>
      <w:r>
        <w:rPr>
          <w:rFonts w:ascii="Times New Roman" w:hAnsi="Times New Roman"/>
          <w:sz w:val="24"/>
          <w:szCs w:val="24"/>
          <w:lang w:val="en-GB"/>
        </w:rPr>
        <w:t>Australia</w:t>
      </w:r>
    </w:p>
    <w:p w14:paraId="0BAE1854" w14:textId="77777777" w:rsidR="00032613" w:rsidRDefault="00032613" w:rsidP="00032613">
      <w:pPr>
        <w:spacing w:after="0"/>
        <w:rPr>
          <w:rFonts w:ascii="Times New Roman" w:hAnsi="Times New Roman"/>
          <w:sz w:val="24"/>
          <w:szCs w:val="24"/>
          <w:lang w:val="en-GB"/>
        </w:rPr>
      </w:pPr>
      <w:r>
        <w:rPr>
          <w:rFonts w:ascii="Times New Roman" w:hAnsi="Times New Roman"/>
          <w:sz w:val="24"/>
          <w:szCs w:val="24"/>
          <w:lang w:val="en-GB"/>
        </w:rPr>
        <w:t>Telephone: 1800 012 612</w:t>
      </w:r>
    </w:p>
    <w:p w14:paraId="30E815B3" w14:textId="04D40C6B" w:rsidR="00032613" w:rsidRPr="00DD6360" w:rsidRDefault="00EF32A3" w:rsidP="00032613">
      <w:pPr>
        <w:spacing w:after="0"/>
        <w:rPr>
          <w:rFonts w:ascii="Times New Roman" w:hAnsi="Times New Roman"/>
          <w:sz w:val="24"/>
          <w:szCs w:val="24"/>
          <w:lang w:val="en-GB"/>
        </w:rPr>
      </w:pPr>
      <w:hyperlink r:id="rId12" w:history="1">
        <w:r w:rsidR="00B82F57" w:rsidRPr="00B82F57">
          <w:rPr>
            <w:rFonts w:ascii="Times New Roman" w:hAnsi="Times New Roman" w:cs="Times New Roman"/>
            <w:color w:val="0000FF"/>
            <w:sz w:val="24"/>
            <w:szCs w:val="24"/>
            <w:u w:val="single"/>
          </w:rPr>
          <w:t>https://www.takeda.com/en-au</w:t>
        </w:r>
      </w:hyperlink>
      <w:r w:rsidR="00032613">
        <w:rPr>
          <w:rFonts w:ascii="Times New Roman" w:hAnsi="Times New Roman"/>
          <w:sz w:val="24"/>
          <w:szCs w:val="24"/>
          <w:lang w:val="en-GB"/>
        </w:rPr>
        <w:t xml:space="preserve">  </w:t>
      </w:r>
    </w:p>
    <w:p w14:paraId="0B728293" w14:textId="77777777" w:rsidR="00C44986" w:rsidRPr="00DF694E" w:rsidRDefault="00C44986" w:rsidP="00914208">
      <w:pPr>
        <w:spacing w:after="0" w:line="240" w:lineRule="auto"/>
        <w:rPr>
          <w:rFonts w:ascii="Times New Roman" w:hAnsi="Times New Roman" w:cs="Times New Roman"/>
          <w:color w:val="000000" w:themeColor="text1"/>
          <w:sz w:val="24"/>
          <w:szCs w:val="24"/>
          <w:highlight w:val="yellow"/>
        </w:rPr>
      </w:pPr>
    </w:p>
    <w:p w14:paraId="5F01F911" w14:textId="77777777" w:rsidR="00EB3A9E" w:rsidRPr="00F73EBA" w:rsidRDefault="00EB3A9E" w:rsidP="00F73EBA">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9</w:t>
      </w:r>
      <w:r w:rsidRPr="00F73EBA">
        <w:rPr>
          <w:rFonts w:ascii="Times New Roman" w:hAnsi="Times New Roman" w:cs="Times New Roman"/>
          <w:smallCaps w:val="0"/>
          <w:color w:val="000000" w:themeColor="text1"/>
          <w:szCs w:val="24"/>
        </w:rPr>
        <w:tab/>
        <w:t xml:space="preserve">DATE OF FIRST APPROVAL </w:t>
      </w:r>
    </w:p>
    <w:p w14:paraId="30ED9257" w14:textId="77777777" w:rsidR="00AD6852" w:rsidRDefault="00AD6852" w:rsidP="00FF42F0">
      <w:pPr>
        <w:spacing w:after="0" w:line="240" w:lineRule="auto"/>
        <w:rPr>
          <w:rFonts w:ascii="Times New Roman" w:hAnsi="Times New Roman" w:cs="Times New Roman"/>
          <w:color w:val="000000" w:themeColor="text1"/>
          <w:sz w:val="24"/>
          <w:szCs w:val="24"/>
        </w:rPr>
      </w:pPr>
    </w:p>
    <w:p w14:paraId="30F4CDF7" w14:textId="7F1DCD6B" w:rsidR="00FF42F0" w:rsidRPr="00FF42F0" w:rsidRDefault="00FF42F0" w:rsidP="00FF42F0">
      <w:pPr>
        <w:spacing w:after="0" w:line="240" w:lineRule="auto"/>
        <w:rPr>
          <w:rFonts w:ascii="Times New Roman" w:hAnsi="Times New Roman" w:cs="Times New Roman"/>
          <w:color w:val="000000" w:themeColor="text1"/>
          <w:sz w:val="24"/>
          <w:szCs w:val="24"/>
        </w:rPr>
      </w:pPr>
      <w:r w:rsidRPr="00FF42F0">
        <w:rPr>
          <w:rFonts w:ascii="Times New Roman" w:hAnsi="Times New Roman" w:cs="Times New Roman"/>
          <w:color w:val="000000" w:themeColor="text1"/>
          <w:sz w:val="24"/>
          <w:szCs w:val="24"/>
        </w:rPr>
        <w:t xml:space="preserve">1g, 2.5g, 5g, 10g, 20g: </w:t>
      </w:r>
      <w:r>
        <w:rPr>
          <w:rFonts w:ascii="Times New Roman" w:hAnsi="Times New Roman" w:cs="Times New Roman"/>
          <w:color w:val="000000" w:themeColor="text1"/>
          <w:sz w:val="24"/>
          <w:szCs w:val="24"/>
        </w:rPr>
        <w:tab/>
      </w:r>
      <w:r w:rsidRPr="00FF42F0">
        <w:rPr>
          <w:rFonts w:ascii="Times New Roman" w:hAnsi="Times New Roman" w:cs="Times New Roman"/>
          <w:color w:val="000000" w:themeColor="text1"/>
          <w:sz w:val="24"/>
          <w:szCs w:val="24"/>
        </w:rPr>
        <w:t>02 September 2008</w:t>
      </w:r>
    </w:p>
    <w:p w14:paraId="3A8E45F0" w14:textId="2989B6D5" w:rsidR="00FF42F0" w:rsidRPr="00FF42F0" w:rsidRDefault="00FF42F0" w:rsidP="00FF42F0">
      <w:pPr>
        <w:spacing w:after="0" w:line="240" w:lineRule="auto"/>
        <w:rPr>
          <w:rFonts w:ascii="Times New Roman" w:hAnsi="Times New Roman" w:cs="Times New Roman"/>
          <w:color w:val="000000" w:themeColor="text1"/>
          <w:sz w:val="24"/>
          <w:szCs w:val="24"/>
        </w:rPr>
      </w:pPr>
      <w:r w:rsidRPr="00FF42F0">
        <w:rPr>
          <w:rFonts w:ascii="Times New Roman" w:hAnsi="Times New Roman" w:cs="Times New Roman"/>
          <w:color w:val="000000" w:themeColor="text1"/>
          <w:sz w:val="24"/>
          <w:szCs w:val="24"/>
        </w:rPr>
        <w:t xml:space="preserve">30g: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FF42F0">
        <w:rPr>
          <w:rFonts w:ascii="Times New Roman" w:hAnsi="Times New Roman" w:cs="Times New Roman"/>
          <w:color w:val="000000" w:themeColor="text1"/>
          <w:sz w:val="24"/>
          <w:szCs w:val="24"/>
        </w:rPr>
        <w:t>29 May 2013</w:t>
      </w:r>
    </w:p>
    <w:p w14:paraId="637C06A2" w14:textId="77777777" w:rsidR="00FF42F0" w:rsidRPr="00DF694E" w:rsidRDefault="00FF42F0" w:rsidP="00914208">
      <w:pPr>
        <w:spacing w:after="0" w:line="240" w:lineRule="auto"/>
        <w:rPr>
          <w:rFonts w:ascii="Times New Roman" w:hAnsi="Times New Roman" w:cs="Times New Roman"/>
          <w:color w:val="000000" w:themeColor="text1"/>
          <w:sz w:val="24"/>
          <w:szCs w:val="24"/>
          <w:highlight w:val="yellow"/>
        </w:rPr>
      </w:pPr>
    </w:p>
    <w:p w14:paraId="7C5D5C4D" w14:textId="02C7ED5F" w:rsidR="00EB3A9E" w:rsidRPr="00FF42F0" w:rsidRDefault="00F73EBA" w:rsidP="00877E69">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smallCaps w:val="0"/>
          <w:color w:val="000000" w:themeColor="text1"/>
          <w:szCs w:val="24"/>
        </w:rPr>
        <w:t>10</w:t>
      </w:r>
      <w:r w:rsidR="00EB3A9E" w:rsidRPr="00F73EBA">
        <w:rPr>
          <w:rFonts w:ascii="Times New Roman" w:hAnsi="Times New Roman" w:cs="Times New Roman"/>
          <w:smallCaps w:val="0"/>
          <w:color w:val="000000" w:themeColor="text1"/>
          <w:szCs w:val="24"/>
        </w:rPr>
        <w:tab/>
        <w:t xml:space="preserve">DATE OF REVISION </w:t>
      </w:r>
    </w:p>
    <w:p w14:paraId="652DE006" w14:textId="3178ED90" w:rsidR="005239F7" w:rsidRDefault="005239F7" w:rsidP="00914208">
      <w:pPr>
        <w:spacing w:after="0" w:line="240" w:lineRule="auto"/>
        <w:rPr>
          <w:rFonts w:ascii="Times New Roman" w:hAnsi="Times New Roman" w:cs="Times New Roman"/>
          <w:color w:val="000000" w:themeColor="text1"/>
          <w:sz w:val="24"/>
          <w:szCs w:val="24"/>
        </w:rPr>
      </w:pPr>
    </w:p>
    <w:p w14:paraId="202CA637" w14:textId="644516D4" w:rsidR="000570B9" w:rsidRDefault="000E704D" w:rsidP="0091420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A3DA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July 2021</w:t>
      </w:r>
    </w:p>
    <w:p w14:paraId="79796EDB" w14:textId="77777777" w:rsidR="000E704D" w:rsidRPr="00FF42F0" w:rsidRDefault="000E704D" w:rsidP="00914208">
      <w:pPr>
        <w:spacing w:after="0" w:line="240" w:lineRule="auto"/>
        <w:rPr>
          <w:rFonts w:ascii="Times New Roman" w:hAnsi="Times New Roman" w:cs="Times New Roman"/>
          <w:color w:val="000000" w:themeColor="text1"/>
          <w:sz w:val="24"/>
          <w:szCs w:val="24"/>
        </w:rPr>
      </w:pPr>
    </w:p>
    <w:p w14:paraId="35A4A7B6" w14:textId="446F2AB6" w:rsidR="00EB3A9E" w:rsidRDefault="00EB3A9E" w:rsidP="00F73EBA">
      <w:pPr>
        <w:pStyle w:val="Heading2"/>
        <w:numPr>
          <w:ilvl w:val="0"/>
          <w:numId w:val="0"/>
        </w:numPr>
        <w:spacing w:before="0" w:after="0" w:line="240" w:lineRule="auto"/>
        <w:rPr>
          <w:rFonts w:ascii="Times New Roman" w:hAnsi="Times New Roman" w:cs="Times New Roman"/>
          <w:smallCaps w:val="0"/>
          <w:color w:val="000000" w:themeColor="text1"/>
          <w:szCs w:val="24"/>
        </w:rPr>
      </w:pPr>
      <w:r w:rsidRPr="00F73EBA">
        <w:rPr>
          <w:rFonts w:ascii="Times New Roman" w:hAnsi="Times New Roman" w:cs="Times New Roman"/>
          <w:smallCaps w:val="0"/>
          <w:color w:val="000000" w:themeColor="text1"/>
          <w:szCs w:val="24"/>
        </w:rPr>
        <w:t>Summary table of changes</w:t>
      </w:r>
    </w:p>
    <w:p w14:paraId="77C65331" w14:textId="77777777" w:rsidR="00B82F57" w:rsidRPr="00B82F57" w:rsidRDefault="00B82F57" w:rsidP="00B82F57"/>
    <w:tbl>
      <w:tblPr>
        <w:tblStyle w:val="LightGrid"/>
        <w:tblW w:w="0" w:type="auto"/>
        <w:tblCellMar>
          <w:top w:w="57" w:type="dxa"/>
          <w:bottom w:w="57" w:type="dxa"/>
        </w:tblCellMar>
        <w:tblLook w:val="06A0" w:firstRow="1" w:lastRow="0" w:firstColumn="1" w:lastColumn="0" w:noHBand="1" w:noVBand="1"/>
      </w:tblPr>
      <w:tblGrid>
        <w:gridCol w:w="1691"/>
        <w:gridCol w:w="7315"/>
      </w:tblGrid>
      <w:tr w:rsidR="006763A5" w:rsidRPr="00FF42F0" w14:paraId="348DFDC5" w14:textId="77777777" w:rsidTr="00066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shd w:val="clear" w:color="auto" w:fill="F2F2F2" w:themeFill="background1" w:themeFillShade="F2"/>
            <w:vAlign w:val="center"/>
          </w:tcPr>
          <w:p w14:paraId="08C2C9E9" w14:textId="77777777" w:rsidR="00ED0937" w:rsidRPr="00FF42F0" w:rsidRDefault="00ED0937" w:rsidP="00914208">
            <w:pPr>
              <w:rPr>
                <w:rFonts w:ascii="Times New Roman" w:hAnsi="Times New Roman" w:cs="Times New Roman"/>
                <w:color w:val="000000" w:themeColor="text1"/>
                <w:sz w:val="24"/>
                <w:szCs w:val="24"/>
                <w:lang w:val="en-US"/>
              </w:rPr>
            </w:pPr>
            <w:r w:rsidRPr="00FF42F0">
              <w:rPr>
                <w:rFonts w:ascii="Times New Roman" w:hAnsi="Times New Roman" w:cs="Times New Roman"/>
                <w:color w:val="000000" w:themeColor="text1"/>
                <w:sz w:val="24"/>
                <w:szCs w:val="24"/>
                <w:lang w:val="en-US"/>
              </w:rPr>
              <w:t>Section Changed</w:t>
            </w:r>
          </w:p>
        </w:tc>
        <w:tc>
          <w:tcPr>
            <w:tcW w:w="7315" w:type="dxa"/>
            <w:shd w:val="clear" w:color="auto" w:fill="F2F2F2" w:themeFill="background1" w:themeFillShade="F2"/>
            <w:vAlign w:val="center"/>
          </w:tcPr>
          <w:p w14:paraId="33C8AC7D" w14:textId="77777777" w:rsidR="00ED0937" w:rsidRPr="00FF42F0" w:rsidRDefault="00ED0937" w:rsidP="009142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FF42F0">
              <w:rPr>
                <w:rFonts w:ascii="Times New Roman" w:hAnsi="Times New Roman" w:cs="Times New Roman"/>
                <w:color w:val="000000" w:themeColor="text1"/>
                <w:sz w:val="24"/>
                <w:szCs w:val="24"/>
                <w:lang w:val="en-US"/>
              </w:rPr>
              <w:t>Summary of new information</w:t>
            </w:r>
          </w:p>
        </w:tc>
      </w:tr>
      <w:tr w:rsidR="00416666" w:rsidRPr="00DF694E" w14:paraId="099D5FA6" w14:textId="77777777" w:rsidTr="000667DB">
        <w:tc>
          <w:tcPr>
            <w:cnfStyle w:val="001000000000" w:firstRow="0" w:lastRow="0" w:firstColumn="1" w:lastColumn="0" w:oddVBand="0" w:evenVBand="0" w:oddHBand="0" w:evenHBand="0" w:firstRowFirstColumn="0" w:firstRowLastColumn="0" w:lastRowFirstColumn="0" w:lastRowLastColumn="0"/>
            <w:tcW w:w="1691" w:type="dxa"/>
          </w:tcPr>
          <w:p w14:paraId="2F1E1D7F" w14:textId="0D7FFC43" w:rsidR="00416666" w:rsidDel="00416666" w:rsidRDefault="00416666" w:rsidP="00914208">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4.1</w:t>
            </w:r>
          </w:p>
        </w:tc>
        <w:tc>
          <w:tcPr>
            <w:tcW w:w="7315" w:type="dxa"/>
          </w:tcPr>
          <w:p w14:paraId="315E4C2E" w14:textId="35B2673C" w:rsidR="00416666" w:rsidDel="00416666" w:rsidRDefault="00416666" w:rsidP="00914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New indication added</w:t>
            </w:r>
            <w:r w:rsidR="00C44986">
              <w:rPr>
                <w:rFonts w:ascii="Times New Roman" w:hAnsi="Times New Roman" w:cs="Times New Roman"/>
                <w:color w:val="000000" w:themeColor="text1"/>
                <w:sz w:val="24"/>
                <w:szCs w:val="24"/>
                <w:lang w:val="en-US"/>
              </w:rPr>
              <w:t xml:space="preserve"> (CIDP)</w:t>
            </w:r>
          </w:p>
        </w:tc>
      </w:tr>
      <w:tr w:rsidR="00416666" w:rsidRPr="00DF694E" w14:paraId="54CE8511" w14:textId="77777777" w:rsidTr="000667DB">
        <w:tc>
          <w:tcPr>
            <w:cnfStyle w:val="001000000000" w:firstRow="0" w:lastRow="0" w:firstColumn="1" w:lastColumn="0" w:oddVBand="0" w:evenVBand="0" w:oddHBand="0" w:evenHBand="0" w:firstRowFirstColumn="0" w:firstRowLastColumn="0" w:lastRowFirstColumn="0" w:lastRowLastColumn="0"/>
            <w:tcW w:w="1691" w:type="dxa"/>
          </w:tcPr>
          <w:p w14:paraId="137A7638" w14:textId="20C13939" w:rsidR="00416666" w:rsidDel="00416666" w:rsidRDefault="00416666" w:rsidP="00914208">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4.2 </w:t>
            </w:r>
          </w:p>
        </w:tc>
        <w:tc>
          <w:tcPr>
            <w:tcW w:w="7315" w:type="dxa"/>
          </w:tcPr>
          <w:p w14:paraId="5C160BC6" w14:textId="400818A2" w:rsidR="00416666" w:rsidDel="00416666" w:rsidRDefault="00416666" w:rsidP="009142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Dosing instructions for the new indication added</w:t>
            </w:r>
          </w:p>
        </w:tc>
      </w:tr>
    </w:tbl>
    <w:p w14:paraId="7DDC19F8" w14:textId="77777777" w:rsidR="00A02E5E" w:rsidRPr="00DF694E" w:rsidRDefault="00A02E5E" w:rsidP="00914208">
      <w:pPr>
        <w:keepNext/>
        <w:tabs>
          <w:tab w:val="left" w:pos="900"/>
        </w:tabs>
        <w:spacing w:after="0" w:line="240" w:lineRule="auto"/>
        <w:ind w:right="1310"/>
        <w:rPr>
          <w:rFonts w:ascii="Times New Roman" w:hAnsi="Times New Roman" w:cs="Times New Roman"/>
          <w:color w:val="000000" w:themeColor="text1"/>
          <w:sz w:val="24"/>
          <w:szCs w:val="24"/>
          <w:highlight w:val="yellow"/>
        </w:rPr>
      </w:pPr>
    </w:p>
    <w:p w14:paraId="5F8BA940" w14:textId="21E5BD73" w:rsidR="00DF694E" w:rsidRDefault="00032613" w:rsidP="00AD6852">
      <w:pPr>
        <w:spacing w:after="0" w:line="240" w:lineRule="auto"/>
        <w:rPr>
          <w:rFonts w:ascii="Times New Roman" w:hAnsi="Times New Roman"/>
          <w:i/>
          <w:sz w:val="24"/>
          <w:szCs w:val="24"/>
        </w:rPr>
      </w:pPr>
      <w:r>
        <w:rPr>
          <w:rFonts w:ascii="Times New Roman" w:hAnsi="Times New Roman"/>
          <w:i/>
          <w:sz w:val="24"/>
          <w:szCs w:val="24"/>
        </w:rPr>
        <w:t>KIOVIG</w:t>
      </w:r>
      <w:r w:rsidRPr="00032613">
        <w:rPr>
          <w:rFonts w:ascii="Times New Roman" w:hAnsi="Times New Roman"/>
          <w:i/>
          <w:sz w:val="24"/>
          <w:szCs w:val="24"/>
          <w:vertAlign w:val="superscript"/>
        </w:rPr>
        <w:t>®</w:t>
      </w:r>
      <w:r w:rsidRPr="00936C7B">
        <w:rPr>
          <w:rFonts w:ascii="Times New Roman" w:hAnsi="Times New Roman"/>
          <w:i/>
          <w:sz w:val="24"/>
          <w:szCs w:val="24"/>
        </w:rPr>
        <w:t xml:space="preserve"> is a registered trademark of Baxalta Incorporated</w:t>
      </w:r>
    </w:p>
    <w:p w14:paraId="46B7452B" w14:textId="44F2D4F0" w:rsidR="0092064F" w:rsidRDefault="0092064F" w:rsidP="00AD6852">
      <w:pPr>
        <w:spacing w:after="0" w:line="240" w:lineRule="auto"/>
        <w:rPr>
          <w:rFonts w:ascii="Times New Roman" w:hAnsi="Times New Roman"/>
          <w:i/>
          <w:sz w:val="24"/>
          <w:szCs w:val="24"/>
        </w:rPr>
      </w:pPr>
      <w:r>
        <w:rPr>
          <w:rFonts w:ascii="Times New Roman" w:hAnsi="Times New Roman"/>
          <w:i/>
          <w:sz w:val="24"/>
          <w:szCs w:val="24"/>
        </w:rPr>
        <w:t>TAKEDA</w:t>
      </w:r>
      <w:r w:rsidRPr="0092064F">
        <w:rPr>
          <w:rFonts w:ascii="Times New Roman" w:hAnsi="Times New Roman"/>
          <w:i/>
          <w:sz w:val="24"/>
          <w:szCs w:val="24"/>
          <w:vertAlign w:val="superscript"/>
        </w:rPr>
        <w:t>®</w:t>
      </w:r>
      <w:r>
        <w:rPr>
          <w:rFonts w:ascii="Times New Roman" w:hAnsi="Times New Roman"/>
          <w:i/>
          <w:sz w:val="24"/>
          <w:szCs w:val="24"/>
        </w:rPr>
        <w:t xml:space="preserve"> and TAKEDA logo</w:t>
      </w:r>
      <w:r w:rsidRPr="0092064F">
        <w:rPr>
          <w:rFonts w:ascii="Times New Roman" w:hAnsi="Times New Roman"/>
          <w:i/>
          <w:sz w:val="24"/>
          <w:szCs w:val="24"/>
          <w:vertAlign w:val="superscript"/>
        </w:rPr>
        <w:t>®</w:t>
      </w:r>
      <w:r>
        <w:rPr>
          <w:rFonts w:ascii="Times New Roman" w:hAnsi="Times New Roman"/>
          <w:i/>
          <w:sz w:val="24"/>
          <w:szCs w:val="24"/>
        </w:rPr>
        <w:t xml:space="preserve"> are registered trademarks of Takeda Pharmaceutical Company Limited.</w:t>
      </w:r>
    </w:p>
    <w:p w14:paraId="3C642701" w14:textId="5913554D" w:rsidR="00C36E8F" w:rsidRPr="00AD6852" w:rsidRDefault="00C36E8F" w:rsidP="00B64FD1">
      <w:pPr>
        <w:spacing w:after="0" w:line="240" w:lineRule="auto"/>
        <w:rPr>
          <w:rFonts w:ascii="Times New Roman" w:hAnsi="Times New Roman"/>
          <w:i/>
          <w:sz w:val="24"/>
          <w:szCs w:val="24"/>
        </w:rPr>
      </w:pPr>
    </w:p>
    <w:sectPr w:rsidR="00C36E8F" w:rsidRPr="00AD6852" w:rsidSect="007B2BFE">
      <w:headerReference w:type="even" r:id="rId13"/>
      <w:headerReference w:type="default" r:id="rId14"/>
      <w:footerReference w:type="even" r:id="rId15"/>
      <w:footerReference w:type="default" r:id="rId16"/>
      <w:headerReference w:type="first" r:id="rId17"/>
      <w:footerReference w:type="first" r:id="rId18"/>
      <w:pgSz w:w="11906" w:h="16838" w:code="9"/>
      <w:pgMar w:top="680" w:right="1440" w:bottom="96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3100D" w14:textId="77777777" w:rsidR="005B2A33" w:rsidRDefault="005B2A33" w:rsidP="001A3992">
      <w:pPr>
        <w:spacing w:after="0" w:line="240" w:lineRule="auto"/>
      </w:pPr>
      <w:r>
        <w:separator/>
      </w:r>
    </w:p>
  </w:endnote>
  <w:endnote w:type="continuationSeparator" w:id="0">
    <w:p w14:paraId="7239E018" w14:textId="77777777" w:rsidR="005B2A33" w:rsidRDefault="005B2A33"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Linotype">
    <w:altName w:val="Arial Unicode MS"/>
    <w:panose1 w:val="00000000000000000000"/>
    <w:charset w:val="00"/>
    <w:family w:val="auto"/>
    <w:notTrueType/>
    <w:pitch w:val="default"/>
    <w:sig w:usb0="00000000" w:usb1="080E0000" w:usb2="00000010" w:usb3="00000000" w:csb0="00040001" w:csb1="00000000"/>
  </w:font>
  <w:font w:name="Consolas">
    <w:panose1 w:val="020B0609020204030204"/>
    <w:charset w:val="00"/>
    <w:family w:val="modern"/>
    <w:pitch w:val="fixed"/>
    <w:sig w:usb0="E00006FF" w:usb1="0000FCFF" w:usb2="00000001" w:usb3="00000000" w:csb0="000001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hicago">
    <w:panose1 w:val="00000000000000000000"/>
    <w:charset w:val="00"/>
    <w:family w:val="swiss"/>
    <w:notTrueType/>
    <w:pitch w:val="variable"/>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9A1E4" w14:textId="77777777" w:rsidR="00503302" w:rsidRDefault="0050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66A9C" w14:textId="2FC7F97F" w:rsidR="001B497D" w:rsidRPr="007D24C4" w:rsidRDefault="001B497D" w:rsidP="007D24C4">
    <w:pPr>
      <w:pStyle w:val="Footer"/>
      <w:pBdr>
        <w:top w:val="single" w:sz="4" w:space="1" w:color="auto"/>
      </w:pBdr>
      <w:tabs>
        <w:tab w:val="clear" w:pos="4513"/>
        <w:tab w:val="clear" w:pos="9026"/>
        <w:tab w:val="center" w:pos="7083"/>
      </w:tabs>
      <w:rPr>
        <w:rFonts w:ascii="Times New Roman" w:hAnsi="Times New Roman" w:cs="Times New Roman"/>
        <w:sz w:val="20"/>
        <w:szCs w:val="20"/>
      </w:rPr>
    </w:pPr>
    <w:r>
      <w:rPr>
        <w:rFonts w:ascii="Times New Roman" w:hAnsi="Times New Roman" w:cs="Times New Roman"/>
        <w:sz w:val="20"/>
        <w:szCs w:val="20"/>
      </w:rPr>
      <w:t>KIOVIG PI V3.0 (</w:t>
    </w:r>
    <w:r>
      <w:rPr>
        <w:rFonts w:ascii="Times New Roman" w:hAnsi="Times New Roman" w:cs="Times New Roman"/>
        <w:sz w:val="20"/>
        <w:szCs w:val="20"/>
        <w:lang w:val="en-US"/>
      </w:rPr>
      <w:t>CCDS v1.0</w:t>
    </w:r>
    <w:r>
      <w:rPr>
        <w:rStyle w:val="PageNumber"/>
        <w:rFonts w:ascii="Times New Roman" w:hAnsi="Times New Roman" w:cs="Times New Roman"/>
        <w:sz w:val="20"/>
        <w:szCs w:val="20"/>
      </w:rPr>
      <w:t>)</w:t>
    </w:r>
    <w:r w:rsidRPr="003E0BC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6542E">
      <w:rPr>
        <w:rFonts w:ascii="Times New Roman" w:hAnsi="Times New Roman" w:cs="Times New Roman"/>
        <w:sz w:val="20"/>
        <w:szCs w:val="20"/>
      </w:rPr>
      <w:fldChar w:fldCharType="begin"/>
    </w:r>
    <w:r w:rsidRPr="00230CFC">
      <w:rPr>
        <w:rFonts w:ascii="Times New Roman" w:hAnsi="Times New Roman" w:cs="Times New Roman"/>
        <w:sz w:val="20"/>
        <w:szCs w:val="20"/>
      </w:rPr>
      <w:instrText xml:space="preserve"> PAGE </w:instrText>
    </w:r>
    <w:r w:rsidRPr="00F6542E">
      <w:rPr>
        <w:rFonts w:ascii="Times New Roman" w:hAnsi="Times New Roman" w:cs="Times New Roman"/>
        <w:sz w:val="20"/>
        <w:szCs w:val="20"/>
      </w:rPr>
      <w:fldChar w:fldCharType="separate"/>
    </w:r>
    <w:r w:rsidRPr="00230CFC">
      <w:rPr>
        <w:rFonts w:ascii="Times New Roman" w:hAnsi="Times New Roman" w:cs="Times New Roman"/>
        <w:noProof/>
        <w:sz w:val="20"/>
        <w:szCs w:val="20"/>
      </w:rPr>
      <w:t>28</w:t>
    </w:r>
    <w:r w:rsidRPr="00F6542E">
      <w:rPr>
        <w:rFonts w:ascii="Times New Roman" w:hAnsi="Times New Roman" w:cs="Times New Roman"/>
        <w:sz w:val="20"/>
        <w:szCs w:val="20"/>
      </w:rPr>
      <w:fldChar w:fldCharType="end"/>
    </w:r>
    <w:r w:rsidRPr="003E0BCE">
      <w:rPr>
        <w:rFonts w:ascii="Times New Roman" w:hAnsi="Times New Roman" w:cs="Times New Roma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55501" w14:textId="77777777" w:rsidR="00503302" w:rsidRDefault="00503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D81DB" w14:textId="77777777" w:rsidR="005B2A33" w:rsidRDefault="005B2A33" w:rsidP="001A3992">
      <w:pPr>
        <w:spacing w:after="0" w:line="240" w:lineRule="auto"/>
      </w:pPr>
      <w:r>
        <w:separator/>
      </w:r>
    </w:p>
  </w:footnote>
  <w:footnote w:type="continuationSeparator" w:id="0">
    <w:p w14:paraId="7B28F090" w14:textId="77777777" w:rsidR="005B2A33" w:rsidRDefault="005B2A33"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A463" w14:textId="77777777" w:rsidR="00503302" w:rsidRDefault="00503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503302" w:rsidRPr="000B2145" w14:paraId="515B6546" w14:textId="77777777" w:rsidTr="003015B6">
      <w:trPr>
        <w:trHeight w:val="1012"/>
      </w:trPr>
      <w:tc>
        <w:tcPr>
          <w:tcW w:w="9039" w:type="dxa"/>
          <w:shd w:val="clear" w:color="auto" w:fill="E4F2E0"/>
        </w:tcPr>
        <w:p w14:paraId="4251A608" w14:textId="77777777" w:rsidR="00503302" w:rsidRPr="000E4791" w:rsidRDefault="00503302" w:rsidP="00503302">
          <w:pPr>
            <w:pStyle w:val="Footer"/>
            <w:rPr>
              <w:b/>
              <w:sz w:val="18"/>
              <w:szCs w:val="18"/>
            </w:rPr>
          </w:pPr>
          <w:bookmarkStart w:id="3" w:name="_Hlk80611440"/>
          <w:r w:rsidRPr="000E4791">
            <w:rPr>
              <w:b/>
              <w:sz w:val="18"/>
              <w:szCs w:val="18"/>
            </w:rPr>
            <w:t>Attachment 1</w:t>
          </w:r>
          <w:r>
            <w:t xml:space="preserve"> </w:t>
          </w:r>
          <w:proofErr w:type="spellStart"/>
          <w:r w:rsidRPr="005D38CE">
            <w:rPr>
              <w:b/>
              <w:sz w:val="18"/>
              <w:szCs w:val="18"/>
            </w:rPr>
            <w:t>AusPAR</w:t>
          </w:r>
          <w:proofErr w:type="spellEnd"/>
          <w:r w:rsidRPr="005D38CE">
            <w:rPr>
              <w:b/>
              <w:sz w:val="18"/>
              <w:szCs w:val="18"/>
            </w:rPr>
            <w:t xml:space="preserve"> - </w:t>
          </w:r>
          <w:proofErr w:type="spellStart"/>
          <w:r w:rsidRPr="005D38CE">
            <w:rPr>
              <w:b/>
              <w:sz w:val="18"/>
              <w:szCs w:val="18"/>
            </w:rPr>
            <w:t>Kiovig</w:t>
          </w:r>
          <w:proofErr w:type="spellEnd"/>
          <w:r w:rsidRPr="005D38CE">
            <w:rPr>
              <w:b/>
              <w:sz w:val="18"/>
              <w:szCs w:val="18"/>
            </w:rPr>
            <w:t xml:space="preserve"> – normal immunoglobulin (human) – Takeda Pharmaceuticals Australia Pty Ltd Sponsor PM-2020-02469-1-1</w:t>
          </w:r>
          <w:r>
            <w:rPr>
              <w:b/>
              <w:sz w:val="18"/>
              <w:szCs w:val="18"/>
            </w:rPr>
            <w:t xml:space="preserve"> </w:t>
          </w:r>
          <w:r w:rsidRPr="005D38CE">
            <w:rPr>
              <w:b/>
              <w:sz w:val="18"/>
              <w:szCs w:val="18"/>
            </w:rPr>
            <w:t>FINAL 24 November 2021</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2B57A82D" w14:textId="77777777" w:rsidR="001B497D" w:rsidRPr="00EF0E0C" w:rsidRDefault="001B497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2B0DA" w14:textId="77777777" w:rsidR="001B497D" w:rsidRDefault="001B497D">
    <w:pPr>
      <w:pStyle w:val="Header"/>
      <w:rPr>
        <w:lang w:val="en-US"/>
      </w:rPr>
    </w:pPr>
  </w:p>
  <w:p w14:paraId="6AA77A5A" w14:textId="77777777" w:rsidR="001B497D" w:rsidRPr="00EF0E0C" w:rsidRDefault="001B497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0797"/>
    <w:multiLevelType w:val="hybridMultilevel"/>
    <w:tmpl w:val="B666D836"/>
    <w:lvl w:ilvl="0" w:tplc="0409000F">
      <w:start w:val="1"/>
      <w:numFmt w:val="decimal"/>
      <w:lvlText w:val="%1."/>
      <w:lvlJc w:val="left"/>
      <w:pPr>
        <w:ind w:left="1287" w:hanging="360"/>
      </w:pPr>
      <w:rPr>
        <w:rFonts w:cs="Times New Roman"/>
      </w:rPr>
    </w:lvl>
    <w:lvl w:ilvl="1" w:tplc="13D069D6">
      <w:start w:val="1"/>
      <w:numFmt w:val="decimal"/>
      <w:lvlText w:val="(%2)"/>
      <w:lvlJc w:val="left"/>
      <w:pPr>
        <w:ind w:left="2022" w:hanging="375"/>
      </w:pPr>
      <w:rPr>
        <w:rFonts w:hint="default"/>
      </w:rPr>
    </w:lvl>
    <w:lvl w:ilvl="2" w:tplc="0409001B">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15:restartNumberingAfterBreak="0">
    <w:nsid w:val="14B91EB3"/>
    <w:multiLevelType w:val="hybridMultilevel"/>
    <w:tmpl w:val="E2E2B47C"/>
    <w:lvl w:ilvl="0" w:tplc="365E3B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43F5"/>
    <w:multiLevelType w:val="hybridMultilevel"/>
    <w:tmpl w:val="0CA45D74"/>
    <w:lvl w:ilvl="0" w:tplc="DA941008">
      <w:start w:val="1"/>
      <w:numFmt w:val="decimal"/>
      <w:pStyle w:val="Appendix"/>
      <w:lvlText w:val="APPENDIX %1"/>
      <w:lvlJc w:val="left"/>
      <w:pPr>
        <w:tabs>
          <w:tab w:val="num" w:pos="1701"/>
        </w:tabs>
        <w:ind w:left="1701" w:hanging="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28788B"/>
    <w:multiLevelType w:val="hybridMultilevel"/>
    <w:tmpl w:val="702A72B6"/>
    <w:lvl w:ilvl="0" w:tplc="1690D4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0B7A52"/>
    <w:multiLevelType w:val="hybridMultilevel"/>
    <w:tmpl w:val="CFE4E80A"/>
    <w:lvl w:ilvl="0" w:tplc="365E3B18">
      <w:start w:val="6"/>
      <w:numFmt w:val="bullet"/>
      <w:lvlText w:val="-"/>
      <w:lvlJc w:val="left"/>
      <w:pPr>
        <w:ind w:left="720"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6890C0E"/>
    <w:multiLevelType w:val="hybridMultilevel"/>
    <w:tmpl w:val="5DC611D4"/>
    <w:lvl w:ilvl="0" w:tplc="FFFFFFFF">
      <w:start w:val="1"/>
      <w:numFmt w:val="bullet"/>
      <w:pStyle w:val="CCDSMandatoryInformationbullet"/>
      <w:lvlText w:val="·"/>
      <w:lvlJc w:val="left"/>
      <w:pPr>
        <w:ind w:left="1260" w:hanging="360"/>
      </w:pPr>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6" w15:restartNumberingAfterBreak="0">
    <w:nsid w:val="2A1D66AE"/>
    <w:multiLevelType w:val="hybridMultilevel"/>
    <w:tmpl w:val="02886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3D5746"/>
    <w:multiLevelType w:val="hybridMultilevel"/>
    <w:tmpl w:val="CC4AC13C"/>
    <w:lvl w:ilvl="0" w:tplc="365E3B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A4A21"/>
    <w:multiLevelType w:val="multilevel"/>
    <w:tmpl w:val="18BC4042"/>
    <w:lvl w:ilvl="0">
      <w:start w:val="1"/>
      <w:numFmt w:val="bullet"/>
      <w:pStyle w:val="BulletLis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37074131"/>
    <w:multiLevelType w:val="hybridMultilevel"/>
    <w:tmpl w:val="882C5F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6C0B26E0"/>
    <w:multiLevelType w:val="hybridMultilevel"/>
    <w:tmpl w:val="1FEC0B7E"/>
    <w:lvl w:ilvl="0" w:tplc="1690D4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423879"/>
    <w:multiLevelType w:val="hybridMultilevel"/>
    <w:tmpl w:val="F316537C"/>
    <w:lvl w:ilvl="0" w:tplc="DE0876E6">
      <w:start w:val="1"/>
      <w:numFmt w:val="decimal"/>
      <w:pStyle w:val="Referenc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847022B"/>
    <w:multiLevelType w:val="hybridMultilevel"/>
    <w:tmpl w:val="C4A0DF62"/>
    <w:lvl w:ilvl="0" w:tplc="D4CC26E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420E7D"/>
    <w:multiLevelType w:val="hybridMultilevel"/>
    <w:tmpl w:val="1888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0"/>
  </w:num>
  <w:num w:numId="4">
    <w:abstractNumId w:val="5"/>
  </w:num>
  <w:num w:numId="5">
    <w:abstractNumId w:val="4"/>
  </w:num>
  <w:num w:numId="6">
    <w:abstractNumId w:val="0"/>
  </w:num>
  <w:num w:numId="7">
    <w:abstractNumId w:val="8"/>
  </w:num>
  <w:num w:numId="8">
    <w:abstractNumId w:val="12"/>
  </w:num>
  <w:num w:numId="9">
    <w:abstractNumId w:val="9"/>
  </w:num>
  <w:num w:numId="10">
    <w:abstractNumId w:val="11"/>
  </w:num>
  <w:num w:numId="11">
    <w:abstractNumId w:val="14"/>
  </w:num>
  <w:num w:numId="12">
    <w:abstractNumId w:val="3"/>
  </w:num>
  <w:num w:numId="13">
    <w:abstractNumId w:val="6"/>
  </w:num>
  <w:num w:numId="14">
    <w:abstractNumId w:val="15"/>
  </w:num>
  <w:num w:numId="15">
    <w:abstractNumId w:val="1"/>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73"/>
    <w:rsid w:val="0000455B"/>
    <w:rsid w:val="00032613"/>
    <w:rsid w:val="000377C8"/>
    <w:rsid w:val="000570B9"/>
    <w:rsid w:val="00063DFF"/>
    <w:rsid w:val="000667DB"/>
    <w:rsid w:val="00073E81"/>
    <w:rsid w:val="00074513"/>
    <w:rsid w:val="00083745"/>
    <w:rsid w:val="00095AF9"/>
    <w:rsid w:val="000A2791"/>
    <w:rsid w:val="000A4AEB"/>
    <w:rsid w:val="000B149A"/>
    <w:rsid w:val="000D4BF7"/>
    <w:rsid w:val="000E704D"/>
    <w:rsid w:val="000F1E70"/>
    <w:rsid w:val="001130E1"/>
    <w:rsid w:val="00115DEA"/>
    <w:rsid w:val="00127373"/>
    <w:rsid w:val="00140D87"/>
    <w:rsid w:val="00153440"/>
    <w:rsid w:val="00163618"/>
    <w:rsid w:val="00171968"/>
    <w:rsid w:val="00172E76"/>
    <w:rsid w:val="00180365"/>
    <w:rsid w:val="001947F0"/>
    <w:rsid w:val="00195E44"/>
    <w:rsid w:val="001A0819"/>
    <w:rsid w:val="001A0A2E"/>
    <w:rsid w:val="001A3992"/>
    <w:rsid w:val="001A3DA3"/>
    <w:rsid w:val="001A645D"/>
    <w:rsid w:val="001B497D"/>
    <w:rsid w:val="001C18E3"/>
    <w:rsid w:val="001C4C5E"/>
    <w:rsid w:val="001C565D"/>
    <w:rsid w:val="001C5AC3"/>
    <w:rsid w:val="001D180F"/>
    <w:rsid w:val="001E0952"/>
    <w:rsid w:val="001F1385"/>
    <w:rsid w:val="001F7E6B"/>
    <w:rsid w:val="00204AC7"/>
    <w:rsid w:val="00207CFD"/>
    <w:rsid w:val="00226A4B"/>
    <w:rsid w:val="00230CFC"/>
    <w:rsid w:val="0025317C"/>
    <w:rsid w:val="002550DF"/>
    <w:rsid w:val="00277C38"/>
    <w:rsid w:val="002A099E"/>
    <w:rsid w:val="002A1310"/>
    <w:rsid w:val="002D7CC1"/>
    <w:rsid w:val="002E277D"/>
    <w:rsid w:val="002E3CA1"/>
    <w:rsid w:val="002E680A"/>
    <w:rsid w:val="00304610"/>
    <w:rsid w:val="00313862"/>
    <w:rsid w:val="00316E19"/>
    <w:rsid w:val="003266D5"/>
    <w:rsid w:val="00330929"/>
    <w:rsid w:val="0034118C"/>
    <w:rsid w:val="00353541"/>
    <w:rsid w:val="003574E9"/>
    <w:rsid w:val="00364B02"/>
    <w:rsid w:val="003772D3"/>
    <w:rsid w:val="00387296"/>
    <w:rsid w:val="003909C7"/>
    <w:rsid w:val="003963F8"/>
    <w:rsid w:val="003A182F"/>
    <w:rsid w:val="003B0C19"/>
    <w:rsid w:val="003B2CE1"/>
    <w:rsid w:val="003D2778"/>
    <w:rsid w:val="003D427B"/>
    <w:rsid w:val="003D484E"/>
    <w:rsid w:val="003D6B62"/>
    <w:rsid w:val="003E0BCE"/>
    <w:rsid w:val="003E1531"/>
    <w:rsid w:val="003E6AAD"/>
    <w:rsid w:val="003E7A8D"/>
    <w:rsid w:val="0040068D"/>
    <w:rsid w:val="004032BD"/>
    <w:rsid w:val="00416666"/>
    <w:rsid w:val="00421858"/>
    <w:rsid w:val="00431ACD"/>
    <w:rsid w:val="00446F6B"/>
    <w:rsid w:val="00450EDE"/>
    <w:rsid w:val="00452002"/>
    <w:rsid w:val="004600F9"/>
    <w:rsid w:val="00460677"/>
    <w:rsid w:val="00471F22"/>
    <w:rsid w:val="00484028"/>
    <w:rsid w:val="00487DD3"/>
    <w:rsid w:val="0049737D"/>
    <w:rsid w:val="004A4F84"/>
    <w:rsid w:val="004E1E10"/>
    <w:rsid w:val="004E5701"/>
    <w:rsid w:val="004F7EFF"/>
    <w:rsid w:val="0050050E"/>
    <w:rsid w:val="00502D3C"/>
    <w:rsid w:val="00503302"/>
    <w:rsid w:val="005078E6"/>
    <w:rsid w:val="00512BA0"/>
    <w:rsid w:val="00520500"/>
    <w:rsid w:val="005239F7"/>
    <w:rsid w:val="00526B9A"/>
    <w:rsid w:val="005432D8"/>
    <w:rsid w:val="00543B80"/>
    <w:rsid w:val="00543E73"/>
    <w:rsid w:val="00564342"/>
    <w:rsid w:val="00576BC2"/>
    <w:rsid w:val="005A6A18"/>
    <w:rsid w:val="005B2A33"/>
    <w:rsid w:val="005B3B2F"/>
    <w:rsid w:val="005C1A58"/>
    <w:rsid w:val="005E19AF"/>
    <w:rsid w:val="006147C4"/>
    <w:rsid w:val="00614E1E"/>
    <w:rsid w:val="00622A5C"/>
    <w:rsid w:val="0063197F"/>
    <w:rsid w:val="0063367E"/>
    <w:rsid w:val="00635071"/>
    <w:rsid w:val="00635AF5"/>
    <w:rsid w:val="00642B53"/>
    <w:rsid w:val="006463F4"/>
    <w:rsid w:val="00652D7A"/>
    <w:rsid w:val="00654506"/>
    <w:rsid w:val="00660C44"/>
    <w:rsid w:val="0067310B"/>
    <w:rsid w:val="006763A5"/>
    <w:rsid w:val="00676EDD"/>
    <w:rsid w:val="00677C77"/>
    <w:rsid w:val="0068169A"/>
    <w:rsid w:val="00692674"/>
    <w:rsid w:val="006A1BE6"/>
    <w:rsid w:val="006C0D92"/>
    <w:rsid w:val="006C4932"/>
    <w:rsid w:val="006D11B6"/>
    <w:rsid w:val="006D46EC"/>
    <w:rsid w:val="006D48D1"/>
    <w:rsid w:val="006E13C1"/>
    <w:rsid w:val="006E5037"/>
    <w:rsid w:val="00702FE3"/>
    <w:rsid w:val="00715CED"/>
    <w:rsid w:val="0072018B"/>
    <w:rsid w:val="007217E0"/>
    <w:rsid w:val="00743574"/>
    <w:rsid w:val="00745013"/>
    <w:rsid w:val="007550BD"/>
    <w:rsid w:val="00762896"/>
    <w:rsid w:val="007636BC"/>
    <w:rsid w:val="007811A7"/>
    <w:rsid w:val="00785DDD"/>
    <w:rsid w:val="007862CD"/>
    <w:rsid w:val="00791FC8"/>
    <w:rsid w:val="007B2BFE"/>
    <w:rsid w:val="007B5F3C"/>
    <w:rsid w:val="007D24C4"/>
    <w:rsid w:val="007D2BD1"/>
    <w:rsid w:val="007D6FB9"/>
    <w:rsid w:val="007D7633"/>
    <w:rsid w:val="007E1B30"/>
    <w:rsid w:val="007E693C"/>
    <w:rsid w:val="007F0537"/>
    <w:rsid w:val="00802C7C"/>
    <w:rsid w:val="00806430"/>
    <w:rsid w:val="008166AD"/>
    <w:rsid w:val="008206BF"/>
    <w:rsid w:val="00823C6C"/>
    <w:rsid w:val="00824853"/>
    <w:rsid w:val="00825DE0"/>
    <w:rsid w:val="00836D38"/>
    <w:rsid w:val="00837665"/>
    <w:rsid w:val="0083785C"/>
    <w:rsid w:val="00841420"/>
    <w:rsid w:val="00846548"/>
    <w:rsid w:val="008524EE"/>
    <w:rsid w:val="00855577"/>
    <w:rsid w:val="00876B33"/>
    <w:rsid w:val="00877E69"/>
    <w:rsid w:val="00880C9F"/>
    <w:rsid w:val="008A1A87"/>
    <w:rsid w:val="008B0F44"/>
    <w:rsid w:val="008B6EBB"/>
    <w:rsid w:val="008C4C34"/>
    <w:rsid w:val="008C61C6"/>
    <w:rsid w:val="008D065E"/>
    <w:rsid w:val="008E7028"/>
    <w:rsid w:val="00910E9F"/>
    <w:rsid w:val="00914208"/>
    <w:rsid w:val="00916861"/>
    <w:rsid w:val="00920431"/>
    <w:rsid w:val="0092064F"/>
    <w:rsid w:val="00941DDF"/>
    <w:rsid w:val="009544A4"/>
    <w:rsid w:val="00960CD5"/>
    <w:rsid w:val="00977132"/>
    <w:rsid w:val="009B5403"/>
    <w:rsid w:val="009D3D1B"/>
    <w:rsid w:val="009D567A"/>
    <w:rsid w:val="009D6AA0"/>
    <w:rsid w:val="009E65E9"/>
    <w:rsid w:val="009E6F12"/>
    <w:rsid w:val="00A02E5E"/>
    <w:rsid w:val="00A1333D"/>
    <w:rsid w:val="00A41AB6"/>
    <w:rsid w:val="00A61B39"/>
    <w:rsid w:val="00A76EF5"/>
    <w:rsid w:val="00A95CC8"/>
    <w:rsid w:val="00AB4584"/>
    <w:rsid w:val="00AB4FAD"/>
    <w:rsid w:val="00AC2205"/>
    <w:rsid w:val="00AC68D4"/>
    <w:rsid w:val="00AD6852"/>
    <w:rsid w:val="00AF0223"/>
    <w:rsid w:val="00B10281"/>
    <w:rsid w:val="00B12D7E"/>
    <w:rsid w:val="00B32133"/>
    <w:rsid w:val="00B41586"/>
    <w:rsid w:val="00B42847"/>
    <w:rsid w:val="00B43080"/>
    <w:rsid w:val="00B45117"/>
    <w:rsid w:val="00B63522"/>
    <w:rsid w:val="00B64FD1"/>
    <w:rsid w:val="00B65240"/>
    <w:rsid w:val="00B70EA6"/>
    <w:rsid w:val="00B714CF"/>
    <w:rsid w:val="00B82F57"/>
    <w:rsid w:val="00B9192F"/>
    <w:rsid w:val="00BA5DD3"/>
    <w:rsid w:val="00BB4B09"/>
    <w:rsid w:val="00BC2462"/>
    <w:rsid w:val="00BC377C"/>
    <w:rsid w:val="00BC699C"/>
    <w:rsid w:val="00BD7918"/>
    <w:rsid w:val="00BE3B8C"/>
    <w:rsid w:val="00BE6F58"/>
    <w:rsid w:val="00BE75D2"/>
    <w:rsid w:val="00BF4A6A"/>
    <w:rsid w:val="00C038C3"/>
    <w:rsid w:val="00C170CD"/>
    <w:rsid w:val="00C22C7E"/>
    <w:rsid w:val="00C23F81"/>
    <w:rsid w:val="00C35099"/>
    <w:rsid w:val="00C369ED"/>
    <w:rsid w:val="00C36E8F"/>
    <w:rsid w:val="00C405AF"/>
    <w:rsid w:val="00C43640"/>
    <w:rsid w:val="00C44986"/>
    <w:rsid w:val="00C44F19"/>
    <w:rsid w:val="00C518A3"/>
    <w:rsid w:val="00C53651"/>
    <w:rsid w:val="00C74B9C"/>
    <w:rsid w:val="00C77FE2"/>
    <w:rsid w:val="00C86CF1"/>
    <w:rsid w:val="00C87287"/>
    <w:rsid w:val="00C90017"/>
    <w:rsid w:val="00C92044"/>
    <w:rsid w:val="00C94D5F"/>
    <w:rsid w:val="00CA6CCF"/>
    <w:rsid w:val="00CB6B8A"/>
    <w:rsid w:val="00CC0E8C"/>
    <w:rsid w:val="00CD5B55"/>
    <w:rsid w:val="00CD6B77"/>
    <w:rsid w:val="00D16BB6"/>
    <w:rsid w:val="00D226C4"/>
    <w:rsid w:val="00D24AE4"/>
    <w:rsid w:val="00D44BA0"/>
    <w:rsid w:val="00D5532A"/>
    <w:rsid w:val="00D7019A"/>
    <w:rsid w:val="00D73F29"/>
    <w:rsid w:val="00D93989"/>
    <w:rsid w:val="00DA405A"/>
    <w:rsid w:val="00DB1B02"/>
    <w:rsid w:val="00DD3B46"/>
    <w:rsid w:val="00DE29AC"/>
    <w:rsid w:val="00DF1820"/>
    <w:rsid w:val="00DF5E99"/>
    <w:rsid w:val="00DF694E"/>
    <w:rsid w:val="00E04101"/>
    <w:rsid w:val="00E372F7"/>
    <w:rsid w:val="00E51348"/>
    <w:rsid w:val="00E61777"/>
    <w:rsid w:val="00E74924"/>
    <w:rsid w:val="00E74A56"/>
    <w:rsid w:val="00E83AA0"/>
    <w:rsid w:val="00EA1304"/>
    <w:rsid w:val="00EB3A9E"/>
    <w:rsid w:val="00EC4A08"/>
    <w:rsid w:val="00EC4A3C"/>
    <w:rsid w:val="00ED06FD"/>
    <w:rsid w:val="00ED0937"/>
    <w:rsid w:val="00ED5BA7"/>
    <w:rsid w:val="00EE46BC"/>
    <w:rsid w:val="00EF0E0C"/>
    <w:rsid w:val="00EF32A3"/>
    <w:rsid w:val="00EF726C"/>
    <w:rsid w:val="00F00BFD"/>
    <w:rsid w:val="00F00C69"/>
    <w:rsid w:val="00F162EF"/>
    <w:rsid w:val="00F2051B"/>
    <w:rsid w:val="00F24E2B"/>
    <w:rsid w:val="00F4107B"/>
    <w:rsid w:val="00F53831"/>
    <w:rsid w:val="00F6542E"/>
    <w:rsid w:val="00F73EBA"/>
    <w:rsid w:val="00F80D49"/>
    <w:rsid w:val="00F83CCE"/>
    <w:rsid w:val="00F93089"/>
    <w:rsid w:val="00FC4688"/>
    <w:rsid w:val="00FE5F04"/>
    <w:rsid w:val="00FE62BE"/>
    <w:rsid w:val="00FF42F0"/>
    <w:rsid w:val="00FF5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887D2"/>
  <w15:docId w15:val="{206E40F2-845E-4B4D-B617-45DA5B5F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0,Part"/>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aliases w:val="Chapter Title"/>
    <w:basedOn w:val="Normal"/>
    <w:next w:val="Normal"/>
    <w:link w:val="Heading2Char"/>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aliases w:val="Section"/>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har,Part Char"/>
    <w:basedOn w:val="DefaultParagraphFont"/>
    <w:link w:val="Heading1"/>
    <w:rsid w:val="001A3992"/>
    <w:rPr>
      <w:rFonts w:asciiTheme="majorHAnsi" w:eastAsiaTheme="majorEastAsia" w:hAnsiTheme="majorHAnsi" w:cstheme="majorBidi"/>
      <w:b/>
      <w:bCs/>
      <w:caps/>
      <w:sz w:val="28"/>
      <w:szCs w:val="28"/>
    </w:rPr>
  </w:style>
  <w:style w:type="character" w:customStyle="1" w:styleId="Heading2Char">
    <w:name w:val="Heading 2 Char"/>
    <w:aliases w:val="Chapter Title Char"/>
    <w:basedOn w:val="DefaultParagraphFont"/>
    <w:link w:val="Heading2"/>
    <w:rsid w:val="001A3992"/>
    <w:rPr>
      <w:rFonts w:asciiTheme="majorHAnsi" w:hAnsiTheme="majorHAnsi"/>
      <w:b/>
      <w:smallCaps/>
      <w:sz w:val="24"/>
    </w:rPr>
  </w:style>
  <w:style w:type="character" w:customStyle="1" w:styleId="Heading3Char">
    <w:name w:val="Heading 3 Char"/>
    <w:aliases w:val="Section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A3992"/>
    <w:rPr>
      <w:rFonts w:ascii="Tahoma" w:hAnsi="Tahoma" w:cs="Tahoma"/>
      <w:sz w:val="16"/>
      <w:szCs w:val="16"/>
    </w:rPr>
  </w:style>
  <w:style w:type="paragraph" w:styleId="Header">
    <w:name w:val="header"/>
    <w:aliases w:val="wcp_Header,Header_En tete"/>
    <w:basedOn w:val="Normal"/>
    <w:link w:val="HeaderChar"/>
    <w:unhideWhenUsed/>
    <w:rsid w:val="00CA6CCF"/>
    <w:pPr>
      <w:tabs>
        <w:tab w:val="center" w:pos="4513"/>
        <w:tab w:val="right" w:pos="9026"/>
      </w:tabs>
      <w:spacing w:after="0" w:line="240" w:lineRule="auto"/>
    </w:pPr>
  </w:style>
  <w:style w:type="character" w:customStyle="1" w:styleId="HeaderChar">
    <w:name w:val="Header Char"/>
    <w:aliases w:val="wcp_Header Char,Header_En tete Char"/>
    <w:basedOn w:val="DefaultParagraphFont"/>
    <w:link w:val="Header"/>
    <w:uiPriority w:val="99"/>
    <w:rsid w:val="00CA6CCF"/>
  </w:style>
  <w:style w:type="paragraph" w:styleId="TOAHeading">
    <w:name w:val="toa heading"/>
    <w:basedOn w:val="Normal"/>
    <w:next w:val="Normal"/>
    <w:semiHidden/>
    <w:rsid w:val="009D6AA0"/>
    <w:pPr>
      <w:tabs>
        <w:tab w:val="right" w:pos="9360"/>
      </w:tabs>
      <w:suppressAutoHyphens/>
      <w:spacing w:after="240" w:line="240" w:lineRule="auto"/>
      <w:jc w:val="both"/>
    </w:pPr>
    <w:rPr>
      <w:rFonts w:ascii="Arial" w:eastAsia="Times New Roman" w:hAnsi="Arial" w:cs="Times New Roman"/>
      <w:szCs w:val="24"/>
      <w:lang w:val="en-US"/>
    </w:rPr>
  </w:style>
  <w:style w:type="paragraph" w:styleId="BodyText2">
    <w:name w:val="Body Text 2"/>
    <w:basedOn w:val="Normal"/>
    <w:link w:val="BodyText2Char"/>
    <w:rsid w:val="009D6AA0"/>
    <w:pPr>
      <w:spacing w:after="240" w:line="240" w:lineRule="auto"/>
      <w:jc w:val="both"/>
    </w:pPr>
    <w:rPr>
      <w:rFonts w:ascii="Times New Roman" w:eastAsia="Times New Roman" w:hAnsi="Times New Roman" w:cs="Times New Roman"/>
      <w:b/>
      <w:szCs w:val="24"/>
      <w:lang w:val="en-GB"/>
    </w:rPr>
  </w:style>
  <w:style w:type="character" w:customStyle="1" w:styleId="BodyText2Char">
    <w:name w:val="Body Text 2 Char"/>
    <w:basedOn w:val="DefaultParagraphFont"/>
    <w:link w:val="BodyText2"/>
    <w:uiPriority w:val="99"/>
    <w:rsid w:val="009D6AA0"/>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rsid w:val="009D6AA0"/>
    <w:pPr>
      <w:keepNext/>
      <w:spacing w:before="240" w:after="240" w:line="240" w:lineRule="auto"/>
      <w:jc w:val="center"/>
      <w:outlineLvl w:val="0"/>
    </w:pPr>
    <w:rPr>
      <w:rFonts w:ascii="Arial" w:eastAsia="Times New Roman" w:hAnsi="Arial" w:cs="Arial"/>
      <w:b/>
      <w:bCs/>
      <w:caps/>
      <w:kern w:val="28"/>
      <w:sz w:val="24"/>
      <w:szCs w:val="32"/>
      <w:lang w:val="en-GB"/>
    </w:rPr>
  </w:style>
  <w:style w:type="character" w:customStyle="1" w:styleId="TitleChar">
    <w:name w:val="Title Char"/>
    <w:basedOn w:val="DefaultParagraphFont"/>
    <w:link w:val="Title"/>
    <w:uiPriority w:val="99"/>
    <w:rsid w:val="009D6AA0"/>
    <w:rPr>
      <w:rFonts w:ascii="Arial" w:eastAsia="Times New Roman" w:hAnsi="Arial" w:cs="Arial"/>
      <w:b/>
      <w:bCs/>
      <w:caps/>
      <w:kern w:val="28"/>
      <w:sz w:val="24"/>
      <w:szCs w:val="32"/>
      <w:lang w:val="en-GB"/>
    </w:rPr>
  </w:style>
  <w:style w:type="paragraph" w:customStyle="1" w:styleId="Appendix">
    <w:name w:val="Appendix"/>
    <w:basedOn w:val="Caption"/>
    <w:next w:val="Normal"/>
    <w:rsid w:val="009D6AA0"/>
    <w:pPr>
      <w:keepNext/>
      <w:numPr>
        <w:numId w:val="2"/>
      </w:numPr>
      <w:spacing w:before="3200" w:after="0"/>
      <w:ind w:left="432" w:hanging="432"/>
      <w:jc w:val="both"/>
    </w:pPr>
    <w:rPr>
      <w:rFonts w:ascii="Arial" w:eastAsia="Times New Roman" w:hAnsi="Arial" w:cs="Times New Roman"/>
      <w:b/>
      <w:bCs/>
      <w:i w:val="0"/>
      <w:iCs w:val="0"/>
      <w:caps/>
      <w:color w:val="auto"/>
      <w:sz w:val="22"/>
      <w:szCs w:val="20"/>
      <w:lang w:val="en-GB"/>
    </w:rPr>
  </w:style>
  <w:style w:type="paragraph" w:styleId="Caption">
    <w:name w:val="caption"/>
    <w:aliases w:val="! Q,Légende Car"/>
    <w:basedOn w:val="Normal"/>
    <w:next w:val="Normal"/>
    <w:link w:val="CaptionChar"/>
    <w:uiPriority w:val="99"/>
    <w:unhideWhenUsed/>
    <w:qFormat/>
    <w:rsid w:val="009D6AA0"/>
    <w:pPr>
      <w:spacing w:line="240" w:lineRule="auto"/>
    </w:pPr>
    <w:rPr>
      <w:i/>
      <w:iCs/>
      <w:color w:val="1F497D" w:themeColor="text2"/>
      <w:sz w:val="18"/>
      <w:szCs w:val="18"/>
    </w:rPr>
  </w:style>
  <w:style w:type="character" w:customStyle="1" w:styleId="CaptionChar">
    <w:name w:val="Caption Char"/>
    <w:aliases w:val="! Q Char,Légende Car Char"/>
    <w:basedOn w:val="DefaultParagraphFont"/>
    <w:link w:val="Caption"/>
    <w:uiPriority w:val="99"/>
    <w:locked/>
    <w:rsid w:val="004600F9"/>
    <w:rPr>
      <w:i/>
      <w:iCs/>
      <w:color w:val="1F497D" w:themeColor="text2"/>
      <w:sz w:val="18"/>
      <w:szCs w:val="18"/>
    </w:rPr>
  </w:style>
  <w:style w:type="paragraph" w:styleId="Subtitle">
    <w:name w:val="Subtitle"/>
    <w:basedOn w:val="Normal"/>
    <w:link w:val="SubtitleChar"/>
    <w:qFormat/>
    <w:rsid w:val="009D6AA0"/>
    <w:pPr>
      <w:spacing w:after="240" w:line="240" w:lineRule="auto"/>
      <w:jc w:val="center"/>
    </w:pPr>
    <w:rPr>
      <w:rFonts w:ascii="Arial" w:eastAsia="Times New Roman" w:hAnsi="Arial" w:cs="Times New Roman"/>
      <w:i/>
      <w:iCs/>
      <w:sz w:val="28"/>
      <w:szCs w:val="24"/>
      <w:lang w:val="en-GB"/>
    </w:rPr>
  </w:style>
  <w:style w:type="character" w:customStyle="1" w:styleId="SubtitleChar">
    <w:name w:val="Subtitle Char"/>
    <w:basedOn w:val="DefaultParagraphFont"/>
    <w:link w:val="Subtitle"/>
    <w:rsid w:val="009D6AA0"/>
    <w:rPr>
      <w:rFonts w:ascii="Arial" w:eastAsia="Times New Roman" w:hAnsi="Arial" w:cs="Times New Roman"/>
      <w:i/>
      <w:iCs/>
      <w:sz w:val="28"/>
      <w:szCs w:val="24"/>
      <w:lang w:val="en-GB"/>
    </w:rPr>
  </w:style>
  <w:style w:type="character" w:styleId="Strong">
    <w:name w:val="Strong"/>
    <w:uiPriority w:val="22"/>
    <w:qFormat/>
    <w:rsid w:val="009D6AA0"/>
    <w:rPr>
      <w:b/>
      <w:bCs/>
    </w:rPr>
  </w:style>
  <w:style w:type="paragraph" w:styleId="NormalIndent">
    <w:name w:val="Normal Indent"/>
    <w:basedOn w:val="Normal"/>
    <w:rsid w:val="009D6AA0"/>
    <w:pPr>
      <w:spacing w:after="120" w:line="240" w:lineRule="auto"/>
      <w:ind w:left="720"/>
    </w:pPr>
    <w:rPr>
      <w:rFonts w:ascii="Times New Roman" w:eastAsia="Times New Roman" w:hAnsi="Times New Roman" w:cs="Times New Roman"/>
      <w:szCs w:val="20"/>
      <w:lang w:val="en-GB" w:eastAsia="en-GB"/>
    </w:rPr>
  </w:style>
  <w:style w:type="paragraph" w:customStyle="1" w:styleId="EMEAEnBodyText">
    <w:name w:val="EMEA En Body Text"/>
    <w:basedOn w:val="Normal"/>
    <w:rsid w:val="009D6AA0"/>
    <w:pPr>
      <w:autoSpaceDE w:val="0"/>
      <w:autoSpaceDN w:val="0"/>
      <w:adjustRightInd w:val="0"/>
      <w:spacing w:after="0" w:line="240" w:lineRule="auto"/>
    </w:pPr>
    <w:rPr>
      <w:rFonts w:ascii="Times New Roman" w:eastAsia="Times New Roman" w:hAnsi="Times New Roman" w:cs="Times New Roman"/>
      <w:noProof/>
      <w:lang w:val="en-US"/>
    </w:rPr>
  </w:style>
  <w:style w:type="paragraph" w:customStyle="1" w:styleId="TableText">
    <w:name w:val="TableText"/>
    <w:uiPriority w:val="99"/>
    <w:rsid w:val="009D6AA0"/>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83AA0"/>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rsid w:val="0015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3440"/>
  </w:style>
  <w:style w:type="paragraph" w:styleId="BodyText">
    <w:name w:val="Body Text"/>
    <w:basedOn w:val="Normal"/>
    <w:link w:val="BodyTextChar"/>
    <w:unhideWhenUsed/>
    <w:rsid w:val="004600F9"/>
    <w:pPr>
      <w:spacing w:after="120"/>
    </w:pPr>
  </w:style>
  <w:style w:type="character" w:customStyle="1" w:styleId="BodyTextChar">
    <w:name w:val="Body Text Char"/>
    <w:basedOn w:val="DefaultParagraphFont"/>
    <w:link w:val="BodyText"/>
    <w:semiHidden/>
    <w:rsid w:val="004600F9"/>
  </w:style>
  <w:style w:type="paragraph" w:styleId="BodyTextIndent">
    <w:name w:val="Body Text Indent"/>
    <w:basedOn w:val="Normal"/>
    <w:link w:val="BodyTextIndentChar"/>
    <w:rsid w:val="004600F9"/>
    <w:pPr>
      <w:spacing w:after="0" w:line="240" w:lineRule="auto"/>
      <w:ind w:left="9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sid w:val="004600F9"/>
    <w:rPr>
      <w:rFonts w:ascii="Times New Roman" w:eastAsia="Times New Roman" w:hAnsi="Times New Roman" w:cs="Times New Roman"/>
      <w:sz w:val="24"/>
      <w:szCs w:val="20"/>
      <w:lang w:val="en-US"/>
    </w:rPr>
  </w:style>
  <w:style w:type="paragraph" w:styleId="BodyText3">
    <w:name w:val="Body Text 3"/>
    <w:basedOn w:val="Normal"/>
    <w:link w:val="BodyText3Char"/>
    <w:rsid w:val="004600F9"/>
    <w:pPr>
      <w:spacing w:after="0" w:line="240" w:lineRule="auto"/>
    </w:pPr>
    <w:rPr>
      <w:rFonts w:ascii="Times New Roman" w:eastAsia="Times New Roman" w:hAnsi="Times New Roman" w:cs="Times New Roman"/>
      <w:color w:val="0000FF"/>
      <w:sz w:val="24"/>
      <w:szCs w:val="20"/>
      <w:lang w:val="en-US"/>
    </w:rPr>
  </w:style>
  <w:style w:type="character" w:customStyle="1" w:styleId="BodyText3Char">
    <w:name w:val="Body Text 3 Char"/>
    <w:basedOn w:val="DefaultParagraphFont"/>
    <w:link w:val="BodyText3"/>
    <w:uiPriority w:val="99"/>
    <w:rsid w:val="004600F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rsid w:val="004600F9"/>
    <w:rPr>
      <w:rFonts w:ascii="Times New Roman" w:eastAsia="Times New Roman" w:hAnsi="Times New Roman" w:cs="Times New Roman"/>
      <w:sz w:val="18"/>
      <w:szCs w:val="20"/>
      <w:lang w:val="en-GB"/>
    </w:rPr>
  </w:style>
  <w:style w:type="paragraph" w:styleId="EndnoteText">
    <w:name w:val="endnote text"/>
    <w:basedOn w:val="Normal"/>
    <w:link w:val="EndnoteTextChar"/>
    <w:rsid w:val="004600F9"/>
    <w:pPr>
      <w:widowControl w:val="0"/>
      <w:tabs>
        <w:tab w:val="left" w:pos="567"/>
      </w:tabs>
      <w:spacing w:after="0" w:line="240" w:lineRule="auto"/>
    </w:pPr>
    <w:rPr>
      <w:rFonts w:ascii="Times New Roman" w:eastAsia="Times New Roman" w:hAnsi="Times New Roman" w:cs="Times New Roman"/>
      <w:sz w:val="18"/>
      <w:szCs w:val="20"/>
      <w:lang w:val="en-GB"/>
    </w:rPr>
  </w:style>
  <w:style w:type="character" w:customStyle="1" w:styleId="DocumentMapChar">
    <w:name w:val="Document Map Char"/>
    <w:basedOn w:val="DefaultParagraphFont"/>
    <w:link w:val="DocumentMap"/>
    <w:uiPriority w:val="99"/>
    <w:semiHidden/>
    <w:rsid w:val="004600F9"/>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rsid w:val="004600F9"/>
    <w:pPr>
      <w:shd w:val="clear" w:color="auto" w:fill="000080"/>
      <w:spacing w:after="0" w:line="240" w:lineRule="auto"/>
    </w:pPr>
    <w:rPr>
      <w:rFonts w:ascii="Tahoma" w:eastAsia="Times New Roman" w:hAnsi="Tahoma" w:cs="Tahoma"/>
      <w:sz w:val="20"/>
      <w:szCs w:val="20"/>
      <w:lang w:val="en-US"/>
    </w:rPr>
  </w:style>
  <w:style w:type="character" w:customStyle="1" w:styleId="CommentSubjectChar">
    <w:name w:val="Comment Subject Char"/>
    <w:basedOn w:val="CommentTextChar"/>
    <w:link w:val="CommentSubject"/>
    <w:uiPriority w:val="99"/>
    <w:rsid w:val="004600F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rsid w:val="004600F9"/>
    <w:pPr>
      <w:spacing w:after="0"/>
    </w:pPr>
    <w:rPr>
      <w:rFonts w:ascii="Times New Roman" w:eastAsia="Times New Roman" w:hAnsi="Times New Roman" w:cs="Times New Roman"/>
      <w:b/>
      <w:bCs/>
      <w:lang w:val="en-US"/>
    </w:rPr>
  </w:style>
  <w:style w:type="character" w:customStyle="1" w:styleId="st1">
    <w:name w:val="st1"/>
    <w:basedOn w:val="DefaultParagraphFont"/>
    <w:uiPriority w:val="99"/>
    <w:rsid w:val="004600F9"/>
    <w:rPr>
      <w:rFonts w:cs="Times New Roman"/>
    </w:rPr>
  </w:style>
  <w:style w:type="paragraph" w:styleId="ListNumber">
    <w:name w:val="List Number"/>
    <w:basedOn w:val="Normal"/>
    <w:uiPriority w:val="99"/>
    <w:rsid w:val="004600F9"/>
    <w:pPr>
      <w:numPr>
        <w:numId w:val="3"/>
      </w:numPr>
      <w:spacing w:after="120" w:line="240" w:lineRule="auto"/>
      <w:jc w:val="both"/>
    </w:pPr>
    <w:rPr>
      <w:rFonts w:ascii="Arial" w:eastAsia="Times New Roman" w:hAnsi="Arial" w:cs="Times New Roman"/>
      <w:szCs w:val="24"/>
      <w:lang w:val="en-GB"/>
    </w:rPr>
  </w:style>
  <w:style w:type="paragraph" w:customStyle="1" w:styleId="Table">
    <w:name w:val="Table"/>
    <w:basedOn w:val="Normal"/>
    <w:link w:val="TableChar"/>
    <w:uiPriority w:val="99"/>
    <w:rsid w:val="004600F9"/>
    <w:pPr>
      <w:spacing w:before="40" w:after="40" w:line="240" w:lineRule="auto"/>
    </w:pPr>
    <w:rPr>
      <w:rFonts w:ascii="Times New Roman" w:eastAsia="Times New Roman" w:hAnsi="Times New Roman" w:cs="Times New Roman"/>
      <w:sz w:val="20"/>
      <w:szCs w:val="24"/>
      <w:lang w:val="en-US"/>
    </w:rPr>
  </w:style>
  <w:style w:type="character" w:customStyle="1" w:styleId="TableChar">
    <w:name w:val="Table Char"/>
    <w:basedOn w:val="DefaultParagraphFont"/>
    <w:link w:val="Table"/>
    <w:uiPriority w:val="99"/>
    <w:locked/>
    <w:rsid w:val="004600F9"/>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rsid w:val="00C170CD"/>
    <w:pPr>
      <w:spacing w:after="0" w:line="240" w:lineRule="auto"/>
    </w:pPr>
    <w:rPr>
      <w:rFonts w:ascii="Times New Roman" w:eastAsia="Times New Roman" w:hAnsi="Times New Roman" w:cs="Times New Roman"/>
      <w:sz w:val="20"/>
      <w:szCs w:val="20"/>
      <w:lang w:val="en-GB"/>
    </w:rPr>
  </w:style>
  <w:style w:type="character" w:customStyle="1" w:styleId="TableFootnotesChar">
    <w:name w:val="Table Footnotes Char"/>
    <w:basedOn w:val="DefaultParagraphFont"/>
    <w:link w:val="TableFootnotes"/>
    <w:uiPriority w:val="99"/>
    <w:locked/>
    <w:rsid w:val="00C170C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sid w:val="004600F9"/>
    <w:rPr>
      <w:b/>
      <w:sz w:val="24"/>
      <w:lang w:val="en-US" w:eastAsia="en-US"/>
    </w:rPr>
  </w:style>
  <w:style w:type="paragraph" w:customStyle="1" w:styleId="Formatvorlage1">
    <w:name w:val="Formatvorlage1"/>
    <w:basedOn w:val="Normal"/>
    <w:rsid w:val="00277C38"/>
    <w:pPr>
      <w:overflowPunct w:val="0"/>
      <w:autoSpaceDE w:val="0"/>
      <w:autoSpaceDN w:val="0"/>
      <w:adjustRightInd w:val="0"/>
      <w:spacing w:after="0" w:line="240" w:lineRule="auto"/>
      <w:textAlignment w:val="baseline"/>
    </w:pPr>
    <w:rPr>
      <w:rFonts w:ascii="Tms Rmn" w:eastAsia="Times New Roman" w:hAnsi="Tms Rmn" w:cs="Times New Roman"/>
      <w:sz w:val="24"/>
      <w:szCs w:val="20"/>
    </w:rPr>
  </w:style>
  <w:style w:type="paragraph" w:customStyle="1" w:styleId="Text">
    <w:name w:val="Text"/>
    <w:basedOn w:val="Normal"/>
    <w:rsid w:val="00277C38"/>
    <w:pPr>
      <w:overflowPunct w:val="0"/>
      <w:autoSpaceDE w:val="0"/>
      <w:autoSpaceDN w:val="0"/>
      <w:adjustRightInd w:val="0"/>
      <w:spacing w:after="60" w:line="160" w:lineRule="atLeast"/>
      <w:jc w:val="both"/>
      <w:textAlignment w:val="baseline"/>
    </w:pPr>
    <w:rPr>
      <w:rFonts w:ascii="Helvetica" w:eastAsia="Times New Roman" w:hAnsi="Helvetica" w:cs="Times New Roman"/>
      <w:color w:val="000000"/>
      <w:sz w:val="16"/>
      <w:szCs w:val="20"/>
    </w:rPr>
  </w:style>
  <w:style w:type="paragraph" w:customStyle="1" w:styleId="DocText">
    <w:name w:val="Doc Text"/>
    <w:basedOn w:val="Normal"/>
    <w:link w:val="DocTextChar"/>
    <w:uiPriority w:val="99"/>
    <w:qFormat/>
    <w:rsid w:val="00277C38"/>
    <w:pPr>
      <w:spacing w:after="240" w:line="288" w:lineRule="auto"/>
    </w:pPr>
    <w:rPr>
      <w:rFonts w:ascii="Times New Roman" w:eastAsia="Batang" w:hAnsi="Times New Roman" w:cs="Times New Roman"/>
      <w:sz w:val="24"/>
      <w:szCs w:val="24"/>
    </w:rPr>
  </w:style>
  <w:style w:type="character" w:customStyle="1" w:styleId="DocTextChar">
    <w:name w:val="Doc Text Char"/>
    <w:link w:val="DocText"/>
    <w:rsid w:val="00277C38"/>
    <w:rPr>
      <w:rFonts w:ascii="Times New Roman" w:eastAsia="Batang" w:hAnsi="Times New Roman" w:cs="Times New Roman"/>
      <w:sz w:val="24"/>
      <w:szCs w:val="24"/>
    </w:rPr>
  </w:style>
  <w:style w:type="paragraph" w:customStyle="1" w:styleId="MandatoryInformation">
    <w:name w:val="Mandatory Information"/>
    <w:basedOn w:val="Normal"/>
    <w:rsid w:val="00277C38"/>
    <w:pPr>
      <w:spacing w:after="240" w:line="288" w:lineRule="auto"/>
    </w:pPr>
    <w:rPr>
      <w:rFonts w:ascii="Times New Roman" w:eastAsia="Batang" w:hAnsi="Times New Roman" w:cs="Times New Roman"/>
      <w:b/>
      <w:sz w:val="24"/>
      <w:szCs w:val="24"/>
    </w:rPr>
  </w:style>
  <w:style w:type="paragraph" w:customStyle="1" w:styleId="TableTextCenter">
    <w:name w:val="Table Text Center"/>
    <w:basedOn w:val="Normal"/>
    <w:rsid w:val="00277C38"/>
    <w:pPr>
      <w:spacing w:before="60" w:after="60" w:line="240" w:lineRule="auto"/>
      <w:jc w:val="center"/>
    </w:pPr>
    <w:rPr>
      <w:rFonts w:ascii="Times New Roman" w:eastAsia="Times New Roman" w:hAnsi="Times New Roman" w:cs="Times New Roman"/>
      <w:sz w:val="20"/>
      <w:szCs w:val="24"/>
    </w:rPr>
  </w:style>
  <w:style w:type="paragraph" w:customStyle="1" w:styleId="Formatvorlage2">
    <w:name w:val="Formatvorlage2"/>
    <w:basedOn w:val="Normal"/>
    <w:rsid w:val="00277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eastAsia="Times New Roman" w:hAnsi="Arial" w:cs="Times New Roman"/>
      <w:color w:val="000000"/>
      <w:sz w:val="24"/>
      <w:szCs w:val="20"/>
    </w:rPr>
  </w:style>
  <w:style w:type="character" w:styleId="EndnoteReference">
    <w:name w:val="endnote reference"/>
    <w:basedOn w:val="DefaultParagraphFont"/>
    <w:uiPriority w:val="99"/>
    <w:semiHidden/>
    <w:unhideWhenUsed/>
    <w:rsid w:val="00277C38"/>
    <w:rPr>
      <w:vertAlign w:val="superscript"/>
    </w:rPr>
  </w:style>
  <w:style w:type="paragraph" w:customStyle="1" w:styleId="TableText0">
    <w:name w:val="Table Text"/>
    <w:basedOn w:val="Normal"/>
    <w:rsid w:val="00277C38"/>
    <w:pPr>
      <w:spacing w:before="60" w:after="60" w:line="240" w:lineRule="auto"/>
    </w:pPr>
    <w:rPr>
      <w:rFonts w:ascii="Times New Roman" w:eastAsia="Times New Roman" w:hAnsi="Times New Roman" w:cs="Times New Roman"/>
      <w:sz w:val="20"/>
      <w:szCs w:val="24"/>
    </w:rPr>
  </w:style>
  <w:style w:type="paragraph" w:customStyle="1" w:styleId="Optionaltext">
    <w:name w:val="Optional text"/>
    <w:basedOn w:val="Normal"/>
    <w:rsid w:val="00277C38"/>
    <w:pPr>
      <w:spacing w:after="240" w:line="288" w:lineRule="auto"/>
    </w:pPr>
    <w:rPr>
      <w:rFonts w:ascii="Times New Roman" w:eastAsia="Batang" w:hAnsi="Times New Roman" w:cs="Times New Roman"/>
      <w:bCs/>
      <w:iCs/>
      <w:sz w:val="24"/>
      <w:szCs w:val="24"/>
    </w:rPr>
  </w:style>
  <w:style w:type="paragraph" w:customStyle="1" w:styleId="ListBulleted1">
    <w:name w:val="List Bulleted 1"/>
    <w:basedOn w:val="DocText"/>
    <w:rsid w:val="00277C38"/>
    <w:pPr>
      <w:tabs>
        <w:tab w:val="left" w:pos="720"/>
      </w:tabs>
      <w:spacing w:after="20"/>
      <w:ind w:left="720" w:hanging="288"/>
    </w:pPr>
  </w:style>
  <w:style w:type="paragraph" w:customStyle="1" w:styleId="Heading1NoTOC">
    <w:name w:val="Heading 1 No TOC"/>
    <w:basedOn w:val="Normal"/>
    <w:next w:val="DocText"/>
    <w:rsid w:val="00277C38"/>
    <w:pPr>
      <w:keepNext/>
      <w:spacing w:before="240" w:after="240" w:line="240" w:lineRule="auto"/>
    </w:pPr>
    <w:rPr>
      <w:rFonts w:ascii="Times New Roman" w:eastAsia="Times New Roman" w:hAnsi="Times New Roman" w:cs="Times New Roman"/>
      <w:b/>
      <w:caps/>
      <w:sz w:val="24"/>
      <w:szCs w:val="24"/>
    </w:rPr>
  </w:style>
  <w:style w:type="paragraph" w:customStyle="1" w:styleId="ListBulleted2">
    <w:name w:val="List Bulleted 2"/>
    <w:basedOn w:val="DocText"/>
    <w:rsid w:val="00277C38"/>
    <w:pPr>
      <w:tabs>
        <w:tab w:val="left" w:pos="1008"/>
      </w:tabs>
      <w:spacing w:after="20"/>
      <w:ind w:left="1008" w:hanging="288"/>
    </w:pPr>
  </w:style>
  <w:style w:type="paragraph" w:customStyle="1" w:styleId="BodyText21">
    <w:name w:val="Body Text 21"/>
    <w:basedOn w:val="Normal"/>
    <w:rsid w:val="00277C38"/>
    <w:pPr>
      <w:widowControl w:val="0"/>
      <w:overflowPunct w:val="0"/>
      <w:autoSpaceDE w:val="0"/>
      <w:autoSpaceDN w:val="0"/>
      <w:adjustRightInd w:val="0"/>
      <w:spacing w:after="0" w:line="240" w:lineRule="auto"/>
      <w:ind w:right="-143"/>
      <w:jc w:val="both"/>
      <w:textAlignment w:val="baseline"/>
    </w:pPr>
    <w:rPr>
      <w:rFonts w:ascii="Arial" w:eastAsia="Times New Roman" w:hAnsi="Arial" w:cs="Times New Roman"/>
      <w:sz w:val="24"/>
      <w:szCs w:val="20"/>
    </w:rPr>
  </w:style>
  <w:style w:type="character" w:styleId="Emphasis">
    <w:name w:val="Emphasis"/>
    <w:basedOn w:val="DefaultParagraphFont"/>
    <w:uiPriority w:val="20"/>
    <w:qFormat/>
    <w:rsid w:val="00277C38"/>
    <w:rPr>
      <w:i/>
      <w:iCs/>
    </w:rPr>
  </w:style>
  <w:style w:type="paragraph" w:customStyle="1" w:styleId="CCDSRecommendedText">
    <w:name w:val="CCDS Recommended Text"/>
    <w:basedOn w:val="Normal"/>
    <w:qFormat/>
    <w:rsid w:val="00277C38"/>
    <w:pPr>
      <w:spacing w:before="120" w:after="120" w:line="288" w:lineRule="auto"/>
    </w:pPr>
    <w:rPr>
      <w:rFonts w:ascii="Times New Roman" w:eastAsia="Batang" w:hAnsi="Times New Roman" w:cs="Times New Roman"/>
      <w:bCs/>
      <w:iCs/>
      <w:sz w:val="24"/>
      <w:szCs w:val="24"/>
    </w:rPr>
  </w:style>
  <w:style w:type="paragraph" w:customStyle="1" w:styleId="CCDSADRTblColHdr8">
    <w:name w:val="CCDS ADR Tbl Col Hdr 8"/>
    <w:basedOn w:val="Normal"/>
    <w:qFormat/>
    <w:rsid w:val="00277C38"/>
    <w:pPr>
      <w:keepNext/>
      <w:tabs>
        <w:tab w:val="left" w:pos="854"/>
      </w:tabs>
      <w:spacing w:before="60" w:after="60" w:line="252" w:lineRule="auto"/>
      <w:jc w:val="center"/>
    </w:pPr>
    <w:rPr>
      <w:rFonts w:ascii="Arial" w:eastAsia="Times New Roman" w:hAnsi="Arial" w:cs="Arial"/>
      <w:b/>
      <w:bCs/>
      <w:sz w:val="16"/>
      <w:szCs w:val="16"/>
    </w:rPr>
  </w:style>
  <w:style w:type="paragraph" w:customStyle="1" w:styleId="CCDSTableText10Cntrd">
    <w:name w:val="CCDS Table Text 10 Cntrd"/>
    <w:basedOn w:val="Normal"/>
    <w:qFormat/>
    <w:rsid w:val="00277C38"/>
    <w:pPr>
      <w:spacing w:before="60" w:after="60" w:line="240" w:lineRule="auto"/>
      <w:jc w:val="center"/>
    </w:pPr>
    <w:rPr>
      <w:rFonts w:ascii="Times New Roman" w:eastAsia="Times New Roman" w:hAnsi="Times New Roman" w:cs="Times New Roman"/>
      <w:sz w:val="20"/>
      <w:szCs w:val="24"/>
    </w:rPr>
  </w:style>
  <w:style w:type="paragraph" w:customStyle="1" w:styleId="CCDSADRTableTextCentered8">
    <w:name w:val="CCDS ADR Table Text Centered 8"/>
    <w:basedOn w:val="TableTextCenter"/>
    <w:qFormat/>
    <w:rsid w:val="00277C38"/>
    <w:rPr>
      <w:sz w:val="16"/>
    </w:rPr>
  </w:style>
  <w:style w:type="paragraph" w:customStyle="1" w:styleId="TableColumnHeading">
    <w:name w:val="Table Column Heading"/>
    <w:basedOn w:val="Normal"/>
    <w:rsid w:val="00277C38"/>
    <w:pPr>
      <w:keepNext/>
      <w:spacing w:before="60" w:after="60" w:line="240" w:lineRule="auto"/>
      <w:jc w:val="center"/>
    </w:pPr>
    <w:rPr>
      <w:rFonts w:ascii="Times New Roman" w:eastAsia="Times New Roman" w:hAnsi="Times New Roman" w:cs="Times New Roman"/>
      <w:b/>
      <w:sz w:val="20"/>
      <w:szCs w:val="24"/>
    </w:rPr>
  </w:style>
  <w:style w:type="paragraph" w:customStyle="1" w:styleId="CCDSADRTblTxtLftJust8">
    <w:name w:val="CCDS ADR Tbl Txt Lft Just 8"/>
    <w:basedOn w:val="CCDSADRTableTextCentered8"/>
    <w:qFormat/>
    <w:rsid w:val="00277C38"/>
    <w:pPr>
      <w:jc w:val="left"/>
    </w:pPr>
  </w:style>
  <w:style w:type="paragraph" w:styleId="NormalWeb">
    <w:name w:val="Normal (Web)"/>
    <w:basedOn w:val="Normal"/>
    <w:uiPriority w:val="99"/>
    <w:unhideWhenUsed/>
    <w:rsid w:val="00277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STableText10">
    <w:name w:val="CCDS Table Text 10"/>
    <w:basedOn w:val="Normal"/>
    <w:qFormat/>
    <w:rsid w:val="00277C38"/>
    <w:pPr>
      <w:spacing w:before="60" w:after="60" w:line="240" w:lineRule="auto"/>
    </w:pPr>
    <w:rPr>
      <w:rFonts w:ascii="Times New Roman" w:eastAsia="Times New Roman" w:hAnsi="Times New Roman" w:cs="Times New Roman"/>
      <w:sz w:val="20"/>
      <w:szCs w:val="24"/>
    </w:rPr>
  </w:style>
  <w:style w:type="paragraph" w:customStyle="1" w:styleId="CCDSSecondarySubheader">
    <w:name w:val="CCDS Secondary Subheader"/>
    <w:basedOn w:val="Normal"/>
    <w:qFormat/>
    <w:rsid w:val="00277C38"/>
    <w:pPr>
      <w:keepNext/>
      <w:spacing w:before="120" w:after="120" w:line="288" w:lineRule="auto"/>
    </w:pPr>
    <w:rPr>
      <w:rFonts w:ascii="Times New Roman" w:eastAsia="Batang" w:hAnsi="Times New Roman" w:cs="Times New Roman"/>
      <w:bCs/>
      <w:iCs/>
      <w:sz w:val="24"/>
      <w:szCs w:val="24"/>
      <w:u w:val="single"/>
    </w:rPr>
  </w:style>
  <w:style w:type="paragraph" w:customStyle="1" w:styleId="CCDSSubheader">
    <w:name w:val="CCDS Subheader"/>
    <w:basedOn w:val="CCDSRecommendedText"/>
    <w:rsid w:val="00277C38"/>
    <w:pPr>
      <w:keepNext/>
    </w:pPr>
    <w:rPr>
      <w:b/>
      <w:u w:val="single"/>
    </w:rPr>
  </w:style>
  <w:style w:type="paragraph" w:customStyle="1" w:styleId="CCDSTableFootnote9">
    <w:name w:val="CCDS Table Footnote 9"/>
    <w:basedOn w:val="Normal"/>
    <w:qFormat/>
    <w:rsid w:val="00277C38"/>
    <w:pPr>
      <w:spacing w:after="0" w:line="240" w:lineRule="auto"/>
      <w:ind w:left="720" w:hanging="153"/>
    </w:pPr>
    <w:rPr>
      <w:rFonts w:ascii="Times New Roman" w:eastAsia="Batang" w:hAnsi="Times New Roman" w:cs="Times New Roman"/>
      <w:sz w:val="18"/>
      <w:szCs w:val="18"/>
    </w:rPr>
  </w:style>
  <w:style w:type="paragraph" w:customStyle="1" w:styleId="Caption8">
    <w:name w:val="Caption8"/>
    <w:basedOn w:val="Caption"/>
    <w:next w:val="DocText"/>
    <w:rsid w:val="00277C38"/>
    <w:pPr>
      <w:keepNext/>
      <w:spacing w:before="120" w:after="120"/>
      <w:jc w:val="center"/>
    </w:pPr>
    <w:rPr>
      <w:rFonts w:ascii="Times New Roman" w:eastAsia="Times New Roman" w:hAnsi="Times New Roman" w:cs="Times New Roman"/>
      <w:b/>
      <w:bCs/>
      <w:i w:val="0"/>
      <w:iCs w:val="0"/>
      <w:color w:val="auto"/>
      <w:sz w:val="24"/>
      <w:szCs w:val="20"/>
    </w:rPr>
  </w:style>
  <w:style w:type="paragraph" w:customStyle="1" w:styleId="Legend">
    <w:name w:val="Legend"/>
    <w:next w:val="Normal"/>
    <w:uiPriority w:val="99"/>
    <w:rsid w:val="00277C38"/>
    <w:pPr>
      <w:spacing w:before="20" w:after="300" w:line="240" w:lineRule="auto"/>
      <w:ind w:left="360" w:hanging="360"/>
    </w:pPr>
    <w:rPr>
      <w:rFonts w:ascii="Times New Roman" w:eastAsia="SimSun" w:hAnsi="Times New Roman" w:cs="Times New Roman"/>
      <w:sz w:val="20"/>
      <w:szCs w:val="20"/>
      <w:lang w:val="en-US"/>
    </w:rPr>
  </w:style>
  <w:style w:type="paragraph" w:customStyle="1" w:styleId="CCDSMandatoryInformation">
    <w:name w:val="CCDS Mandatory Information"/>
    <w:basedOn w:val="Normal"/>
    <w:rsid w:val="00277C38"/>
    <w:pPr>
      <w:spacing w:before="120" w:after="0" w:line="288" w:lineRule="auto"/>
    </w:pPr>
    <w:rPr>
      <w:rFonts w:ascii="Times New Roman" w:eastAsia="Batang" w:hAnsi="Times New Roman" w:cs="Times New Roman"/>
      <w:b/>
      <w:sz w:val="24"/>
      <w:szCs w:val="24"/>
      <w:lang w:val="en-US"/>
    </w:rPr>
  </w:style>
  <w:style w:type="paragraph" w:customStyle="1" w:styleId="CCDSMandatoryInformationbullet">
    <w:name w:val="CCDS Mandatory Information bullet"/>
    <w:basedOn w:val="Normal"/>
    <w:rsid w:val="00277C38"/>
    <w:pPr>
      <w:numPr>
        <w:numId w:val="4"/>
      </w:numPr>
      <w:tabs>
        <w:tab w:val="left" w:pos="936"/>
      </w:tabs>
      <w:spacing w:after="0" w:line="288" w:lineRule="auto"/>
    </w:pPr>
    <w:rPr>
      <w:rFonts w:ascii="Times New Roman" w:eastAsia="Batang" w:hAnsi="Times New Roman" w:cs="Times New Roman"/>
      <w:b/>
      <w:sz w:val="24"/>
      <w:szCs w:val="24"/>
      <w:lang w:val="en-US"/>
    </w:rPr>
  </w:style>
  <w:style w:type="character" w:customStyle="1" w:styleId="apple-style-span">
    <w:name w:val="apple-style-span"/>
    <w:basedOn w:val="DefaultParagraphFont"/>
    <w:rsid w:val="00277C38"/>
  </w:style>
  <w:style w:type="paragraph" w:customStyle="1" w:styleId="C-BodyText">
    <w:name w:val="C-Body Text"/>
    <w:rsid w:val="00277C38"/>
    <w:pPr>
      <w:spacing w:before="180" w:after="120" w:line="280" w:lineRule="atLeast"/>
    </w:pPr>
    <w:rPr>
      <w:rFonts w:ascii="Times New Roman" w:eastAsia="Times New Roman" w:hAnsi="Times New Roman" w:cs="Times New Roman"/>
      <w:sz w:val="24"/>
      <w:szCs w:val="20"/>
      <w:lang w:val="en-US"/>
    </w:rPr>
  </w:style>
  <w:style w:type="paragraph" w:customStyle="1" w:styleId="StyleC-Footnote">
    <w:name w:val="Style C-Footnote +"/>
    <w:basedOn w:val="Normal"/>
    <w:rsid w:val="00277C38"/>
    <w:pPr>
      <w:tabs>
        <w:tab w:val="left" w:pos="144"/>
      </w:tabs>
      <w:spacing w:after="0" w:line="240" w:lineRule="auto"/>
    </w:pPr>
    <w:rPr>
      <w:rFonts w:ascii="Times New Roman" w:eastAsia="Times New Roman" w:hAnsi="Times New Roman" w:cs="Arial"/>
      <w:sz w:val="20"/>
      <w:szCs w:val="20"/>
      <w:lang w:val="en-US"/>
    </w:rPr>
  </w:style>
  <w:style w:type="character" w:customStyle="1" w:styleId="xbe">
    <w:name w:val="_xbe"/>
    <w:basedOn w:val="DefaultParagraphFont"/>
    <w:rsid w:val="00277C38"/>
  </w:style>
  <w:style w:type="paragraph" w:customStyle="1" w:styleId="C-Heading1nopagebreak">
    <w:name w:val="C-Heading 1 (no page break"/>
    <w:aliases w:val="non-numbered)"/>
    <w:basedOn w:val="Normal"/>
    <w:next w:val="C-BodyText"/>
    <w:rsid w:val="00277C38"/>
    <w:pPr>
      <w:keepNext/>
      <w:tabs>
        <w:tab w:val="left" w:pos="1080"/>
      </w:tabs>
      <w:spacing w:before="480" w:after="120" w:line="240" w:lineRule="auto"/>
      <w:ind w:left="1080" w:hanging="1080"/>
      <w:outlineLvl w:val="0"/>
    </w:pPr>
    <w:rPr>
      <w:rFonts w:ascii="Times New Roman" w:eastAsia="Times New Roman" w:hAnsi="Times New Roman" w:cs="Times New Roman"/>
      <w:b/>
      <w:caps/>
      <w:sz w:val="28"/>
      <w:szCs w:val="20"/>
      <w:lang w:val="en-US"/>
    </w:rPr>
  </w:style>
  <w:style w:type="paragraph" w:customStyle="1" w:styleId="C-Footnote">
    <w:name w:val="C-Footnote"/>
    <w:basedOn w:val="Normal"/>
    <w:qFormat/>
    <w:rsid w:val="00277C38"/>
    <w:pPr>
      <w:tabs>
        <w:tab w:val="left" w:pos="144"/>
      </w:tabs>
      <w:spacing w:after="0" w:line="240" w:lineRule="auto"/>
    </w:pPr>
    <w:rPr>
      <w:rFonts w:ascii="Times New Roman" w:eastAsia="Times New Roman" w:hAnsi="Times New Roman" w:cs="Arial"/>
      <w:sz w:val="20"/>
      <w:szCs w:val="20"/>
      <w:lang w:val="en-US"/>
    </w:rPr>
  </w:style>
  <w:style w:type="paragraph" w:customStyle="1" w:styleId="TableLeft">
    <w:name w:val="Table Left"/>
    <w:rsid w:val="00277C38"/>
    <w:pPr>
      <w:spacing w:after="60" w:line="240" w:lineRule="auto"/>
    </w:pPr>
    <w:rPr>
      <w:rFonts w:ascii="Times New Roman" w:eastAsia="Times New Roman" w:hAnsi="Times New Roman" w:cs="Arial"/>
      <w:bCs/>
      <w:kern w:val="32"/>
      <w:sz w:val="24"/>
      <w:szCs w:val="24"/>
      <w:lang w:val="en-US"/>
    </w:rPr>
  </w:style>
  <w:style w:type="table" w:customStyle="1" w:styleId="TableGrid1">
    <w:name w:val="Table Grid1"/>
    <w:basedOn w:val="TableNormal"/>
    <w:next w:val="TableGrid"/>
    <w:uiPriority w:val="59"/>
    <w:rsid w:val="00277C38"/>
    <w:pPr>
      <w:spacing w:after="0" w:line="240" w:lineRule="auto"/>
      <w:ind w:left="714" w:hanging="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semiHidden/>
    <w:rsid w:val="00115DEA"/>
    <w:rPr>
      <w:rFonts w:ascii="Times New Roman" w:eastAsia="Times New Roman" w:hAnsi="Times New Roman" w:cs="Times New Roman"/>
      <w:b/>
      <w:bCs/>
      <w:sz w:val="24"/>
      <w:szCs w:val="24"/>
    </w:rPr>
  </w:style>
  <w:style w:type="paragraph" w:styleId="BodyTextIndent3">
    <w:name w:val="Body Text Indent 3"/>
    <w:basedOn w:val="Normal"/>
    <w:link w:val="BodyTextIndent3Char"/>
    <w:semiHidden/>
    <w:rsid w:val="00115DEA"/>
    <w:pPr>
      <w:spacing w:after="0" w:line="240" w:lineRule="auto"/>
      <w:ind w:left="1620" w:hanging="90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semiHidden/>
    <w:rsid w:val="00115DEA"/>
    <w:rPr>
      <w:rFonts w:ascii="Times New Roman" w:eastAsia="Times New Roman" w:hAnsi="Times New Roman" w:cs="Times New Roman"/>
      <w:szCs w:val="24"/>
    </w:rPr>
  </w:style>
  <w:style w:type="paragraph" w:styleId="BodyTextIndent2">
    <w:name w:val="Body Text Indent 2"/>
    <w:basedOn w:val="Normal"/>
    <w:link w:val="BodyTextIndent2Char"/>
    <w:semiHidden/>
    <w:rsid w:val="00115DEA"/>
    <w:pPr>
      <w:spacing w:after="0" w:line="240" w:lineRule="auto"/>
      <w:ind w:left="72" w:hanging="72"/>
    </w:pPr>
    <w:rPr>
      <w:rFonts w:ascii="Times New Roman" w:eastAsia="Times New Roman" w:hAnsi="Times New Roman" w:cs="Times New Roman"/>
      <w:szCs w:val="24"/>
    </w:rPr>
  </w:style>
  <w:style w:type="paragraph" w:customStyle="1" w:styleId="CM1">
    <w:name w:val="CM1"/>
    <w:basedOn w:val="Default"/>
    <w:next w:val="Default"/>
    <w:rsid w:val="00115DEA"/>
    <w:pPr>
      <w:widowControl w:val="0"/>
      <w:spacing w:line="176" w:lineRule="atLeast"/>
    </w:pPr>
    <w:rPr>
      <w:rFonts w:ascii="Helvetica Linotype" w:eastAsia="Helvetica Linotype" w:hAnsi="Calibri" w:cs="Times New Roman"/>
      <w:color w:val="auto"/>
      <w:lang w:val="en-AU" w:eastAsia="zh-CN"/>
    </w:rPr>
  </w:style>
  <w:style w:type="paragraph" w:customStyle="1" w:styleId="CM33">
    <w:name w:val="CM33"/>
    <w:basedOn w:val="Default"/>
    <w:next w:val="Default"/>
    <w:rsid w:val="00115DEA"/>
    <w:pPr>
      <w:widowControl w:val="0"/>
      <w:spacing w:after="143"/>
    </w:pPr>
    <w:rPr>
      <w:rFonts w:ascii="Helvetica Linotype" w:eastAsia="Helvetica Linotype" w:hAnsi="Calibri" w:cs="Times New Roman"/>
      <w:color w:val="auto"/>
      <w:lang w:val="en-AU" w:eastAsia="zh-CN"/>
    </w:rPr>
  </w:style>
  <w:style w:type="paragraph" w:customStyle="1" w:styleId="Footnote">
    <w:name w:val="Footnote"/>
    <w:basedOn w:val="Normal"/>
    <w:uiPriority w:val="99"/>
    <w:rsid w:val="00115DEA"/>
    <w:pPr>
      <w:keepLines/>
      <w:tabs>
        <w:tab w:val="left" w:pos="288"/>
      </w:tabs>
      <w:spacing w:after="0" w:line="240" w:lineRule="auto"/>
      <w:ind w:left="288" w:hanging="288"/>
    </w:pPr>
    <w:rPr>
      <w:rFonts w:ascii="Times New Roman" w:eastAsia="Times New Roman" w:hAnsi="Times New Roman" w:cs="Times New Roman"/>
      <w:sz w:val="20"/>
      <w:szCs w:val="20"/>
    </w:rPr>
  </w:style>
  <w:style w:type="paragraph" w:customStyle="1" w:styleId="TableHeadings">
    <w:name w:val="Table Headings"/>
    <w:basedOn w:val="Normal"/>
    <w:rsid w:val="00115DEA"/>
    <w:pPr>
      <w:keepNext/>
      <w:tabs>
        <w:tab w:val="left" w:pos="720"/>
      </w:tabs>
      <w:spacing w:before="20" w:after="20" w:line="288" w:lineRule="auto"/>
      <w:jc w:val="center"/>
    </w:pPr>
    <w:rPr>
      <w:rFonts w:ascii="Times New Roman" w:eastAsia="Times New Roman" w:hAnsi="Times New Roman" w:cs="Times New Roman"/>
      <w:b/>
      <w:sz w:val="20"/>
      <w:szCs w:val="20"/>
    </w:rPr>
  </w:style>
  <w:style w:type="paragraph" w:customStyle="1" w:styleId="Caption4">
    <w:name w:val="Caption4"/>
    <w:basedOn w:val="Caption"/>
    <w:next w:val="DocText"/>
    <w:rsid w:val="00115DEA"/>
    <w:pPr>
      <w:keepNext/>
      <w:spacing w:before="120" w:after="120"/>
      <w:jc w:val="center"/>
    </w:pPr>
    <w:rPr>
      <w:rFonts w:ascii="Times New Roman" w:eastAsia="Times New Roman" w:hAnsi="Times New Roman" w:cs="Times New Roman"/>
      <w:b/>
      <w:bCs/>
      <w:i w:val="0"/>
      <w:iCs w:val="0"/>
      <w:color w:val="auto"/>
      <w:sz w:val="24"/>
      <w:szCs w:val="20"/>
    </w:rPr>
  </w:style>
  <w:style w:type="paragraph" w:customStyle="1" w:styleId="TableParagraph">
    <w:name w:val="Table Paragraph"/>
    <w:basedOn w:val="Normal"/>
    <w:uiPriority w:val="1"/>
    <w:qFormat/>
    <w:rsid w:val="00115DEA"/>
    <w:pPr>
      <w:autoSpaceDE w:val="0"/>
      <w:autoSpaceDN w:val="0"/>
      <w:adjustRightInd w:val="0"/>
      <w:spacing w:after="0" w:line="240" w:lineRule="auto"/>
    </w:pPr>
    <w:rPr>
      <w:rFonts w:ascii="Times New Roman" w:eastAsia="Times New Roman" w:hAnsi="Times New Roman" w:cs="Arial"/>
      <w:sz w:val="24"/>
      <w:szCs w:val="24"/>
      <w:lang w:eastAsia="en-AU"/>
    </w:rPr>
  </w:style>
  <w:style w:type="character" w:customStyle="1" w:styleId="a">
    <w:name w:val="À&quot;À"/>
    <w:rsid w:val="00115DEA"/>
  </w:style>
  <w:style w:type="paragraph" w:customStyle="1" w:styleId="NormalPIheadings">
    <w:name w:val="Normal PI headings"/>
    <w:basedOn w:val="Normal"/>
    <w:qFormat/>
    <w:rsid w:val="00115DEA"/>
    <w:pPr>
      <w:spacing w:after="0" w:line="240" w:lineRule="auto"/>
      <w:jc w:val="both"/>
    </w:pPr>
    <w:rPr>
      <w:rFonts w:ascii="Times New Roman" w:eastAsia="Times New Roman" w:hAnsi="Times New Roman" w:cs="Times New Roman"/>
      <w:b/>
      <w:sz w:val="28"/>
      <w:szCs w:val="24"/>
    </w:rPr>
  </w:style>
  <w:style w:type="character" w:customStyle="1" w:styleId="PlainTextChar">
    <w:name w:val="Plain Text Char"/>
    <w:basedOn w:val="DefaultParagraphFont"/>
    <w:link w:val="PlainText"/>
    <w:uiPriority w:val="99"/>
    <w:semiHidden/>
    <w:rsid w:val="00115DEA"/>
    <w:rPr>
      <w:rFonts w:ascii="Consolas" w:eastAsia="Times New Roman" w:hAnsi="Consolas" w:cs="Consolas"/>
      <w:sz w:val="21"/>
      <w:szCs w:val="21"/>
    </w:rPr>
  </w:style>
  <w:style w:type="paragraph" w:styleId="PlainText">
    <w:name w:val="Plain Text"/>
    <w:basedOn w:val="Normal"/>
    <w:link w:val="PlainTextChar"/>
    <w:uiPriority w:val="99"/>
    <w:semiHidden/>
    <w:unhideWhenUsed/>
    <w:rsid w:val="00115DEA"/>
    <w:pPr>
      <w:spacing w:after="0" w:line="240" w:lineRule="auto"/>
    </w:pPr>
    <w:rPr>
      <w:rFonts w:ascii="Consolas" w:eastAsia="Times New Roman" w:hAnsi="Consolas" w:cs="Consolas"/>
      <w:sz w:val="21"/>
      <w:szCs w:val="21"/>
    </w:rPr>
  </w:style>
  <w:style w:type="character" w:customStyle="1" w:styleId="A5">
    <w:name w:val="A5"/>
    <w:uiPriority w:val="99"/>
    <w:rsid w:val="00DF694E"/>
    <w:rPr>
      <w:rFonts w:cs="Frutiger 47LightCn"/>
      <w:color w:val="000000"/>
      <w:sz w:val="12"/>
      <w:szCs w:val="12"/>
    </w:rPr>
  </w:style>
  <w:style w:type="character" w:customStyle="1" w:styleId="italics5">
    <w:name w:val="italics5"/>
    <w:rsid w:val="00DF694E"/>
    <w:rPr>
      <w:i/>
      <w:iCs/>
    </w:rPr>
  </w:style>
  <w:style w:type="character" w:customStyle="1" w:styleId="bold4">
    <w:name w:val="bold4"/>
    <w:rsid w:val="00DF694E"/>
    <w:rPr>
      <w:b/>
      <w:bCs/>
      <w:i w:val="0"/>
      <w:iCs w:val="0"/>
    </w:rPr>
  </w:style>
  <w:style w:type="paragraph" w:customStyle="1" w:styleId="WPDefaults">
    <w:name w:val="WP Defaults"/>
    <w:uiPriority w:val="99"/>
    <w:rsid w:val="00DF69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SimSun" w:hAnsi="Chicago" w:cs="Times New Roman"/>
      <w:sz w:val="24"/>
      <w:szCs w:val="20"/>
      <w:lang w:val="en-US"/>
    </w:rPr>
  </w:style>
  <w:style w:type="paragraph" w:customStyle="1" w:styleId="BulletList">
    <w:name w:val="Bullet List"/>
    <w:basedOn w:val="Normal"/>
    <w:uiPriority w:val="99"/>
    <w:rsid w:val="00DF694E"/>
    <w:pPr>
      <w:numPr>
        <w:numId w:val="7"/>
      </w:numPr>
      <w:spacing w:after="120" w:line="480" w:lineRule="auto"/>
      <w:jc w:val="both"/>
    </w:pPr>
    <w:rPr>
      <w:rFonts w:ascii="Times New Roman" w:eastAsia="SimSun" w:hAnsi="Times New Roman" w:cs="Times New Roman"/>
      <w:sz w:val="24"/>
      <w:szCs w:val="24"/>
      <w:lang w:val="en-US"/>
    </w:rPr>
  </w:style>
  <w:style w:type="paragraph" w:customStyle="1" w:styleId="Pa13">
    <w:name w:val="Pa13"/>
    <w:basedOn w:val="Default"/>
    <w:next w:val="Default"/>
    <w:uiPriority w:val="99"/>
    <w:rsid w:val="00DF694E"/>
    <w:pPr>
      <w:spacing w:line="125" w:lineRule="atLeast"/>
    </w:pPr>
    <w:rPr>
      <w:rFonts w:ascii="HelveticaNeue Condensed" w:eastAsia="SimSun" w:hAnsi="HelveticaNeue Condensed" w:cs="Times New Roman"/>
      <w:color w:val="auto"/>
      <w:lang w:val="en-US" w:eastAsia="en-AU"/>
    </w:rPr>
  </w:style>
  <w:style w:type="character" w:customStyle="1" w:styleId="A4">
    <w:name w:val="A4"/>
    <w:uiPriority w:val="99"/>
    <w:rsid w:val="00DF694E"/>
    <w:rPr>
      <w:rFonts w:cs="HelveticaNeue Condensed"/>
      <w:b/>
      <w:bCs/>
      <w:color w:val="000000"/>
      <w:sz w:val="14"/>
      <w:szCs w:val="14"/>
    </w:rPr>
  </w:style>
  <w:style w:type="paragraph" w:styleId="TOC4">
    <w:name w:val="toc 4"/>
    <w:basedOn w:val="Normal"/>
    <w:next w:val="Normal"/>
    <w:autoRedefine/>
    <w:uiPriority w:val="99"/>
    <w:semiHidden/>
    <w:rsid w:val="00DF694E"/>
    <w:pPr>
      <w:tabs>
        <w:tab w:val="right" w:leader="dot" w:pos="8626"/>
      </w:tabs>
      <w:spacing w:after="0" w:line="240" w:lineRule="auto"/>
      <w:ind w:left="1454" w:hanging="720"/>
    </w:pPr>
    <w:rPr>
      <w:rFonts w:ascii="Times New Roman" w:eastAsia="Times New Roman" w:hAnsi="Times New Roman" w:cs="Times New Roman"/>
      <w:b/>
      <w:noProof/>
      <w:sz w:val="24"/>
      <w:szCs w:val="24"/>
      <w:lang w:val="en-US"/>
    </w:rPr>
  </w:style>
  <w:style w:type="paragraph" w:customStyle="1" w:styleId="Reference">
    <w:name w:val="Reference"/>
    <w:basedOn w:val="Normal"/>
    <w:uiPriority w:val="99"/>
    <w:rsid w:val="00DF694E"/>
    <w:pPr>
      <w:keepLines/>
      <w:numPr>
        <w:numId w:val="8"/>
      </w:numPr>
      <w:spacing w:after="240" w:line="288"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B82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08759">
      <w:bodyDiv w:val="1"/>
      <w:marLeft w:val="0"/>
      <w:marRight w:val="0"/>
      <w:marTop w:val="0"/>
      <w:marBottom w:val="0"/>
      <w:divBdr>
        <w:top w:val="none" w:sz="0" w:space="0" w:color="auto"/>
        <w:left w:val="none" w:sz="0" w:space="0" w:color="auto"/>
        <w:bottom w:val="none" w:sz="0" w:space="0" w:color="auto"/>
        <w:right w:val="none" w:sz="0" w:space="0" w:color="auto"/>
      </w:divBdr>
      <w:divsChild>
        <w:div w:id="1975332138">
          <w:marLeft w:val="0"/>
          <w:marRight w:val="0"/>
          <w:marTop w:val="0"/>
          <w:marBottom w:val="0"/>
          <w:divBdr>
            <w:top w:val="none" w:sz="0" w:space="0" w:color="auto"/>
            <w:left w:val="none" w:sz="0" w:space="0" w:color="auto"/>
            <w:bottom w:val="none" w:sz="0" w:space="0" w:color="auto"/>
            <w:right w:val="none" w:sz="0" w:space="0" w:color="auto"/>
          </w:divBdr>
        </w:div>
      </w:divsChild>
    </w:div>
    <w:div w:id="1632595822">
      <w:bodyDiv w:val="1"/>
      <w:marLeft w:val="0"/>
      <w:marRight w:val="0"/>
      <w:marTop w:val="0"/>
      <w:marBottom w:val="0"/>
      <w:divBdr>
        <w:top w:val="none" w:sz="0" w:space="0" w:color="auto"/>
        <w:left w:val="none" w:sz="0" w:space="0" w:color="auto"/>
        <w:bottom w:val="none" w:sz="0" w:space="0" w:color="auto"/>
        <w:right w:val="none" w:sz="0" w:space="0" w:color="auto"/>
      </w:divBdr>
      <w:divsChild>
        <w:div w:id="271979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keda.com/en-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019D0395B22468AF005862697DE1F" ma:contentTypeVersion="14" ma:contentTypeDescription="Create a new document." ma:contentTypeScope="" ma:versionID="d5b7cdda89d7bb8e200c924b6cce933d">
  <xsd:schema xmlns:xsd="http://www.w3.org/2001/XMLSchema" xmlns:xs="http://www.w3.org/2001/XMLSchema" xmlns:p="http://schemas.microsoft.com/office/2006/metadata/properties" xmlns:ns2="45b8674b-ae8a-4434-956f-895f4d4198ad" xmlns:ns3="3df95d23-41db-460c-b105-cf57e1e472b3" targetNamespace="http://schemas.microsoft.com/office/2006/metadata/properties" ma:root="true" ma:fieldsID="15d16bb0da6ccb093c497882b6de1f5e" ns2:_="" ns3:_="">
    <xsd:import namespace="45b8674b-ae8a-4434-956f-895f4d4198ad"/>
    <xsd:import namespace="3df95d23-41db-460c-b105-cf57e1e472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674b-ae8a-4434-956f-895f4d4198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5d23-41db-460c-b105-cf57e1e472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D579-B517-40EA-9298-27FCE85A0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674b-ae8a-4434-956f-895f4d4198ad"/>
    <ds:schemaRef ds:uri="3df95d23-41db-460c-b105-cf57e1e4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0F589-D786-4A9A-B3B6-9D569D4F1E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F4443-5B2A-4F8E-9521-5477BC158277}">
  <ds:schemaRefs>
    <ds:schemaRef ds:uri="http://schemas.microsoft.com/sharepoint/v3/contenttype/forms"/>
  </ds:schemaRefs>
</ds:datastoreItem>
</file>

<file path=customXml/itemProps4.xml><?xml version="1.0" encoding="utf-8"?>
<ds:datastoreItem xmlns:ds="http://schemas.openxmlformats.org/officeDocument/2006/customXml" ds:itemID="{8549D49F-B32B-4C4B-86C6-99A759FA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30</Pages>
  <Words>11385</Words>
  <Characters>64899</Characters>
  <Application>Microsoft Office Word</Application>
  <DocSecurity>0</DocSecurity>
  <Lines>2496</Lines>
  <Paragraphs>1495</Paragraphs>
  <ScaleCrop>false</ScaleCrop>
  <HeadingPairs>
    <vt:vector size="2" baseType="variant">
      <vt:variant>
        <vt:lpstr>Title</vt:lpstr>
      </vt:variant>
      <vt:variant>
        <vt:i4>1</vt:i4>
      </vt:variant>
    </vt:vector>
  </HeadingPairs>
  <TitlesOfParts>
    <vt:vector size="1" baseType="lpstr">
      <vt:lpstr>Attachment: Product information for Normal immunoglobulin (human)</vt:lpstr>
    </vt:vector>
  </TitlesOfParts>
  <Company>Takeda Pharmaceuticals Australia Pty Ltd</Company>
  <LinksUpToDate>false</LinksUpToDate>
  <CharactersWithSpaces>74789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Normal immunoglobulin (human)</dc:title>
  <dc:subject>prescription medicines</dc:subject>
  <dc:creator>Takeda Pharmaceuticals Australia Pty Ltd</dc:creator>
  <cp:lastPrinted>2021-12-02T02:31:00Z</cp:lastPrinted>
  <dcterms:created xsi:type="dcterms:W3CDTF">2021-12-02T01:05:00Z</dcterms:created>
  <dcterms:modified xsi:type="dcterms:W3CDTF">2021-12-02T02:42:00Z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0x01010091E019D0395B22468AF005862697DE1F</vt:lpwstr>
  </property>
</Properties>
</file>