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82B" w:rsidRPr="00AC1A1E" w:rsidRDefault="0067482B" w:rsidP="00D36C15">
      <w:pPr>
        <w:pStyle w:val="Title"/>
        <w:spacing w:after="240"/>
        <w:jc w:val="left"/>
        <w:rPr>
          <w:rFonts w:ascii="Times New Roman" w:hAnsi="Times New Roman" w:cs="Times New Roman"/>
          <w:sz w:val="24"/>
          <w:szCs w:val="24"/>
        </w:rPr>
      </w:pPr>
      <w:bookmarkStart w:id="0" w:name="_GoBack"/>
      <w:bookmarkEnd w:id="0"/>
      <w:r w:rsidRPr="00AC1A1E">
        <w:rPr>
          <w:rFonts w:ascii="Times New Roman" w:hAnsi="Times New Roman" w:cs="Times New Roman"/>
          <w:sz w:val="24"/>
          <w:szCs w:val="24"/>
        </w:rPr>
        <w:t>Product Information</w:t>
      </w:r>
    </w:p>
    <w:p w:rsidR="0067482B" w:rsidRPr="00986571" w:rsidRDefault="0067482B" w:rsidP="00D36C15">
      <w:pPr>
        <w:pStyle w:val="Heading1"/>
        <w:numPr>
          <w:ilvl w:val="0"/>
          <w:numId w:val="0"/>
        </w:numPr>
        <w:ind w:left="1152" w:hanging="1152"/>
        <w:rPr>
          <w:lang w:val="en-AU"/>
        </w:rPr>
      </w:pPr>
      <w:proofErr w:type="spellStart"/>
      <w:r w:rsidRPr="00986571">
        <w:t>Hizentra</w:t>
      </w:r>
      <w:proofErr w:type="spellEnd"/>
      <w:r w:rsidRPr="00986571">
        <w:rPr>
          <w:vertAlign w:val="superscript"/>
        </w:rPr>
        <w:t>®</w:t>
      </w:r>
    </w:p>
    <w:p w:rsidR="0067482B" w:rsidRPr="00C93574" w:rsidRDefault="0067482B" w:rsidP="00C93574">
      <w:pPr>
        <w:pStyle w:val="DocumentText"/>
        <w:rPr>
          <w:b/>
        </w:rPr>
      </w:pPr>
      <w:r w:rsidRPr="00C93574">
        <w:rPr>
          <w:b/>
          <w:lang w:val="en-AU"/>
        </w:rPr>
        <w:t>Australia</w:t>
      </w:r>
    </w:p>
    <w:p w:rsidR="0067482B" w:rsidRPr="002C3F86" w:rsidRDefault="0067482B" w:rsidP="00FE7827">
      <w:pPr>
        <w:pStyle w:val="Heading2"/>
        <w:numPr>
          <w:ilvl w:val="0"/>
          <w:numId w:val="0"/>
        </w:numPr>
        <w:ind w:left="1411" w:hanging="1411"/>
        <w:jc w:val="both"/>
      </w:pPr>
      <w:r w:rsidRPr="002C3F86">
        <w:rPr>
          <w:lang w:val="en-AU"/>
        </w:rPr>
        <w:t>NAME OF THE MEDICINE</w:t>
      </w:r>
    </w:p>
    <w:p w:rsidR="0067482B" w:rsidRPr="0067482B" w:rsidRDefault="0067482B" w:rsidP="00332228">
      <w:pPr>
        <w:pStyle w:val="DocumentText"/>
      </w:pPr>
      <w:proofErr w:type="gramStart"/>
      <w:r w:rsidRPr="0067482B">
        <w:t>Normal</w:t>
      </w:r>
      <w:r w:rsidR="00B54457">
        <w:t> </w:t>
      </w:r>
      <w:r w:rsidRPr="0067482B">
        <w:t>immunoglobulin</w:t>
      </w:r>
      <w:r w:rsidR="00B54457">
        <w:t> </w:t>
      </w:r>
      <w:r w:rsidRPr="0067482B">
        <w:t>(Human)</w:t>
      </w:r>
      <w:r w:rsidR="00B54457">
        <w:t> </w:t>
      </w:r>
      <w:r w:rsidRPr="0067482B">
        <w:t>20% (20</w:t>
      </w:r>
      <w:r w:rsidR="00B54457">
        <w:t> </w:t>
      </w:r>
      <w:r w:rsidRPr="0067482B">
        <w:t>g/100</w:t>
      </w:r>
      <w:r w:rsidR="00B54457">
        <w:t> </w:t>
      </w:r>
      <w:r w:rsidRPr="0067482B">
        <w:t>mL), subcutaneous injection</w:t>
      </w:r>
      <w:r w:rsidR="00986571">
        <w:t>.</w:t>
      </w:r>
      <w:proofErr w:type="gramEnd"/>
    </w:p>
    <w:p w:rsidR="0067482B" w:rsidRPr="00D05D94" w:rsidRDefault="0067482B" w:rsidP="00131556">
      <w:pPr>
        <w:pStyle w:val="Heading2"/>
        <w:numPr>
          <w:ilvl w:val="0"/>
          <w:numId w:val="0"/>
        </w:numPr>
        <w:ind w:left="1404" w:hanging="1404"/>
        <w:rPr>
          <w:caps/>
          <w:lang w:val="en-AU"/>
        </w:rPr>
      </w:pPr>
      <w:r w:rsidRPr="00D05D94">
        <w:rPr>
          <w:caps/>
          <w:lang w:val="en-AU"/>
        </w:rPr>
        <w:t>DESCRIPTION</w:t>
      </w:r>
    </w:p>
    <w:p w:rsidR="0067482B" w:rsidRPr="0067482B" w:rsidRDefault="0067482B" w:rsidP="00D05D94">
      <w:pPr>
        <w:pStyle w:val="DocumentText"/>
      </w:pPr>
      <w:proofErr w:type="spellStart"/>
      <w:r w:rsidRPr="0067482B">
        <w:t>Hizentra</w:t>
      </w:r>
      <w:proofErr w:type="spellEnd"/>
      <w:r w:rsidR="003C4DAE">
        <w:rPr>
          <w:vertAlign w:val="superscript"/>
        </w:rPr>
        <w:t>®</w:t>
      </w:r>
      <w:r w:rsidRPr="0067482B">
        <w:t xml:space="preserve"> is a sterile, clear and colourless or pale yellow or light brown solution of human normal immunoglobulin for subcutaneous injection.</w:t>
      </w:r>
    </w:p>
    <w:p w:rsidR="0067482B" w:rsidRPr="0067482B" w:rsidRDefault="0067482B" w:rsidP="00B54457">
      <w:pPr>
        <w:pStyle w:val="DocumentText"/>
      </w:pPr>
      <w:proofErr w:type="spellStart"/>
      <w:r w:rsidRPr="0067482B">
        <w:t>Hizentra</w:t>
      </w:r>
      <w:proofErr w:type="spellEnd"/>
      <w:r w:rsidR="001854D0">
        <w:rPr>
          <w:vertAlign w:val="superscript"/>
        </w:rPr>
        <w:t>®</w:t>
      </w:r>
      <w:r w:rsidRPr="0067482B">
        <w:t xml:space="preserve"> is a 20% solution containing 20</w:t>
      </w:r>
      <w:r w:rsidR="00986571">
        <w:t> </w:t>
      </w:r>
      <w:r w:rsidRPr="0067482B">
        <w:t>g/100</w:t>
      </w:r>
      <w:r w:rsidR="00986571">
        <w:t> </w:t>
      </w:r>
      <w:r w:rsidRPr="0067482B">
        <w:t>mL of total human plasma protein with a purity of at least 98% immunoglobulin</w:t>
      </w:r>
      <w:r w:rsidR="00B54457">
        <w:t> </w:t>
      </w:r>
      <w:r w:rsidRPr="0067482B">
        <w:t>G</w:t>
      </w:r>
      <w:r w:rsidR="00B54457">
        <w:t> </w:t>
      </w:r>
      <w:r w:rsidRPr="0067482B">
        <w:t>(IgG). More than 90% of the IgG consists of monomers and dimers, aggregates (</w:t>
      </w:r>
      <w:r w:rsidR="00790894">
        <w:t>≤</w:t>
      </w:r>
      <w:r w:rsidRPr="0067482B">
        <w:t>2%</w:t>
      </w:r>
      <w:r w:rsidR="00790894">
        <w:t>–</w:t>
      </w:r>
      <w:r w:rsidRPr="0067482B">
        <w:t>typically below 0.1%). The distribution of the IgG subclasses is similar to that found in normal human plasma (approximate mean values: 68%</w:t>
      </w:r>
      <w:r w:rsidR="00CE5CA7">
        <w:t> </w:t>
      </w:r>
      <w:r w:rsidRPr="0067482B">
        <w:t>IgG</w:t>
      </w:r>
      <w:r w:rsidRPr="0067482B">
        <w:rPr>
          <w:vertAlign w:val="subscript"/>
        </w:rPr>
        <w:t>1</w:t>
      </w:r>
      <w:r w:rsidRPr="0067482B">
        <w:t>, 27% IgG</w:t>
      </w:r>
      <w:r w:rsidRPr="0067482B">
        <w:rPr>
          <w:vertAlign w:val="subscript"/>
        </w:rPr>
        <w:t>2</w:t>
      </w:r>
      <w:r w:rsidRPr="0067482B">
        <w:t>, 3% IgG</w:t>
      </w:r>
      <w:r w:rsidRPr="0067482B">
        <w:rPr>
          <w:vertAlign w:val="subscript"/>
        </w:rPr>
        <w:t>3</w:t>
      </w:r>
      <w:r w:rsidRPr="0067482B">
        <w:t xml:space="preserve">, </w:t>
      </w:r>
      <w:proofErr w:type="gramStart"/>
      <w:r w:rsidRPr="0067482B">
        <w:t>2</w:t>
      </w:r>
      <w:proofErr w:type="gramEnd"/>
      <w:r w:rsidRPr="0067482B">
        <w:t>% IgG</w:t>
      </w:r>
      <w:r w:rsidRPr="0067482B">
        <w:rPr>
          <w:vertAlign w:val="subscript"/>
        </w:rPr>
        <w:t>4</w:t>
      </w:r>
      <w:r w:rsidRPr="0067482B">
        <w:t>).</w:t>
      </w:r>
    </w:p>
    <w:p w:rsidR="0067482B" w:rsidRPr="0067482B" w:rsidRDefault="0067482B" w:rsidP="00D05D94">
      <w:pPr>
        <w:pStyle w:val="DocumentText"/>
      </w:pPr>
      <w:proofErr w:type="spellStart"/>
      <w:r w:rsidRPr="0067482B">
        <w:t>Hizentra</w:t>
      </w:r>
      <w:proofErr w:type="spellEnd"/>
      <w:r w:rsidR="006C3DB6">
        <w:rPr>
          <w:vertAlign w:val="superscript"/>
        </w:rPr>
        <w:t>®</w:t>
      </w:r>
      <w:r w:rsidRPr="0067482B">
        <w:t xml:space="preserve"> has a nominal osmolality </w:t>
      </w:r>
      <w:proofErr w:type="gramStart"/>
      <w:r w:rsidRPr="0067482B">
        <w:t>of 380</w:t>
      </w:r>
      <w:r w:rsidR="00986571">
        <w:t> </w:t>
      </w:r>
      <w:proofErr w:type="spellStart"/>
      <w:r w:rsidRPr="0067482B">
        <w:t>mOsmol</w:t>
      </w:r>
      <w:proofErr w:type="spellEnd"/>
      <w:r w:rsidRPr="0067482B">
        <w:t>/kg</w:t>
      </w:r>
      <w:proofErr w:type="gramEnd"/>
      <w:r w:rsidRPr="0067482B">
        <w:t xml:space="preserve"> and is approximately isotonic. The pH value of the ready</w:t>
      </w:r>
      <w:r w:rsidR="00E27351">
        <w:noBreakHyphen/>
      </w:r>
      <w:r w:rsidRPr="0067482B">
        <w:t>to</w:t>
      </w:r>
      <w:r w:rsidR="00E27351">
        <w:noBreakHyphen/>
      </w:r>
      <w:r w:rsidRPr="0067482B">
        <w:t>use solution is 4.8. The product contains 250</w:t>
      </w:r>
      <w:r w:rsidR="00986571">
        <w:t> </w:t>
      </w:r>
      <w:r w:rsidRPr="0067482B">
        <w:t xml:space="preserve">mmol/L of </w:t>
      </w:r>
      <w:proofErr w:type="spellStart"/>
      <w:r w:rsidR="001D4660">
        <w:t>p</w:t>
      </w:r>
      <w:r w:rsidRPr="00E864FC">
        <w:t>roline</w:t>
      </w:r>
      <w:proofErr w:type="spellEnd"/>
      <w:r w:rsidRPr="0067482B">
        <w:t xml:space="preserve"> as a </w:t>
      </w:r>
      <w:proofErr w:type="spellStart"/>
      <w:r w:rsidRPr="0067482B">
        <w:t>stabiliser</w:t>
      </w:r>
      <w:proofErr w:type="spellEnd"/>
      <w:r w:rsidRPr="0067482B">
        <w:t xml:space="preserve"> which is a physiological non</w:t>
      </w:r>
      <w:r w:rsidR="00E27351">
        <w:noBreakHyphen/>
      </w:r>
      <w:r w:rsidRPr="0067482B">
        <w:t>essential amino acid. The product also contains trace amounts of Polysorbate</w:t>
      </w:r>
      <w:r w:rsidR="00B54457">
        <w:t> </w:t>
      </w:r>
      <w:r w:rsidRPr="0067482B">
        <w:t xml:space="preserve">80 and sodium. </w:t>
      </w:r>
      <w:proofErr w:type="spellStart"/>
      <w:r w:rsidRPr="0067482B">
        <w:t>Hizentra</w:t>
      </w:r>
      <w:proofErr w:type="spellEnd"/>
      <w:r w:rsidR="009974FF">
        <w:rPr>
          <w:vertAlign w:val="superscript"/>
        </w:rPr>
        <w:t>®</w:t>
      </w:r>
      <w:r w:rsidRPr="0067482B">
        <w:t xml:space="preserve"> contains no carbohydrate </w:t>
      </w:r>
      <w:proofErr w:type="spellStart"/>
      <w:r w:rsidRPr="0067482B">
        <w:t>stabiliser</w:t>
      </w:r>
      <w:proofErr w:type="spellEnd"/>
      <w:r w:rsidRPr="0067482B">
        <w:t xml:space="preserve"> (e.g. sucrose, maltose) and no preservative.</w:t>
      </w:r>
    </w:p>
    <w:p w:rsidR="0067482B" w:rsidRPr="0067482B" w:rsidRDefault="0067482B" w:rsidP="00D05D94">
      <w:pPr>
        <w:pStyle w:val="DocumentText"/>
      </w:pPr>
      <w:r w:rsidRPr="0067482B">
        <w:t>The maximum IgA content is 0.05</w:t>
      </w:r>
      <w:r w:rsidR="00986571">
        <w:t> </w:t>
      </w:r>
      <w:r w:rsidRPr="0067482B">
        <w:t>mg/mL (normally below 0.005</w:t>
      </w:r>
      <w:r w:rsidR="00986571">
        <w:t> </w:t>
      </w:r>
      <w:r w:rsidRPr="0067482B">
        <w:t>mg/mL).</w:t>
      </w:r>
    </w:p>
    <w:p w:rsidR="0067482B" w:rsidRPr="0067482B" w:rsidRDefault="0067482B" w:rsidP="00D05D94">
      <w:pPr>
        <w:pStyle w:val="DocumentText"/>
      </w:pPr>
      <w:r w:rsidRPr="0067482B">
        <w:t xml:space="preserve">The manufacturing process for </w:t>
      </w:r>
      <w:proofErr w:type="spellStart"/>
      <w:r w:rsidRPr="0067482B">
        <w:t>Hizentra</w:t>
      </w:r>
      <w:proofErr w:type="spellEnd"/>
      <w:r w:rsidR="00AC1A1E">
        <w:rPr>
          <w:vertAlign w:val="superscript"/>
        </w:rPr>
        <w:t>®</w:t>
      </w:r>
      <w:r w:rsidRPr="0067482B">
        <w:t xml:space="preserve"> includes three steps to reduce the possibility of virus transmission. Two of these are dedicated virus clearance steps: pH</w:t>
      </w:r>
      <w:r w:rsidR="00B54457">
        <w:t> </w:t>
      </w:r>
      <w:r w:rsidRPr="0067482B">
        <w:t>4 incubation to inactivate enveloped viruses and nanofiltration to remove, by size exclusion, both enveloped and non</w:t>
      </w:r>
      <w:r w:rsidR="00E27351">
        <w:noBreakHyphen/>
      </w:r>
      <w:r w:rsidRPr="0067482B">
        <w:t>enveloped viruses as small as approximately 20</w:t>
      </w:r>
      <w:r w:rsidR="00B54457">
        <w:t> </w:t>
      </w:r>
      <w:proofErr w:type="spellStart"/>
      <w:r w:rsidRPr="0067482B">
        <w:t>nanomet</w:t>
      </w:r>
      <w:r w:rsidR="0063537F">
        <w:t>r</w:t>
      </w:r>
      <w:r w:rsidRPr="0067482B">
        <w:t>es</w:t>
      </w:r>
      <w:proofErr w:type="spellEnd"/>
      <w:r w:rsidRPr="0067482B">
        <w:t>. In addition, a depth filtration step contributes to the virus reduction capacity.</w:t>
      </w:r>
    </w:p>
    <w:p w:rsidR="0067482B" w:rsidRPr="00137B3D" w:rsidRDefault="0067482B" w:rsidP="006230F3">
      <w:pPr>
        <w:pStyle w:val="Heading2"/>
        <w:numPr>
          <w:ilvl w:val="0"/>
          <w:numId w:val="0"/>
        </w:numPr>
        <w:ind w:left="1404" w:hanging="1404"/>
        <w:rPr>
          <w:lang w:val="en-AU"/>
        </w:rPr>
      </w:pPr>
      <w:r w:rsidRPr="00137B3D">
        <w:rPr>
          <w:lang w:val="en-AU"/>
        </w:rPr>
        <w:lastRenderedPageBreak/>
        <w:t>PHARMACOLOGY</w:t>
      </w:r>
    </w:p>
    <w:p w:rsidR="0067482B" w:rsidRPr="00137B3D" w:rsidRDefault="0067482B" w:rsidP="0005580B">
      <w:pPr>
        <w:pStyle w:val="Heading3"/>
        <w:numPr>
          <w:ilvl w:val="0"/>
          <w:numId w:val="0"/>
        </w:numPr>
        <w:ind w:left="1642" w:hanging="1642"/>
        <w:rPr>
          <w:lang w:val="en-AU"/>
        </w:rPr>
      </w:pPr>
      <w:r w:rsidRPr="00137B3D">
        <w:rPr>
          <w:lang w:val="en-AU"/>
        </w:rPr>
        <w:t>Pharmacodynamics</w:t>
      </w:r>
    </w:p>
    <w:p w:rsidR="0067482B" w:rsidRPr="0067482B" w:rsidRDefault="0067482B" w:rsidP="001D644C">
      <w:pPr>
        <w:pStyle w:val="DocumentText"/>
      </w:pPr>
      <w:proofErr w:type="spellStart"/>
      <w:r w:rsidRPr="0067482B">
        <w:t>Hizentra</w:t>
      </w:r>
      <w:proofErr w:type="spellEnd"/>
      <w:r w:rsidR="00665D87">
        <w:rPr>
          <w:b/>
          <w:vertAlign w:val="superscript"/>
        </w:rPr>
        <w:t>®</w:t>
      </w:r>
      <w:r w:rsidRPr="0067482B">
        <w:t xml:space="preserve"> contains the </w:t>
      </w:r>
      <w:proofErr w:type="spellStart"/>
      <w:r w:rsidRPr="0067482B">
        <w:t>IgG</w:t>
      </w:r>
      <w:proofErr w:type="spellEnd"/>
      <w:r w:rsidRPr="0067482B">
        <w:t xml:space="preserve"> antibodies present in the normal population. It is prepared from pooled plasma collected from not fewer than 1000</w:t>
      </w:r>
      <w:r w:rsidR="00B54457">
        <w:t> </w:t>
      </w:r>
      <w:r w:rsidRPr="0067482B">
        <w:t>donors. It has a distribution of IgG subclasses closely proportional to that in native human plasma.</w:t>
      </w:r>
    </w:p>
    <w:p w:rsidR="0067482B" w:rsidRPr="0067482B" w:rsidRDefault="0067482B" w:rsidP="001D644C">
      <w:pPr>
        <w:pStyle w:val="DocumentText"/>
      </w:pPr>
      <w:proofErr w:type="spellStart"/>
      <w:r w:rsidRPr="0067482B">
        <w:t>Hizentra</w:t>
      </w:r>
      <w:proofErr w:type="spellEnd"/>
      <w:r w:rsidR="00ED73BD">
        <w:rPr>
          <w:b/>
          <w:vertAlign w:val="superscript"/>
        </w:rPr>
        <w:t>®</w:t>
      </w:r>
      <w:r w:rsidRPr="0067482B">
        <w:t xml:space="preserve"> contains functionally intact IgG with a broad spectrum of antibodies against infectious agents. The Fc and Fab functions of the IgG molecule are retained.</w:t>
      </w:r>
    </w:p>
    <w:p w:rsidR="0067482B" w:rsidRPr="0067482B" w:rsidRDefault="0067482B" w:rsidP="001D644C">
      <w:pPr>
        <w:pStyle w:val="DocumentText"/>
      </w:pPr>
      <w:r w:rsidRPr="0067482B">
        <w:t>Adequate doses of human normal immunoglobulin may restore abnormally low IgG levels to the normal range.</w:t>
      </w:r>
    </w:p>
    <w:p w:rsidR="0067482B" w:rsidRPr="00137B3D" w:rsidRDefault="0067482B" w:rsidP="00261E58">
      <w:pPr>
        <w:pStyle w:val="Heading3"/>
        <w:numPr>
          <w:ilvl w:val="0"/>
          <w:numId w:val="0"/>
        </w:numPr>
        <w:ind w:left="1642" w:hanging="1642"/>
        <w:rPr>
          <w:lang w:val="en-AU"/>
        </w:rPr>
      </w:pPr>
      <w:r w:rsidRPr="0067482B">
        <w:rPr>
          <w:lang w:val="en-AU"/>
        </w:rPr>
        <w:t>Pharmacokinetics</w:t>
      </w:r>
    </w:p>
    <w:p w:rsidR="0067482B" w:rsidRPr="0067482B" w:rsidRDefault="0067482B" w:rsidP="00A864F4">
      <w:pPr>
        <w:pStyle w:val="DocumentText"/>
      </w:pPr>
      <w:r w:rsidRPr="0067482B">
        <w:t xml:space="preserve">Following subcutaneous administration of </w:t>
      </w:r>
      <w:proofErr w:type="spellStart"/>
      <w:r w:rsidRPr="0067482B">
        <w:t>Hizentra</w:t>
      </w:r>
      <w:proofErr w:type="spellEnd"/>
      <w:r w:rsidR="004728DA">
        <w:rPr>
          <w:b/>
          <w:vertAlign w:val="superscript"/>
        </w:rPr>
        <w:t>®</w:t>
      </w:r>
      <w:r w:rsidRPr="0067482B">
        <w:t>, peak serum levels are achieved after approximately 2</w:t>
      </w:r>
      <w:r w:rsidR="00B54457">
        <w:t> </w:t>
      </w:r>
      <w:r w:rsidRPr="0067482B">
        <w:t>days.</w:t>
      </w:r>
    </w:p>
    <w:p w:rsidR="0067482B" w:rsidRPr="0067482B" w:rsidRDefault="0067482B" w:rsidP="00A864F4">
      <w:pPr>
        <w:pStyle w:val="DocumentText"/>
      </w:pPr>
      <w:r w:rsidRPr="0067482B">
        <w:t xml:space="preserve">In a clinical trial with </w:t>
      </w:r>
      <w:proofErr w:type="spellStart"/>
      <w:r w:rsidRPr="0067482B">
        <w:t>Hizentra</w:t>
      </w:r>
      <w:proofErr w:type="spellEnd"/>
      <w:r w:rsidR="00953D72">
        <w:rPr>
          <w:b/>
          <w:vertAlign w:val="superscript"/>
        </w:rPr>
        <w:t>®</w:t>
      </w:r>
      <w:r w:rsidRPr="0067482B">
        <w:t xml:space="preserve"> (n</w:t>
      </w:r>
      <w:r w:rsidR="003B1188">
        <w:t> </w:t>
      </w:r>
      <w:r w:rsidRPr="0067482B">
        <w:t>=</w:t>
      </w:r>
      <w:r w:rsidR="003B1188">
        <w:t> </w:t>
      </w:r>
      <w:r w:rsidRPr="0067482B">
        <w:t>46), subjects achieved sustained trough levels (median 8.1</w:t>
      </w:r>
      <w:r w:rsidR="00986571">
        <w:t> </w:t>
      </w:r>
      <w:r w:rsidRPr="0067482B">
        <w:t>g/L) over a period of 28</w:t>
      </w:r>
      <w:r w:rsidR="00CE5CA7">
        <w:t> </w:t>
      </w:r>
      <w:r w:rsidRPr="0067482B">
        <w:t>(</w:t>
      </w:r>
      <w:r w:rsidRPr="0067482B">
        <w:rPr>
          <w:rFonts w:eastAsia="Adobe Heiti Std R"/>
        </w:rPr>
        <w:t>±</w:t>
      </w:r>
      <w:r w:rsidRPr="0067482B">
        <w:t>1)</w:t>
      </w:r>
      <w:r w:rsidR="00CE5CA7">
        <w:t> </w:t>
      </w:r>
      <w:r w:rsidRPr="0067482B">
        <w:t>weeks when receiving median weekly doses of 0.06 to 0.24</w:t>
      </w:r>
      <w:r w:rsidR="00986571">
        <w:t> </w:t>
      </w:r>
      <w:r w:rsidRPr="0067482B">
        <w:t>g/kg body weight.</w:t>
      </w:r>
    </w:p>
    <w:p w:rsidR="0067482B" w:rsidRPr="0067482B" w:rsidRDefault="0067482B" w:rsidP="00A864F4">
      <w:pPr>
        <w:pStyle w:val="DocumentText"/>
        <w:rPr>
          <w:lang w:val="en-AU"/>
        </w:rPr>
      </w:pPr>
      <w:r w:rsidRPr="0067482B">
        <w:rPr>
          <w:lang w:val="en-AU"/>
        </w:rPr>
        <w:t xml:space="preserve">The pharmacokinetics </w:t>
      </w:r>
      <w:proofErr w:type="gramStart"/>
      <w:r w:rsidRPr="0067482B">
        <w:rPr>
          <w:lang w:val="en-AU"/>
        </w:rPr>
        <w:t>were</w:t>
      </w:r>
      <w:proofErr w:type="gramEnd"/>
      <w:r w:rsidRPr="0067482B">
        <w:rPr>
          <w:lang w:val="en-AU"/>
        </w:rPr>
        <w:t xml:space="preserve"> evaluated in a subset of 23</w:t>
      </w:r>
      <w:r w:rsidR="00B54457">
        <w:rPr>
          <w:lang w:val="en-AU"/>
        </w:rPr>
        <w:t> </w:t>
      </w:r>
      <w:r w:rsidRPr="0067482B">
        <w:rPr>
          <w:lang w:val="en-AU"/>
        </w:rPr>
        <w:t>subjects with Primary</w:t>
      </w:r>
      <w:r w:rsidR="00B54457">
        <w:rPr>
          <w:lang w:val="en-AU"/>
        </w:rPr>
        <w:t> </w:t>
      </w:r>
      <w:r w:rsidRPr="0067482B">
        <w:rPr>
          <w:lang w:val="en-AU"/>
        </w:rPr>
        <w:t>Immunodeficiency</w:t>
      </w:r>
      <w:r w:rsidR="00B54457">
        <w:rPr>
          <w:lang w:val="en-AU"/>
        </w:rPr>
        <w:t> </w:t>
      </w:r>
      <w:r w:rsidRPr="0067482B">
        <w:rPr>
          <w:lang w:val="en-AU"/>
        </w:rPr>
        <w:t>(PID). A peak IgG concentration of 8.26</w:t>
      </w:r>
      <w:r w:rsidR="00986571">
        <w:rPr>
          <w:lang w:val="en-AU"/>
        </w:rPr>
        <w:t> </w:t>
      </w:r>
      <w:r w:rsidRPr="0067482B">
        <w:rPr>
          <w:lang w:val="en-AU"/>
        </w:rPr>
        <w:t>g/L and a trough IgG concentration ranging from 7.99</w:t>
      </w:r>
      <w:r w:rsidR="003B1188">
        <w:rPr>
          <w:lang w:val="en-AU"/>
        </w:rPr>
        <w:t xml:space="preserve"> to</w:t>
      </w:r>
      <w:r w:rsidRPr="0067482B">
        <w:rPr>
          <w:lang w:val="en-AU"/>
        </w:rPr>
        <w:t xml:space="preserve"> 8.25</w:t>
      </w:r>
      <w:r w:rsidR="003B1188">
        <w:rPr>
          <w:lang w:val="en-AU"/>
        </w:rPr>
        <w:t> </w:t>
      </w:r>
      <w:r w:rsidRPr="0067482B">
        <w:rPr>
          <w:lang w:val="en-AU"/>
        </w:rPr>
        <w:t>g/L were observed during the 28</w:t>
      </w:r>
      <w:r w:rsidR="00B54457">
        <w:rPr>
          <w:lang w:val="en-AU"/>
        </w:rPr>
        <w:t> </w:t>
      </w:r>
      <w:r w:rsidRPr="0067482B">
        <w:rPr>
          <w:lang w:val="en-AU"/>
        </w:rPr>
        <w:t>(±1)</w:t>
      </w:r>
      <w:r w:rsidR="00B54457">
        <w:rPr>
          <w:lang w:val="en-AU"/>
        </w:rPr>
        <w:t> </w:t>
      </w:r>
      <w:r w:rsidRPr="0067482B">
        <w:rPr>
          <w:lang w:val="en-AU"/>
        </w:rPr>
        <w:t xml:space="preserve">week pharmacokinetics evaluation period (refer to </w:t>
      </w:r>
      <w:r w:rsidRPr="0067482B">
        <w:rPr>
          <w:b/>
          <w:lang w:val="en-AU"/>
        </w:rPr>
        <w:t>Table</w:t>
      </w:r>
      <w:r w:rsidR="00B54457">
        <w:rPr>
          <w:b/>
          <w:lang w:val="en-AU"/>
        </w:rPr>
        <w:t> </w:t>
      </w:r>
      <w:r w:rsidRPr="0067482B">
        <w:rPr>
          <w:b/>
          <w:lang w:val="en-AU"/>
        </w:rPr>
        <w:t>1</w:t>
      </w:r>
      <w:r w:rsidRPr="0067482B">
        <w:rPr>
          <w:lang w:val="en-AU"/>
        </w:rPr>
        <w:t>).</w:t>
      </w:r>
    </w:p>
    <w:p w:rsidR="00BB2362" w:rsidRPr="00BB2362" w:rsidRDefault="00BB2362" w:rsidP="009C3EC9">
      <w:pPr>
        <w:pStyle w:val="Caption"/>
        <w:ind w:left="1080" w:hanging="1080"/>
        <w:rPr>
          <w:lang w:val="en-AU"/>
        </w:rPr>
      </w:pPr>
      <w:r w:rsidRPr="00BB2362">
        <w:rPr>
          <w:lang w:val="en-AU"/>
        </w:rPr>
        <w:t xml:space="preserve">Table 1: </w:t>
      </w:r>
      <w:r w:rsidR="009C3EC9">
        <w:rPr>
          <w:lang w:val="en-AU"/>
        </w:rPr>
        <w:tab/>
      </w:r>
      <w:r w:rsidRPr="00BB2362">
        <w:rPr>
          <w:lang w:val="en-AU"/>
        </w:rPr>
        <w:t xml:space="preserve">Steady-State Pharmacokinetic Parameters of </w:t>
      </w:r>
      <w:proofErr w:type="spellStart"/>
      <w:r w:rsidRPr="00BB2362">
        <w:rPr>
          <w:lang w:val="en-AU"/>
        </w:rPr>
        <w:t>Hizentra</w:t>
      </w:r>
      <w:proofErr w:type="spellEnd"/>
      <w:r w:rsidR="004A7513">
        <w:rPr>
          <w:vertAlign w:val="superscript"/>
        </w:rPr>
        <w:t>®</w:t>
      </w:r>
      <w:r w:rsidRPr="00BB2362">
        <w:rPr>
          <w:lang w:val="en-AU"/>
        </w:rPr>
        <w:t xml:space="preserve"> in 23</w:t>
      </w:r>
      <w:r w:rsidR="00B54457">
        <w:rPr>
          <w:lang w:val="en-AU"/>
        </w:rPr>
        <w:t> </w:t>
      </w:r>
      <w:r w:rsidRPr="00BB2362">
        <w:rPr>
          <w:lang w:val="en-AU"/>
        </w:rPr>
        <w:t>PID patients from the pivotal EU study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487"/>
      </w:tblGrid>
      <w:tr w:rsidR="00BB2362" w:rsidRPr="00145F07" w:rsidTr="006736F6">
        <w:trPr>
          <w:trHeight w:val="20"/>
        </w:trPr>
        <w:tc>
          <w:tcPr>
            <w:tcW w:w="2835" w:type="dxa"/>
          </w:tcPr>
          <w:p w:rsidR="00BB2362" w:rsidRPr="00145F07" w:rsidRDefault="00BB2362" w:rsidP="00A50F0A">
            <w:pPr>
              <w:pStyle w:val="TableCellHeading10pt"/>
              <w:jc w:val="left"/>
              <w:rPr>
                <w:lang w:val="en-AU"/>
              </w:rPr>
            </w:pPr>
            <w:r w:rsidRPr="00145F07">
              <w:rPr>
                <w:lang w:val="en-AU"/>
              </w:rPr>
              <w:t>Parameter</w:t>
            </w:r>
          </w:p>
        </w:tc>
        <w:tc>
          <w:tcPr>
            <w:tcW w:w="2487" w:type="dxa"/>
          </w:tcPr>
          <w:p w:rsidR="00BB2362" w:rsidRPr="00145F07" w:rsidRDefault="006736F6" w:rsidP="00367AC0">
            <w:pPr>
              <w:pStyle w:val="TableCellHeading10pt"/>
              <w:rPr>
                <w:lang w:val="en-AU"/>
              </w:rPr>
            </w:pPr>
            <w:r>
              <w:rPr>
                <w:lang w:val="en-AU"/>
              </w:rPr>
              <w:t>Study ZLB06_001CR</w:t>
            </w:r>
          </w:p>
        </w:tc>
      </w:tr>
      <w:tr w:rsidR="00BB2362" w:rsidRPr="00145F07" w:rsidTr="006736F6">
        <w:trPr>
          <w:trHeight w:val="20"/>
        </w:trPr>
        <w:tc>
          <w:tcPr>
            <w:tcW w:w="2835" w:type="dxa"/>
          </w:tcPr>
          <w:p w:rsidR="00BB2362" w:rsidRPr="00145F07" w:rsidRDefault="006736F6" w:rsidP="00753DE6">
            <w:pPr>
              <w:pStyle w:val="TableCellText10pt"/>
              <w:rPr>
                <w:lang w:val="en-AU"/>
              </w:rPr>
            </w:pPr>
            <w:r>
              <w:rPr>
                <w:lang w:val="en-AU"/>
              </w:rPr>
              <w:t xml:space="preserve">Mean (SD) </w:t>
            </w:r>
            <w:r w:rsidR="00BB2362" w:rsidRPr="00145F07">
              <w:rPr>
                <w:lang w:val="en-AU"/>
              </w:rPr>
              <w:t>C</w:t>
            </w:r>
            <w:r w:rsidR="00BB2362" w:rsidRPr="00145F07">
              <w:rPr>
                <w:vertAlign w:val="subscript"/>
                <w:lang w:val="en-AU"/>
              </w:rPr>
              <w:t>max</w:t>
            </w:r>
            <w:r w:rsidR="00BB2362" w:rsidRPr="00145F07">
              <w:rPr>
                <w:lang w:val="en-AU"/>
              </w:rPr>
              <w:t xml:space="preserve"> (peak, g/L)</w:t>
            </w:r>
          </w:p>
        </w:tc>
        <w:tc>
          <w:tcPr>
            <w:tcW w:w="2487" w:type="dxa"/>
          </w:tcPr>
          <w:p w:rsidR="00BB2362" w:rsidRPr="00145F07" w:rsidRDefault="00BB2362" w:rsidP="00367AC0">
            <w:pPr>
              <w:pStyle w:val="TableCellText10pt"/>
              <w:jc w:val="center"/>
              <w:rPr>
                <w:lang w:val="en-AU"/>
              </w:rPr>
            </w:pPr>
            <w:r w:rsidRPr="00145F07">
              <w:rPr>
                <w:lang w:val="en-AU"/>
              </w:rPr>
              <w:t>8.26 (1.255)</w:t>
            </w:r>
          </w:p>
        </w:tc>
      </w:tr>
      <w:tr w:rsidR="00BB2362" w:rsidRPr="00145F07" w:rsidTr="006736F6">
        <w:trPr>
          <w:trHeight w:val="20"/>
        </w:trPr>
        <w:tc>
          <w:tcPr>
            <w:tcW w:w="2835" w:type="dxa"/>
          </w:tcPr>
          <w:p w:rsidR="00BB2362" w:rsidRPr="00145F07" w:rsidRDefault="006736F6" w:rsidP="00753DE6">
            <w:pPr>
              <w:pStyle w:val="TableCellText10pt"/>
              <w:rPr>
                <w:lang w:val="en-AU"/>
              </w:rPr>
            </w:pPr>
            <w:r>
              <w:rPr>
                <w:lang w:val="en-AU"/>
              </w:rPr>
              <w:t xml:space="preserve">Mean (range) </w:t>
            </w:r>
            <w:r w:rsidR="00BB2362" w:rsidRPr="00145F07">
              <w:rPr>
                <w:lang w:val="en-AU"/>
              </w:rPr>
              <w:t>C</w:t>
            </w:r>
            <w:r w:rsidR="00BB2362" w:rsidRPr="00145F07">
              <w:rPr>
                <w:vertAlign w:val="subscript"/>
                <w:lang w:val="en-AU"/>
              </w:rPr>
              <w:t>min</w:t>
            </w:r>
            <w:r w:rsidR="00BB2362" w:rsidRPr="00145F07">
              <w:rPr>
                <w:lang w:val="en-AU"/>
              </w:rPr>
              <w:t xml:space="preserve"> (trough, g/L)</w:t>
            </w:r>
          </w:p>
        </w:tc>
        <w:tc>
          <w:tcPr>
            <w:tcW w:w="2487" w:type="dxa"/>
          </w:tcPr>
          <w:p w:rsidR="00BB2362" w:rsidRPr="00145F07" w:rsidRDefault="00BB2362" w:rsidP="00367AC0">
            <w:pPr>
              <w:pStyle w:val="TableCellText10pt"/>
              <w:jc w:val="center"/>
              <w:rPr>
                <w:lang w:val="en-AU"/>
              </w:rPr>
            </w:pPr>
            <w:r w:rsidRPr="00145F07">
              <w:rPr>
                <w:lang w:val="en-AU"/>
              </w:rPr>
              <w:t xml:space="preserve">8.10 </w:t>
            </w:r>
            <w:r>
              <w:rPr>
                <w:lang w:val="en-AU"/>
              </w:rPr>
              <w:t>(7.99–8.25)</w:t>
            </w:r>
          </w:p>
        </w:tc>
      </w:tr>
      <w:tr w:rsidR="00BB2362" w:rsidRPr="00145F07" w:rsidTr="006736F6">
        <w:trPr>
          <w:trHeight w:val="20"/>
        </w:trPr>
        <w:tc>
          <w:tcPr>
            <w:tcW w:w="2835" w:type="dxa"/>
          </w:tcPr>
          <w:p w:rsidR="00BB2362" w:rsidRPr="00145F07" w:rsidRDefault="006736F6" w:rsidP="00753DE6">
            <w:pPr>
              <w:pStyle w:val="TableCellText10pt"/>
              <w:rPr>
                <w:lang w:val="en-AU"/>
              </w:rPr>
            </w:pPr>
            <w:r>
              <w:rPr>
                <w:lang w:val="en-AU"/>
              </w:rPr>
              <w:t xml:space="preserve">Median (range) </w:t>
            </w:r>
            <w:r w:rsidR="00BB2362" w:rsidRPr="00145F07">
              <w:rPr>
                <w:lang w:val="en-AU"/>
              </w:rPr>
              <w:t>T</w:t>
            </w:r>
            <w:r w:rsidR="00BB2362" w:rsidRPr="00145F07">
              <w:rPr>
                <w:vertAlign w:val="subscript"/>
                <w:lang w:val="en-AU"/>
              </w:rPr>
              <w:t>max</w:t>
            </w:r>
            <w:r w:rsidR="00BB2362" w:rsidRPr="00145F07">
              <w:rPr>
                <w:lang w:val="en-AU"/>
              </w:rPr>
              <w:t xml:space="preserve"> (days)</w:t>
            </w:r>
          </w:p>
        </w:tc>
        <w:tc>
          <w:tcPr>
            <w:tcW w:w="2487" w:type="dxa"/>
          </w:tcPr>
          <w:p w:rsidR="00BB2362" w:rsidRPr="00145F07" w:rsidRDefault="00BB2362" w:rsidP="00367AC0">
            <w:pPr>
              <w:pStyle w:val="TableCellText10pt"/>
              <w:jc w:val="center"/>
              <w:rPr>
                <w:lang w:val="en-AU"/>
              </w:rPr>
            </w:pPr>
            <w:r w:rsidRPr="00145F07">
              <w:rPr>
                <w:lang w:val="en-AU"/>
              </w:rPr>
              <w:t>2.06 (0.94–6.92)</w:t>
            </w:r>
          </w:p>
        </w:tc>
      </w:tr>
      <w:tr w:rsidR="00BB2362" w:rsidRPr="00145F07" w:rsidTr="006736F6">
        <w:trPr>
          <w:trHeight w:val="20"/>
        </w:trPr>
        <w:tc>
          <w:tcPr>
            <w:tcW w:w="2835" w:type="dxa"/>
          </w:tcPr>
          <w:p w:rsidR="00BB2362" w:rsidRPr="00145F07" w:rsidRDefault="006736F6" w:rsidP="00753DE6">
            <w:pPr>
              <w:pStyle w:val="TableCellText10pt"/>
              <w:rPr>
                <w:lang w:val="en-AU"/>
              </w:rPr>
            </w:pPr>
            <w:r>
              <w:rPr>
                <w:lang w:val="en-AU"/>
              </w:rPr>
              <w:t xml:space="preserve">Mean (SD) </w:t>
            </w:r>
            <w:r w:rsidR="00BB2362" w:rsidRPr="00145F07">
              <w:rPr>
                <w:lang w:val="en-AU"/>
              </w:rPr>
              <w:t>AUC</w:t>
            </w:r>
            <w:r w:rsidR="00BB2362" w:rsidRPr="00145F07">
              <w:rPr>
                <w:rFonts w:ascii="Symbol" w:hAnsi="Symbol" w:cs="Symbol"/>
                <w:lang w:val="en-AU" w:eastAsia="en-AU"/>
              </w:rPr>
              <w:t></w:t>
            </w:r>
            <w:r w:rsidR="00BB2362" w:rsidRPr="00145F07">
              <w:rPr>
                <w:rFonts w:ascii="Symbol" w:hAnsi="Symbol" w:cs="Symbol"/>
                <w:lang w:val="en-AU" w:eastAsia="en-AU"/>
              </w:rPr>
              <w:t></w:t>
            </w:r>
            <w:r w:rsidR="00BB2362" w:rsidRPr="00145F07">
              <w:rPr>
                <w:lang w:val="en-AU"/>
              </w:rPr>
              <w:t xml:space="preserve"> (day x g/L)</w:t>
            </w:r>
          </w:p>
        </w:tc>
        <w:tc>
          <w:tcPr>
            <w:tcW w:w="2487" w:type="dxa"/>
          </w:tcPr>
          <w:p w:rsidR="00BB2362" w:rsidRPr="00145F07" w:rsidRDefault="00BB2362" w:rsidP="00367AC0">
            <w:pPr>
              <w:pStyle w:val="TableCellText10pt"/>
              <w:jc w:val="center"/>
              <w:rPr>
                <w:lang w:val="en-AU"/>
              </w:rPr>
            </w:pPr>
            <w:r w:rsidRPr="00145F07">
              <w:rPr>
                <w:lang w:val="en-AU"/>
              </w:rPr>
              <w:t>53.61 (9.984)</w:t>
            </w:r>
          </w:p>
        </w:tc>
      </w:tr>
    </w:tbl>
    <w:p w:rsidR="007371D9" w:rsidRDefault="00BB2362" w:rsidP="001D2DCF">
      <w:pPr>
        <w:pStyle w:val="TableFootnote"/>
        <w:rPr>
          <w:lang w:val="en-AU"/>
        </w:rPr>
      </w:pPr>
      <w:r w:rsidRPr="00145F07">
        <w:rPr>
          <w:lang w:val="en-AU"/>
        </w:rPr>
        <w:t>C</w:t>
      </w:r>
      <w:r w:rsidRPr="00145F07">
        <w:rPr>
          <w:vertAlign w:val="subscript"/>
          <w:lang w:val="en-AU"/>
        </w:rPr>
        <w:t>max</w:t>
      </w:r>
      <w:r w:rsidR="007371D9">
        <w:rPr>
          <w:lang w:val="en-AU"/>
        </w:rPr>
        <w:t>:</w:t>
      </w:r>
      <w:r w:rsidRPr="00145F07">
        <w:rPr>
          <w:lang w:val="en-AU"/>
        </w:rPr>
        <w:t xml:space="preserve"> maximum serum IgG concentration</w:t>
      </w:r>
    </w:p>
    <w:p w:rsidR="007371D9" w:rsidRDefault="00BB2362" w:rsidP="001D2DCF">
      <w:pPr>
        <w:pStyle w:val="TableFootnote"/>
        <w:rPr>
          <w:lang w:val="en-AU"/>
        </w:rPr>
      </w:pPr>
      <w:r w:rsidRPr="00145F07">
        <w:rPr>
          <w:lang w:val="en-AU"/>
        </w:rPr>
        <w:t>C</w:t>
      </w:r>
      <w:r w:rsidRPr="00145F07">
        <w:rPr>
          <w:vertAlign w:val="subscript"/>
          <w:lang w:val="en-AU"/>
        </w:rPr>
        <w:t>min</w:t>
      </w:r>
      <w:r w:rsidR="007371D9">
        <w:rPr>
          <w:lang w:val="en-AU"/>
        </w:rPr>
        <w:t>:</w:t>
      </w:r>
      <w:r w:rsidRPr="00145F07">
        <w:rPr>
          <w:lang w:val="en-AU"/>
        </w:rPr>
        <w:t xml:space="preserve"> trough (minimum) serum IgG concentration</w:t>
      </w:r>
    </w:p>
    <w:p w:rsidR="007371D9" w:rsidRDefault="00BB2362" w:rsidP="001D2DCF">
      <w:pPr>
        <w:pStyle w:val="TableFootnote"/>
        <w:rPr>
          <w:lang w:val="en-AU"/>
        </w:rPr>
      </w:pPr>
      <w:r w:rsidRPr="007371D9">
        <w:rPr>
          <w:lang w:val="en-AU"/>
        </w:rPr>
        <w:t>T</w:t>
      </w:r>
      <w:r w:rsidRPr="007371D9">
        <w:rPr>
          <w:vertAlign w:val="subscript"/>
          <w:lang w:val="en-AU"/>
        </w:rPr>
        <w:t>max</w:t>
      </w:r>
      <w:r w:rsidR="007371D9">
        <w:rPr>
          <w:lang w:val="en-AU"/>
        </w:rPr>
        <w:t xml:space="preserve">: </w:t>
      </w:r>
      <w:r w:rsidRPr="007371D9">
        <w:rPr>
          <w:lang w:val="en-AU"/>
        </w:rPr>
        <w:t>timepoint</w:t>
      </w:r>
      <w:r w:rsidRPr="00145F07">
        <w:rPr>
          <w:lang w:val="en-AU"/>
        </w:rPr>
        <w:t xml:space="preserve"> of maximum concentration</w:t>
      </w:r>
    </w:p>
    <w:p w:rsidR="00BB2362" w:rsidRDefault="00BB2362" w:rsidP="006039E7">
      <w:pPr>
        <w:pStyle w:val="TableFootnote"/>
        <w:spacing w:before="0"/>
        <w:ind w:left="357" w:hanging="357"/>
        <w:rPr>
          <w:lang w:val="en-AU"/>
        </w:rPr>
      </w:pPr>
      <w:r w:rsidRPr="00145F07">
        <w:rPr>
          <w:lang w:val="en-AU"/>
        </w:rPr>
        <w:t>AUC</w:t>
      </w:r>
      <w:r w:rsidR="001155B7">
        <w:rPr>
          <w:lang w:val="en-AU"/>
        </w:rPr>
        <w:t>τ</w:t>
      </w:r>
      <w:r w:rsidR="007371D9">
        <w:rPr>
          <w:lang w:val="en-AU"/>
        </w:rPr>
        <w:t>:</w:t>
      </w:r>
      <w:r w:rsidRPr="007371D9">
        <w:rPr>
          <w:lang w:val="en-AU"/>
        </w:rPr>
        <w:t xml:space="preserve"> </w:t>
      </w:r>
      <w:r w:rsidRPr="00145F07">
        <w:rPr>
          <w:lang w:val="en-AU"/>
        </w:rPr>
        <w:t>area under the c concentration</w:t>
      </w:r>
      <w:r w:rsidR="007371D9">
        <w:rPr>
          <w:lang w:val="en-AU"/>
        </w:rPr>
        <w:t>–</w:t>
      </w:r>
      <w:r w:rsidRPr="00145F07">
        <w:rPr>
          <w:lang w:val="en-AU"/>
        </w:rPr>
        <w:t>time curve during regular dosing interval</w:t>
      </w:r>
    </w:p>
    <w:p w:rsidR="006039E7" w:rsidRPr="00E864FC" w:rsidRDefault="006039E7" w:rsidP="006039E7">
      <w:pPr>
        <w:pStyle w:val="TableFootnote"/>
        <w:spacing w:before="0"/>
        <w:ind w:left="357" w:hanging="357"/>
        <w:rPr>
          <w:lang w:val="en-AU"/>
        </w:rPr>
      </w:pPr>
      <w:r w:rsidRPr="00E864FC">
        <w:rPr>
          <w:lang w:val="en-AU"/>
        </w:rPr>
        <w:t>SD: standard deviation</w:t>
      </w:r>
    </w:p>
    <w:p w:rsidR="006039E7" w:rsidRDefault="006039E7" w:rsidP="003B00AA">
      <w:pPr>
        <w:pStyle w:val="DocumentText"/>
      </w:pPr>
    </w:p>
    <w:p w:rsidR="0067482B" w:rsidRPr="00BB2362" w:rsidRDefault="0067482B" w:rsidP="003B00AA">
      <w:pPr>
        <w:pStyle w:val="DocumentText"/>
      </w:pPr>
      <w:r w:rsidRPr="00BB2362">
        <w:lastRenderedPageBreak/>
        <w:t>IgG and IgG</w:t>
      </w:r>
      <w:r w:rsidR="00E27351">
        <w:noBreakHyphen/>
      </w:r>
      <w:r w:rsidRPr="00BB2362">
        <w:t>complexes are broken down in cells of the reticuloendothelial system.</w:t>
      </w:r>
    </w:p>
    <w:p w:rsidR="0067482B" w:rsidRPr="004B1249" w:rsidRDefault="0067482B" w:rsidP="004B1249">
      <w:pPr>
        <w:pStyle w:val="Heading4"/>
        <w:numPr>
          <w:ilvl w:val="0"/>
          <w:numId w:val="0"/>
        </w:numPr>
        <w:ind w:left="1865" w:hanging="1865"/>
        <w:rPr>
          <w:i/>
        </w:rPr>
      </w:pPr>
      <w:r w:rsidRPr="004B1249">
        <w:rPr>
          <w:i/>
        </w:rPr>
        <w:t>Paediatric population</w:t>
      </w:r>
    </w:p>
    <w:p w:rsidR="0067482B" w:rsidRPr="00BB2362" w:rsidRDefault="0067482B" w:rsidP="007A089F">
      <w:pPr>
        <w:pStyle w:val="DocumentText"/>
        <w:rPr>
          <w:b/>
          <w:bCs/>
        </w:rPr>
      </w:pPr>
      <w:r w:rsidRPr="00BB2362">
        <w:t>No differences were seen in the pharmacokinetic parameters between adult and paediatric study patients</w:t>
      </w:r>
      <w:r w:rsidRPr="00BB2362">
        <w:rPr>
          <w:lang w:val="en-AU"/>
        </w:rPr>
        <w:t>.</w:t>
      </w:r>
    </w:p>
    <w:p w:rsidR="0067482B" w:rsidRPr="00BB2362" w:rsidRDefault="0067482B" w:rsidP="00E2006B">
      <w:pPr>
        <w:pStyle w:val="Heading2"/>
        <w:numPr>
          <w:ilvl w:val="0"/>
          <w:numId w:val="0"/>
        </w:numPr>
        <w:ind w:left="1404" w:hanging="1404"/>
        <w:rPr>
          <w:lang w:val="en-AU"/>
        </w:rPr>
      </w:pPr>
      <w:r w:rsidRPr="00BB2362">
        <w:rPr>
          <w:lang w:val="en-AU"/>
        </w:rPr>
        <w:t>CLINICAL TRIALS</w:t>
      </w:r>
    </w:p>
    <w:p w:rsidR="0067482B" w:rsidRPr="00BB2362" w:rsidRDefault="0067482B" w:rsidP="00137490">
      <w:pPr>
        <w:pStyle w:val="Heading3"/>
        <w:numPr>
          <w:ilvl w:val="0"/>
          <w:numId w:val="0"/>
        </w:numPr>
        <w:ind w:left="1642" w:hanging="1642"/>
        <w:rPr>
          <w:lang w:val="en-AU"/>
        </w:rPr>
      </w:pPr>
      <w:r w:rsidRPr="00BB2362">
        <w:rPr>
          <w:lang w:val="en-AU"/>
        </w:rPr>
        <w:t>Treatment of Primary Immunodeficiency Diseases (PID)</w:t>
      </w:r>
    </w:p>
    <w:p w:rsidR="0067482B" w:rsidRPr="00BB2362" w:rsidRDefault="0067482B" w:rsidP="00232A83">
      <w:pPr>
        <w:pStyle w:val="DocumentText"/>
      </w:pPr>
      <w:proofErr w:type="spellStart"/>
      <w:r w:rsidRPr="00BB2362">
        <w:t>Hizentra</w:t>
      </w:r>
      <w:proofErr w:type="spellEnd"/>
      <w:r w:rsidR="00693022">
        <w:rPr>
          <w:vertAlign w:val="superscript"/>
        </w:rPr>
        <w:t>®</w:t>
      </w:r>
      <w:r w:rsidRPr="00BB2362">
        <w:t xml:space="preserve"> has been evaluated in </w:t>
      </w:r>
      <w:r w:rsidR="00CD0B50">
        <w:t>three pivotal</w:t>
      </w:r>
      <w:r w:rsidR="00CD0B50" w:rsidRPr="00BB2362">
        <w:t xml:space="preserve"> </w:t>
      </w:r>
      <w:r w:rsidRPr="00BB2362">
        <w:t>Phase</w:t>
      </w:r>
      <w:r w:rsidR="00B54457">
        <w:t> </w:t>
      </w:r>
      <w:r w:rsidRPr="00BB2362">
        <w:t>III studies in primary immunodeficiency subjects.</w:t>
      </w:r>
    </w:p>
    <w:p w:rsidR="0067482B" w:rsidRPr="00BB2362" w:rsidRDefault="0067482B" w:rsidP="00232A83">
      <w:pPr>
        <w:pStyle w:val="DocumentText"/>
      </w:pPr>
      <w:r w:rsidRPr="00BB2362">
        <w:t>In the prospective, open</w:t>
      </w:r>
      <w:r w:rsidR="00E27351">
        <w:noBreakHyphen/>
      </w:r>
      <w:r w:rsidRPr="00BB2362">
        <w:t>label, multicenter, single</w:t>
      </w:r>
      <w:r w:rsidR="00E27351">
        <w:noBreakHyphen/>
      </w:r>
      <w:r w:rsidRPr="00BB2362">
        <w:t>arm European study, a total of 51</w:t>
      </w:r>
      <w:r w:rsidR="00B54457">
        <w:t> </w:t>
      </w:r>
      <w:r w:rsidRPr="00BB2362">
        <w:t>subjects aged between 3 and 60</w:t>
      </w:r>
      <w:r w:rsidR="00B54457">
        <w:t> </w:t>
      </w:r>
      <w:r w:rsidRPr="00BB2362">
        <w:t>years were enrolled from previous treatment with IVIG</w:t>
      </w:r>
      <w:r w:rsidR="00B54457">
        <w:t> </w:t>
      </w:r>
      <w:r w:rsidRPr="00BB2362">
        <w:t>(60.9%) or SCIG</w:t>
      </w:r>
      <w:r w:rsidR="00B54457">
        <w:t> </w:t>
      </w:r>
      <w:r w:rsidRPr="00BB2362">
        <w:t xml:space="preserve">(39.1%) and switched to </w:t>
      </w:r>
      <w:proofErr w:type="spellStart"/>
      <w:r w:rsidRPr="00BB2362">
        <w:t>Hizentra</w:t>
      </w:r>
      <w:proofErr w:type="spellEnd"/>
      <w:r w:rsidR="00DE7744">
        <w:rPr>
          <w:vertAlign w:val="superscript"/>
        </w:rPr>
        <w:t>®</w:t>
      </w:r>
      <w:r w:rsidRPr="00BB2362">
        <w:t>. The objectives of the study were to investigate the efficacy, tolerability, safety, pharmacokinetics, and HRQL</w:t>
      </w:r>
      <w:r w:rsidR="00B54457">
        <w:t> </w:t>
      </w:r>
      <w:r w:rsidRPr="00BB2362">
        <w:t>(Health</w:t>
      </w:r>
      <w:r w:rsidR="00B54457">
        <w:t> </w:t>
      </w:r>
      <w:r w:rsidRPr="00BB2362">
        <w:t>Related</w:t>
      </w:r>
      <w:r w:rsidR="00B54457">
        <w:t> </w:t>
      </w:r>
      <w:r w:rsidRPr="00BB2362">
        <w:t>Quality</w:t>
      </w:r>
      <w:r w:rsidR="00B54457">
        <w:t> </w:t>
      </w:r>
      <w:r w:rsidRPr="00BB2362">
        <w:t>of</w:t>
      </w:r>
      <w:r w:rsidR="00B54457">
        <w:t> </w:t>
      </w:r>
      <w:r w:rsidRPr="00BB2362">
        <w:t xml:space="preserve">Life) of </w:t>
      </w:r>
      <w:proofErr w:type="spellStart"/>
      <w:r w:rsidRPr="00BB2362">
        <w:t>Hizentra</w:t>
      </w:r>
      <w:proofErr w:type="spellEnd"/>
      <w:r w:rsidR="00B20CF5">
        <w:rPr>
          <w:vertAlign w:val="superscript"/>
        </w:rPr>
        <w:t>®</w:t>
      </w:r>
      <w:r w:rsidRPr="00BB2362">
        <w:t xml:space="preserve"> in subjects with PID.</w:t>
      </w:r>
    </w:p>
    <w:p w:rsidR="0067482B" w:rsidRPr="00BB2362" w:rsidRDefault="0067482B" w:rsidP="00232A83">
      <w:pPr>
        <w:pStyle w:val="DocumentText"/>
      </w:pPr>
      <w:proofErr w:type="spellStart"/>
      <w:r w:rsidRPr="00BB2362">
        <w:t>Hizentra</w:t>
      </w:r>
      <w:proofErr w:type="spellEnd"/>
      <w:r w:rsidR="001C0281">
        <w:rPr>
          <w:b/>
          <w:vertAlign w:val="superscript"/>
        </w:rPr>
        <w:t>®</w:t>
      </w:r>
      <w:r w:rsidRPr="00BB2362">
        <w:t xml:space="preserve"> was administered subcutaneously for up to 41</w:t>
      </w:r>
      <w:r w:rsidR="00B54457">
        <w:t> </w:t>
      </w:r>
      <w:r w:rsidRPr="00BB2362">
        <w:t>weeks, at a dose equivalent to the previous Ig dose. The mean dose administered each week was 0.12</w:t>
      </w:r>
      <w:r w:rsidR="007371D9">
        <w:t> </w:t>
      </w:r>
      <w:r w:rsidRPr="00BB2362">
        <w:t>g/kg body weight, over a median infusion duration up to 1.25</w:t>
      </w:r>
      <w:r w:rsidR="00B54457">
        <w:t> </w:t>
      </w:r>
      <w:r w:rsidRPr="00BB2362">
        <w:t>hours during the wash</w:t>
      </w:r>
      <w:r w:rsidR="00E27351">
        <w:noBreakHyphen/>
      </w:r>
      <w:r w:rsidRPr="00BB2362">
        <w:t>in/wash</w:t>
      </w:r>
      <w:r w:rsidR="00E27351">
        <w:noBreakHyphen/>
      </w:r>
      <w:r w:rsidRPr="00BB2362">
        <w:t>out period; and up to 1.27</w:t>
      </w:r>
      <w:r w:rsidR="00B54457">
        <w:t> </w:t>
      </w:r>
      <w:r w:rsidRPr="00BB2362">
        <w:t>hours during the efficacy period (weeks</w:t>
      </w:r>
      <w:r w:rsidR="00B54457">
        <w:t> </w:t>
      </w:r>
      <w:r w:rsidRPr="00BB2362">
        <w:t>13 to 40). Subjects received in total 1831</w:t>
      </w:r>
      <w:r w:rsidR="00B54457">
        <w:t> </w:t>
      </w:r>
      <w:r w:rsidRPr="00BB2362">
        <w:t xml:space="preserve">weekly </w:t>
      </w:r>
      <w:proofErr w:type="spellStart"/>
      <w:r w:rsidRPr="00BB2362">
        <w:t>Hizentra</w:t>
      </w:r>
      <w:proofErr w:type="spellEnd"/>
      <w:r w:rsidR="004409B9">
        <w:rPr>
          <w:b/>
          <w:vertAlign w:val="superscript"/>
        </w:rPr>
        <w:t>®</w:t>
      </w:r>
      <w:r w:rsidRPr="00BB2362">
        <w:t xml:space="preserve"> infusions.</w:t>
      </w:r>
    </w:p>
    <w:p w:rsidR="0067482B" w:rsidRPr="00874E7E" w:rsidRDefault="0067482B" w:rsidP="00232A83">
      <w:pPr>
        <w:pStyle w:val="DocumentText"/>
      </w:pPr>
      <w:r w:rsidRPr="00874E7E">
        <w:t>The primary endpoint was to demonstrate in the ITT population (n</w:t>
      </w:r>
      <w:r w:rsidR="007371D9">
        <w:t> </w:t>
      </w:r>
      <w:r w:rsidRPr="00874E7E">
        <w:t>=</w:t>
      </w:r>
      <w:r w:rsidR="007371D9">
        <w:t> </w:t>
      </w:r>
      <w:r w:rsidRPr="00874E7E">
        <w:t xml:space="preserve">46) sustained total serum IgG trough values, comparable to those observed with the previous IgG treatment. The mean of individual median IgG trough values increased by 8.1% with </w:t>
      </w:r>
      <w:proofErr w:type="spellStart"/>
      <w:r w:rsidRPr="00874E7E">
        <w:t>Hizentra</w:t>
      </w:r>
      <w:proofErr w:type="spellEnd"/>
      <w:r w:rsidR="00AC1A1E">
        <w:rPr>
          <w:vertAlign w:val="superscript"/>
        </w:rPr>
        <w:t>®</w:t>
      </w:r>
      <w:r w:rsidRPr="00874E7E">
        <w:t xml:space="preserve"> treatment (from 7.49</w:t>
      </w:r>
      <w:r w:rsidR="00986571">
        <w:t> </w:t>
      </w:r>
      <w:r w:rsidRPr="00874E7E">
        <w:t>g/L with the previous IgG therapy to 8.10</w:t>
      </w:r>
      <w:r w:rsidR="00986571">
        <w:t> </w:t>
      </w:r>
      <w:r w:rsidRPr="00874E7E">
        <w:t>g/L during Infusions 12 to 17), thus meeting the primary endpoint.</w:t>
      </w:r>
    </w:p>
    <w:p w:rsidR="0067482B" w:rsidRPr="00874E7E" w:rsidRDefault="0067482B" w:rsidP="00232A83">
      <w:pPr>
        <w:pStyle w:val="DocumentText"/>
      </w:pPr>
      <w:r w:rsidRPr="00874E7E">
        <w:t>No Serious</w:t>
      </w:r>
      <w:r w:rsidR="00B54457">
        <w:t> </w:t>
      </w:r>
      <w:r w:rsidRPr="00874E7E">
        <w:t>Bacterial</w:t>
      </w:r>
      <w:r w:rsidR="00B54457">
        <w:rPr>
          <w:sz w:val="22"/>
        </w:rPr>
        <w:t> </w:t>
      </w:r>
      <w:r w:rsidRPr="00874E7E">
        <w:t>Infections</w:t>
      </w:r>
      <w:r w:rsidR="00B54457">
        <w:t> </w:t>
      </w:r>
      <w:r w:rsidRPr="00874E7E">
        <w:t xml:space="preserve">(SBIs) were reported during the efficacy period. The annual rate of </w:t>
      </w:r>
      <w:r w:rsidR="006736F6">
        <w:t xml:space="preserve">total </w:t>
      </w:r>
      <w:r w:rsidRPr="00874E7E">
        <w:t xml:space="preserve">infections/subject/year was 5.18 (95% confidence limits: 4.305; 6.171). </w:t>
      </w:r>
      <w:r w:rsidR="00986571">
        <w:t>Twenty</w:t>
      </w:r>
      <w:r w:rsidR="00986571" w:rsidRPr="00874E7E">
        <w:t xml:space="preserve"> </w:t>
      </w:r>
      <w:r w:rsidRPr="00874E7E">
        <w:t>subjects in the ITT population (43.5%) missed work/school/kindergarten/day</w:t>
      </w:r>
      <w:r w:rsidR="00034C6E">
        <w:noBreakHyphen/>
      </w:r>
      <w:r w:rsidRPr="00874E7E">
        <w:t>care or were unable to perform normal activities due to infections for 198</w:t>
      </w:r>
      <w:r w:rsidR="00B54457">
        <w:t> </w:t>
      </w:r>
      <w:r w:rsidRPr="00874E7E">
        <w:t>days, equating to an annual rate of 8.00</w:t>
      </w:r>
      <w:r w:rsidR="00B54457">
        <w:t> </w:t>
      </w:r>
      <w:r w:rsidRPr="00874E7E">
        <w:t xml:space="preserve">days/subject/year. </w:t>
      </w:r>
      <w:r w:rsidR="00B55319">
        <w:t>Four</w:t>
      </w:r>
      <w:r w:rsidR="00B54457">
        <w:t> </w:t>
      </w:r>
      <w:r w:rsidRPr="00874E7E">
        <w:t>subjects (8.7%) were hospitalized due to infections during the efficacy period for a total of 86</w:t>
      </w:r>
      <w:r w:rsidR="00B54457">
        <w:t> </w:t>
      </w:r>
      <w:r w:rsidRPr="00874E7E">
        <w:t>days, with an annual rate of 3.48</w:t>
      </w:r>
      <w:r w:rsidR="00B54457">
        <w:t> </w:t>
      </w:r>
      <w:r w:rsidRPr="00874E7E">
        <w:t xml:space="preserve">days/subject/year. </w:t>
      </w:r>
      <w:r w:rsidR="00986571">
        <w:lastRenderedPageBreak/>
        <w:t>Thirty</w:t>
      </w:r>
      <w:r w:rsidR="00034C6E">
        <w:noBreakHyphen/>
      </w:r>
      <w:r w:rsidR="00986571">
        <w:t>two</w:t>
      </w:r>
      <w:r w:rsidR="00986571" w:rsidRPr="00874E7E">
        <w:t xml:space="preserve"> </w:t>
      </w:r>
      <w:r w:rsidRPr="00874E7E">
        <w:t>subjects (69.6%) were treated with antibiotics on 1743</w:t>
      </w:r>
      <w:r w:rsidR="00B54457">
        <w:t> </w:t>
      </w:r>
      <w:r w:rsidRPr="00874E7E">
        <w:t>days, with an annual rate of 72.75</w:t>
      </w:r>
      <w:r w:rsidR="00B54457">
        <w:t> </w:t>
      </w:r>
      <w:r w:rsidRPr="00874E7E">
        <w:t>days/subject/year.</w:t>
      </w:r>
    </w:p>
    <w:p w:rsidR="0067482B" w:rsidRPr="00874E7E" w:rsidRDefault="0067482B" w:rsidP="00232A83">
      <w:pPr>
        <w:pStyle w:val="DocumentText"/>
      </w:pPr>
      <w:r w:rsidRPr="00874E7E">
        <w:t xml:space="preserve">Some aspects of HRQL and treatment satisfaction improved with </w:t>
      </w:r>
      <w:proofErr w:type="spellStart"/>
      <w:r w:rsidRPr="00874E7E">
        <w:t>Hizentra</w:t>
      </w:r>
      <w:proofErr w:type="spellEnd"/>
      <w:r w:rsidR="00D351B6">
        <w:rPr>
          <w:vertAlign w:val="superscript"/>
        </w:rPr>
        <w:t>®</w:t>
      </w:r>
      <w:r w:rsidRPr="00874E7E">
        <w:t xml:space="preserve"> treatment compared to previous IVIG treatment, with statistically significant improvements from baseline observed for the Treatment</w:t>
      </w:r>
      <w:r w:rsidR="006C039D">
        <w:t> </w:t>
      </w:r>
      <w:r w:rsidRPr="00874E7E">
        <w:t>Satisfaction</w:t>
      </w:r>
      <w:r w:rsidR="006C039D">
        <w:t> </w:t>
      </w:r>
      <w:r w:rsidRPr="00874E7E">
        <w:t>Questionnaire</w:t>
      </w:r>
      <w:r w:rsidR="006C039D">
        <w:t> </w:t>
      </w:r>
      <w:r w:rsidRPr="00874E7E">
        <w:t>for</w:t>
      </w:r>
      <w:r w:rsidR="006C039D">
        <w:t> </w:t>
      </w:r>
      <w:r w:rsidRPr="00874E7E">
        <w:t>Medication</w:t>
      </w:r>
      <w:r w:rsidR="006C039D">
        <w:t> </w:t>
      </w:r>
      <w:r w:rsidRPr="00874E7E">
        <w:t>(TSQM) domain convenience and for the total Life</w:t>
      </w:r>
      <w:r w:rsidR="006C039D">
        <w:t> </w:t>
      </w:r>
      <w:r w:rsidRPr="00874E7E">
        <w:t>Quality</w:t>
      </w:r>
      <w:r w:rsidR="006C039D">
        <w:t> </w:t>
      </w:r>
      <w:r w:rsidRPr="00874E7E">
        <w:t>Index</w:t>
      </w:r>
      <w:r w:rsidR="006C039D">
        <w:t> </w:t>
      </w:r>
      <w:r w:rsidRPr="00874E7E">
        <w:t xml:space="preserve">(LQI) score. No differences were observed for </w:t>
      </w:r>
      <w:proofErr w:type="spellStart"/>
      <w:r w:rsidRPr="00874E7E">
        <w:t>Hizentra</w:t>
      </w:r>
      <w:proofErr w:type="spellEnd"/>
      <w:r w:rsidR="00723ECF">
        <w:rPr>
          <w:vertAlign w:val="superscript"/>
        </w:rPr>
        <w:t>®</w:t>
      </w:r>
      <w:r w:rsidRPr="00874E7E">
        <w:t xml:space="preserve"> compared to previous SCI</w:t>
      </w:r>
      <w:r w:rsidR="003940BE">
        <w:t>G</w:t>
      </w:r>
      <w:r w:rsidRPr="00874E7E">
        <w:t xml:space="preserve"> treatment.</w:t>
      </w:r>
    </w:p>
    <w:p w:rsidR="0067482B" w:rsidRPr="00874E7E" w:rsidRDefault="0067482B" w:rsidP="00232A83">
      <w:pPr>
        <w:pStyle w:val="DocumentText"/>
      </w:pPr>
      <w:r w:rsidRPr="00874E7E">
        <w:t>In the US a prospective, open</w:t>
      </w:r>
      <w:r w:rsidR="00E27351">
        <w:noBreakHyphen/>
      </w:r>
      <w:r w:rsidRPr="00874E7E">
        <w:t xml:space="preserve">label, multicenter, single-arm, clinical study evaluated the efficacy, tolerability, and safety of </w:t>
      </w:r>
      <w:proofErr w:type="spellStart"/>
      <w:r w:rsidRPr="00874E7E">
        <w:t>Hizentra</w:t>
      </w:r>
      <w:proofErr w:type="spellEnd"/>
      <w:r w:rsidR="00BE45D5">
        <w:rPr>
          <w:vertAlign w:val="superscript"/>
        </w:rPr>
        <w:t>®</w:t>
      </w:r>
      <w:r w:rsidRPr="00874E7E">
        <w:t xml:space="preserve"> in 49</w:t>
      </w:r>
      <w:r w:rsidR="006C039D">
        <w:t> </w:t>
      </w:r>
      <w:r w:rsidRPr="00874E7E">
        <w:t>adult and paediatric PID subjects, 2 to 75</w:t>
      </w:r>
      <w:r w:rsidR="006C039D">
        <w:t> </w:t>
      </w:r>
      <w:r w:rsidRPr="00874E7E">
        <w:t xml:space="preserve">years of age. Subjects previously receiving monthly treatment with IVIG were switched to weekly subcutaneous administration of </w:t>
      </w:r>
      <w:proofErr w:type="spellStart"/>
      <w:r w:rsidRPr="00874E7E">
        <w:t>Hizentra</w:t>
      </w:r>
      <w:proofErr w:type="spellEnd"/>
      <w:r w:rsidR="00775402">
        <w:rPr>
          <w:vertAlign w:val="superscript"/>
        </w:rPr>
        <w:t>®</w:t>
      </w:r>
      <w:r w:rsidRPr="00874E7E">
        <w:t xml:space="preserve"> for 15</w:t>
      </w:r>
      <w:r w:rsidR="006C039D">
        <w:t> </w:t>
      </w:r>
      <w:r w:rsidRPr="00874E7E">
        <w:t>months (a 3-month wash-in/wash-out period followed by a 12</w:t>
      </w:r>
      <w:r w:rsidR="00E27351">
        <w:noBreakHyphen/>
      </w:r>
      <w:r w:rsidRPr="00874E7E">
        <w:t>month efficacy period). The efficacy analyses included 38</w:t>
      </w:r>
      <w:r w:rsidR="006C039D">
        <w:t> </w:t>
      </w:r>
      <w:r w:rsidRPr="00874E7E">
        <w:t>subjects in the modified intention</w:t>
      </w:r>
      <w:r w:rsidR="00E27351">
        <w:noBreakHyphen/>
      </w:r>
      <w:r w:rsidRPr="00874E7E">
        <w:t>to</w:t>
      </w:r>
      <w:r w:rsidR="00E27351">
        <w:noBreakHyphen/>
      </w:r>
      <w:r w:rsidRPr="00874E7E">
        <w:t>treat (MITT) population. The primary endpoint was annual rate of SBIs per subject.</w:t>
      </w:r>
    </w:p>
    <w:p w:rsidR="0067482B" w:rsidRPr="00874E7E" w:rsidRDefault="0067482B" w:rsidP="00232A83">
      <w:pPr>
        <w:pStyle w:val="DocumentText"/>
      </w:pPr>
      <w:r w:rsidRPr="00874E7E">
        <w:t>A dose adjustment co</w:t>
      </w:r>
      <w:r w:rsidR="00E27351">
        <w:noBreakHyphen/>
      </w:r>
      <w:r w:rsidRPr="00874E7E">
        <w:t xml:space="preserve">efficient was applied when switching from IVIG to </w:t>
      </w:r>
      <w:proofErr w:type="spellStart"/>
      <w:r w:rsidRPr="00874E7E">
        <w:t>Hizentra</w:t>
      </w:r>
      <w:proofErr w:type="spellEnd"/>
      <w:r w:rsidR="009779A1">
        <w:rPr>
          <w:vertAlign w:val="superscript"/>
        </w:rPr>
        <w:t>®</w:t>
      </w:r>
      <w:r w:rsidRPr="00874E7E">
        <w:t xml:space="preserve"> to ensure comparable systemic IgG exposure. Weekly doses of </w:t>
      </w:r>
      <w:proofErr w:type="spellStart"/>
      <w:r w:rsidRPr="00874E7E">
        <w:t>Hizentra</w:t>
      </w:r>
      <w:proofErr w:type="spellEnd"/>
      <w:r w:rsidR="00C84F3B">
        <w:rPr>
          <w:vertAlign w:val="superscript"/>
        </w:rPr>
        <w:t>®</w:t>
      </w:r>
      <w:r w:rsidRPr="00874E7E">
        <w:t xml:space="preserve"> ranged from 0.07</w:t>
      </w:r>
      <w:r w:rsidR="007371D9">
        <w:t xml:space="preserve"> to </w:t>
      </w:r>
      <w:r w:rsidRPr="00874E7E">
        <w:t>0.38</w:t>
      </w:r>
      <w:r w:rsidR="00986571">
        <w:t> </w:t>
      </w:r>
      <w:r w:rsidRPr="00874E7E">
        <w:t>g /kg which was 149% (range: 114% to 180%) of the previous IVIG dose. Subjects received a total of 2264</w:t>
      </w:r>
      <w:r w:rsidR="006C039D">
        <w:t> </w:t>
      </w:r>
      <w:r w:rsidRPr="00874E7E">
        <w:t>infusions. The number of injection sites per infusion ranged from 1</w:t>
      </w:r>
      <w:r w:rsidR="007371D9">
        <w:t xml:space="preserve"> to </w:t>
      </w:r>
      <w:r w:rsidRPr="00874E7E">
        <w:t>12, with ≤4 used in 73% of infusions. The maximum infusion rate during the study was 50</w:t>
      </w:r>
      <w:r w:rsidR="00986571">
        <w:t> </w:t>
      </w:r>
      <w:r w:rsidRPr="00874E7E">
        <w:t>mL/hour for all</w:t>
      </w:r>
      <w:r w:rsidR="006736F6">
        <w:t xml:space="preserve"> simultaneous</w:t>
      </w:r>
      <w:r w:rsidRPr="00874E7E">
        <w:t xml:space="preserve"> injection sites combined. The median duration of a weekly infusion ranged from 1.6</w:t>
      </w:r>
      <w:r w:rsidR="007371D9">
        <w:t xml:space="preserve"> to </w:t>
      </w:r>
      <w:r w:rsidRPr="00874E7E">
        <w:t>2.0</w:t>
      </w:r>
      <w:r w:rsidR="006C039D">
        <w:t> </w:t>
      </w:r>
      <w:r w:rsidRPr="00874E7E">
        <w:t>hours.</w:t>
      </w:r>
    </w:p>
    <w:p w:rsidR="0067482B" w:rsidRPr="00874E7E" w:rsidRDefault="0067482B" w:rsidP="00232A83">
      <w:pPr>
        <w:pStyle w:val="DocumentText"/>
      </w:pPr>
      <w:r w:rsidRPr="00874E7E">
        <w:t>The annual SBI rate per subject was zero (upper 99% confidence limit: 0.132), thus achieving the primary efficacy endpoint.</w:t>
      </w:r>
    </w:p>
    <w:p w:rsidR="0067482B" w:rsidRDefault="0067482B" w:rsidP="00232A83">
      <w:pPr>
        <w:pStyle w:val="DocumentText"/>
      </w:pPr>
      <w:r w:rsidRPr="00874E7E">
        <w:t>Sustained IgG trough levels with a mean concentration of 12.53</w:t>
      </w:r>
      <w:r w:rsidR="00643C0D">
        <w:t> </w:t>
      </w:r>
      <w:r w:rsidRPr="00874E7E">
        <w:t>g/L were achieved throughout the treatment period. The annual rate of any infections was 2.76</w:t>
      </w:r>
      <w:r w:rsidR="00390286">
        <w:t> </w:t>
      </w:r>
      <w:r w:rsidRPr="00874E7E">
        <w:t>infections/subject/year (95% CI: 2.235;</w:t>
      </w:r>
      <w:r w:rsidR="00527253" w:rsidRPr="00874E7E">
        <w:t xml:space="preserve"> </w:t>
      </w:r>
      <w:r w:rsidRPr="00874E7E">
        <w:t>3.370), in 31</w:t>
      </w:r>
      <w:r w:rsidR="00390286">
        <w:t> </w:t>
      </w:r>
      <w:r w:rsidRPr="00874E7E">
        <w:t>subjects (81.6%). 12</w:t>
      </w:r>
      <w:r w:rsidR="00390286">
        <w:t> </w:t>
      </w:r>
      <w:r w:rsidRPr="00874E7E">
        <w:t>subjects (31.6%) missed work/school/kindergarten/day care or were unable to perform normal activities on 71</w:t>
      </w:r>
      <w:r w:rsidR="00390286">
        <w:t> </w:t>
      </w:r>
      <w:r w:rsidRPr="00874E7E">
        <w:t>days, with an annual rate of 2.06</w:t>
      </w:r>
      <w:r w:rsidR="00390286">
        <w:t> </w:t>
      </w:r>
      <w:r w:rsidRPr="00874E7E">
        <w:t xml:space="preserve">days/subject/year. One subject was hospitalized </w:t>
      </w:r>
      <w:r w:rsidR="00643C0D">
        <w:t>seven</w:t>
      </w:r>
      <w:r w:rsidR="00643C0D" w:rsidRPr="00874E7E">
        <w:t xml:space="preserve"> </w:t>
      </w:r>
      <w:r w:rsidRPr="00874E7E">
        <w:t>days due to infections, equating to an annual rate of 0.20</w:t>
      </w:r>
      <w:r w:rsidR="00390286">
        <w:t> </w:t>
      </w:r>
      <w:r w:rsidRPr="00874E7E">
        <w:t xml:space="preserve">days/subject year. </w:t>
      </w:r>
      <w:r w:rsidR="00643C0D">
        <w:t>Twenty</w:t>
      </w:r>
      <w:r w:rsidR="00034C6E">
        <w:noBreakHyphen/>
      </w:r>
      <w:r w:rsidR="00643C0D">
        <w:t>seven</w:t>
      </w:r>
      <w:r w:rsidR="00643C0D" w:rsidRPr="00874E7E">
        <w:t xml:space="preserve"> </w:t>
      </w:r>
      <w:r w:rsidRPr="00874E7E">
        <w:t>subjects</w:t>
      </w:r>
      <w:r w:rsidR="00390286">
        <w:t> </w:t>
      </w:r>
      <w:r w:rsidRPr="00874E7E">
        <w:t>(71.1%) were treated with antibiotics on 1688</w:t>
      </w:r>
      <w:r w:rsidR="00390286">
        <w:t> </w:t>
      </w:r>
      <w:r w:rsidRPr="00874E7E">
        <w:t>days, with an annual rate of 48.5</w:t>
      </w:r>
      <w:r w:rsidR="00390286">
        <w:t> </w:t>
      </w:r>
      <w:r w:rsidRPr="00874E7E">
        <w:t>days/subject/year.</w:t>
      </w:r>
    </w:p>
    <w:p w:rsidR="000C15AD" w:rsidRDefault="006D4611">
      <w:pPr>
        <w:pStyle w:val="DocumentText"/>
      </w:pPr>
      <w:r w:rsidRPr="006D4611">
        <w:lastRenderedPageBreak/>
        <w:t xml:space="preserve">The Japanese </w:t>
      </w:r>
      <w:proofErr w:type="spellStart"/>
      <w:r w:rsidRPr="006D4611">
        <w:t>multicent</w:t>
      </w:r>
      <w:r w:rsidR="00962736">
        <w:t>r</w:t>
      </w:r>
      <w:r w:rsidRPr="006D4611">
        <w:t>e</w:t>
      </w:r>
      <w:proofErr w:type="spellEnd"/>
      <w:r w:rsidRPr="006D4611">
        <w:t xml:space="preserve">, single-arm, prospective, open-label, Phase III study evaluated the efficacy, safety, tolerability, health-related quality of life (HRQL), </w:t>
      </w:r>
      <w:proofErr w:type="spellStart"/>
      <w:r w:rsidRPr="006D4611">
        <w:t>pharmacoeconomics</w:t>
      </w:r>
      <w:proofErr w:type="spellEnd"/>
      <w:r w:rsidRPr="006D4611">
        <w:t xml:space="preserve"> (PE), and PK of </w:t>
      </w:r>
      <w:proofErr w:type="spellStart"/>
      <w:r w:rsidRPr="006D4611">
        <w:t>Hizentra</w:t>
      </w:r>
      <w:proofErr w:type="spellEnd"/>
      <w:r w:rsidR="006736F6">
        <w:rPr>
          <w:vertAlign w:val="superscript"/>
        </w:rPr>
        <w:t>®</w:t>
      </w:r>
      <w:r w:rsidRPr="006D4611">
        <w:t xml:space="preserve"> in subjects with PID.</w:t>
      </w:r>
    </w:p>
    <w:p w:rsidR="000C15AD" w:rsidRDefault="006D4611">
      <w:pPr>
        <w:pStyle w:val="DocumentText"/>
      </w:pPr>
      <w:r w:rsidRPr="006D4611">
        <w:t xml:space="preserve">25 adult and paediatric subjects who were receiving regular IVIG treatment received 3 prospective IVIG infusions, followed by weekly subcutaneous </w:t>
      </w:r>
      <w:proofErr w:type="spellStart"/>
      <w:r w:rsidRPr="006D4611">
        <w:t>Hizentra</w:t>
      </w:r>
      <w:proofErr w:type="spellEnd"/>
      <w:r w:rsidR="00962736">
        <w:rPr>
          <w:vertAlign w:val="superscript"/>
        </w:rPr>
        <w:t>®</w:t>
      </w:r>
      <w:r w:rsidRPr="006D4611">
        <w:t xml:space="preserve"> infusions for up to 24 weeks, at doses equal to their previous IVIG weekly equivalent dose. Primary efficacy analysis was based on 21 patients in the per protocol group.</w:t>
      </w:r>
    </w:p>
    <w:p w:rsidR="00AC07A8" w:rsidRDefault="006D4611">
      <w:pPr>
        <w:pStyle w:val="DocumentText"/>
      </w:pPr>
      <w:r w:rsidRPr="006D4611">
        <w:t>Patients received in total 584 weekly infusions. The mean dose administered in the efficacy period was 87.81</w:t>
      </w:r>
      <w:r w:rsidR="00962736">
        <w:t> </w:t>
      </w:r>
      <w:r w:rsidRPr="006D4611">
        <w:t>mg/kg body weight. Sustained IgG trough levels with mean IgG concentrations of 7.21–7.53</w:t>
      </w:r>
      <w:r w:rsidR="00962736">
        <w:t> </w:t>
      </w:r>
      <w:r w:rsidRPr="006D4611">
        <w:t xml:space="preserve">g/L were achieved throughout the efficacy period. There was an increase in the mean of individual median IgG trough values of 9% following switch to </w:t>
      </w:r>
      <w:proofErr w:type="spellStart"/>
      <w:r w:rsidRPr="006D4611">
        <w:t>Hizentra</w:t>
      </w:r>
      <w:proofErr w:type="spellEnd"/>
      <w:r w:rsidR="00151E2D" w:rsidRPr="00151E2D">
        <w:rPr>
          <w:vertAlign w:val="superscript"/>
        </w:rPr>
        <w:t>®</w:t>
      </w:r>
      <w:r w:rsidRPr="006D4611">
        <w:t>, from 6.53</w:t>
      </w:r>
      <w:r w:rsidR="00962736">
        <w:t> </w:t>
      </w:r>
      <w:r w:rsidRPr="006D4611">
        <w:t>g/L in the IVIG period to 7.15</w:t>
      </w:r>
      <w:r w:rsidR="00962736">
        <w:t> </w:t>
      </w:r>
      <w:r w:rsidRPr="006D4611">
        <w:t xml:space="preserve">g/L, with a geometric mean ratio of 1.09. No patient had a serious bacterial infection during any part of the study. The annualized rate of infections, </w:t>
      </w:r>
      <w:proofErr w:type="spellStart"/>
      <w:r w:rsidRPr="006D4611">
        <w:t>hospitali</w:t>
      </w:r>
      <w:r w:rsidR="00962736">
        <w:t>s</w:t>
      </w:r>
      <w:r w:rsidRPr="006D4611">
        <w:t>ations</w:t>
      </w:r>
      <w:proofErr w:type="spellEnd"/>
      <w:r w:rsidRPr="006D4611">
        <w:t xml:space="preserve">, </w:t>
      </w:r>
      <w:proofErr w:type="gramStart"/>
      <w:r w:rsidRPr="006D4611">
        <w:t>days</w:t>
      </w:r>
      <w:proofErr w:type="gramEnd"/>
      <w:r w:rsidRPr="006D4611">
        <w:t xml:space="preserve"> missed from school or work and antibiotic use were similar for the IVIG and SCIG periods.</w:t>
      </w:r>
    </w:p>
    <w:p w:rsidR="0067482B" w:rsidRPr="00BB2362" w:rsidRDefault="0067482B" w:rsidP="00CE0CA1">
      <w:pPr>
        <w:pStyle w:val="Heading2"/>
        <w:numPr>
          <w:ilvl w:val="0"/>
          <w:numId w:val="0"/>
        </w:numPr>
        <w:ind w:left="1404" w:hanging="1404"/>
        <w:rPr>
          <w:lang w:val="en-AU"/>
        </w:rPr>
      </w:pPr>
      <w:r w:rsidRPr="00BB2362">
        <w:rPr>
          <w:lang w:val="en-AU"/>
        </w:rPr>
        <w:t>INDICATIONS</w:t>
      </w:r>
    </w:p>
    <w:p w:rsidR="0067482B" w:rsidRPr="00BB2362" w:rsidRDefault="0067482B" w:rsidP="00817837">
      <w:pPr>
        <w:pStyle w:val="DocumentText"/>
      </w:pPr>
      <w:proofErr w:type="spellStart"/>
      <w:r w:rsidRPr="00BB2362">
        <w:t>Hizentra</w:t>
      </w:r>
      <w:proofErr w:type="spellEnd"/>
      <w:r w:rsidR="00947342">
        <w:rPr>
          <w:vertAlign w:val="superscript"/>
        </w:rPr>
        <w:t>®</w:t>
      </w:r>
      <w:r w:rsidRPr="00BB2362">
        <w:t xml:space="preserve"> is indicated in adults and children for replacement therapy in:</w:t>
      </w:r>
    </w:p>
    <w:p w:rsidR="006F41FC" w:rsidRDefault="0067482B" w:rsidP="00C863A3">
      <w:pPr>
        <w:pStyle w:val="ListBulleted"/>
      </w:pPr>
      <w:r w:rsidRPr="00BB2362">
        <w:t>Primary</w:t>
      </w:r>
      <w:r w:rsidR="00390286">
        <w:t> </w:t>
      </w:r>
      <w:r w:rsidRPr="00BB2362">
        <w:t>Immunodeficiency</w:t>
      </w:r>
      <w:r w:rsidR="00390286">
        <w:t> </w:t>
      </w:r>
      <w:r w:rsidRPr="00BB2362">
        <w:t>Disease</w:t>
      </w:r>
      <w:r w:rsidR="00390286">
        <w:t> </w:t>
      </w:r>
      <w:r w:rsidRPr="00BB2362">
        <w:t>(PID) and</w:t>
      </w:r>
    </w:p>
    <w:p w:rsidR="006F41FC" w:rsidRDefault="0067482B" w:rsidP="00C863A3">
      <w:pPr>
        <w:pStyle w:val="ListBulleted"/>
        <w:spacing w:after="240"/>
      </w:pPr>
      <w:r w:rsidRPr="00BB2362">
        <w:t>Symptomatic hypogammaglobulinaemia secondary to underlying disease or treatment</w:t>
      </w:r>
      <w:r w:rsidR="00BB2362">
        <w:t>.</w:t>
      </w:r>
    </w:p>
    <w:p w:rsidR="0067482B" w:rsidRPr="00BB2362" w:rsidRDefault="0067482B" w:rsidP="00567AB4">
      <w:pPr>
        <w:pStyle w:val="Heading2"/>
        <w:numPr>
          <w:ilvl w:val="0"/>
          <w:numId w:val="0"/>
        </w:numPr>
        <w:ind w:left="1404" w:hanging="1404"/>
        <w:rPr>
          <w:lang w:val="en-AU"/>
        </w:rPr>
      </w:pPr>
      <w:r w:rsidRPr="00BB2362">
        <w:rPr>
          <w:lang w:val="en-AU"/>
        </w:rPr>
        <w:t>CONTRAINDICATIONS</w:t>
      </w:r>
    </w:p>
    <w:p w:rsidR="0067482B" w:rsidRPr="00527253" w:rsidRDefault="00364E59" w:rsidP="00567AB4">
      <w:pPr>
        <w:pStyle w:val="DocumentText"/>
        <w:keepNext/>
        <w:keepLines/>
      </w:pPr>
      <w:proofErr w:type="spellStart"/>
      <w:r>
        <w:rPr>
          <w:lang w:val="en-AU"/>
        </w:rPr>
        <w:t>Hizentra</w:t>
      </w:r>
      <w:proofErr w:type="spellEnd"/>
      <w:r w:rsidR="00AC1A1E">
        <w:rPr>
          <w:vertAlign w:val="superscript"/>
        </w:rPr>
        <w:t>®</w:t>
      </w:r>
      <w:r w:rsidRPr="00364E59">
        <w:rPr>
          <w:lang w:val="en-AU"/>
        </w:rPr>
        <w:t xml:space="preserve"> is contraindicated in patients with a history of severe systemic hypersensitivity or anaphylactic reactions/anaphylaxis to the active substance of </w:t>
      </w:r>
      <w:proofErr w:type="spellStart"/>
      <w:r>
        <w:rPr>
          <w:lang w:val="en-AU"/>
        </w:rPr>
        <w:t>Hizentra</w:t>
      </w:r>
      <w:proofErr w:type="spellEnd"/>
      <w:r w:rsidR="006736F6">
        <w:rPr>
          <w:vertAlign w:val="superscript"/>
        </w:rPr>
        <w:t>®</w:t>
      </w:r>
      <w:r w:rsidRPr="00364E59">
        <w:rPr>
          <w:lang w:val="en-AU"/>
        </w:rPr>
        <w:t xml:space="preserve"> or to any of its excipients.</w:t>
      </w:r>
    </w:p>
    <w:p w:rsidR="00AD5D71" w:rsidRDefault="00AD5D71" w:rsidP="00567AB4">
      <w:pPr>
        <w:pStyle w:val="DocumentText"/>
        <w:keepNext/>
        <w:keepLines/>
      </w:pPr>
      <w:proofErr w:type="spellStart"/>
      <w:r>
        <w:t>Hizentra</w:t>
      </w:r>
      <w:proofErr w:type="spellEnd"/>
      <w:r w:rsidR="00AC1A1E">
        <w:rPr>
          <w:vertAlign w:val="superscript"/>
        </w:rPr>
        <w:t>®</w:t>
      </w:r>
      <w:r>
        <w:t xml:space="preserve"> must not be applied if any of the following listed conditions is existent:</w:t>
      </w:r>
    </w:p>
    <w:p w:rsidR="006F41FC" w:rsidRPr="00A71124" w:rsidRDefault="00C34C78" w:rsidP="00567AB4">
      <w:pPr>
        <w:pStyle w:val="ListBulleted"/>
        <w:keepNext/>
        <w:spacing w:after="240"/>
        <w:rPr>
          <w:lang w:val="pl-PL"/>
        </w:rPr>
      </w:pPr>
      <w:r w:rsidRPr="00A71124">
        <w:rPr>
          <w:lang w:val="pl-PL"/>
        </w:rPr>
        <w:t>H</w:t>
      </w:r>
      <w:r w:rsidR="00F773C5" w:rsidRPr="00A71124">
        <w:rPr>
          <w:lang w:val="pl-PL"/>
        </w:rPr>
        <w:t>yperprolinaemia</w:t>
      </w:r>
      <w:r w:rsidR="00390286" w:rsidRPr="00A71124">
        <w:rPr>
          <w:lang w:val="pl-PL"/>
        </w:rPr>
        <w:t> </w:t>
      </w:r>
      <w:r w:rsidR="00F773C5" w:rsidRPr="00A71124">
        <w:rPr>
          <w:lang w:val="pl-PL"/>
        </w:rPr>
        <w:t>type</w:t>
      </w:r>
      <w:r w:rsidR="00390286" w:rsidRPr="00A71124">
        <w:rPr>
          <w:lang w:val="pl-PL"/>
        </w:rPr>
        <w:t> </w:t>
      </w:r>
      <w:r w:rsidR="00F773C5" w:rsidRPr="00A71124">
        <w:rPr>
          <w:lang w:val="pl-PL"/>
        </w:rPr>
        <w:t>I or II.</w:t>
      </w:r>
    </w:p>
    <w:p w:rsidR="0067482B" w:rsidRPr="00BB2362" w:rsidRDefault="0067482B" w:rsidP="0031160C">
      <w:pPr>
        <w:pStyle w:val="Heading2"/>
        <w:numPr>
          <w:ilvl w:val="0"/>
          <w:numId w:val="0"/>
        </w:numPr>
        <w:ind w:left="1404" w:hanging="1404"/>
        <w:rPr>
          <w:lang w:val="en-AU"/>
        </w:rPr>
      </w:pPr>
      <w:r w:rsidRPr="00527253">
        <w:rPr>
          <w:lang w:val="en-AU"/>
        </w:rPr>
        <w:t>PRECAUTIONS</w:t>
      </w:r>
    </w:p>
    <w:p w:rsidR="0067482B" w:rsidRPr="00527253" w:rsidRDefault="0067482B" w:rsidP="00E50699">
      <w:pPr>
        <w:pStyle w:val="DocumentText"/>
        <w:rPr>
          <w:b/>
          <w:lang w:val="en-AU"/>
        </w:rPr>
      </w:pPr>
      <w:proofErr w:type="spellStart"/>
      <w:r w:rsidRPr="00527253">
        <w:rPr>
          <w:lang w:val="en-AU"/>
        </w:rPr>
        <w:t>Hizentra</w:t>
      </w:r>
      <w:proofErr w:type="spellEnd"/>
      <w:r w:rsidR="00E2720B">
        <w:rPr>
          <w:vertAlign w:val="superscript"/>
        </w:rPr>
        <w:t>®</w:t>
      </w:r>
      <w:r w:rsidRPr="00527253">
        <w:rPr>
          <w:lang w:val="en-AU"/>
        </w:rPr>
        <w:t xml:space="preserve"> is for subcutaneous use only. If </w:t>
      </w:r>
      <w:proofErr w:type="spellStart"/>
      <w:r w:rsidRPr="00527253">
        <w:rPr>
          <w:lang w:val="en-AU"/>
        </w:rPr>
        <w:t>Hizentra</w:t>
      </w:r>
      <w:proofErr w:type="spellEnd"/>
      <w:r w:rsidR="007A3877">
        <w:rPr>
          <w:vertAlign w:val="superscript"/>
        </w:rPr>
        <w:t>®</w:t>
      </w:r>
      <w:r w:rsidRPr="00527253">
        <w:rPr>
          <w:lang w:val="en-AU"/>
        </w:rPr>
        <w:t xml:space="preserve"> is accidentally administered into a blood vessel, patients could develop shock.</w:t>
      </w:r>
    </w:p>
    <w:p w:rsidR="0067482B" w:rsidRPr="00527253" w:rsidRDefault="0067482B" w:rsidP="00E50699">
      <w:pPr>
        <w:pStyle w:val="DocumentText"/>
        <w:rPr>
          <w:b/>
          <w:lang w:val="en-AU"/>
        </w:rPr>
      </w:pPr>
      <w:r w:rsidRPr="00527253">
        <w:rPr>
          <w:lang w:val="en-AU"/>
        </w:rPr>
        <w:lastRenderedPageBreak/>
        <w:t xml:space="preserve">The recommended infusion rate given under </w:t>
      </w:r>
      <w:r w:rsidR="00F773C5" w:rsidRPr="00F773C5">
        <w:rPr>
          <w:b/>
          <w:lang w:val="en-AU"/>
        </w:rPr>
        <w:t>Administration</w:t>
      </w:r>
      <w:r w:rsidRPr="00527253">
        <w:rPr>
          <w:lang w:val="en-AU"/>
        </w:rPr>
        <w:t xml:space="preserve"> should be adhered to. Patients should be closely monitored and carefully observed for any adverse events throughout the infusion period.</w:t>
      </w:r>
    </w:p>
    <w:p w:rsidR="001D5174" w:rsidRPr="00643C0D" w:rsidRDefault="00DB0D7A" w:rsidP="00F11A52">
      <w:pPr>
        <w:pStyle w:val="Heading3"/>
        <w:numPr>
          <w:ilvl w:val="0"/>
          <w:numId w:val="0"/>
        </w:numPr>
        <w:ind w:left="1642" w:hanging="1642"/>
        <w:rPr>
          <w:lang w:val="en-AU"/>
        </w:rPr>
      </w:pPr>
      <w:r w:rsidRPr="00643C0D">
        <w:rPr>
          <w:lang w:val="en-AU"/>
        </w:rPr>
        <w:t>Hypersensitivity</w:t>
      </w:r>
    </w:p>
    <w:p w:rsidR="006F41FC" w:rsidRDefault="00F773C5" w:rsidP="004A7AC9">
      <w:pPr>
        <w:pStyle w:val="DocumentText"/>
        <w:rPr>
          <w:b/>
          <w:lang w:val="en-AU"/>
        </w:rPr>
      </w:pPr>
      <w:r w:rsidRPr="00F773C5">
        <w:rPr>
          <w:lang w:val="en-AU"/>
        </w:rPr>
        <w:t>Hypersensitivity reactions may occur even in patients who had tolerated previous treatment with human normal immunoglobulin.</w:t>
      </w:r>
    </w:p>
    <w:p w:rsidR="0067482B" w:rsidRPr="00527253" w:rsidRDefault="00F773C5" w:rsidP="004A7AC9">
      <w:pPr>
        <w:pStyle w:val="DocumentText"/>
        <w:rPr>
          <w:lang w:val="en-AU"/>
        </w:rPr>
      </w:pPr>
      <w:r w:rsidRPr="00F773C5">
        <w:rPr>
          <w:lang w:val="en-AU"/>
        </w:rPr>
        <w:t>Severe hypersensitivity or anaphylactic reactions up to shock can particularly occur in patients with known allergies to anti</w:t>
      </w:r>
      <w:r w:rsidR="00E27351">
        <w:rPr>
          <w:lang w:val="en-AU"/>
        </w:rPr>
        <w:noBreakHyphen/>
      </w:r>
      <w:r w:rsidRPr="00F773C5">
        <w:rPr>
          <w:lang w:val="en-AU"/>
        </w:rPr>
        <w:t>IgA</w:t>
      </w:r>
      <w:r w:rsidR="00390286">
        <w:rPr>
          <w:lang w:val="en-AU"/>
        </w:rPr>
        <w:t> </w:t>
      </w:r>
      <w:r w:rsidRPr="00F773C5">
        <w:rPr>
          <w:lang w:val="en-AU"/>
        </w:rPr>
        <w:t>antibodies.</w:t>
      </w:r>
      <w:r w:rsidR="0067482B" w:rsidRPr="00527253">
        <w:rPr>
          <w:lang w:val="en-AU"/>
        </w:rPr>
        <w:t xml:space="preserve"> Patients with anti</w:t>
      </w:r>
      <w:r w:rsidR="00E27351">
        <w:rPr>
          <w:lang w:val="en-AU"/>
        </w:rPr>
        <w:noBreakHyphen/>
      </w:r>
      <w:r w:rsidR="0067482B" w:rsidRPr="00527253">
        <w:rPr>
          <w:lang w:val="en-AU"/>
        </w:rPr>
        <w:t>IgA</w:t>
      </w:r>
      <w:r w:rsidR="00390286">
        <w:rPr>
          <w:lang w:val="en-AU"/>
        </w:rPr>
        <w:t> </w:t>
      </w:r>
      <w:r w:rsidR="0067482B" w:rsidRPr="00527253">
        <w:rPr>
          <w:lang w:val="en-AU"/>
        </w:rPr>
        <w:t xml:space="preserve">antibodies, in whom treatment with subcutaneous IgG products remains the only option, should be switched to </w:t>
      </w:r>
      <w:proofErr w:type="spellStart"/>
      <w:r w:rsidR="0067482B" w:rsidRPr="00527253">
        <w:rPr>
          <w:lang w:val="en-AU"/>
        </w:rPr>
        <w:t>Hizentra</w:t>
      </w:r>
      <w:proofErr w:type="spellEnd"/>
      <w:r w:rsidR="0067482B" w:rsidRPr="00527253">
        <w:rPr>
          <w:vertAlign w:val="superscript"/>
        </w:rPr>
        <w:t>®</w:t>
      </w:r>
      <w:r w:rsidR="0067482B" w:rsidRPr="00527253">
        <w:rPr>
          <w:lang w:val="en-AU"/>
        </w:rPr>
        <w:t xml:space="preserve"> only under close medical supervision.</w:t>
      </w:r>
    </w:p>
    <w:p w:rsidR="002D028B" w:rsidRPr="00527253" w:rsidRDefault="002D028B" w:rsidP="004A7AC9">
      <w:pPr>
        <w:pStyle w:val="DocumentText"/>
        <w:rPr>
          <w:lang w:val="en-AU"/>
        </w:rPr>
      </w:pPr>
      <w:r>
        <w:rPr>
          <w:lang w:val="en-AU"/>
        </w:rPr>
        <w:t xml:space="preserve">In case of severe hypersensitivity/anaphylactic reactions the administration of </w:t>
      </w:r>
      <w:proofErr w:type="spellStart"/>
      <w:r>
        <w:rPr>
          <w:lang w:val="en-AU"/>
        </w:rPr>
        <w:t>Hizentra</w:t>
      </w:r>
      <w:proofErr w:type="spellEnd"/>
      <w:r w:rsidR="00AC1A1E">
        <w:rPr>
          <w:vertAlign w:val="superscript"/>
        </w:rPr>
        <w:t>®</w:t>
      </w:r>
      <w:r>
        <w:rPr>
          <w:lang w:val="en-AU"/>
        </w:rPr>
        <w:t xml:space="preserve"> must be stopped immediately. In case of shock, standard medical treatment should be administered.</w:t>
      </w:r>
    </w:p>
    <w:p w:rsidR="0067482B" w:rsidRPr="00527253" w:rsidRDefault="0067482B" w:rsidP="00567AB4">
      <w:pPr>
        <w:pStyle w:val="DocumentText"/>
        <w:keepNext/>
        <w:keepLines/>
        <w:rPr>
          <w:b/>
          <w:lang w:val="en-AU"/>
        </w:rPr>
      </w:pPr>
      <w:r w:rsidRPr="00527253">
        <w:rPr>
          <w:lang w:val="en-AU"/>
        </w:rPr>
        <w:t>Potential complications can often be avoided by ensuring that patients:</w:t>
      </w:r>
    </w:p>
    <w:p w:rsidR="0067482B" w:rsidRPr="00643C0D" w:rsidRDefault="0067482B" w:rsidP="00567AB4">
      <w:pPr>
        <w:pStyle w:val="ListBulleted"/>
        <w:keepNext/>
        <w:rPr>
          <w:b/>
          <w:lang w:val="en-AU"/>
        </w:rPr>
      </w:pPr>
      <w:r w:rsidRPr="00643C0D">
        <w:rPr>
          <w:lang w:val="en-AU"/>
        </w:rPr>
        <w:t>are not sensitive to human normal immunoglobulin, by initially injecting the product slowly</w:t>
      </w:r>
    </w:p>
    <w:p w:rsidR="0067482B" w:rsidRDefault="0067482B" w:rsidP="00567AB4">
      <w:pPr>
        <w:pStyle w:val="ListBulleted"/>
        <w:keepNext/>
        <w:spacing w:after="240"/>
        <w:rPr>
          <w:lang w:val="en-AU"/>
        </w:rPr>
      </w:pPr>
      <w:proofErr w:type="gramStart"/>
      <w:r w:rsidRPr="00643C0D">
        <w:rPr>
          <w:lang w:val="en-AU"/>
        </w:rPr>
        <w:t>are</w:t>
      </w:r>
      <w:proofErr w:type="gramEnd"/>
      <w:r w:rsidRPr="00643C0D">
        <w:rPr>
          <w:lang w:val="en-AU"/>
        </w:rPr>
        <w:t xml:space="preserve"> carefully monitored for any symptoms throughout the infusion period. In particular, patients naive to human normal immunoglobulin, patients switched from an alternative product or when there has been a long interval since the previous infusion should be monitored during the first infusion and for the first hour after the first infusion, in order to detect potential adverse signs. All other patients should be observed for at least 20</w:t>
      </w:r>
      <w:r w:rsidR="009B03DE">
        <w:rPr>
          <w:lang w:val="en-AU"/>
        </w:rPr>
        <w:t> </w:t>
      </w:r>
      <w:r w:rsidRPr="00643C0D">
        <w:rPr>
          <w:lang w:val="en-AU"/>
        </w:rPr>
        <w:t>minutes after administration.</w:t>
      </w:r>
    </w:p>
    <w:p w:rsidR="001F4408" w:rsidRPr="001E1F80" w:rsidRDefault="001F4408" w:rsidP="001E1F80">
      <w:pPr>
        <w:pStyle w:val="Heading3"/>
        <w:numPr>
          <w:ilvl w:val="0"/>
          <w:numId w:val="0"/>
        </w:numPr>
        <w:ind w:left="1642" w:hanging="1642"/>
        <w:rPr>
          <w:lang w:val="en-AU"/>
        </w:rPr>
      </w:pPr>
      <w:r w:rsidRPr="001F4408">
        <w:rPr>
          <w:lang w:val="en-AU"/>
        </w:rPr>
        <w:t xml:space="preserve">Aseptic </w:t>
      </w:r>
      <w:r>
        <w:rPr>
          <w:lang w:val="en-AU"/>
        </w:rPr>
        <w:t>m</w:t>
      </w:r>
      <w:r w:rsidRPr="001F4408">
        <w:rPr>
          <w:lang w:val="en-AU"/>
        </w:rPr>
        <w:t xml:space="preserve">eningitis </w:t>
      </w:r>
      <w:r>
        <w:rPr>
          <w:lang w:val="en-AU"/>
        </w:rPr>
        <w:t>s</w:t>
      </w:r>
      <w:r w:rsidRPr="001F4408">
        <w:rPr>
          <w:lang w:val="en-AU"/>
        </w:rPr>
        <w:t>yndrome</w:t>
      </w:r>
      <w:r>
        <w:rPr>
          <w:lang w:val="en-AU"/>
        </w:rPr>
        <w:t xml:space="preserve"> (AMS)</w:t>
      </w:r>
    </w:p>
    <w:p w:rsidR="001F4408" w:rsidRPr="00643C0D" w:rsidRDefault="00F77781" w:rsidP="001E1F80">
      <w:pPr>
        <w:pStyle w:val="DocumentText"/>
        <w:rPr>
          <w:lang w:val="en-AU"/>
        </w:rPr>
      </w:pPr>
      <w:r w:rsidRPr="00F77781">
        <w:rPr>
          <w:lang w:val="en-AU"/>
        </w:rPr>
        <w:t>AMS has been reported with use of IVIG or SCIG. The syndrome usually begins within several hours to 2 days following immune globulin treatment. AMS is characterised by the following signs and symptoms: severe headache, neck stiffness, drowsiness, fever, photophobia, nausea, and vomiting. Patients exhibiting signs and symptoms of AMS should receive a thorough neurological examination, including CSF studies, to rule out other causes of meningitis. Discontinuation of immunoglobulin treatment may result in remission of AMS within several days without sequelae.</w:t>
      </w:r>
    </w:p>
    <w:p w:rsidR="001D5174" w:rsidRDefault="001D5174" w:rsidP="00250C28">
      <w:pPr>
        <w:pStyle w:val="Heading3"/>
        <w:numPr>
          <w:ilvl w:val="0"/>
          <w:numId w:val="0"/>
        </w:numPr>
        <w:ind w:left="1642" w:hanging="1642"/>
        <w:rPr>
          <w:lang w:val="en-AU"/>
        </w:rPr>
      </w:pPr>
      <w:r>
        <w:rPr>
          <w:lang w:val="en-AU"/>
        </w:rPr>
        <w:lastRenderedPageBreak/>
        <w:t>Embolic and thrombo</w:t>
      </w:r>
      <w:r w:rsidR="00AC1A1E">
        <w:rPr>
          <w:lang w:val="en-AU"/>
        </w:rPr>
        <w:t>t</w:t>
      </w:r>
      <w:r>
        <w:rPr>
          <w:lang w:val="en-AU"/>
        </w:rPr>
        <w:t>ic events</w:t>
      </w:r>
    </w:p>
    <w:p w:rsidR="00ED4801" w:rsidRPr="00ED4801" w:rsidRDefault="00ED4801" w:rsidP="00ED4801">
      <w:pPr>
        <w:pStyle w:val="DocumentText"/>
        <w:rPr>
          <w:lang w:val="en-AU"/>
        </w:rPr>
      </w:pPr>
      <w:r w:rsidRPr="00ED4801">
        <w:rPr>
          <w:lang w:val="en-AU"/>
        </w:rPr>
        <w:t>Arterial and venous thromboembolic events have been associated with the use of immunoglobulins. Caution should be taken in patients with pre</w:t>
      </w:r>
      <w:r w:rsidR="00DF74DA">
        <w:rPr>
          <w:lang w:val="en-AU"/>
        </w:rPr>
        <w:t>-</w:t>
      </w:r>
      <w:r w:rsidRPr="00ED4801">
        <w:rPr>
          <w:lang w:val="en-AU"/>
        </w:rPr>
        <w:t xml:space="preserve">existing risk factors for thromboembolic events, such as advanced age, </w:t>
      </w:r>
      <w:proofErr w:type="spellStart"/>
      <w:r w:rsidRPr="00ED4801">
        <w:rPr>
          <w:lang w:val="en-AU"/>
        </w:rPr>
        <w:t>estrogen</w:t>
      </w:r>
      <w:proofErr w:type="spellEnd"/>
      <w:r w:rsidRPr="00ED4801">
        <w:rPr>
          <w:lang w:val="en-AU"/>
        </w:rPr>
        <w:t xml:space="preserve"> use, in-dwelling vascular catheters, a history of vascular disease or thrombotic episodes, cardiovascular risk factors (including history of atherosclerosis and/or impaired cardiac output), patients with acquired or inherited </w:t>
      </w:r>
      <w:proofErr w:type="spellStart"/>
      <w:r w:rsidRPr="00ED4801">
        <w:rPr>
          <w:lang w:val="en-AU"/>
        </w:rPr>
        <w:t>hypercoagulable</w:t>
      </w:r>
      <w:proofErr w:type="spellEnd"/>
      <w:r w:rsidRPr="00ED4801">
        <w:rPr>
          <w:lang w:val="en-AU"/>
        </w:rPr>
        <w:t xml:space="preserve"> states, patients with prolonged periods of immobili</w:t>
      </w:r>
      <w:r w:rsidR="001E1F80">
        <w:rPr>
          <w:lang w:val="en-AU"/>
        </w:rPr>
        <w:t>s</w:t>
      </w:r>
      <w:r w:rsidRPr="00ED4801">
        <w:rPr>
          <w:lang w:val="en-AU"/>
        </w:rPr>
        <w:t xml:space="preserve">ation, severely hypovolemic patients, patients with diseases which increase blood viscosity (including </w:t>
      </w:r>
      <w:proofErr w:type="spellStart"/>
      <w:r w:rsidRPr="00ED4801">
        <w:rPr>
          <w:lang w:val="en-AU"/>
        </w:rPr>
        <w:t>cryoglobulins</w:t>
      </w:r>
      <w:proofErr w:type="spellEnd"/>
      <w:r w:rsidRPr="00ED4801">
        <w:rPr>
          <w:lang w:val="en-AU"/>
        </w:rPr>
        <w:t xml:space="preserve">, fasting </w:t>
      </w:r>
      <w:proofErr w:type="spellStart"/>
      <w:r w:rsidRPr="00ED4801">
        <w:rPr>
          <w:lang w:val="en-AU"/>
        </w:rPr>
        <w:t>chylomicronemia</w:t>
      </w:r>
      <w:proofErr w:type="spellEnd"/>
      <w:r w:rsidRPr="00ED4801">
        <w:rPr>
          <w:lang w:val="en-AU"/>
        </w:rPr>
        <w:t xml:space="preserve"> and/or high triglyceride levels, and monoclonal </w:t>
      </w:r>
      <w:proofErr w:type="spellStart"/>
      <w:r w:rsidRPr="00ED4801">
        <w:rPr>
          <w:lang w:val="en-AU"/>
        </w:rPr>
        <w:t>gammopathies</w:t>
      </w:r>
      <w:proofErr w:type="spellEnd"/>
      <w:r w:rsidRPr="00ED4801">
        <w:rPr>
          <w:lang w:val="en-AU"/>
        </w:rPr>
        <w:t xml:space="preserve">). In patients at risk for thromboembolic adverse reactions, </w:t>
      </w:r>
      <w:proofErr w:type="spellStart"/>
      <w:r w:rsidRPr="00ED4801">
        <w:rPr>
          <w:lang w:val="en-AU"/>
        </w:rPr>
        <w:t>Hizentra</w:t>
      </w:r>
      <w:proofErr w:type="spellEnd"/>
      <w:r w:rsidR="001E1F80" w:rsidRPr="001E1F80">
        <w:rPr>
          <w:vertAlign w:val="superscript"/>
        </w:rPr>
        <w:t>®</w:t>
      </w:r>
      <w:r w:rsidRPr="00ED4801">
        <w:rPr>
          <w:lang w:val="en-AU"/>
        </w:rPr>
        <w:t xml:space="preserve"> should be administered subcutaneously at the minimum rate of infusion and dose practicable, and these individuals should be monitored for thrombotic complications. Consideration should also be given to measurement of baseline blood viscosity in individuals at risk for </w:t>
      </w:r>
      <w:proofErr w:type="spellStart"/>
      <w:r w:rsidRPr="00ED4801">
        <w:rPr>
          <w:lang w:val="en-AU"/>
        </w:rPr>
        <w:t>hyperviscosity</w:t>
      </w:r>
      <w:proofErr w:type="spellEnd"/>
      <w:r w:rsidRPr="00ED4801">
        <w:rPr>
          <w:lang w:val="en-AU"/>
        </w:rPr>
        <w:t>. Patients should be sufficiently hydrated before use of immunoglobulins.</w:t>
      </w:r>
    </w:p>
    <w:p w:rsidR="0067482B" w:rsidRPr="00527253" w:rsidRDefault="0067482B" w:rsidP="00975628">
      <w:pPr>
        <w:pStyle w:val="Heading3"/>
        <w:numPr>
          <w:ilvl w:val="0"/>
          <w:numId w:val="0"/>
        </w:numPr>
        <w:ind w:left="1642" w:hanging="1642"/>
        <w:rPr>
          <w:lang w:val="en-AU"/>
        </w:rPr>
      </w:pPr>
      <w:r w:rsidRPr="00527253">
        <w:rPr>
          <w:lang w:val="en-AU"/>
        </w:rPr>
        <w:t>Pathogen safety</w:t>
      </w:r>
    </w:p>
    <w:p w:rsidR="006F41FC" w:rsidRPr="00074554" w:rsidRDefault="00363F23" w:rsidP="00074554">
      <w:pPr>
        <w:pStyle w:val="Heading4"/>
        <w:numPr>
          <w:ilvl w:val="0"/>
          <w:numId w:val="0"/>
        </w:numPr>
        <w:ind w:left="1865" w:hanging="1865"/>
        <w:rPr>
          <w:i/>
        </w:rPr>
      </w:pPr>
      <w:r w:rsidRPr="00074554">
        <w:rPr>
          <w:i/>
        </w:rPr>
        <w:t>T</w:t>
      </w:r>
      <w:r w:rsidR="00F773C5" w:rsidRPr="00074554">
        <w:rPr>
          <w:i/>
        </w:rPr>
        <w:t>ransmissible</w:t>
      </w:r>
      <w:r w:rsidRPr="00074554">
        <w:rPr>
          <w:i/>
        </w:rPr>
        <w:t xml:space="preserve"> infective</w:t>
      </w:r>
      <w:r w:rsidR="00F773C5" w:rsidRPr="00074554">
        <w:rPr>
          <w:i/>
        </w:rPr>
        <w:t xml:space="preserve"> agents</w:t>
      </w:r>
    </w:p>
    <w:p w:rsidR="00363F23" w:rsidRDefault="00F773C5" w:rsidP="00B35297">
      <w:pPr>
        <w:pStyle w:val="DocumentText"/>
      </w:pPr>
      <w:r w:rsidRPr="00F773C5">
        <w:t xml:space="preserve">Measures to prevent viral, bacterial, and fungal transmissible spongiform encephalopathy infections </w:t>
      </w:r>
      <w:r w:rsidR="0067482B" w:rsidRPr="00BB2362">
        <w:t>include selection of donors, screening of individual donations and plasma pools for specific markers of infection and the inclusion of effective manufacturing steps for the inactivation/removal of viruses.</w:t>
      </w:r>
    </w:p>
    <w:p w:rsidR="0067482B" w:rsidRPr="00BB2362" w:rsidRDefault="00F773C5" w:rsidP="00B35297">
      <w:pPr>
        <w:pStyle w:val="DocumentText"/>
      </w:pPr>
      <w:r w:rsidRPr="00F773C5">
        <w:t>Despite these measures there remains the possibility that products derived from human plasma may contain pathogenic agents. Thus the risk of transmission of infectious agents cannot be totally eliminated.</w:t>
      </w:r>
      <w:r w:rsidR="0067482B" w:rsidRPr="00BB2362">
        <w:t xml:space="preserve"> This also applies to unknown or emerging viruses and other pathogens.</w:t>
      </w:r>
    </w:p>
    <w:p w:rsidR="0067482B" w:rsidRPr="00BB2362" w:rsidRDefault="0067482B" w:rsidP="00B35297">
      <w:pPr>
        <w:pStyle w:val="DocumentText"/>
      </w:pPr>
      <w:r w:rsidRPr="00BB2362">
        <w:t>The measures taken are considered effective for enveloped viruses such as HIV, HBV and HCV, and for the non</w:t>
      </w:r>
      <w:r w:rsidR="00E27351">
        <w:noBreakHyphen/>
      </w:r>
      <w:r w:rsidRPr="00BB2362">
        <w:t>enveloped viruses HAV and parvovirus</w:t>
      </w:r>
      <w:r w:rsidR="009B03DE">
        <w:t> </w:t>
      </w:r>
      <w:r w:rsidRPr="00BB2362">
        <w:t>B19.</w:t>
      </w:r>
    </w:p>
    <w:p w:rsidR="0067482B" w:rsidRDefault="0067482B" w:rsidP="00B35297">
      <w:pPr>
        <w:pStyle w:val="DocumentText"/>
      </w:pPr>
      <w:r w:rsidRPr="00BB2362">
        <w:t>There is reassuring clinical experience regarding the lack of hepatitis</w:t>
      </w:r>
      <w:r w:rsidR="009B03DE">
        <w:t> </w:t>
      </w:r>
      <w:r w:rsidRPr="00BB2362">
        <w:t>A or parvovirus</w:t>
      </w:r>
      <w:r w:rsidR="009B03DE">
        <w:t> </w:t>
      </w:r>
      <w:r w:rsidRPr="00BB2362">
        <w:t>B19 transmission with immunoglobulins and it is also assumed that the antibody content makes an important contribution to the viral safety.</w:t>
      </w:r>
    </w:p>
    <w:p w:rsidR="0067482B" w:rsidRPr="00BB2362" w:rsidRDefault="0067482B" w:rsidP="00B35297">
      <w:pPr>
        <w:pStyle w:val="DocumentText"/>
      </w:pPr>
      <w:r w:rsidRPr="00BB2362">
        <w:lastRenderedPageBreak/>
        <w:t xml:space="preserve">It is strongly recommended that every time </w:t>
      </w:r>
      <w:proofErr w:type="spellStart"/>
      <w:r w:rsidRPr="00BB2362">
        <w:t>Hizentra</w:t>
      </w:r>
      <w:proofErr w:type="spellEnd"/>
      <w:r w:rsidR="00CB4C24">
        <w:rPr>
          <w:b/>
          <w:vertAlign w:val="superscript"/>
        </w:rPr>
        <w:t>®</w:t>
      </w:r>
      <w:r w:rsidRPr="00BB2362">
        <w:t xml:space="preserve"> is administered to a patient, the name and batch number of the medicinal product are recorded in order to maintain a link between the patient and the batch of the medicinal product.</w:t>
      </w:r>
    </w:p>
    <w:p w:rsidR="0067482B" w:rsidRPr="0041149A" w:rsidRDefault="0067482B" w:rsidP="00405B8C">
      <w:pPr>
        <w:pStyle w:val="Heading3"/>
        <w:numPr>
          <w:ilvl w:val="0"/>
          <w:numId w:val="0"/>
        </w:numPr>
        <w:ind w:left="1642" w:hanging="1642"/>
        <w:rPr>
          <w:lang w:val="en-AU"/>
        </w:rPr>
      </w:pPr>
      <w:r w:rsidRPr="0041149A">
        <w:rPr>
          <w:lang w:val="en-AU"/>
        </w:rPr>
        <w:t>Effects on fertility</w:t>
      </w:r>
    </w:p>
    <w:p w:rsidR="0067482B" w:rsidRPr="00BB2362" w:rsidRDefault="005F247C" w:rsidP="00364D70">
      <w:pPr>
        <w:pStyle w:val="DocumentText"/>
        <w:rPr>
          <w:lang w:val="en-AU"/>
        </w:rPr>
      </w:pPr>
      <w:r w:rsidRPr="00E864FC">
        <w:rPr>
          <w:lang w:val="en-AU"/>
        </w:rPr>
        <w:t>Animal fertility</w:t>
      </w:r>
      <w:r w:rsidR="005D6A1E" w:rsidRPr="00E864FC">
        <w:rPr>
          <w:lang w:val="en-AU"/>
        </w:rPr>
        <w:t xml:space="preserve"> studies have</w:t>
      </w:r>
      <w:r w:rsidRPr="00E864FC">
        <w:rPr>
          <w:lang w:val="en-AU"/>
        </w:rPr>
        <w:t xml:space="preserve"> not</w:t>
      </w:r>
      <w:r w:rsidR="005D6A1E" w:rsidRPr="00E864FC">
        <w:rPr>
          <w:lang w:val="en-AU"/>
        </w:rPr>
        <w:t xml:space="preserve"> been conducted </w:t>
      </w:r>
      <w:r w:rsidR="006039E7" w:rsidRPr="00E864FC">
        <w:rPr>
          <w:lang w:val="en-AU"/>
        </w:rPr>
        <w:t>with</w:t>
      </w:r>
      <w:r w:rsidR="005D6A1E" w:rsidRPr="00E864FC">
        <w:rPr>
          <w:lang w:val="en-AU"/>
        </w:rPr>
        <w:t xml:space="preserve"> </w:t>
      </w:r>
      <w:proofErr w:type="spellStart"/>
      <w:r w:rsidR="005D6A1E" w:rsidRPr="00E864FC">
        <w:rPr>
          <w:lang w:val="en-AU"/>
        </w:rPr>
        <w:t>Hizentra</w:t>
      </w:r>
      <w:proofErr w:type="spellEnd"/>
      <w:r w:rsidR="005D6A1E" w:rsidRPr="00C34E78">
        <w:rPr>
          <w:vertAlign w:val="superscript"/>
          <w:lang w:val="en-AU"/>
        </w:rPr>
        <w:t>®</w:t>
      </w:r>
      <w:r w:rsidR="005D6A1E" w:rsidRPr="00E864FC">
        <w:rPr>
          <w:lang w:val="en-AU"/>
        </w:rPr>
        <w:t>.</w:t>
      </w:r>
      <w:r w:rsidR="005D6A1E">
        <w:rPr>
          <w:lang w:val="en-AU"/>
        </w:rPr>
        <w:t xml:space="preserve"> </w:t>
      </w:r>
      <w:r w:rsidR="00DE5F36">
        <w:rPr>
          <w:lang w:val="en-AU"/>
        </w:rPr>
        <w:t>Based on c</w:t>
      </w:r>
      <w:r w:rsidR="0067482B" w:rsidRPr="00BB2362">
        <w:rPr>
          <w:lang w:val="en-AU"/>
        </w:rPr>
        <w:t xml:space="preserve">linical experience with immunoglobulins </w:t>
      </w:r>
      <w:r w:rsidR="00DE5F36">
        <w:rPr>
          <w:lang w:val="en-AU"/>
        </w:rPr>
        <w:t>it is suggested</w:t>
      </w:r>
      <w:r w:rsidR="00DE5F36" w:rsidRPr="00BB2362">
        <w:rPr>
          <w:lang w:val="en-AU"/>
        </w:rPr>
        <w:t xml:space="preserve"> </w:t>
      </w:r>
      <w:r w:rsidR="0067482B" w:rsidRPr="00BB2362">
        <w:rPr>
          <w:lang w:val="en-AU"/>
        </w:rPr>
        <w:t>that no harmful effects on fertility are to be expected.</w:t>
      </w:r>
    </w:p>
    <w:p w:rsidR="0067482B" w:rsidRPr="0041149A" w:rsidRDefault="0067482B" w:rsidP="00D1710B">
      <w:pPr>
        <w:pStyle w:val="Heading3"/>
        <w:numPr>
          <w:ilvl w:val="0"/>
          <w:numId w:val="0"/>
        </w:numPr>
        <w:ind w:left="1642" w:hanging="1642"/>
        <w:rPr>
          <w:lang w:val="en-AU"/>
        </w:rPr>
      </w:pPr>
      <w:r w:rsidRPr="0041149A">
        <w:rPr>
          <w:lang w:val="en-AU"/>
        </w:rPr>
        <w:t>Use in pregnancy</w:t>
      </w:r>
    </w:p>
    <w:p w:rsidR="00B14FF6" w:rsidRDefault="009674A0" w:rsidP="006A5C12">
      <w:pPr>
        <w:pStyle w:val="DocumentText"/>
      </w:pPr>
      <w:r w:rsidRPr="00E864FC">
        <w:t xml:space="preserve">Animal reproduction studies have not been conducted with </w:t>
      </w:r>
      <w:proofErr w:type="spellStart"/>
      <w:r w:rsidRPr="00E864FC">
        <w:t>Hizentra</w:t>
      </w:r>
      <w:proofErr w:type="spellEnd"/>
      <w:r w:rsidRPr="00C34E78">
        <w:rPr>
          <w:vertAlign w:val="superscript"/>
        </w:rPr>
        <w:t>®</w:t>
      </w:r>
      <w:r w:rsidRPr="00E864FC">
        <w:t>.</w:t>
      </w:r>
      <w:r>
        <w:t xml:space="preserve"> </w:t>
      </w:r>
      <w:r w:rsidR="0067482B" w:rsidRPr="00BB2362">
        <w:t xml:space="preserve">Data from prospective clinical trials on the use of human normal immunoglobulin in pregnant women is limited. Therefore, </w:t>
      </w:r>
      <w:proofErr w:type="spellStart"/>
      <w:r w:rsidR="0067482B" w:rsidRPr="00BB2362">
        <w:t>Hizentra</w:t>
      </w:r>
      <w:proofErr w:type="spellEnd"/>
      <w:r w:rsidR="00841E2A">
        <w:rPr>
          <w:b/>
          <w:vertAlign w:val="superscript"/>
        </w:rPr>
        <w:t>®</w:t>
      </w:r>
      <w:r w:rsidR="0067482B" w:rsidRPr="00BB2362">
        <w:t xml:space="preserve"> should only be given with caution to pregnant women and breastfeeding mothers. Clinical experience with immunoglobulins suggests that no harmful effects on the course of pregnancy, or on the </w:t>
      </w:r>
      <w:proofErr w:type="spellStart"/>
      <w:r w:rsidR="0067482B" w:rsidRPr="00BB2362">
        <w:t>foetus</w:t>
      </w:r>
      <w:proofErr w:type="spellEnd"/>
      <w:r w:rsidR="0067482B" w:rsidRPr="00BB2362">
        <w:t xml:space="preserve"> or the neonate are to be expected.</w:t>
      </w:r>
      <w:r w:rsidR="00CF5F17">
        <w:t xml:space="preserve"> </w:t>
      </w:r>
    </w:p>
    <w:p w:rsidR="0067482B" w:rsidRPr="00E864FC" w:rsidRDefault="00CF5F17" w:rsidP="006A5C12">
      <w:pPr>
        <w:pStyle w:val="DocumentText"/>
        <w:rPr>
          <w:strike/>
        </w:rPr>
      </w:pPr>
      <w:r w:rsidRPr="00E864FC">
        <w:t>There was no evidence of a teratog</w:t>
      </w:r>
      <w:r w:rsidR="001D4660">
        <w:t>enic effect of the excipient p</w:t>
      </w:r>
      <w:r w:rsidRPr="00E864FC">
        <w:t>roline</w:t>
      </w:r>
      <w:r w:rsidR="00C93EFF" w:rsidRPr="00E864FC">
        <w:t xml:space="preserve"> when administered to pregnant rats over the period of </w:t>
      </w:r>
      <w:proofErr w:type="spellStart"/>
      <w:r w:rsidR="00C93EFF" w:rsidRPr="00E864FC">
        <w:t>organogenisis</w:t>
      </w:r>
      <w:proofErr w:type="spellEnd"/>
      <w:r w:rsidR="00E864FC">
        <w:t xml:space="preserve">. </w:t>
      </w:r>
    </w:p>
    <w:p w:rsidR="0067482B" w:rsidRPr="00BB2362" w:rsidRDefault="0067482B" w:rsidP="006A5C12">
      <w:pPr>
        <w:pStyle w:val="DocumentText"/>
      </w:pPr>
      <w:r w:rsidRPr="00BB2362">
        <w:t>Continued treatment of the pregnant woman ensures a passive immunity for the neonate.</w:t>
      </w:r>
    </w:p>
    <w:p w:rsidR="0067482B" w:rsidRPr="0041149A" w:rsidRDefault="0067482B" w:rsidP="00B044CA">
      <w:pPr>
        <w:pStyle w:val="Heading3"/>
        <w:numPr>
          <w:ilvl w:val="0"/>
          <w:numId w:val="0"/>
        </w:numPr>
        <w:ind w:left="1642" w:hanging="1642"/>
        <w:rPr>
          <w:lang w:val="en-AU"/>
        </w:rPr>
      </w:pPr>
      <w:r w:rsidRPr="0041149A">
        <w:rPr>
          <w:lang w:val="en-AU"/>
        </w:rPr>
        <w:t>Use in lactation</w:t>
      </w:r>
    </w:p>
    <w:p w:rsidR="0067482B" w:rsidRPr="001E1F80" w:rsidRDefault="00DE5F36" w:rsidP="001E1F80">
      <w:pPr>
        <w:pStyle w:val="DocumentText"/>
      </w:pPr>
      <w:r w:rsidRPr="001E1F80">
        <w:t>During breast</w:t>
      </w:r>
      <w:r w:rsidR="00E27351" w:rsidRPr="001E1F80">
        <w:noBreakHyphen/>
      </w:r>
      <w:r w:rsidRPr="001E1F80">
        <w:t>feeding i</w:t>
      </w:r>
      <w:r w:rsidR="0067482B" w:rsidRPr="001E1F80">
        <w:t>mmunoglobulins are excreted into the milk and may contribute to the transfer of protective antibodies to the neonate</w:t>
      </w:r>
      <w:r w:rsidR="00E2232A" w:rsidRPr="001E1F80">
        <w:t>.</w:t>
      </w:r>
    </w:p>
    <w:p w:rsidR="0067482B" w:rsidRPr="00B044CA" w:rsidRDefault="0067482B" w:rsidP="00B044CA">
      <w:pPr>
        <w:pStyle w:val="Heading3"/>
        <w:numPr>
          <w:ilvl w:val="0"/>
          <w:numId w:val="0"/>
        </w:numPr>
        <w:ind w:left="1642" w:hanging="1642"/>
        <w:rPr>
          <w:lang w:val="en-AU"/>
        </w:rPr>
      </w:pPr>
      <w:r w:rsidRPr="00B044CA">
        <w:rPr>
          <w:lang w:val="en-AU"/>
        </w:rPr>
        <w:t>Paediatric use</w:t>
      </w:r>
    </w:p>
    <w:p w:rsidR="0067482B" w:rsidRPr="00BB2362" w:rsidRDefault="0067482B" w:rsidP="0005389E">
      <w:pPr>
        <w:pStyle w:val="DocumentText"/>
        <w:rPr>
          <w:i/>
          <w:lang w:val="en-AU"/>
        </w:rPr>
      </w:pPr>
      <w:proofErr w:type="spellStart"/>
      <w:r w:rsidRPr="00BB2362">
        <w:rPr>
          <w:lang w:val="en-AU"/>
        </w:rPr>
        <w:t>Hizentra</w:t>
      </w:r>
      <w:proofErr w:type="spellEnd"/>
      <w:r w:rsidR="004A063A">
        <w:rPr>
          <w:vertAlign w:val="superscript"/>
          <w:lang w:val="en-AU"/>
        </w:rPr>
        <w:t>®</w:t>
      </w:r>
      <w:r w:rsidRPr="00BB2362">
        <w:rPr>
          <w:lang w:val="en-AU"/>
        </w:rPr>
        <w:t xml:space="preserve"> was evaluated in </w:t>
      </w:r>
      <w:r w:rsidR="00464457">
        <w:rPr>
          <w:lang w:val="en-AU"/>
        </w:rPr>
        <w:t>46</w:t>
      </w:r>
      <w:r w:rsidR="009B03DE">
        <w:rPr>
          <w:lang w:val="en-AU"/>
        </w:rPr>
        <w:t> </w:t>
      </w:r>
      <w:r w:rsidRPr="00BB2362">
        <w:rPr>
          <w:lang w:val="en-AU"/>
        </w:rPr>
        <w:t>paediatric patients (</w:t>
      </w:r>
      <w:r w:rsidR="00464457">
        <w:rPr>
          <w:lang w:val="en-AU"/>
        </w:rPr>
        <w:t>27</w:t>
      </w:r>
      <w:r w:rsidR="009B03DE">
        <w:rPr>
          <w:lang w:val="en-AU"/>
        </w:rPr>
        <w:t> </w:t>
      </w:r>
      <w:r w:rsidRPr="00BB2362">
        <w:rPr>
          <w:lang w:val="en-AU"/>
        </w:rPr>
        <w:t xml:space="preserve">children </w:t>
      </w:r>
      <w:r w:rsidRPr="00464457">
        <w:rPr>
          <w:lang w:val="en-AU"/>
        </w:rPr>
        <w:t>[2</w:t>
      </w:r>
      <w:r w:rsidRPr="00BB2362">
        <w:rPr>
          <w:lang w:val="en-AU"/>
        </w:rPr>
        <w:t xml:space="preserve"> to 11</w:t>
      </w:r>
      <w:r w:rsidR="009B03DE">
        <w:rPr>
          <w:lang w:val="en-AU"/>
        </w:rPr>
        <w:t> </w:t>
      </w:r>
      <w:r w:rsidRPr="00BB2362">
        <w:rPr>
          <w:lang w:val="en-AU"/>
        </w:rPr>
        <w:t xml:space="preserve">years] and </w:t>
      </w:r>
      <w:r w:rsidR="00464457">
        <w:rPr>
          <w:lang w:val="en-AU"/>
        </w:rPr>
        <w:t>19</w:t>
      </w:r>
      <w:r w:rsidR="009B03DE">
        <w:rPr>
          <w:lang w:val="en-AU"/>
        </w:rPr>
        <w:t> </w:t>
      </w:r>
      <w:r w:rsidRPr="00BB2362">
        <w:rPr>
          <w:lang w:val="en-AU"/>
        </w:rPr>
        <w:t>adolescents [12 to 16</w:t>
      </w:r>
      <w:r w:rsidR="009B03DE">
        <w:rPr>
          <w:lang w:val="en-AU"/>
        </w:rPr>
        <w:t> </w:t>
      </w:r>
      <w:r w:rsidRPr="00BB2362">
        <w:rPr>
          <w:lang w:val="en-AU"/>
        </w:rPr>
        <w:t>years]) with primary</w:t>
      </w:r>
      <w:r w:rsidR="009B03DE">
        <w:rPr>
          <w:lang w:val="en-AU"/>
        </w:rPr>
        <w:t> </w:t>
      </w:r>
      <w:r w:rsidRPr="00BB2362">
        <w:rPr>
          <w:lang w:val="en-AU"/>
        </w:rPr>
        <w:t>immunodeficiency</w:t>
      </w:r>
      <w:r w:rsidR="009B03DE">
        <w:rPr>
          <w:lang w:val="en-AU"/>
        </w:rPr>
        <w:t> </w:t>
      </w:r>
      <w:r w:rsidRPr="00BB2362">
        <w:rPr>
          <w:lang w:val="en-AU"/>
        </w:rPr>
        <w:t>disease</w:t>
      </w:r>
      <w:r w:rsidR="009B03DE">
        <w:rPr>
          <w:lang w:val="en-AU"/>
        </w:rPr>
        <w:t> </w:t>
      </w:r>
      <w:r w:rsidRPr="00BB2362">
        <w:rPr>
          <w:lang w:val="en-AU"/>
        </w:rPr>
        <w:t>(PID). No paediatric</w:t>
      </w:r>
      <w:r w:rsidR="00E27351">
        <w:rPr>
          <w:lang w:val="en-AU"/>
        </w:rPr>
        <w:noBreakHyphen/>
      </w:r>
      <w:r w:rsidRPr="00BB2362">
        <w:rPr>
          <w:lang w:val="en-AU"/>
        </w:rPr>
        <w:t>specific dose requirements were necessary to achieve the desired serum IgG levels.</w:t>
      </w:r>
    </w:p>
    <w:p w:rsidR="006F41FC" w:rsidRDefault="00F773C5" w:rsidP="0005389E">
      <w:pPr>
        <w:pStyle w:val="DocumentText"/>
        <w:rPr>
          <w:lang w:val="en-AU"/>
        </w:rPr>
      </w:pPr>
      <w:r w:rsidRPr="00F773C5">
        <w:rPr>
          <w:lang w:val="en-AU"/>
        </w:rPr>
        <w:t xml:space="preserve">Clinical trials with </w:t>
      </w:r>
      <w:proofErr w:type="spellStart"/>
      <w:r w:rsidR="00DE5F36">
        <w:rPr>
          <w:lang w:val="en-AU"/>
        </w:rPr>
        <w:t>Hizentra</w:t>
      </w:r>
      <w:proofErr w:type="spellEnd"/>
      <w:r w:rsidR="00AC1A1E">
        <w:rPr>
          <w:vertAlign w:val="superscript"/>
        </w:rPr>
        <w:t>®</w:t>
      </w:r>
      <w:r w:rsidRPr="00F773C5">
        <w:rPr>
          <w:lang w:val="en-AU"/>
        </w:rPr>
        <w:t xml:space="preserve"> showed a similar safety profile in p</w:t>
      </w:r>
      <w:r w:rsidR="0063537F">
        <w:rPr>
          <w:lang w:val="en-AU"/>
        </w:rPr>
        <w:t>a</w:t>
      </w:r>
      <w:r w:rsidRPr="00F773C5">
        <w:rPr>
          <w:lang w:val="en-AU"/>
        </w:rPr>
        <w:t>ediatric and adult patients.</w:t>
      </w:r>
      <w:r w:rsidR="009A1C89">
        <w:rPr>
          <w:rFonts w:ascii="Calibri" w:hAnsi="Calibri" w:cs="Calibri"/>
          <w:sz w:val="22"/>
          <w:szCs w:val="22"/>
        </w:rPr>
        <w:t xml:space="preserve"> </w:t>
      </w:r>
      <w:r w:rsidR="0067482B" w:rsidRPr="00BB2362">
        <w:rPr>
          <w:lang w:val="en-AU"/>
        </w:rPr>
        <w:t xml:space="preserve">The safety and efficacy of </w:t>
      </w:r>
      <w:proofErr w:type="spellStart"/>
      <w:r w:rsidR="0067482B" w:rsidRPr="00BB2362">
        <w:rPr>
          <w:lang w:val="en-AU"/>
        </w:rPr>
        <w:t>Hizentra</w:t>
      </w:r>
      <w:proofErr w:type="spellEnd"/>
      <w:r w:rsidR="006A5D7D">
        <w:rPr>
          <w:b/>
          <w:vertAlign w:val="superscript"/>
        </w:rPr>
        <w:t>®</w:t>
      </w:r>
      <w:r w:rsidR="0067482B" w:rsidRPr="00BB2362">
        <w:rPr>
          <w:lang w:val="en-AU"/>
        </w:rPr>
        <w:t xml:space="preserve"> has not been</w:t>
      </w:r>
      <w:r w:rsidR="00464457">
        <w:rPr>
          <w:lang w:val="en-AU"/>
        </w:rPr>
        <w:t xml:space="preserve"> formally</w:t>
      </w:r>
      <w:r w:rsidR="0067482B" w:rsidRPr="00BB2362">
        <w:rPr>
          <w:lang w:val="en-AU"/>
        </w:rPr>
        <w:t xml:space="preserve"> studied in paediatric patients under </w:t>
      </w:r>
      <w:r w:rsidR="0067482B" w:rsidRPr="00464457">
        <w:rPr>
          <w:lang w:val="en-AU"/>
        </w:rPr>
        <w:t>two y</w:t>
      </w:r>
      <w:r w:rsidR="0067482B" w:rsidRPr="00BB2362">
        <w:rPr>
          <w:lang w:val="en-AU"/>
        </w:rPr>
        <w:t>ears of age.</w:t>
      </w:r>
    </w:p>
    <w:p w:rsidR="0067482B" w:rsidRPr="00B044CA" w:rsidRDefault="0067482B" w:rsidP="00B044CA">
      <w:pPr>
        <w:pStyle w:val="Heading3"/>
        <w:numPr>
          <w:ilvl w:val="0"/>
          <w:numId w:val="0"/>
        </w:numPr>
        <w:ind w:left="1642" w:hanging="1642"/>
        <w:rPr>
          <w:lang w:val="en-AU"/>
        </w:rPr>
      </w:pPr>
      <w:r w:rsidRPr="00B044CA">
        <w:rPr>
          <w:lang w:val="en-AU"/>
        </w:rPr>
        <w:lastRenderedPageBreak/>
        <w:t>Use in the elderly</w:t>
      </w:r>
    </w:p>
    <w:p w:rsidR="0067482B" w:rsidRDefault="0067482B" w:rsidP="00317F3A">
      <w:pPr>
        <w:pStyle w:val="DocumentText"/>
      </w:pPr>
      <w:r w:rsidRPr="00BB2362">
        <w:t xml:space="preserve">Clinical studies included </w:t>
      </w:r>
      <w:r w:rsidR="00464457">
        <w:t>6</w:t>
      </w:r>
      <w:r w:rsidR="009B03DE">
        <w:t> </w:t>
      </w:r>
      <w:r w:rsidRPr="00BB2362">
        <w:t>patients over the age of 65. There were no elderly</w:t>
      </w:r>
      <w:r w:rsidR="00E27351">
        <w:noBreakHyphen/>
      </w:r>
      <w:r w:rsidRPr="00BB2362">
        <w:t>specific dose requirements necessary to achieve the desired serum IgG levels.</w:t>
      </w:r>
    </w:p>
    <w:p w:rsidR="00DE5F36" w:rsidRPr="009918B4" w:rsidRDefault="00F773C5" w:rsidP="00317F3A">
      <w:pPr>
        <w:pStyle w:val="DocumentText"/>
      </w:pPr>
      <w:r w:rsidRPr="00F773C5">
        <w:t xml:space="preserve">Limited information available in clinical trials showed no difference in safety profile in </w:t>
      </w:r>
      <w:proofErr w:type="gramStart"/>
      <w:r w:rsidRPr="00F773C5">
        <w:t>patients</w:t>
      </w:r>
      <w:proofErr w:type="gramEnd"/>
      <w:r w:rsidR="009918B4">
        <w:t xml:space="preserve"> </w:t>
      </w:r>
      <w:r w:rsidR="00F25D64">
        <w:t>≥</w:t>
      </w:r>
      <w:r w:rsidRPr="00F773C5">
        <w:t>65 years of age than in younger patients.</w:t>
      </w:r>
    </w:p>
    <w:p w:rsidR="006F41FC" w:rsidRDefault="00F773C5" w:rsidP="00317F3A">
      <w:pPr>
        <w:pStyle w:val="DocumentText"/>
      </w:pPr>
      <w:r w:rsidRPr="00F773C5">
        <w:t xml:space="preserve">Post-marketing experience with </w:t>
      </w:r>
      <w:proofErr w:type="spellStart"/>
      <w:r w:rsidR="009918B4">
        <w:t>Hizentra</w:t>
      </w:r>
      <w:proofErr w:type="spellEnd"/>
      <w:r w:rsidR="00AC1A1E">
        <w:rPr>
          <w:vertAlign w:val="superscript"/>
        </w:rPr>
        <w:t>®</w:t>
      </w:r>
      <w:r w:rsidRPr="00F773C5">
        <w:t xml:space="preserve"> in </w:t>
      </w:r>
      <w:proofErr w:type="gramStart"/>
      <w:r w:rsidRPr="00F773C5">
        <w:t>patients</w:t>
      </w:r>
      <w:proofErr w:type="gramEnd"/>
      <w:r w:rsidRPr="00F773C5">
        <w:t xml:space="preserve"> </w:t>
      </w:r>
      <w:r w:rsidR="00D0782F">
        <w:t>≥</w:t>
      </w:r>
      <w:r w:rsidRPr="00F773C5">
        <w:t>65</w:t>
      </w:r>
      <w:r w:rsidR="009B03DE">
        <w:t> </w:t>
      </w:r>
      <w:r w:rsidRPr="00F773C5">
        <w:t>years of age shows an overall similar safety profile in this age group as in younger patients.</w:t>
      </w:r>
    </w:p>
    <w:p w:rsidR="0067482B" w:rsidRPr="00B044CA" w:rsidRDefault="0067482B" w:rsidP="00B044CA">
      <w:pPr>
        <w:pStyle w:val="Heading3"/>
        <w:numPr>
          <w:ilvl w:val="0"/>
          <w:numId w:val="0"/>
        </w:numPr>
        <w:ind w:left="1642" w:hanging="1642"/>
        <w:rPr>
          <w:lang w:val="en-AU"/>
        </w:rPr>
      </w:pPr>
      <w:r w:rsidRPr="00B044CA">
        <w:rPr>
          <w:lang w:val="en-AU"/>
        </w:rPr>
        <w:t>Genotoxicity</w:t>
      </w:r>
    </w:p>
    <w:p w:rsidR="0067482B" w:rsidRPr="00F14245" w:rsidRDefault="0067482B" w:rsidP="008A333F">
      <w:pPr>
        <w:pStyle w:val="DocumentText"/>
        <w:rPr>
          <w:strike/>
          <w:color w:val="FF0000"/>
          <w:highlight w:val="yellow"/>
        </w:rPr>
      </w:pPr>
      <w:r w:rsidRPr="00BB2362">
        <w:t xml:space="preserve">No genotoxicity studies have been conducted with </w:t>
      </w:r>
      <w:proofErr w:type="spellStart"/>
      <w:r w:rsidRPr="00BB2362">
        <w:t>Hizentra</w:t>
      </w:r>
      <w:proofErr w:type="spellEnd"/>
      <w:r w:rsidR="00334A67">
        <w:rPr>
          <w:b/>
          <w:vertAlign w:val="superscript"/>
        </w:rPr>
        <w:t>®</w:t>
      </w:r>
      <w:r w:rsidRPr="00BB2362">
        <w:t>. The excipient proline was not genotoxic in a standard array of genotoxicity tests</w:t>
      </w:r>
      <w:r w:rsidR="00F14245">
        <w:t>.</w:t>
      </w:r>
      <w:r w:rsidR="00F8108A">
        <w:t xml:space="preserve"> </w:t>
      </w:r>
    </w:p>
    <w:p w:rsidR="0067482B" w:rsidRPr="008A333F" w:rsidRDefault="0067482B" w:rsidP="008A333F">
      <w:pPr>
        <w:pStyle w:val="Heading3"/>
        <w:numPr>
          <w:ilvl w:val="0"/>
          <w:numId w:val="0"/>
        </w:numPr>
        <w:ind w:left="1642" w:hanging="1642"/>
        <w:rPr>
          <w:lang w:val="en-AU"/>
        </w:rPr>
      </w:pPr>
      <w:r w:rsidRPr="008A333F">
        <w:rPr>
          <w:lang w:val="en-AU"/>
        </w:rPr>
        <w:t>Carcinogenicity</w:t>
      </w:r>
    </w:p>
    <w:p w:rsidR="0067482B" w:rsidRPr="001E1F80" w:rsidRDefault="0067482B" w:rsidP="001E1F80">
      <w:pPr>
        <w:pStyle w:val="DocumentText"/>
      </w:pPr>
      <w:r w:rsidRPr="001E1F80">
        <w:t xml:space="preserve">No carcinogenicity studies have been conducted with </w:t>
      </w:r>
      <w:proofErr w:type="spellStart"/>
      <w:r w:rsidRPr="001E1F80">
        <w:t>Hizentra</w:t>
      </w:r>
      <w:proofErr w:type="spellEnd"/>
      <w:r w:rsidR="00564D69" w:rsidRPr="001E1F80">
        <w:rPr>
          <w:vertAlign w:val="superscript"/>
        </w:rPr>
        <w:t>®</w:t>
      </w:r>
      <w:r w:rsidRPr="001E1F80">
        <w:t>.</w:t>
      </w:r>
    </w:p>
    <w:p w:rsidR="0067482B" w:rsidRPr="008A333F" w:rsidRDefault="0067482B" w:rsidP="008A333F">
      <w:pPr>
        <w:pStyle w:val="Heading3"/>
        <w:numPr>
          <w:ilvl w:val="0"/>
          <w:numId w:val="0"/>
        </w:numPr>
        <w:ind w:left="1642" w:hanging="1642"/>
        <w:rPr>
          <w:lang w:val="en-AU"/>
        </w:rPr>
      </w:pPr>
      <w:r w:rsidRPr="008A333F">
        <w:rPr>
          <w:lang w:val="en-AU"/>
        </w:rPr>
        <w:t>Effect on laboratory tests</w:t>
      </w:r>
    </w:p>
    <w:p w:rsidR="006F41FC" w:rsidRPr="00E84C63" w:rsidRDefault="00F773C5" w:rsidP="00E84C63">
      <w:pPr>
        <w:pStyle w:val="Heading4"/>
        <w:numPr>
          <w:ilvl w:val="0"/>
          <w:numId w:val="0"/>
        </w:numPr>
        <w:ind w:left="1865" w:hanging="1865"/>
        <w:rPr>
          <w:i/>
        </w:rPr>
      </w:pPr>
      <w:r w:rsidRPr="00E84C63">
        <w:rPr>
          <w:i/>
        </w:rPr>
        <w:t>Interference with serological testing</w:t>
      </w:r>
    </w:p>
    <w:p w:rsidR="0067482B" w:rsidRPr="00BB2362" w:rsidRDefault="0067482B" w:rsidP="0069148A">
      <w:pPr>
        <w:pStyle w:val="DocumentText"/>
      </w:pPr>
      <w:r w:rsidRPr="00BB2362">
        <w:t>After injection of immunoglobulin the transitory rise of the various passively transferred antibodies in the patient</w:t>
      </w:r>
      <w:r w:rsidR="00151E2D">
        <w:t>’</w:t>
      </w:r>
      <w:r w:rsidRPr="00BB2362">
        <w:t>s blood may result in misleading positive results in serological testing.</w:t>
      </w:r>
    </w:p>
    <w:p w:rsidR="0067482B" w:rsidRPr="00BB2362" w:rsidRDefault="0067482B" w:rsidP="0069148A">
      <w:pPr>
        <w:pStyle w:val="DocumentText"/>
      </w:pPr>
      <w:r w:rsidRPr="00BB2362">
        <w:t>Passive transmission of antibodies to erythrocyte antigens, e.g. A, B</w:t>
      </w:r>
      <w:r w:rsidR="00643C0D">
        <w:t xml:space="preserve"> &amp;</w:t>
      </w:r>
      <w:r w:rsidRPr="00BB2362">
        <w:t xml:space="preserve"> D may interfere with some serological tests for red cell </w:t>
      </w:r>
      <w:proofErr w:type="spellStart"/>
      <w:r w:rsidRPr="00BB2362">
        <w:t>allo</w:t>
      </w:r>
      <w:proofErr w:type="spellEnd"/>
      <w:r w:rsidR="00034C6E">
        <w:noBreakHyphen/>
      </w:r>
      <w:r w:rsidRPr="00BB2362">
        <w:t>antibodies (Coombs test).</w:t>
      </w:r>
    </w:p>
    <w:p w:rsidR="0067482B" w:rsidRPr="0041149A" w:rsidRDefault="0067482B" w:rsidP="000748A2">
      <w:pPr>
        <w:pStyle w:val="Heading2"/>
        <w:numPr>
          <w:ilvl w:val="0"/>
          <w:numId w:val="0"/>
        </w:numPr>
        <w:ind w:left="1404" w:hanging="1404"/>
        <w:rPr>
          <w:lang w:val="en-AU"/>
        </w:rPr>
      </w:pPr>
      <w:r w:rsidRPr="0041149A">
        <w:rPr>
          <w:lang w:val="en-AU"/>
        </w:rPr>
        <w:t>INTERACTIONS WITH OTHER MEDICINES</w:t>
      </w:r>
    </w:p>
    <w:p w:rsidR="006F41FC" w:rsidRDefault="00F773C5" w:rsidP="000748A2">
      <w:pPr>
        <w:pStyle w:val="Heading3"/>
        <w:numPr>
          <w:ilvl w:val="0"/>
          <w:numId w:val="0"/>
        </w:numPr>
        <w:ind w:left="720" w:hanging="720"/>
      </w:pPr>
      <w:r w:rsidRPr="00F773C5">
        <w:t>Live attenuated virus vaccines</w:t>
      </w:r>
    </w:p>
    <w:p w:rsidR="0067482B" w:rsidRPr="00E864FC" w:rsidRDefault="0067482B" w:rsidP="001E1F80">
      <w:pPr>
        <w:pStyle w:val="DocumentText"/>
      </w:pPr>
      <w:r w:rsidRPr="0041149A">
        <w:t>Immunoglobulin administration may impair for a period of at least 6</w:t>
      </w:r>
      <w:r w:rsidR="009B03DE">
        <w:t> </w:t>
      </w:r>
      <w:r w:rsidRPr="0041149A">
        <w:t>weeks and up to 3</w:t>
      </w:r>
      <w:r w:rsidR="009B03DE">
        <w:t> </w:t>
      </w:r>
      <w:r w:rsidRPr="0041149A">
        <w:t>months the efficacy of live attenuated virus vaccines such as measles, rubella, mumps and varicella. After administration of this medicinal product, an interval of 3</w:t>
      </w:r>
      <w:r w:rsidR="009B03DE">
        <w:t> </w:t>
      </w:r>
      <w:r w:rsidRPr="0041149A">
        <w:t>months should elapse before vaccination with live attenuated virus vaccines. In the case of measles, this impairment may persist for up to 1</w:t>
      </w:r>
      <w:r w:rsidR="009B03DE">
        <w:t> </w:t>
      </w:r>
      <w:r w:rsidRPr="0041149A">
        <w:t>year. Therefore patients receiving measles vaccine should have their antibody status checked</w:t>
      </w:r>
      <w:r w:rsidRPr="00E864FC">
        <w:t>.</w:t>
      </w:r>
      <w:r w:rsidR="00DB2329" w:rsidRPr="00E864FC">
        <w:t xml:space="preserve"> Refer to the Australian Immunisation Handbook for Australian clinical practice recommendations.</w:t>
      </w:r>
    </w:p>
    <w:p w:rsidR="0067482B" w:rsidRPr="001E1F80" w:rsidRDefault="0067482B" w:rsidP="001E1F80">
      <w:pPr>
        <w:pStyle w:val="DocumentText"/>
      </w:pPr>
      <w:r w:rsidRPr="0041149A">
        <w:lastRenderedPageBreak/>
        <w:t>In the absence of compatibility studies, this medicinal product must not be mixed with other medicinal products.</w:t>
      </w:r>
    </w:p>
    <w:p w:rsidR="0067482B" w:rsidRPr="0041149A" w:rsidRDefault="0067482B" w:rsidP="00910216">
      <w:pPr>
        <w:pStyle w:val="Heading2"/>
        <w:numPr>
          <w:ilvl w:val="0"/>
          <w:numId w:val="0"/>
        </w:numPr>
        <w:ind w:left="1404" w:hanging="1404"/>
        <w:rPr>
          <w:lang w:val="en-AU"/>
        </w:rPr>
      </w:pPr>
      <w:r w:rsidRPr="0041149A">
        <w:rPr>
          <w:lang w:val="en-AU"/>
        </w:rPr>
        <w:t>ADVERSE EFFECTS</w:t>
      </w:r>
    </w:p>
    <w:p w:rsidR="00C3003C" w:rsidRPr="00C3003C" w:rsidRDefault="00146077" w:rsidP="00FB2AA1">
      <w:pPr>
        <w:pStyle w:val="Heading3"/>
        <w:numPr>
          <w:ilvl w:val="0"/>
          <w:numId w:val="0"/>
        </w:numPr>
        <w:ind w:left="720" w:hanging="720"/>
      </w:pPr>
      <w:r w:rsidRPr="00146077">
        <w:t>Experience from clinical studies</w:t>
      </w:r>
    </w:p>
    <w:p w:rsidR="00050A87" w:rsidRPr="00050A87" w:rsidRDefault="00050A87" w:rsidP="00D2476E">
      <w:pPr>
        <w:pStyle w:val="DocumentText"/>
        <w:rPr>
          <w:lang w:eastAsia="de-CH"/>
        </w:rPr>
      </w:pPr>
      <w:r w:rsidRPr="00050A87">
        <w:rPr>
          <w:lang w:eastAsia="de-CH"/>
        </w:rPr>
        <w:t>In view of the fact that clinical trials are conducted under controlled conditions, adverse drug reaction rates observed in the clinical trials of a drug product may not reflect the rates observed in clinical practice.</w:t>
      </w:r>
    </w:p>
    <w:p w:rsidR="0067482B" w:rsidRPr="0041149A" w:rsidRDefault="0067482B" w:rsidP="00483389">
      <w:pPr>
        <w:pStyle w:val="Heading3"/>
        <w:numPr>
          <w:ilvl w:val="0"/>
          <w:numId w:val="0"/>
        </w:numPr>
        <w:ind w:left="720" w:hanging="720"/>
      </w:pPr>
      <w:r w:rsidRPr="0041149A">
        <w:t>Tabulated summary of adverse reactions</w:t>
      </w:r>
    </w:p>
    <w:p w:rsidR="0067482B" w:rsidRPr="0041149A" w:rsidRDefault="0067482B" w:rsidP="0081022A">
      <w:pPr>
        <w:pStyle w:val="DocumentText"/>
        <w:rPr>
          <w:b/>
        </w:rPr>
      </w:pPr>
      <w:r w:rsidRPr="0041149A">
        <w:t>Adverse</w:t>
      </w:r>
      <w:r w:rsidR="009B03DE">
        <w:t> </w:t>
      </w:r>
      <w:r w:rsidRPr="0041149A">
        <w:t>Reactions</w:t>
      </w:r>
      <w:r w:rsidR="009B03DE">
        <w:t> </w:t>
      </w:r>
      <w:r w:rsidRPr="0041149A">
        <w:t>(ARs) have been collected from one phase I study with healthy subjects (n</w:t>
      </w:r>
      <w:r w:rsidR="00936A95">
        <w:t> </w:t>
      </w:r>
      <w:r w:rsidRPr="0041149A">
        <w:t>=</w:t>
      </w:r>
      <w:r w:rsidR="00936A95">
        <w:t> </w:t>
      </w:r>
      <w:r w:rsidRPr="0041149A">
        <w:t>28) and two phase III studies in patients with primary immunodeficiency (n</w:t>
      </w:r>
      <w:r w:rsidR="00936A95">
        <w:t> </w:t>
      </w:r>
      <w:r w:rsidRPr="0041149A">
        <w:t>=</w:t>
      </w:r>
      <w:r w:rsidR="00936A95">
        <w:t> </w:t>
      </w:r>
      <w:r w:rsidRPr="0041149A">
        <w:t xml:space="preserve">100) with </w:t>
      </w:r>
      <w:proofErr w:type="spellStart"/>
      <w:r w:rsidRPr="0041149A">
        <w:t>Hizentra</w:t>
      </w:r>
      <w:proofErr w:type="spellEnd"/>
      <w:r w:rsidR="008461FE">
        <w:rPr>
          <w:vertAlign w:val="superscript"/>
        </w:rPr>
        <w:t>®</w:t>
      </w:r>
      <w:r w:rsidRPr="0041149A">
        <w:t>.</w:t>
      </w:r>
    </w:p>
    <w:p w:rsidR="0067482B" w:rsidRPr="0041149A" w:rsidRDefault="0067482B" w:rsidP="0081022A">
      <w:pPr>
        <w:pStyle w:val="DocumentText"/>
        <w:rPr>
          <w:b/>
        </w:rPr>
      </w:pPr>
      <w:r w:rsidRPr="0041149A">
        <w:t xml:space="preserve">The ARs reported in these three clinical studies are </w:t>
      </w:r>
      <w:proofErr w:type="spellStart"/>
      <w:r w:rsidRPr="0041149A">
        <w:t>summarised</w:t>
      </w:r>
      <w:proofErr w:type="spellEnd"/>
      <w:r w:rsidRPr="0041149A">
        <w:t xml:space="preserve"> and </w:t>
      </w:r>
      <w:proofErr w:type="spellStart"/>
      <w:r w:rsidRPr="0041149A">
        <w:t>categorised</w:t>
      </w:r>
      <w:proofErr w:type="spellEnd"/>
      <w:r w:rsidRPr="0041149A">
        <w:t xml:space="preserve"> according to the MedDRA System</w:t>
      </w:r>
      <w:r w:rsidR="009B03DE">
        <w:t> </w:t>
      </w:r>
      <w:r w:rsidRPr="0041149A">
        <w:t>Organ</w:t>
      </w:r>
      <w:r w:rsidR="009B03DE">
        <w:t> </w:t>
      </w:r>
      <w:r w:rsidRPr="0041149A">
        <w:t>Class</w:t>
      </w:r>
      <w:r w:rsidR="009B03DE">
        <w:t> </w:t>
      </w:r>
      <w:r w:rsidR="00AF4D6D">
        <w:t>(SOC)</w:t>
      </w:r>
      <w:r w:rsidRPr="0041149A">
        <w:t xml:space="preserve"> and frequency </w:t>
      </w:r>
      <w:r w:rsidR="00511A41">
        <w:t xml:space="preserve">in </w:t>
      </w:r>
      <w:r w:rsidR="00511A41" w:rsidRPr="00511A41">
        <w:rPr>
          <w:b/>
        </w:rPr>
        <w:t>Table 2</w:t>
      </w:r>
      <w:r w:rsidRPr="0041149A">
        <w:t>. Frequency per infusion has been evaluated using</w:t>
      </w:r>
      <w:r w:rsidR="0041149A">
        <w:t xml:space="preserve"> </w:t>
      </w:r>
      <w:r w:rsidRPr="0041149A">
        <w:t>the following criteria: very common (</w:t>
      </w:r>
      <w:r w:rsidR="00EF55A8">
        <w:t>≥</w:t>
      </w:r>
      <w:r w:rsidRPr="0041149A">
        <w:t>1/10), common (</w:t>
      </w:r>
      <w:r w:rsidR="00A21A5F">
        <w:t>≥</w:t>
      </w:r>
      <w:r w:rsidRPr="0041149A">
        <w:t>1/100 to &lt;1/10), uncommon (</w:t>
      </w:r>
      <w:r w:rsidR="00BD2B3C">
        <w:t>≥</w:t>
      </w:r>
      <w:r w:rsidRPr="0041149A">
        <w:t>1/1,000 to &lt;1/100), and rare (</w:t>
      </w:r>
      <w:r w:rsidR="00F6084B">
        <w:t>≥</w:t>
      </w:r>
      <w:r w:rsidRPr="0041149A">
        <w:t>1/10,000 to &lt;1/1,000).</w:t>
      </w:r>
    </w:p>
    <w:p w:rsidR="0067482B" w:rsidRPr="00511A41" w:rsidRDefault="00031814" w:rsidP="00031814">
      <w:pPr>
        <w:pStyle w:val="Caption"/>
        <w:ind w:left="1350" w:hanging="1350"/>
      </w:pPr>
      <w:r>
        <w:lastRenderedPageBreak/>
        <w:t>Table 2:</w:t>
      </w:r>
      <w:r>
        <w:tab/>
      </w:r>
      <w:r w:rsidR="00511A41" w:rsidRPr="00511A41">
        <w:t xml:space="preserve">Adverse Reactions (ARs) </w:t>
      </w:r>
      <w:r w:rsidR="00050A87">
        <w:t>Reporting Rate per Infusion, US &amp; EU Phase I and Phase III Studies</w:t>
      </w:r>
    </w:p>
    <w:tbl>
      <w:tblPr>
        <w:tblStyle w:val="TableGrid"/>
        <w:tblW w:w="9322" w:type="dxa"/>
        <w:tblLayout w:type="fixed"/>
        <w:tblLook w:val="04A0" w:firstRow="1" w:lastRow="0" w:firstColumn="1" w:lastColumn="0" w:noHBand="0" w:noVBand="1"/>
      </w:tblPr>
      <w:tblGrid>
        <w:gridCol w:w="1809"/>
        <w:gridCol w:w="1418"/>
        <w:gridCol w:w="1417"/>
        <w:gridCol w:w="1494"/>
        <w:gridCol w:w="3184"/>
      </w:tblGrid>
      <w:tr w:rsidR="00511A41" w:rsidRPr="0003073A" w:rsidTr="00050A87">
        <w:trPr>
          <w:cantSplit/>
          <w:tblHeader/>
        </w:trPr>
        <w:tc>
          <w:tcPr>
            <w:tcW w:w="1809" w:type="dxa"/>
            <w:vMerge w:val="restart"/>
          </w:tcPr>
          <w:p w:rsidR="00511A41" w:rsidRPr="00643C0D" w:rsidRDefault="00511A41" w:rsidP="00287FAC">
            <w:pPr>
              <w:pStyle w:val="TableCellHeading10pt"/>
              <w:jc w:val="left"/>
            </w:pPr>
            <w:r w:rsidRPr="00643C0D">
              <w:t>System Organ Class</w:t>
            </w:r>
          </w:p>
          <w:p w:rsidR="00511A41" w:rsidRPr="00643C0D" w:rsidRDefault="00511A41" w:rsidP="00287FAC">
            <w:pPr>
              <w:pStyle w:val="TableCellHeading10pt"/>
              <w:jc w:val="left"/>
            </w:pPr>
            <w:r w:rsidRPr="00643C0D">
              <w:t>(SOC, MedDRA)</w:t>
            </w:r>
          </w:p>
        </w:tc>
        <w:tc>
          <w:tcPr>
            <w:tcW w:w="7513" w:type="dxa"/>
            <w:gridSpan w:val="4"/>
          </w:tcPr>
          <w:p w:rsidR="00511A41" w:rsidRPr="00643C0D" w:rsidRDefault="00511A41" w:rsidP="00287FAC">
            <w:pPr>
              <w:pStyle w:val="TableCellHeading10pt"/>
              <w:jc w:val="left"/>
            </w:pPr>
            <w:r w:rsidRPr="00643C0D">
              <w:t>Frequency of ARs (MedDRA Preferred Term, PT)</w:t>
            </w:r>
          </w:p>
        </w:tc>
      </w:tr>
      <w:tr w:rsidR="00511A41" w:rsidRPr="0003073A" w:rsidTr="004E0E25">
        <w:trPr>
          <w:cantSplit/>
          <w:tblHeader/>
        </w:trPr>
        <w:tc>
          <w:tcPr>
            <w:tcW w:w="1809" w:type="dxa"/>
            <w:vMerge/>
          </w:tcPr>
          <w:p w:rsidR="00511A41" w:rsidRPr="00643C0D" w:rsidRDefault="00511A41" w:rsidP="00287FAC">
            <w:pPr>
              <w:pStyle w:val="TableCellHeading10pt"/>
              <w:jc w:val="left"/>
              <w:rPr>
                <w:szCs w:val="22"/>
              </w:rPr>
            </w:pPr>
          </w:p>
        </w:tc>
        <w:tc>
          <w:tcPr>
            <w:tcW w:w="1418" w:type="dxa"/>
          </w:tcPr>
          <w:p w:rsidR="00511A41" w:rsidRPr="00643C0D" w:rsidRDefault="00511A41" w:rsidP="00287FAC">
            <w:pPr>
              <w:pStyle w:val="TableCellHeading10pt"/>
              <w:jc w:val="left"/>
            </w:pPr>
            <w:r w:rsidRPr="00643C0D">
              <w:t>Very common</w:t>
            </w:r>
          </w:p>
          <w:p w:rsidR="00511A41" w:rsidRPr="00643C0D" w:rsidRDefault="00511A41" w:rsidP="007A30BC">
            <w:pPr>
              <w:pStyle w:val="TableCellHeading10pt"/>
              <w:jc w:val="left"/>
            </w:pPr>
            <w:r w:rsidRPr="00643C0D">
              <w:t>(</w:t>
            </w:r>
            <w:r w:rsidR="007A30BC">
              <w:t>≥</w:t>
            </w:r>
            <w:r w:rsidRPr="00643C0D">
              <w:t>1/10)</w:t>
            </w:r>
          </w:p>
        </w:tc>
        <w:tc>
          <w:tcPr>
            <w:tcW w:w="1417" w:type="dxa"/>
          </w:tcPr>
          <w:p w:rsidR="00511A41" w:rsidRPr="00643C0D" w:rsidRDefault="00511A41" w:rsidP="00287FAC">
            <w:pPr>
              <w:pStyle w:val="TableCellHeading10pt"/>
              <w:jc w:val="left"/>
            </w:pPr>
            <w:r w:rsidRPr="00643C0D">
              <w:t>Common</w:t>
            </w:r>
          </w:p>
          <w:p w:rsidR="00511A41" w:rsidRPr="00643C0D" w:rsidRDefault="00511A41" w:rsidP="00287FAC">
            <w:pPr>
              <w:pStyle w:val="TableCellHeading10pt"/>
              <w:jc w:val="left"/>
            </w:pPr>
            <w:r w:rsidRPr="00643C0D">
              <w:t>(</w:t>
            </w:r>
            <w:r w:rsidR="007F4677">
              <w:t>≥</w:t>
            </w:r>
            <w:r w:rsidRPr="00643C0D">
              <w:t>1/100 to</w:t>
            </w:r>
          </w:p>
          <w:p w:rsidR="00511A41" w:rsidRPr="00643C0D" w:rsidRDefault="00511A41" w:rsidP="00287FAC">
            <w:pPr>
              <w:pStyle w:val="TableCellHeading10pt"/>
              <w:jc w:val="left"/>
            </w:pPr>
            <w:r w:rsidRPr="00643C0D">
              <w:t>&lt;1/10)</w:t>
            </w:r>
          </w:p>
        </w:tc>
        <w:tc>
          <w:tcPr>
            <w:tcW w:w="1494" w:type="dxa"/>
          </w:tcPr>
          <w:p w:rsidR="00511A41" w:rsidRPr="00643C0D" w:rsidRDefault="00511A41" w:rsidP="00287FAC">
            <w:pPr>
              <w:pStyle w:val="TableCellHeading10pt"/>
              <w:jc w:val="left"/>
            </w:pPr>
            <w:r w:rsidRPr="00643C0D">
              <w:t>Uncommon</w:t>
            </w:r>
          </w:p>
          <w:p w:rsidR="00511A41" w:rsidRPr="00643C0D" w:rsidRDefault="00511A41" w:rsidP="00287FAC">
            <w:pPr>
              <w:pStyle w:val="TableCellHeading10pt"/>
              <w:jc w:val="left"/>
            </w:pPr>
            <w:r w:rsidRPr="00643C0D">
              <w:t>(</w:t>
            </w:r>
            <w:r w:rsidR="000B05FF">
              <w:t>≥</w:t>
            </w:r>
            <w:r w:rsidRPr="00643C0D">
              <w:t>1/1,000 to</w:t>
            </w:r>
          </w:p>
          <w:p w:rsidR="00511A41" w:rsidRPr="00643C0D" w:rsidRDefault="00511A41" w:rsidP="00287FAC">
            <w:pPr>
              <w:pStyle w:val="TableCellHeading10pt"/>
              <w:jc w:val="left"/>
            </w:pPr>
            <w:r w:rsidRPr="00643C0D">
              <w:t>&lt;1/100)</w:t>
            </w:r>
          </w:p>
        </w:tc>
        <w:tc>
          <w:tcPr>
            <w:tcW w:w="3184" w:type="dxa"/>
          </w:tcPr>
          <w:p w:rsidR="00511A41" w:rsidRPr="00643C0D" w:rsidRDefault="00511A41" w:rsidP="00287FAC">
            <w:pPr>
              <w:pStyle w:val="TableCellHeading10pt"/>
              <w:jc w:val="left"/>
            </w:pPr>
            <w:r w:rsidRPr="00643C0D">
              <w:t>Rare</w:t>
            </w:r>
          </w:p>
          <w:p w:rsidR="00511A41" w:rsidRPr="00643C0D" w:rsidRDefault="00511A41" w:rsidP="00AC7A32">
            <w:pPr>
              <w:pStyle w:val="TableCellHeading10pt"/>
              <w:jc w:val="left"/>
            </w:pPr>
            <w:r w:rsidRPr="00643C0D">
              <w:t>(</w:t>
            </w:r>
            <w:r w:rsidR="00AC7A32">
              <w:t>≥</w:t>
            </w:r>
            <w:r w:rsidRPr="00643C0D">
              <w:t>1/10,000 to &lt;1/1,000)</w:t>
            </w:r>
          </w:p>
        </w:tc>
      </w:tr>
      <w:tr w:rsidR="00511A41" w:rsidRPr="0003073A" w:rsidTr="004E0E25">
        <w:trPr>
          <w:cantSplit/>
          <w:tblHeader/>
        </w:trPr>
        <w:tc>
          <w:tcPr>
            <w:tcW w:w="1809" w:type="dxa"/>
          </w:tcPr>
          <w:p w:rsidR="00511A41" w:rsidRPr="0003073A" w:rsidRDefault="00511A41" w:rsidP="00035DFD">
            <w:pPr>
              <w:pStyle w:val="TableCellText10pt"/>
            </w:pPr>
            <w:r w:rsidRPr="0003073A">
              <w:t>Infections and</w:t>
            </w:r>
            <w:r>
              <w:t xml:space="preserve"> </w:t>
            </w:r>
            <w:r w:rsidRPr="0003073A">
              <w:t>Infestations</w:t>
            </w:r>
          </w:p>
        </w:tc>
        <w:tc>
          <w:tcPr>
            <w:tcW w:w="1418" w:type="dxa"/>
          </w:tcPr>
          <w:p w:rsidR="00511A41" w:rsidRPr="0003073A" w:rsidRDefault="00643C0D" w:rsidP="00035DFD">
            <w:pPr>
              <w:pStyle w:val="TableCellText10pt"/>
            </w:pPr>
            <w:r>
              <w:t>-</w:t>
            </w:r>
          </w:p>
        </w:tc>
        <w:tc>
          <w:tcPr>
            <w:tcW w:w="1417" w:type="dxa"/>
          </w:tcPr>
          <w:p w:rsidR="00511A41" w:rsidRPr="0003073A" w:rsidRDefault="00643C0D" w:rsidP="00035DFD">
            <w:pPr>
              <w:pStyle w:val="TableCellText10pt"/>
            </w:pPr>
            <w:r>
              <w:t>-</w:t>
            </w:r>
          </w:p>
        </w:tc>
        <w:tc>
          <w:tcPr>
            <w:tcW w:w="1494" w:type="dxa"/>
          </w:tcPr>
          <w:p w:rsidR="00511A41" w:rsidRPr="0003073A" w:rsidRDefault="00643C0D" w:rsidP="00035DFD">
            <w:pPr>
              <w:pStyle w:val="TableCellText10pt"/>
            </w:pPr>
            <w:r>
              <w:t>-</w:t>
            </w:r>
          </w:p>
        </w:tc>
        <w:tc>
          <w:tcPr>
            <w:tcW w:w="3184" w:type="dxa"/>
          </w:tcPr>
          <w:p w:rsidR="00511A41" w:rsidRPr="0003073A" w:rsidRDefault="00511A41" w:rsidP="00035DFD">
            <w:pPr>
              <w:pStyle w:val="TableCellText10pt"/>
            </w:pPr>
            <w:r w:rsidRPr="0003073A">
              <w:t>Nasopharyngitis</w:t>
            </w:r>
          </w:p>
        </w:tc>
      </w:tr>
      <w:tr w:rsidR="00511A41" w:rsidRPr="0003073A" w:rsidTr="004E0E25">
        <w:trPr>
          <w:cantSplit/>
          <w:tblHeader/>
        </w:trPr>
        <w:tc>
          <w:tcPr>
            <w:tcW w:w="1809" w:type="dxa"/>
          </w:tcPr>
          <w:p w:rsidR="00511A41" w:rsidRPr="0003073A" w:rsidRDefault="00511A41" w:rsidP="00035DFD">
            <w:pPr>
              <w:pStyle w:val="TableCellText10pt"/>
            </w:pPr>
            <w:r w:rsidRPr="0003073A">
              <w:t>Immune system</w:t>
            </w:r>
            <w:r>
              <w:t xml:space="preserve"> </w:t>
            </w:r>
            <w:r w:rsidRPr="0003073A">
              <w:t>disorders</w:t>
            </w:r>
          </w:p>
        </w:tc>
        <w:tc>
          <w:tcPr>
            <w:tcW w:w="1418" w:type="dxa"/>
          </w:tcPr>
          <w:p w:rsidR="00511A41" w:rsidRPr="0003073A" w:rsidRDefault="00643C0D" w:rsidP="00035DFD">
            <w:pPr>
              <w:pStyle w:val="TableCellText10pt"/>
            </w:pPr>
            <w:r>
              <w:t>-</w:t>
            </w:r>
          </w:p>
        </w:tc>
        <w:tc>
          <w:tcPr>
            <w:tcW w:w="1417" w:type="dxa"/>
          </w:tcPr>
          <w:p w:rsidR="00511A41" w:rsidRPr="0003073A" w:rsidRDefault="00643C0D" w:rsidP="00035DFD">
            <w:pPr>
              <w:pStyle w:val="TableCellText10pt"/>
            </w:pPr>
            <w:r>
              <w:t>-</w:t>
            </w:r>
          </w:p>
        </w:tc>
        <w:tc>
          <w:tcPr>
            <w:tcW w:w="1494" w:type="dxa"/>
          </w:tcPr>
          <w:p w:rsidR="00511A41" w:rsidRPr="0003073A" w:rsidRDefault="00643C0D" w:rsidP="00035DFD">
            <w:pPr>
              <w:pStyle w:val="TableCellText10pt"/>
            </w:pPr>
            <w:r>
              <w:t>-</w:t>
            </w:r>
          </w:p>
        </w:tc>
        <w:tc>
          <w:tcPr>
            <w:tcW w:w="3184" w:type="dxa"/>
          </w:tcPr>
          <w:p w:rsidR="00511A41" w:rsidRPr="0003073A" w:rsidRDefault="00511A41" w:rsidP="00035DFD">
            <w:pPr>
              <w:pStyle w:val="TableCellText10pt"/>
            </w:pPr>
            <w:r w:rsidRPr="0003073A">
              <w:t>Hypersensitivity</w:t>
            </w:r>
          </w:p>
        </w:tc>
      </w:tr>
      <w:tr w:rsidR="00511A41" w:rsidRPr="0003073A" w:rsidTr="004E0E25">
        <w:trPr>
          <w:cantSplit/>
          <w:tblHeader/>
        </w:trPr>
        <w:tc>
          <w:tcPr>
            <w:tcW w:w="1809" w:type="dxa"/>
          </w:tcPr>
          <w:p w:rsidR="00511A41" w:rsidRPr="0003073A" w:rsidRDefault="00511A41" w:rsidP="00035DFD">
            <w:pPr>
              <w:pStyle w:val="TableCellText10pt"/>
            </w:pPr>
            <w:r w:rsidRPr="0003073A">
              <w:t>Nervous system</w:t>
            </w:r>
            <w:r>
              <w:t xml:space="preserve"> </w:t>
            </w:r>
            <w:r w:rsidRPr="0003073A">
              <w:t>disorders</w:t>
            </w:r>
          </w:p>
        </w:tc>
        <w:tc>
          <w:tcPr>
            <w:tcW w:w="1418" w:type="dxa"/>
          </w:tcPr>
          <w:p w:rsidR="00511A41" w:rsidRPr="0003073A" w:rsidRDefault="00643C0D" w:rsidP="00035DFD">
            <w:pPr>
              <w:pStyle w:val="TableCellText10pt"/>
            </w:pPr>
            <w:r>
              <w:t>-</w:t>
            </w:r>
          </w:p>
        </w:tc>
        <w:tc>
          <w:tcPr>
            <w:tcW w:w="1417" w:type="dxa"/>
          </w:tcPr>
          <w:p w:rsidR="00511A41" w:rsidRPr="0003073A" w:rsidRDefault="00511A41" w:rsidP="00035DFD">
            <w:pPr>
              <w:pStyle w:val="TableCellText10pt"/>
            </w:pPr>
            <w:r w:rsidRPr="0003073A">
              <w:t>Headache</w:t>
            </w:r>
          </w:p>
        </w:tc>
        <w:tc>
          <w:tcPr>
            <w:tcW w:w="1494" w:type="dxa"/>
          </w:tcPr>
          <w:p w:rsidR="00511A41" w:rsidRPr="0003073A" w:rsidRDefault="00643C0D" w:rsidP="00035DFD">
            <w:pPr>
              <w:pStyle w:val="TableCellText10pt"/>
            </w:pPr>
            <w:r>
              <w:t>-</w:t>
            </w:r>
          </w:p>
        </w:tc>
        <w:tc>
          <w:tcPr>
            <w:tcW w:w="3184" w:type="dxa"/>
          </w:tcPr>
          <w:p w:rsidR="00511A41" w:rsidRPr="0003073A" w:rsidRDefault="00511A41" w:rsidP="00035DFD">
            <w:pPr>
              <w:pStyle w:val="TableCellText10pt"/>
            </w:pPr>
            <w:r w:rsidRPr="0003073A">
              <w:t>Dizziness, migraine,</w:t>
            </w:r>
            <w:r>
              <w:t xml:space="preserve"> </w:t>
            </w:r>
            <w:r w:rsidRPr="0003073A">
              <w:t>psychomotor hyperactivity,</w:t>
            </w:r>
            <w:r w:rsidR="000F4D8C">
              <w:t xml:space="preserve"> </w:t>
            </w:r>
            <w:r w:rsidRPr="0003073A">
              <w:t>somnolence</w:t>
            </w:r>
          </w:p>
        </w:tc>
      </w:tr>
      <w:tr w:rsidR="00511A41" w:rsidRPr="0003073A" w:rsidTr="004E0E25">
        <w:trPr>
          <w:cantSplit/>
          <w:tblHeader/>
        </w:trPr>
        <w:tc>
          <w:tcPr>
            <w:tcW w:w="1809" w:type="dxa"/>
          </w:tcPr>
          <w:p w:rsidR="00511A41" w:rsidRPr="0003073A" w:rsidRDefault="00511A41" w:rsidP="00035DFD">
            <w:pPr>
              <w:pStyle w:val="TableCellText10pt"/>
            </w:pPr>
            <w:r w:rsidRPr="0003073A">
              <w:t>Cardiac disorders</w:t>
            </w:r>
          </w:p>
        </w:tc>
        <w:tc>
          <w:tcPr>
            <w:tcW w:w="1418" w:type="dxa"/>
          </w:tcPr>
          <w:p w:rsidR="00511A41" w:rsidRPr="0003073A" w:rsidRDefault="00643C0D" w:rsidP="00035DFD">
            <w:pPr>
              <w:pStyle w:val="TableCellText10pt"/>
            </w:pPr>
            <w:r>
              <w:t>-</w:t>
            </w:r>
          </w:p>
        </w:tc>
        <w:tc>
          <w:tcPr>
            <w:tcW w:w="1417" w:type="dxa"/>
          </w:tcPr>
          <w:p w:rsidR="00511A41" w:rsidRPr="0003073A" w:rsidRDefault="00643C0D" w:rsidP="00035DFD">
            <w:pPr>
              <w:pStyle w:val="TableCellText10pt"/>
            </w:pPr>
            <w:r>
              <w:t>-</w:t>
            </w:r>
          </w:p>
        </w:tc>
        <w:tc>
          <w:tcPr>
            <w:tcW w:w="1494" w:type="dxa"/>
          </w:tcPr>
          <w:p w:rsidR="00511A41" w:rsidRPr="0003073A" w:rsidRDefault="00643C0D" w:rsidP="00035DFD">
            <w:pPr>
              <w:pStyle w:val="TableCellText10pt"/>
            </w:pPr>
            <w:r>
              <w:t>-</w:t>
            </w:r>
          </w:p>
        </w:tc>
        <w:tc>
          <w:tcPr>
            <w:tcW w:w="3184" w:type="dxa"/>
          </w:tcPr>
          <w:p w:rsidR="00511A41" w:rsidRPr="0003073A" w:rsidRDefault="00511A41" w:rsidP="00035DFD">
            <w:pPr>
              <w:pStyle w:val="TableCellText10pt"/>
            </w:pPr>
            <w:r w:rsidRPr="0003073A">
              <w:t>Tachycardia</w:t>
            </w:r>
          </w:p>
        </w:tc>
      </w:tr>
      <w:tr w:rsidR="00511A41" w:rsidRPr="0003073A" w:rsidTr="004E0E25">
        <w:trPr>
          <w:cantSplit/>
          <w:tblHeader/>
        </w:trPr>
        <w:tc>
          <w:tcPr>
            <w:tcW w:w="1809" w:type="dxa"/>
          </w:tcPr>
          <w:p w:rsidR="00511A41" w:rsidRPr="0003073A" w:rsidRDefault="00511A41" w:rsidP="00035DFD">
            <w:pPr>
              <w:pStyle w:val="TableCellText10pt"/>
            </w:pPr>
            <w:r w:rsidRPr="0003073A">
              <w:t>Vascular disorders</w:t>
            </w:r>
          </w:p>
        </w:tc>
        <w:tc>
          <w:tcPr>
            <w:tcW w:w="1418" w:type="dxa"/>
          </w:tcPr>
          <w:p w:rsidR="00511A41" w:rsidRPr="0003073A" w:rsidRDefault="00643C0D" w:rsidP="00035DFD">
            <w:pPr>
              <w:pStyle w:val="TableCellText10pt"/>
            </w:pPr>
            <w:r>
              <w:t>-</w:t>
            </w:r>
          </w:p>
        </w:tc>
        <w:tc>
          <w:tcPr>
            <w:tcW w:w="1417" w:type="dxa"/>
          </w:tcPr>
          <w:p w:rsidR="00511A41" w:rsidRPr="0003073A" w:rsidRDefault="00643C0D" w:rsidP="00035DFD">
            <w:pPr>
              <w:pStyle w:val="TableCellText10pt"/>
            </w:pPr>
            <w:r>
              <w:t>-</w:t>
            </w:r>
          </w:p>
        </w:tc>
        <w:tc>
          <w:tcPr>
            <w:tcW w:w="1494" w:type="dxa"/>
          </w:tcPr>
          <w:p w:rsidR="00511A41" w:rsidRPr="0003073A" w:rsidRDefault="00643C0D" w:rsidP="00035DFD">
            <w:pPr>
              <w:pStyle w:val="TableCellText10pt"/>
            </w:pPr>
            <w:r>
              <w:t>-</w:t>
            </w:r>
          </w:p>
        </w:tc>
        <w:tc>
          <w:tcPr>
            <w:tcW w:w="3184" w:type="dxa"/>
          </w:tcPr>
          <w:p w:rsidR="00511A41" w:rsidRPr="0003073A" w:rsidRDefault="00511A41" w:rsidP="00035DFD">
            <w:pPr>
              <w:pStyle w:val="TableCellText10pt"/>
            </w:pPr>
            <w:r w:rsidRPr="0003073A">
              <w:t>Haematoma, hot flush</w:t>
            </w:r>
          </w:p>
        </w:tc>
      </w:tr>
      <w:tr w:rsidR="00511A41" w:rsidRPr="0003073A" w:rsidTr="004E0E25">
        <w:trPr>
          <w:cantSplit/>
          <w:tblHeader/>
        </w:trPr>
        <w:tc>
          <w:tcPr>
            <w:tcW w:w="1809" w:type="dxa"/>
          </w:tcPr>
          <w:p w:rsidR="00511A41" w:rsidRPr="0003073A" w:rsidRDefault="00511A41" w:rsidP="00035DFD">
            <w:pPr>
              <w:pStyle w:val="TableCellText10pt"/>
            </w:pPr>
            <w:r w:rsidRPr="0003073A">
              <w:t>Respiratory,</w:t>
            </w:r>
            <w:r>
              <w:t xml:space="preserve"> </w:t>
            </w:r>
            <w:r w:rsidRPr="0003073A">
              <w:t>thoracic and</w:t>
            </w:r>
            <w:r>
              <w:t xml:space="preserve"> </w:t>
            </w:r>
            <w:r w:rsidRPr="0003073A">
              <w:t>mediastinal</w:t>
            </w:r>
          </w:p>
          <w:p w:rsidR="00511A41" w:rsidRPr="0003073A" w:rsidRDefault="00511A41" w:rsidP="00035DFD">
            <w:pPr>
              <w:pStyle w:val="TableCellText10pt"/>
            </w:pPr>
            <w:r w:rsidRPr="0003073A">
              <w:t>disorders</w:t>
            </w:r>
          </w:p>
        </w:tc>
        <w:tc>
          <w:tcPr>
            <w:tcW w:w="1418" w:type="dxa"/>
          </w:tcPr>
          <w:p w:rsidR="00511A41" w:rsidRPr="0003073A" w:rsidRDefault="00643C0D" w:rsidP="00035DFD">
            <w:pPr>
              <w:pStyle w:val="TableCellText10pt"/>
            </w:pPr>
            <w:r>
              <w:t>-</w:t>
            </w:r>
          </w:p>
        </w:tc>
        <w:tc>
          <w:tcPr>
            <w:tcW w:w="1417" w:type="dxa"/>
          </w:tcPr>
          <w:p w:rsidR="00511A41" w:rsidRPr="0003073A" w:rsidRDefault="00643C0D" w:rsidP="00035DFD">
            <w:pPr>
              <w:pStyle w:val="TableCellText10pt"/>
            </w:pPr>
            <w:r>
              <w:t>-</w:t>
            </w:r>
          </w:p>
        </w:tc>
        <w:tc>
          <w:tcPr>
            <w:tcW w:w="1494" w:type="dxa"/>
          </w:tcPr>
          <w:p w:rsidR="00511A41" w:rsidRPr="0003073A" w:rsidRDefault="00643C0D" w:rsidP="00035DFD">
            <w:pPr>
              <w:pStyle w:val="TableCellText10pt"/>
            </w:pPr>
            <w:r>
              <w:t>-</w:t>
            </w:r>
          </w:p>
        </w:tc>
        <w:tc>
          <w:tcPr>
            <w:tcW w:w="3184" w:type="dxa"/>
          </w:tcPr>
          <w:p w:rsidR="00511A41" w:rsidRPr="0003073A" w:rsidRDefault="00511A41" w:rsidP="00035DFD">
            <w:pPr>
              <w:pStyle w:val="TableCellText10pt"/>
            </w:pPr>
            <w:r w:rsidRPr="0003073A">
              <w:t>Cough</w:t>
            </w:r>
          </w:p>
        </w:tc>
      </w:tr>
      <w:tr w:rsidR="00511A41" w:rsidRPr="0003073A" w:rsidTr="004E0E25">
        <w:trPr>
          <w:cantSplit/>
          <w:tblHeader/>
        </w:trPr>
        <w:tc>
          <w:tcPr>
            <w:tcW w:w="1809" w:type="dxa"/>
          </w:tcPr>
          <w:p w:rsidR="00511A41" w:rsidRPr="0003073A" w:rsidRDefault="00511A41" w:rsidP="00035DFD">
            <w:pPr>
              <w:pStyle w:val="TableCellText10pt"/>
            </w:pPr>
            <w:r w:rsidRPr="0003073A">
              <w:t>Gastrointestinal</w:t>
            </w:r>
            <w:r>
              <w:t xml:space="preserve"> </w:t>
            </w:r>
            <w:r w:rsidRPr="0003073A">
              <w:t>disorders</w:t>
            </w:r>
          </w:p>
        </w:tc>
        <w:tc>
          <w:tcPr>
            <w:tcW w:w="1418" w:type="dxa"/>
          </w:tcPr>
          <w:p w:rsidR="00511A41" w:rsidRPr="0003073A" w:rsidRDefault="00643C0D" w:rsidP="00035DFD">
            <w:pPr>
              <w:pStyle w:val="TableCellText10pt"/>
            </w:pPr>
            <w:r>
              <w:t>-</w:t>
            </w:r>
          </w:p>
        </w:tc>
        <w:tc>
          <w:tcPr>
            <w:tcW w:w="1417" w:type="dxa"/>
          </w:tcPr>
          <w:p w:rsidR="00511A41" w:rsidRPr="0003073A" w:rsidRDefault="00643C0D" w:rsidP="00035DFD">
            <w:pPr>
              <w:pStyle w:val="TableCellText10pt"/>
            </w:pPr>
            <w:r>
              <w:t>-</w:t>
            </w:r>
          </w:p>
        </w:tc>
        <w:tc>
          <w:tcPr>
            <w:tcW w:w="1494" w:type="dxa"/>
          </w:tcPr>
          <w:p w:rsidR="00511A41" w:rsidRPr="0003073A" w:rsidRDefault="00511A41" w:rsidP="00035DFD">
            <w:pPr>
              <w:pStyle w:val="TableCellText10pt"/>
            </w:pPr>
            <w:r w:rsidRPr="0003073A">
              <w:t>Vomiting</w:t>
            </w:r>
          </w:p>
        </w:tc>
        <w:tc>
          <w:tcPr>
            <w:tcW w:w="3184" w:type="dxa"/>
          </w:tcPr>
          <w:p w:rsidR="00511A41" w:rsidRPr="0003073A" w:rsidRDefault="00511A41" w:rsidP="00035DFD">
            <w:pPr>
              <w:pStyle w:val="TableCellText10pt"/>
            </w:pPr>
            <w:r w:rsidRPr="0003073A">
              <w:t>Abdominal discomfort,</w:t>
            </w:r>
            <w:r w:rsidR="000F4D8C">
              <w:t xml:space="preserve"> </w:t>
            </w:r>
            <w:r w:rsidRPr="0003073A">
              <w:t>abdominal distension, abdominal</w:t>
            </w:r>
            <w:r w:rsidR="000F4D8C">
              <w:t xml:space="preserve"> </w:t>
            </w:r>
            <w:r w:rsidRPr="0003073A">
              <w:t>pain, abdominal pain lower,</w:t>
            </w:r>
            <w:r w:rsidR="000F4D8C">
              <w:t xml:space="preserve"> </w:t>
            </w:r>
            <w:r w:rsidRPr="0003073A">
              <w:t>abdominal pain upper, diarrhoea,</w:t>
            </w:r>
            <w:r w:rsidR="000F4D8C">
              <w:t xml:space="preserve"> </w:t>
            </w:r>
            <w:r w:rsidRPr="0003073A">
              <w:t>nausea</w:t>
            </w:r>
          </w:p>
        </w:tc>
      </w:tr>
      <w:tr w:rsidR="00511A41" w:rsidRPr="0003073A" w:rsidTr="004E0E25">
        <w:trPr>
          <w:cantSplit/>
          <w:tblHeader/>
        </w:trPr>
        <w:tc>
          <w:tcPr>
            <w:tcW w:w="1809" w:type="dxa"/>
          </w:tcPr>
          <w:p w:rsidR="00511A41" w:rsidRPr="0003073A" w:rsidRDefault="00511A41" w:rsidP="00035DFD">
            <w:pPr>
              <w:pStyle w:val="TableCellText10pt"/>
            </w:pPr>
            <w:r w:rsidRPr="0003073A">
              <w:t>Skin and</w:t>
            </w:r>
            <w:r>
              <w:t xml:space="preserve"> </w:t>
            </w:r>
            <w:r w:rsidRPr="0003073A">
              <w:t>subcutaneous</w:t>
            </w:r>
            <w:r>
              <w:t xml:space="preserve"> </w:t>
            </w:r>
            <w:r w:rsidRPr="0003073A">
              <w:t>tissue disorders</w:t>
            </w:r>
          </w:p>
        </w:tc>
        <w:tc>
          <w:tcPr>
            <w:tcW w:w="1418" w:type="dxa"/>
          </w:tcPr>
          <w:p w:rsidR="00511A41" w:rsidRPr="0003073A" w:rsidRDefault="00643C0D" w:rsidP="00035DFD">
            <w:pPr>
              <w:pStyle w:val="TableCellText10pt"/>
            </w:pPr>
            <w:r>
              <w:t>-</w:t>
            </w:r>
          </w:p>
        </w:tc>
        <w:tc>
          <w:tcPr>
            <w:tcW w:w="1417" w:type="dxa"/>
          </w:tcPr>
          <w:p w:rsidR="00511A41" w:rsidRPr="0003073A" w:rsidRDefault="00643C0D" w:rsidP="00035DFD">
            <w:pPr>
              <w:pStyle w:val="TableCellText10pt"/>
            </w:pPr>
            <w:r>
              <w:t>-</w:t>
            </w:r>
          </w:p>
        </w:tc>
        <w:tc>
          <w:tcPr>
            <w:tcW w:w="1494" w:type="dxa"/>
          </w:tcPr>
          <w:p w:rsidR="00511A41" w:rsidRPr="0003073A" w:rsidRDefault="00511A41" w:rsidP="00035DFD">
            <w:pPr>
              <w:pStyle w:val="TableCellText10pt"/>
            </w:pPr>
            <w:r w:rsidRPr="0003073A">
              <w:t>Pruritus</w:t>
            </w:r>
          </w:p>
        </w:tc>
        <w:tc>
          <w:tcPr>
            <w:tcW w:w="3184" w:type="dxa"/>
          </w:tcPr>
          <w:p w:rsidR="00511A41" w:rsidRPr="0003073A" w:rsidRDefault="00511A41" w:rsidP="00035DFD">
            <w:pPr>
              <w:pStyle w:val="TableCellText10pt"/>
            </w:pPr>
            <w:r w:rsidRPr="0003073A">
              <w:t>Dermatitis contact, erythema,</w:t>
            </w:r>
            <w:r w:rsidR="000F4D8C">
              <w:t xml:space="preserve"> </w:t>
            </w:r>
            <w:r w:rsidRPr="0003073A">
              <w:t>rash, urticaria</w:t>
            </w:r>
          </w:p>
        </w:tc>
      </w:tr>
      <w:tr w:rsidR="00511A41" w:rsidRPr="0003073A" w:rsidTr="004E0E25">
        <w:trPr>
          <w:cantSplit/>
          <w:tblHeader/>
        </w:trPr>
        <w:tc>
          <w:tcPr>
            <w:tcW w:w="1809" w:type="dxa"/>
          </w:tcPr>
          <w:p w:rsidR="00511A41" w:rsidRPr="0003073A" w:rsidRDefault="00511A41" w:rsidP="00035DFD">
            <w:pPr>
              <w:pStyle w:val="TableCellText10pt"/>
            </w:pPr>
            <w:r w:rsidRPr="0003073A">
              <w:t>Musculoskeletal</w:t>
            </w:r>
            <w:r>
              <w:t xml:space="preserve"> </w:t>
            </w:r>
            <w:r w:rsidRPr="0003073A">
              <w:t>and connective</w:t>
            </w:r>
            <w:r>
              <w:t xml:space="preserve"> </w:t>
            </w:r>
            <w:r w:rsidRPr="0003073A">
              <w:t>tissue disorders</w:t>
            </w:r>
          </w:p>
        </w:tc>
        <w:tc>
          <w:tcPr>
            <w:tcW w:w="1418" w:type="dxa"/>
          </w:tcPr>
          <w:p w:rsidR="00511A41" w:rsidRPr="0003073A" w:rsidRDefault="00643C0D" w:rsidP="00035DFD">
            <w:pPr>
              <w:pStyle w:val="TableCellText10pt"/>
            </w:pPr>
            <w:r>
              <w:t>-</w:t>
            </w:r>
          </w:p>
        </w:tc>
        <w:tc>
          <w:tcPr>
            <w:tcW w:w="1417" w:type="dxa"/>
          </w:tcPr>
          <w:p w:rsidR="00511A41" w:rsidRPr="0003073A" w:rsidRDefault="00643C0D" w:rsidP="00035DFD">
            <w:pPr>
              <w:pStyle w:val="TableCellText10pt"/>
            </w:pPr>
            <w:r>
              <w:t>-</w:t>
            </w:r>
          </w:p>
        </w:tc>
        <w:tc>
          <w:tcPr>
            <w:tcW w:w="1494" w:type="dxa"/>
          </w:tcPr>
          <w:p w:rsidR="00511A41" w:rsidRPr="0003073A" w:rsidRDefault="00643C0D" w:rsidP="00035DFD">
            <w:pPr>
              <w:pStyle w:val="TableCellText10pt"/>
            </w:pPr>
            <w:r>
              <w:t>-</w:t>
            </w:r>
          </w:p>
        </w:tc>
        <w:tc>
          <w:tcPr>
            <w:tcW w:w="3184" w:type="dxa"/>
          </w:tcPr>
          <w:p w:rsidR="00511A41" w:rsidRPr="0003073A" w:rsidRDefault="00511A41" w:rsidP="00035DFD">
            <w:pPr>
              <w:pStyle w:val="TableCellText10pt"/>
            </w:pPr>
            <w:r w:rsidRPr="0003073A">
              <w:t>Arthralgia, back pain, muscle</w:t>
            </w:r>
            <w:r w:rsidR="000F4D8C">
              <w:t xml:space="preserve"> </w:t>
            </w:r>
            <w:r w:rsidRPr="0003073A">
              <w:t>spasms, muscular weakness,</w:t>
            </w:r>
            <w:r w:rsidR="000F4D8C">
              <w:t xml:space="preserve"> </w:t>
            </w:r>
            <w:r w:rsidRPr="0003073A">
              <w:t>musculoskeletal pain, myalgia,</w:t>
            </w:r>
            <w:r w:rsidR="000F4D8C">
              <w:t xml:space="preserve"> </w:t>
            </w:r>
            <w:r w:rsidRPr="0003073A">
              <w:t>neck pain, pain in extremity</w:t>
            </w:r>
          </w:p>
        </w:tc>
      </w:tr>
      <w:tr w:rsidR="00511A41" w:rsidRPr="0003073A" w:rsidTr="004E0E25">
        <w:trPr>
          <w:cantSplit/>
          <w:tblHeader/>
        </w:trPr>
        <w:tc>
          <w:tcPr>
            <w:tcW w:w="1809" w:type="dxa"/>
          </w:tcPr>
          <w:p w:rsidR="00511A41" w:rsidRPr="0003073A" w:rsidRDefault="00511A41" w:rsidP="00035DFD">
            <w:pPr>
              <w:pStyle w:val="TableCellText10pt"/>
            </w:pPr>
            <w:r w:rsidRPr="0003073A">
              <w:t>Renal and urinary</w:t>
            </w:r>
            <w:r>
              <w:t xml:space="preserve"> </w:t>
            </w:r>
            <w:r w:rsidRPr="0003073A">
              <w:t>disorders</w:t>
            </w:r>
          </w:p>
        </w:tc>
        <w:tc>
          <w:tcPr>
            <w:tcW w:w="1418" w:type="dxa"/>
          </w:tcPr>
          <w:p w:rsidR="00511A41" w:rsidRPr="0003073A" w:rsidRDefault="00643C0D" w:rsidP="00035DFD">
            <w:pPr>
              <w:pStyle w:val="TableCellText10pt"/>
            </w:pPr>
            <w:r>
              <w:t>-</w:t>
            </w:r>
          </w:p>
        </w:tc>
        <w:tc>
          <w:tcPr>
            <w:tcW w:w="1417" w:type="dxa"/>
          </w:tcPr>
          <w:p w:rsidR="00511A41" w:rsidRPr="0003073A" w:rsidRDefault="00643C0D" w:rsidP="00035DFD">
            <w:pPr>
              <w:pStyle w:val="TableCellText10pt"/>
            </w:pPr>
            <w:r>
              <w:t>-</w:t>
            </w:r>
          </w:p>
        </w:tc>
        <w:tc>
          <w:tcPr>
            <w:tcW w:w="1494" w:type="dxa"/>
          </w:tcPr>
          <w:p w:rsidR="00511A41" w:rsidRPr="0003073A" w:rsidRDefault="00643C0D" w:rsidP="00035DFD">
            <w:pPr>
              <w:pStyle w:val="TableCellText10pt"/>
            </w:pPr>
            <w:r>
              <w:t>-</w:t>
            </w:r>
          </w:p>
        </w:tc>
        <w:tc>
          <w:tcPr>
            <w:tcW w:w="3184" w:type="dxa"/>
          </w:tcPr>
          <w:p w:rsidR="00511A41" w:rsidRPr="0003073A" w:rsidRDefault="00511A41" w:rsidP="00035DFD">
            <w:pPr>
              <w:pStyle w:val="TableCellText10pt"/>
            </w:pPr>
            <w:r w:rsidRPr="0003073A">
              <w:t>Haematuria</w:t>
            </w:r>
          </w:p>
        </w:tc>
      </w:tr>
      <w:tr w:rsidR="00511A41" w:rsidRPr="0003073A" w:rsidTr="004E0E25">
        <w:trPr>
          <w:cantSplit/>
          <w:tblHeader/>
        </w:trPr>
        <w:tc>
          <w:tcPr>
            <w:tcW w:w="1809" w:type="dxa"/>
          </w:tcPr>
          <w:p w:rsidR="00511A41" w:rsidRPr="0003073A" w:rsidRDefault="00511A41" w:rsidP="00035DFD">
            <w:pPr>
              <w:pStyle w:val="TableCellText10pt"/>
            </w:pPr>
            <w:r w:rsidRPr="0003073A">
              <w:t>General disorders</w:t>
            </w:r>
            <w:r>
              <w:t xml:space="preserve"> </w:t>
            </w:r>
            <w:r w:rsidRPr="0003073A">
              <w:t>and administration</w:t>
            </w:r>
            <w:r>
              <w:t xml:space="preserve"> </w:t>
            </w:r>
            <w:r w:rsidRPr="0003073A">
              <w:t>site conditions</w:t>
            </w:r>
          </w:p>
        </w:tc>
        <w:tc>
          <w:tcPr>
            <w:tcW w:w="1418" w:type="dxa"/>
          </w:tcPr>
          <w:p w:rsidR="000F4D8C" w:rsidRDefault="00511A41" w:rsidP="00035DFD">
            <w:pPr>
              <w:pStyle w:val="TableCellText10pt"/>
            </w:pPr>
            <w:r w:rsidRPr="0003073A">
              <w:t>Injection/</w:t>
            </w:r>
          </w:p>
          <w:p w:rsidR="00511A41" w:rsidRPr="0003073A" w:rsidRDefault="00511A41" w:rsidP="00035DFD">
            <w:pPr>
              <w:pStyle w:val="TableCellText10pt"/>
            </w:pPr>
            <w:r w:rsidRPr="0003073A">
              <w:t>infusion</w:t>
            </w:r>
            <w:r>
              <w:t xml:space="preserve"> </w:t>
            </w:r>
            <w:r w:rsidRPr="0003073A">
              <w:t>site</w:t>
            </w:r>
          </w:p>
          <w:p w:rsidR="00511A41" w:rsidRPr="0003073A" w:rsidRDefault="00511A41" w:rsidP="00035DFD">
            <w:pPr>
              <w:pStyle w:val="TableCellText10pt"/>
            </w:pPr>
            <w:r w:rsidRPr="0003073A">
              <w:t>reactions</w:t>
            </w:r>
          </w:p>
        </w:tc>
        <w:tc>
          <w:tcPr>
            <w:tcW w:w="1417" w:type="dxa"/>
          </w:tcPr>
          <w:p w:rsidR="00511A41" w:rsidRPr="0003073A" w:rsidRDefault="00643C0D" w:rsidP="00035DFD">
            <w:pPr>
              <w:pStyle w:val="TableCellText10pt"/>
            </w:pPr>
            <w:r>
              <w:t>-</w:t>
            </w:r>
          </w:p>
        </w:tc>
        <w:tc>
          <w:tcPr>
            <w:tcW w:w="1494" w:type="dxa"/>
          </w:tcPr>
          <w:p w:rsidR="00511A41" w:rsidRPr="0003073A" w:rsidRDefault="00511A41" w:rsidP="00035DFD">
            <w:pPr>
              <w:pStyle w:val="TableCellText10pt"/>
            </w:pPr>
            <w:r w:rsidRPr="0003073A">
              <w:t>Fatigue, pain</w:t>
            </w:r>
          </w:p>
        </w:tc>
        <w:tc>
          <w:tcPr>
            <w:tcW w:w="3184" w:type="dxa"/>
          </w:tcPr>
          <w:p w:rsidR="00511A41" w:rsidRPr="0003073A" w:rsidRDefault="00511A41" w:rsidP="00035DFD">
            <w:pPr>
              <w:pStyle w:val="TableCellText10pt"/>
            </w:pPr>
            <w:r w:rsidRPr="0003073A">
              <w:t>Chest pain, chills, feeling cold,</w:t>
            </w:r>
            <w:r w:rsidR="000F4D8C">
              <w:t xml:space="preserve"> </w:t>
            </w:r>
            <w:r w:rsidRPr="0003073A">
              <w:t>hypothermia, influenza like</w:t>
            </w:r>
            <w:r w:rsidR="000F4D8C">
              <w:t xml:space="preserve"> </w:t>
            </w:r>
            <w:r w:rsidRPr="0003073A">
              <w:t>illness, malaise, pyrexia</w:t>
            </w:r>
          </w:p>
        </w:tc>
      </w:tr>
      <w:tr w:rsidR="00511A41" w:rsidRPr="0003073A" w:rsidTr="004E0E25">
        <w:trPr>
          <w:cantSplit/>
          <w:tblHeader/>
        </w:trPr>
        <w:tc>
          <w:tcPr>
            <w:tcW w:w="1809" w:type="dxa"/>
          </w:tcPr>
          <w:p w:rsidR="00511A41" w:rsidRPr="0003073A" w:rsidRDefault="00511A41" w:rsidP="00035DFD">
            <w:pPr>
              <w:pStyle w:val="TableCellText10pt"/>
            </w:pPr>
            <w:r w:rsidRPr="0003073A">
              <w:t>Investigations</w:t>
            </w:r>
          </w:p>
        </w:tc>
        <w:tc>
          <w:tcPr>
            <w:tcW w:w="1418" w:type="dxa"/>
          </w:tcPr>
          <w:p w:rsidR="00511A41" w:rsidRPr="0003073A" w:rsidRDefault="00643C0D" w:rsidP="00035DFD">
            <w:pPr>
              <w:pStyle w:val="TableCellText10pt"/>
            </w:pPr>
            <w:r>
              <w:t>-</w:t>
            </w:r>
          </w:p>
        </w:tc>
        <w:tc>
          <w:tcPr>
            <w:tcW w:w="1417" w:type="dxa"/>
          </w:tcPr>
          <w:p w:rsidR="00511A41" w:rsidRPr="0003073A" w:rsidRDefault="00643C0D" w:rsidP="00035DFD">
            <w:pPr>
              <w:pStyle w:val="TableCellText10pt"/>
            </w:pPr>
            <w:r>
              <w:t>-</w:t>
            </w:r>
          </w:p>
        </w:tc>
        <w:tc>
          <w:tcPr>
            <w:tcW w:w="1494" w:type="dxa"/>
          </w:tcPr>
          <w:p w:rsidR="00511A41" w:rsidRPr="0003073A" w:rsidRDefault="00643C0D" w:rsidP="00035DFD">
            <w:pPr>
              <w:pStyle w:val="TableCellText10pt"/>
            </w:pPr>
            <w:r>
              <w:t>-</w:t>
            </w:r>
          </w:p>
        </w:tc>
        <w:tc>
          <w:tcPr>
            <w:tcW w:w="3184" w:type="dxa"/>
          </w:tcPr>
          <w:p w:rsidR="00511A41" w:rsidRPr="0003073A" w:rsidRDefault="00511A41" w:rsidP="00035DFD">
            <w:pPr>
              <w:pStyle w:val="TableCellText10pt"/>
            </w:pPr>
            <w:proofErr w:type="spellStart"/>
            <w:r w:rsidRPr="0003073A">
              <w:t>Aldolase</w:t>
            </w:r>
            <w:proofErr w:type="spellEnd"/>
            <w:r w:rsidRPr="0003073A">
              <w:t xml:space="preserve"> increased, blood</w:t>
            </w:r>
            <w:r w:rsidR="000F4D8C">
              <w:t xml:space="preserve"> </w:t>
            </w:r>
            <w:proofErr w:type="spellStart"/>
            <w:r w:rsidRPr="0003073A">
              <w:t>creatine</w:t>
            </w:r>
            <w:proofErr w:type="spellEnd"/>
            <w:r w:rsidRPr="0003073A">
              <w:t xml:space="preserve"> phosphokinase</w:t>
            </w:r>
            <w:r w:rsidR="000F4D8C">
              <w:t xml:space="preserve"> </w:t>
            </w:r>
            <w:r w:rsidRPr="0003073A">
              <w:t>increased, blood lactate</w:t>
            </w:r>
            <w:r w:rsidR="000F4D8C">
              <w:t xml:space="preserve"> </w:t>
            </w:r>
            <w:r w:rsidRPr="0003073A">
              <w:t>dehydrogenase increased, blood</w:t>
            </w:r>
            <w:r w:rsidR="000F4D8C">
              <w:t xml:space="preserve"> </w:t>
            </w:r>
            <w:r w:rsidRPr="0003073A">
              <w:t>pressure increased, body</w:t>
            </w:r>
            <w:r w:rsidR="000F4D8C">
              <w:t xml:space="preserve"> </w:t>
            </w:r>
            <w:r w:rsidRPr="0003073A">
              <w:t>temperature increased, weight</w:t>
            </w:r>
            <w:r w:rsidR="000F4D8C">
              <w:t xml:space="preserve"> </w:t>
            </w:r>
            <w:r w:rsidRPr="0003073A">
              <w:t>decreased</w:t>
            </w:r>
          </w:p>
        </w:tc>
      </w:tr>
      <w:tr w:rsidR="00511A41" w:rsidRPr="0003073A" w:rsidTr="004E0E25">
        <w:trPr>
          <w:cantSplit/>
          <w:tblHeader/>
        </w:trPr>
        <w:tc>
          <w:tcPr>
            <w:tcW w:w="1809" w:type="dxa"/>
          </w:tcPr>
          <w:p w:rsidR="00511A41" w:rsidRPr="0003073A" w:rsidRDefault="00511A41" w:rsidP="00567AB4">
            <w:pPr>
              <w:pStyle w:val="TableCellText10pt"/>
              <w:keepNext w:val="0"/>
              <w:widowControl w:val="0"/>
            </w:pPr>
            <w:r w:rsidRPr="0003073A">
              <w:t>Injury, poisoning</w:t>
            </w:r>
            <w:r>
              <w:t xml:space="preserve"> </w:t>
            </w:r>
            <w:r w:rsidRPr="0003073A">
              <w:t>and procedural</w:t>
            </w:r>
          </w:p>
          <w:p w:rsidR="00511A41" w:rsidRPr="0003073A" w:rsidRDefault="00511A41" w:rsidP="00567AB4">
            <w:pPr>
              <w:pStyle w:val="TableCellText10pt"/>
              <w:keepNext w:val="0"/>
              <w:widowControl w:val="0"/>
            </w:pPr>
            <w:r w:rsidRPr="0003073A">
              <w:t>complications</w:t>
            </w:r>
          </w:p>
        </w:tc>
        <w:tc>
          <w:tcPr>
            <w:tcW w:w="1418" w:type="dxa"/>
          </w:tcPr>
          <w:p w:rsidR="00511A41" w:rsidRPr="0003073A" w:rsidRDefault="00643C0D" w:rsidP="00567AB4">
            <w:pPr>
              <w:pStyle w:val="TableCellText10pt"/>
              <w:keepNext w:val="0"/>
              <w:widowControl w:val="0"/>
            </w:pPr>
            <w:r>
              <w:t>-</w:t>
            </w:r>
          </w:p>
        </w:tc>
        <w:tc>
          <w:tcPr>
            <w:tcW w:w="1417" w:type="dxa"/>
          </w:tcPr>
          <w:p w:rsidR="00511A41" w:rsidRPr="0003073A" w:rsidRDefault="00643C0D" w:rsidP="00567AB4">
            <w:pPr>
              <w:pStyle w:val="TableCellText10pt"/>
              <w:keepNext w:val="0"/>
              <w:widowControl w:val="0"/>
            </w:pPr>
            <w:r>
              <w:t>-</w:t>
            </w:r>
          </w:p>
        </w:tc>
        <w:tc>
          <w:tcPr>
            <w:tcW w:w="1494" w:type="dxa"/>
          </w:tcPr>
          <w:p w:rsidR="00511A41" w:rsidRPr="0003073A" w:rsidRDefault="00643C0D" w:rsidP="00567AB4">
            <w:pPr>
              <w:pStyle w:val="TableCellText10pt"/>
              <w:keepNext w:val="0"/>
              <w:widowControl w:val="0"/>
            </w:pPr>
            <w:r>
              <w:t>-</w:t>
            </w:r>
          </w:p>
        </w:tc>
        <w:tc>
          <w:tcPr>
            <w:tcW w:w="3184" w:type="dxa"/>
          </w:tcPr>
          <w:p w:rsidR="00511A41" w:rsidRPr="0003073A" w:rsidRDefault="00511A41" w:rsidP="00567AB4">
            <w:pPr>
              <w:pStyle w:val="TableCellText10pt"/>
              <w:keepNext w:val="0"/>
              <w:widowControl w:val="0"/>
            </w:pPr>
            <w:r w:rsidRPr="0003073A">
              <w:t>Contusion</w:t>
            </w:r>
          </w:p>
        </w:tc>
      </w:tr>
    </w:tbl>
    <w:p w:rsidR="00F773C5" w:rsidRPr="00035DFD" w:rsidRDefault="00F773C5" w:rsidP="00567AB4">
      <w:pPr>
        <w:pStyle w:val="Heading3"/>
        <w:numPr>
          <w:ilvl w:val="0"/>
          <w:numId w:val="0"/>
        </w:numPr>
        <w:spacing w:before="240"/>
        <w:ind w:left="1642" w:hanging="1642"/>
        <w:rPr>
          <w:lang w:val="en-AU"/>
        </w:rPr>
      </w:pPr>
      <w:r w:rsidRPr="00035DFD">
        <w:rPr>
          <w:lang w:val="en-AU"/>
        </w:rPr>
        <w:lastRenderedPageBreak/>
        <w:t>Postmarketing Experience</w:t>
      </w:r>
    </w:p>
    <w:p w:rsidR="00F77781" w:rsidRPr="00AE1AD8" w:rsidRDefault="00F77781" w:rsidP="001E1F80">
      <w:pPr>
        <w:pStyle w:val="DocumentText"/>
        <w:rPr>
          <w:sz w:val="22"/>
          <w:szCs w:val="22"/>
        </w:rPr>
      </w:pPr>
      <w:r w:rsidRPr="001E1F80">
        <w:t xml:space="preserve">In addition to the ADRs listed </w:t>
      </w:r>
      <w:r w:rsidR="00C34C78">
        <w:t xml:space="preserve">in </w:t>
      </w:r>
      <w:r w:rsidR="00C34C78" w:rsidRPr="00C34C78">
        <w:rPr>
          <w:b/>
        </w:rPr>
        <w:t>Table 2</w:t>
      </w:r>
      <w:r w:rsidRPr="001E1F80">
        <w:t xml:space="preserve">, the following adverse reactions have been observed during post-approval use of </w:t>
      </w:r>
      <w:proofErr w:type="spellStart"/>
      <w:r w:rsidRPr="001E1F80">
        <w:t>Hizentra</w:t>
      </w:r>
      <w:proofErr w:type="spellEnd"/>
      <w:r w:rsidR="001E1F80">
        <w:rPr>
          <w:vertAlign w:val="superscript"/>
        </w:rPr>
        <w:t>®</w:t>
      </w:r>
      <w:r w:rsidRPr="001E1F80">
        <w:t>:</w:t>
      </w:r>
    </w:p>
    <w:p w:rsidR="000C15AD" w:rsidRDefault="006D4611">
      <w:pPr>
        <w:pStyle w:val="DocumentText"/>
        <w:spacing w:after="120"/>
        <w:rPr>
          <w:sz w:val="22"/>
          <w:szCs w:val="20"/>
        </w:rPr>
      </w:pPr>
      <w:r w:rsidRPr="006D4611">
        <w:rPr>
          <w:i/>
        </w:rPr>
        <w:t>Immune system disorders</w:t>
      </w:r>
      <w:r w:rsidR="00F77781" w:rsidRPr="001E1F80">
        <w:t>:</w:t>
      </w:r>
      <w:r w:rsidR="001C29B7">
        <w:t xml:space="preserve"> </w:t>
      </w:r>
      <w:r w:rsidR="00F77781" w:rsidRPr="001E1F80">
        <w:t>anaphylactic reactions</w:t>
      </w:r>
    </w:p>
    <w:p w:rsidR="000C15AD" w:rsidRDefault="006D4611">
      <w:pPr>
        <w:pStyle w:val="DocumentText"/>
        <w:spacing w:after="120"/>
        <w:rPr>
          <w:sz w:val="22"/>
          <w:szCs w:val="20"/>
        </w:rPr>
      </w:pPr>
      <w:r w:rsidRPr="006D4611">
        <w:rPr>
          <w:i/>
        </w:rPr>
        <w:t>Nervous system disorders</w:t>
      </w:r>
      <w:r w:rsidR="00F77781" w:rsidRPr="001E1F80">
        <w:t>:</w:t>
      </w:r>
      <w:r w:rsidR="001C29B7">
        <w:t xml:space="preserve"> </w:t>
      </w:r>
      <w:r w:rsidR="00F77781" w:rsidRPr="001E1F80">
        <w:t>aseptic meningitis syndrome (AMS), tremor, burning sensation</w:t>
      </w:r>
    </w:p>
    <w:p w:rsidR="00F77781" w:rsidRDefault="006D4611" w:rsidP="001E1F80">
      <w:pPr>
        <w:pStyle w:val="DocumentText"/>
        <w:rPr>
          <w:sz w:val="22"/>
          <w:szCs w:val="20"/>
        </w:rPr>
      </w:pPr>
      <w:r w:rsidRPr="006D4611">
        <w:rPr>
          <w:i/>
        </w:rPr>
        <w:t>Vascular disorders</w:t>
      </w:r>
      <w:r w:rsidR="00F77781" w:rsidRPr="001E1F80">
        <w:t>:</w:t>
      </w:r>
      <w:r w:rsidR="001C29B7">
        <w:t xml:space="preserve"> </w:t>
      </w:r>
      <w:r w:rsidR="00F77781" w:rsidRPr="001E1F80">
        <w:t>thromboembolism</w:t>
      </w:r>
    </w:p>
    <w:p w:rsidR="00F77781" w:rsidRPr="00151E2D" w:rsidRDefault="00F77781" w:rsidP="00F77781">
      <w:pPr>
        <w:pStyle w:val="DocumentText"/>
        <w:keepNext/>
        <w:keepLines/>
      </w:pPr>
      <w:r w:rsidRPr="00151E2D">
        <w:t>Reliable estimates of the frequency of these reactions or establishment of a causal relationship to product exposure are not possible because the reporting is voluntary and from a population of uncertain size.</w:t>
      </w:r>
    </w:p>
    <w:p w:rsidR="00F773C5" w:rsidRPr="00A24A5B" w:rsidRDefault="00F773C5" w:rsidP="00A24A5B">
      <w:pPr>
        <w:pStyle w:val="Heading3"/>
        <w:numPr>
          <w:ilvl w:val="0"/>
          <w:numId w:val="0"/>
        </w:numPr>
        <w:spacing w:before="240"/>
        <w:ind w:left="1642" w:hanging="1642"/>
        <w:rPr>
          <w:lang w:val="en-AU"/>
        </w:rPr>
      </w:pPr>
      <w:r w:rsidRPr="00A24A5B">
        <w:rPr>
          <w:lang w:val="en-AU"/>
        </w:rPr>
        <w:t>Class Effects</w:t>
      </w:r>
    </w:p>
    <w:p w:rsidR="00F773C5" w:rsidRPr="00F773C5" w:rsidRDefault="00F773C5" w:rsidP="0071374D">
      <w:pPr>
        <w:pStyle w:val="DocumentText"/>
        <w:rPr>
          <w:lang w:val="en-AU" w:eastAsia="de-CH"/>
        </w:rPr>
      </w:pPr>
      <w:r w:rsidRPr="00F773C5">
        <w:rPr>
          <w:lang w:val="en-AU" w:eastAsia="de-CH"/>
        </w:rPr>
        <w:t>Not known except infusion site reactions for</w:t>
      </w:r>
      <w:r w:rsidR="00AF4D6D">
        <w:rPr>
          <w:lang w:val="en-AU" w:eastAsia="de-CH"/>
        </w:rPr>
        <w:t xml:space="preserve"> subcutaneous immunoglobulin.</w:t>
      </w:r>
    </w:p>
    <w:p w:rsidR="0067482B" w:rsidRPr="000F4D8C" w:rsidRDefault="0067482B" w:rsidP="00DB1441">
      <w:pPr>
        <w:pStyle w:val="Heading2"/>
        <w:numPr>
          <w:ilvl w:val="0"/>
          <w:numId w:val="0"/>
        </w:numPr>
        <w:ind w:left="1404" w:hanging="1404"/>
        <w:rPr>
          <w:lang w:val="en-AU"/>
        </w:rPr>
      </w:pPr>
      <w:r w:rsidRPr="000F4D8C">
        <w:rPr>
          <w:lang w:val="en-AU"/>
        </w:rPr>
        <w:t>DOSAGE AND ADMINISTRATION</w:t>
      </w:r>
    </w:p>
    <w:p w:rsidR="0067482B" w:rsidRPr="000F4D8C" w:rsidRDefault="0067482B" w:rsidP="003A41A2">
      <w:pPr>
        <w:pStyle w:val="DocumentText"/>
      </w:pPr>
      <w:proofErr w:type="spellStart"/>
      <w:r w:rsidRPr="000F4D8C">
        <w:rPr>
          <w:lang w:val="en-AU"/>
        </w:rPr>
        <w:t>Hizentra</w:t>
      </w:r>
      <w:proofErr w:type="spellEnd"/>
      <w:r w:rsidR="007807AA">
        <w:rPr>
          <w:b/>
          <w:vertAlign w:val="superscript"/>
        </w:rPr>
        <w:t>®</w:t>
      </w:r>
      <w:r w:rsidRPr="000F4D8C">
        <w:rPr>
          <w:lang w:val="en-AU"/>
        </w:rPr>
        <w:t xml:space="preserve"> should only be administered </w:t>
      </w:r>
      <w:r w:rsidR="00986571">
        <w:rPr>
          <w:b/>
          <w:lang w:val="en-AU"/>
        </w:rPr>
        <w:t>subcutaneously</w:t>
      </w:r>
      <w:r w:rsidRPr="000F4D8C">
        <w:rPr>
          <w:lang w:val="en-AU"/>
        </w:rPr>
        <w:t>.</w:t>
      </w:r>
    </w:p>
    <w:p w:rsidR="0067482B" w:rsidRPr="000F4D8C" w:rsidRDefault="0067482B" w:rsidP="00567AB4">
      <w:pPr>
        <w:pStyle w:val="Heading3"/>
        <w:numPr>
          <w:ilvl w:val="0"/>
          <w:numId w:val="0"/>
        </w:numPr>
        <w:ind w:left="720" w:hanging="720"/>
        <w:rPr>
          <w:lang w:val="en-AU"/>
        </w:rPr>
      </w:pPr>
      <w:r w:rsidRPr="000F4D8C">
        <w:rPr>
          <w:lang w:val="en-AU"/>
        </w:rPr>
        <w:t>Dosage</w:t>
      </w:r>
    </w:p>
    <w:p w:rsidR="0067482B" w:rsidRDefault="0067482B" w:rsidP="00567AB4">
      <w:pPr>
        <w:pStyle w:val="DocumentText"/>
        <w:keepNext/>
        <w:keepLines/>
      </w:pPr>
      <w:r w:rsidRPr="000F4D8C">
        <w:t xml:space="preserve">The dose may need to be </w:t>
      </w:r>
      <w:proofErr w:type="spellStart"/>
      <w:r w:rsidRPr="000F4D8C">
        <w:t>individualised</w:t>
      </w:r>
      <w:proofErr w:type="spellEnd"/>
      <w:r w:rsidRPr="000F4D8C">
        <w:t xml:space="preserve"> for each patient dependent on the clinical response and serum IgG trough levels. The following dose regimens are given as a guideline.</w:t>
      </w:r>
    </w:p>
    <w:p w:rsidR="0067482B" w:rsidRPr="00283BCD" w:rsidRDefault="00283BCD" w:rsidP="00567AB4">
      <w:pPr>
        <w:pStyle w:val="DocumentText"/>
        <w:keepNext/>
        <w:keepLines/>
      </w:pPr>
      <w:r w:rsidRPr="00283BCD">
        <w:t>The dose regimen using the subcutaneous route should achieve a sustained level of IgG. A loading dose of at least 0.2 to 0.5</w:t>
      </w:r>
      <w:r w:rsidR="00643C0D">
        <w:t> </w:t>
      </w:r>
      <w:r w:rsidRPr="00283BCD">
        <w:t>g/kg (1.0 to 2.5</w:t>
      </w:r>
      <w:r w:rsidR="00643C0D">
        <w:t> </w:t>
      </w:r>
      <w:r w:rsidRPr="00283BCD">
        <w:t>m</w:t>
      </w:r>
      <w:r>
        <w:t>L</w:t>
      </w:r>
      <w:r w:rsidRPr="00283BCD">
        <w:t>/kg) body weight may be required. This may need to be divided over several days. After steady state IgG levels have been attained, maintenance doses are administered at repeated intervals to reach a cumulative monthly dose of the order of 0.4 to 0.8</w:t>
      </w:r>
      <w:r w:rsidR="00643C0D">
        <w:t> </w:t>
      </w:r>
      <w:r w:rsidRPr="00283BCD">
        <w:t>g/kg (2.0 to 4.0</w:t>
      </w:r>
      <w:r w:rsidR="00643C0D">
        <w:t> </w:t>
      </w:r>
      <w:r w:rsidRPr="00283BCD">
        <w:t>m</w:t>
      </w:r>
      <w:r>
        <w:t>L</w:t>
      </w:r>
      <w:r w:rsidRPr="00283BCD">
        <w:t>/kg) body weight.</w:t>
      </w:r>
      <w:r>
        <w:t xml:space="preserve"> </w:t>
      </w:r>
      <w:r w:rsidR="0067482B" w:rsidRPr="000F4D8C">
        <w:t>Trough levels should be measured and assessed in conjunction with the patient’s clinical response. Depending on the clinical response (e.g. infection rate), adjustment of the dose and/or the dose interval may be considered in order to aim for higher trough levels.</w:t>
      </w:r>
    </w:p>
    <w:p w:rsidR="0067482B" w:rsidRPr="000F4D8C" w:rsidRDefault="0067482B" w:rsidP="000442E1">
      <w:pPr>
        <w:pStyle w:val="DocumentText"/>
      </w:pPr>
      <w:r w:rsidRPr="000F4D8C">
        <w:t>As the dose is given by body weight and adjusted to the clinical outcome of the above mentioned conditions, the dose in the paediatric population is not considered to be different to that of adults.</w:t>
      </w:r>
      <w:r w:rsidR="004F5DB6">
        <w:t xml:space="preserve"> Likewise in the elderly, dosing should be determined by clinical response and guided by IgG trough levels.</w:t>
      </w:r>
    </w:p>
    <w:p w:rsidR="0067482B" w:rsidRPr="000442E1" w:rsidRDefault="0067482B" w:rsidP="000442E1">
      <w:pPr>
        <w:pStyle w:val="Heading3"/>
        <w:numPr>
          <w:ilvl w:val="0"/>
          <w:numId w:val="0"/>
        </w:numPr>
        <w:ind w:left="1642" w:hanging="1642"/>
        <w:rPr>
          <w:lang w:val="en-AU"/>
        </w:rPr>
      </w:pPr>
      <w:r w:rsidRPr="000442E1">
        <w:rPr>
          <w:lang w:val="en-AU"/>
        </w:rPr>
        <w:lastRenderedPageBreak/>
        <w:t>Administration</w:t>
      </w:r>
    </w:p>
    <w:p w:rsidR="0067482B" w:rsidRPr="00AC1A1E" w:rsidRDefault="00AC1A1E" w:rsidP="00FE52F3">
      <w:pPr>
        <w:pStyle w:val="DocumentText"/>
      </w:pPr>
      <w:r>
        <w:t>NOTE</w:t>
      </w:r>
      <w:r w:rsidR="006D4611" w:rsidRPr="006D4611">
        <w:t>: This product does not contain an antimicrobial preservative. It must, therefore, be used immediately after opening the vial.</w:t>
      </w:r>
      <w:r w:rsidRPr="00AC1A1E">
        <w:t xml:space="preserve"> </w:t>
      </w:r>
      <w:proofErr w:type="gramStart"/>
      <w:r w:rsidRPr="00AC1A1E">
        <w:t>Use in one patient on one occasion only.</w:t>
      </w:r>
      <w:proofErr w:type="gramEnd"/>
      <w:r w:rsidR="006D4611" w:rsidRPr="006D4611">
        <w:t xml:space="preserve"> Any unused solution should be discarded appropriately.</w:t>
      </w:r>
    </w:p>
    <w:p w:rsidR="0067482B" w:rsidRPr="000F4D8C" w:rsidRDefault="0067482B" w:rsidP="00FE52F3">
      <w:pPr>
        <w:pStyle w:val="DocumentText"/>
      </w:pPr>
      <w:r w:rsidRPr="000F4D8C">
        <w:t>This product is normally clear and pale yellow or light brown. If it appears to be cloudy or contains particulate matter, do not use product but return the unopened vial to CSL</w:t>
      </w:r>
      <w:r w:rsidR="0004042B">
        <w:t xml:space="preserve"> Behring</w:t>
      </w:r>
      <w:r w:rsidRPr="000F4D8C">
        <w:t>.</w:t>
      </w:r>
    </w:p>
    <w:p w:rsidR="0067482B" w:rsidRPr="00F85BA8" w:rsidRDefault="00F85BA8" w:rsidP="00FE52F3">
      <w:pPr>
        <w:pStyle w:val="DocumentText"/>
        <w:rPr>
          <w:b/>
        </w:rPr>
      </w:pPr>
      <w:proofErr w:type="spellStart"/>
      <w:r>
        <w:t>Hizentra</w:t>
      </w:r>
      <w:proofErr w:type="spellEnd"/>
      <w:r>
        <w:rPr>
          <w:vertAlign w:val="superscript"/>
        </w:rPr>
        <w:t>®</w:t>
      </w:r>
      <w:r>
        <w:t xml:space="preserve"> should only be administered </w:t>
      </w:r>
      <w:r>
        <w:rPr>
          <w:b/>
        </w:rPr>
        <w:t>SUBCUTANEOUSLY</w:t>
      </w:r>
      <w:r w:rsidR="006D4611" w:rsidRPr="006D4611">
        <w:t>.</w:t>
      </w:r>
      <w:r>
        <w:rPr>
          <w:b/>
        </w:rPr>
        <w:t xml:space="preserve"> DO NOT ADMINISTER INTRAVENOUSLY.</w:t>
      </w:r>
    </w:p>
    <w:p w:rsidR="0067482B" w:rsidRPr="000F4D8C" w:rsidRDefault="0067482B" w:rsidP="00FE52F3">
      <w:pPr>
        <w:pStyle w:val="DocumentText"/>
      </w:pPr>
      <w:r w:rsidRPr="000F4D8C">
        <w:t>The medicinal product should be at room or body temperature before use.</w:t>
      </w:r>
    </w:p>
    <w:p w:rsidR="0067482B" w:rsidRPr="000F4D8C" w:rsidRDefault="0067482B" w:rsidP="00FE52F3">
      <w:pPr>
        <w:pStyle w:val="DocumentText"/>
      </w:pPr>
      <w:proofErr w:type="spellStart"/>
      <w:r w:rsidRPr="000F4D8C">
        <w:t>Hizentra</w:t>
      </w:r>
      <w:proofErr w:type="spellEnd"/>
      <w:r w:rsidR="000C46E2">
        <w:rPr>
          <w:vertAlign w:val="superscript"/>
        </w:rPr>
        <w:t>®</w:t>
      </w:r>
      <w:r w:rsidRPr="000F4D8C">
        <w:t xml:space="preserve"> may be injected into sites such as abdomen, thigh, upper arm, and lateral hip. If large doses are given (&gt;25</w:t>
      </w:r>
      <w:r w:rsidR="00643C0D">
        <w:t> </w:t>
      </w:r>
      <w:r w:rsidRPr="000F4D8C">
        <w:t>mL), it is advisable to administer them at multiple sites. Injection sites should be at least 5</w:t>
      </w:r>
      <w:r w:rsidR="00643C0D">
        <w:t> </w:t>
      </w:r>
      <w:r w:rsidRPr="000F4D8C">
        <w:t>cm apart.</w:t>
      </w:r>
    </w:p>
    <w:p w:rsidR="0067482B" w:rsidRDefault="0067482B" w:rsidP="00FE52F3">
      <w:pPr>
        <w:pStyle w:val="DocumentText"/>
      </w:pPr>
      <w:r w:rsidRPr="000F4D8C">
        <w:t>The recommended initial infusion rate depends on individual needs of the patient and should not exceed 15</w:t>
      </w:r>
      <w:r w:rsidR="00643C0D">
        <w:t> </w:t>
      </w:r>
      <w:r w:rsidRPr="000F4D8C">
        <w:t xml:space="preserve">mL/hour/site (see </w:t>
      </w:r>
      <w:r w:rsidR="0064177E" w:rsidRPr="00FE52F3">
        <w:rPr>
          <w:b/>
        </w:rPr>
        <w:t>PRECAUTIONS</w:t>
      </w:r>
      <w:r w:rsidRPr="000F4D8C">
        <w:t>). If well</w:t>
      </w:r>
      <w:r w:rsidR="00E27351">
        <w:noBreakHyphen/>
      </w:r>
      <w:r w:rsidRPr="000F4D8C">
        <w:t>tolerated, the infusion rate can then gradually be increased to 25</w:t>
      </w:r>
      <w:r w:rsidR="0064177E">
        <w:t> </w:t>
      </w:r>
      <w:r w:rsidRPr="000F4D8C">
        <w:t>mL/hour/site.</w:t>
      </w:r>
    </w:p>
    <w:p w:rsidR="006D4611" w:rsidRPr="006D4611" w:rsidRDefault="006D4611" w:rsidP="006D4611">
      <w:pPr>
        <w:pStyle w:val="Heading4"/>
        <w:numPr>
          <w:ilvl w:val="0"/>
          <w:numId w:val="0"/>
        </w:numPr>
        <w:ind w:left="1865" w:hanging="1865"/>
        <w:rPr>
          <w:i/>
        </w:rPr>
      </w:pPr>
      <w:r w:rsidRPr="006D4611">
        <w:rPr>
          <w:i/>
        </w:rPr>
        <w:t>Subcutaneous infusion for home treatment</w:t>
      </w:r>
    </w:p>
    <w:p w:rsidR="005403C3" w:rsidRPr="000F4D8C" w:rsidRDefault="006D4611" w:rsidP="00FE52F3">
      <w:pPr>
        <w:pStyle w:val="DocumentText"/>
      </w:pPr>
      <w:r w:rsidRPr="006D4611">
        <w:t>If the supervising physician believes that home administration is appropriate, the patient or caregiver must be instructed in; subcutaneous administration techniques; the keeping of a treatment diary; recognition of and measures to be taken in case of severe adverse reactions.</w:t>
      </w:r>
    </w:p>
    <w:p w:rsidR="0067482B" w:rsidRPr="0004042B" w:rsidRDefault="0067482B" w:rsidP="00FA79B9">
      <w:pPr>
        <w:pStyle w:val="Heading2"/>
        <w:numPr>
          <w:ilvl w:val="0"/>
          <w:numId w:val="0"/>
        </w:numPr>
        <w:ind w:left="1404" w:hanging="1404"/>
        <w:rPr>
          <w:lang w:val="en-AU"/>
        </w:rPr>
      </w:pPr>
      <w:r w:rsidRPr="0004042B">
        <w:rPr>
          <w:lang w:val="en-AU"/>
        </w:rPr>
        <w:t>OVERDOSAGE</w:t>
      </w:r>
    </w:p>
    <w:p w:rsidR="0067482B" w:rsidRPr="0004042B" w:rsidRDefault="0067482B" w:rsidP="0087016B">
      <w:pPr>
        <w:pStyle w:val="DocumentText"/>
        <w:rPr>
          <w:b/>
        </w:rPr>
      </w:pPr>
      <w:r w:rsidRPr="0004042B">
        <w:t>Consequences of an overdose are not known.</w:t>
      </w:r>
      <w:r w:rsidR="005B4DC7">
        <w:t xml:space="preserve"> </w:t>
      </w:r>
      <w:r w:rsidR="005B4DC7" w:rsidRPr="005B4DC7">
        <w:t>In case of overdosing the occurrence of adverse drug reactions should be closely monitored and, if necessary, supporting measures should be offered.</w:t>
      </w:r>
    </w:p>
    <w:p w:rsidR="0067482B" w:rsidRPr="0004042B" w:rsidRDefault="0067482B" w:rsidP="001A109A">
      <w:pPr>
        <w:pStyle w:val="Heading2"/>
        <w:numPr>
          <w:ilvl w:val="0"/>
          <w:numId w:val="0"/>
        </w:numPr>
        <w:ind w:left="1404" w:hanging="1404"/>
        <w:rPr>
          <w:lang w:val="en-AU"/>
        </w:rPr>
      </w:pPr>
      <w:r w:rsidRPr="0004042B">
        <w:rPr>
          <w:lang w:val="en-AU"/>
        </w:rPr>
        <w:t>PRESENTATION AND STORAGE CONDITIONS</w:t>
      </w:r>
    </w:p>
    <w:p w:rsidR="0067482B" w:rsidRDefault="0067482B" w:rsidP="00457916">
      <w:pPr>
        <w:pStyle w:val="DocumentText"/>
      </w:pPr>
      <w:proofErr w:type="spellStart"/>
      <w:r w:rsidRPr="0004042B">
        <w:t>Hizentra</w:t>
      </w:r>
      <w:proofErr w:type="spellEnd"/>
      <w:r w:rsidR="006736F6">
        <w:rPr>
          <w:vertAlign w:val="superscript"/>
        </w:rPr>
        <w:t>®</w:t>
      </w:r>
      <w:r w:rsidRPr="0004042B">
        <w:t xml:space="preserve"> is presented as a 20% (20</w:t>
      </w:r>
      <w:r w:rsidR="0064177E">
        <w:t> </w:t>
      </w:r>
      <w:r w:rsidRPr="0004042B">
        <w:t>g/100</w:t>
      </w:r>
      <w:r w:rsidR="0064177E">
        <w:t> </w:t>
      </w:r>
      <w:r w:rsidRPr="0004042B">
        <w:t xml:space="preserve">mL) solution for subcutaneous administration. The solution is dispensed into a glass vial and closed with a rubber stopper and </w:t>
      </w:r>
      <w:proofErr w:type="spellStart"/>
      <w:r w:rsidRPr="0004042B">
        <w:t>aluminium</w:t>
      </w:r>
      <w:proofErr w:type="spellEnd"/>
      <w:r w:rsidRPr="0004042B">
        <w:t xml:space="preserve"> crimp cap, with a plastic flip off disc providing a tamper evident seal.</w:t>
      </w:r>
    </w:p>
    <w:p w:rsidR="00D77537" w:rsidRDefault="00D77537" w:rsidP="00457916">
      <w:pPr>
        <w:pStyle w:val="DocumentText"/>
      </w:pPr>
    </w:p>
    <w:p w:rsidR="002841A1" w:rsidRDefault="002841A1" w:rsidP="00457916">
      <w:pPr>
        <w:pStyle w:val="DocumentText"/>
      </w:pPr>
      <w:r>
        <w:lastRenderedPageBreak/>
        <w:t xml:space="preserve">The product is </w:t>
      </w:r>
      <w:r w:rsidR="000A38AC">
        <w:t>supplied</w:t>
      </w:r>
      <w:r>
        <w:t xml:space="preserve"> in the following pack sizes:</w:t>
      </w:r>
    </w:p>
    <w:p w:rsidR="00F773C5" w:rsidRDefault="002841A1" w:rsidP="00234C47">
      <w:pPr>
        <w:pStyle w:val="DocumentText"/>
        <w:spacing w:after="0"/>
      </w:pPr>
      <w:r>
        <w:t>1</w:t>
      </w:r>
      <w:r w:rsidR="009B03DE">
        <w:t> </w:t>
      </w:r>
      <w:r>
        <w:t>g in a 5</w:t>
      </w:r>
      <w:r w:rsidR="009B03DE">
        <w:t> </w:t>
      </w:r>
      <w:r>
        <w:t>mL solution</w:t>
      </w:r>
    </w:p>
    <w:p w:rsidR="00F773C5" w:rsidRDefault="002841A1" w:rsidP="00234C47">
      <w:pPr>
        <w:pStyle w:val="DocumentText"/>
        <w:spacing w:after="0"/>
      </w:pPr>
      <w:r>
        <w:t>2</w:t>
      </w:r>
      <w:r w:rsidR="009B03DE">
        <w:t> </w:t>
      </w:r>
      <w:r>
        <w:t>g in a 10</w:t>
      </w:r>
      <w:r w:rsidR="009B03DE">
        <w:t> </w:t>
      </w:r>
      <w:r>
        <w:t>mL solution</w:t>
      </w:r>
    </w:p>
    <w:p w:rsidR="00F773C5" w:rsidRDefault="002841A1" w:rsidP="00234C47">
      <w:pPr>
        <w:pStyle w:val="DocumentText"/>
        <w:spacing w:after="0"/>
      </w:pPr>
      <w:r>
        <w:t>4</w:t>
      </w:r>
      <w:r w:rsidR="009B03DE">
        <w:t> </w:t>
      </w:r>
      <w:r>
        <w:t>g in a 20</w:t>
      </w:r>
      <w:r w:rsidR="009B03DE">
        <w:t> </w:t>
      </w:r>
      <w:r>
        <w:t>mL solution</w:t>
      </w:r>
    </w:p>
    <w:p w:rsidR="002841A1" w:rsidRPr="0004042B" w:rsidRDefault="002841A1" w:rsidP="00234C47">
      <w:pPr>
        <w:pStyle w:val="DocumentText"/>
        <w:rPr>
          <w:b/>
        </w:rPr>
      </w:pPr>
      <w:r>
        <w:t>10</w:t>
      </w:r>
      <w:r w:rsidR="009B03DE">
        <w:t> </w:t>
      </w:r>
      <w:r>
        <w:t>g in a 50</w:t>
      </w:r>
      <w:r w:rsidR="009B03DE">
        <w:t> </w:t>
      </w:r>
      <w:r>
        <w:t>mL solution</w:t>
      </w:r>
    </w:p>
    <w:p w:rsidR="0067482B" w:rsidRPr="0004042B" w:rsidRDefault="0067482B" w:rsidP="00457916">
      <w:pPr>
        <w:pStyle w:val="DocumentText"/>
        <w:rPr>
          <w:b/>
        </w:rPr>
      </w:pPr>
      <w:r w:rsidRPr="0004042B">
        <w:t>Store below 25°C (Do not freeze).</w:t>
      </w:r>
    </w:p>
    <w:p w:rsidR="0067482B" w:rsidRPr="0004042B" w:rsidRDefault="0067482B" w:rsidP="00457916">
      <w:pPr>
        <w:pStyle w:val="DocumentText"/>
      </w:pPr>
      <w:r w:rsidRPr="0004042B">
        <w:t>Keep the vial in the outer carton in order to protect from light.</w:t>
      </w:r>
    </w:p>
    <w:p w:rsidR="0067482B" w:rsidRPr="0004042B" w:rsidRDefault="0067482B" w:rsidP="00457916">
      <w:pPr>
        <w:pStyle w:val="DocumentText"/>
        <w:rPr>
          <w:b/>
        </w:rPr>
      </w:pPr>
      <w:r w:rsidRPr="0004042B">
        <w:t>Do not use after the expiry date printed on the carton and the label.</w:t>
      </w:r>
    </w:p>
    <w:p w:rsidR="0067482B" w:rsidRPr="0004042B" w:rsidRDefault="0067482B" w:rsidP="001C36DE">
      <w:pPr>
        <w:pStyle w:val="Heading2"/>
        <w:numPr>
          <w:ilvl w:val="0"/>
          <w:numId w:val="0"/>
        </w:numPr>
        <w:ind w:left="1404" w:hanging="1404"/>
        <w:rPr>
          <w:lang w:val="en-AU"/>
        </w:rPr>
      </w:pPr>
      <w:r w:rsidRPr="0004042B">
        <w:rPr>
          <w:lang w:val="en-AU"/>
        </w:rPr>
        <w:t>NAME AND ADDRESS OF THE SPONSOR</w:t>
      </w:r>
    </w:p>
    <w:p w:rsidR="0067482B" w:rsidRPr="00874E7E" w:rsidRDefault="0067482B" w:rsidP="00E404D5">
      <w:pPr>
        <w:pStyle w:val="DocumentText"/>
        <w:spacing w:after="0"/>
        <w:rPr>
          <w:b/>
        </w:rPr>
      </w:pPr>
      <w:r w:rsidRPr="00874E7E">
        <w:t>CSL L</w:t>
      </w:r>
      <w:r w:rsidR="004F5DB6">
        <w:t>imi</w:t>
      </w:r>
      <w:r w:rsidRPr="00874E7E">
        <w:t>t</w:t>
      </w:r>
      <w:r w:rsidR="004F5DB6">
        <w:t>e</w:t>
      </w:r>
      <w:r w:rsidRPr="00874E7E">
        <w:t xml:space="preserve">d ABN </w:t>
      </w:r>
      <w:r w:rsidR="004F5DB6">
        <w:t>99 051 588 348</w:t>
      </w:r>
    </w:p>
    <w:p w:rsidR="0067482B" w:rsidRPr="00874E7E" w:rsidRDefault="0067482B" w:rsidP="00E404D5">
      <w:pPr>
        <w:pStyle w:val="DocumentText"/>
        <w:spacing w:after="0"/>
        <w:rPr>
          <w:b/>
        </w:rPr>
      </w:pPr>
      <w:r w:rsidRPr="00874E7E">
        <w:t>189</w:t>
      </w:r>
      <w:r w:rsidR="00E27351">
        <w:noBreakHyphen/>
      </w:r>
      <w:r w:rsidRPr="00874E7E">
        <w:t>209 Camp Rd</w:t>
      </w:r>
    </w:p>
    <w:p w:rsidR="0067482B" w:rsidRPr="00874E7E" w:rsidRDefault="0067482B" w:rsidP="00E404D5">
      <w:pPr>
        <w:pStyle w:val="DocumentText"/>
        <w:spacing w:after="0"/>
        <w:rPr>
          <w:b/>
        </w:rPr>
      </w:pPr>
      <w:proofErr w:type="spellStart"/>
      <w:r w:rsidRPr="00874E7E">
        <w:t>Broadmeadows</w:t>
      </w:r>
      <w:proofErr w:type="spellEnd"/>
      <w:r w:rsidRPr="00874E7E">
        <w:t xml:space="preserve"> VIC 3047</w:t>
      </w:r>
    </w:p>
    <w:p w:rsidR="0067482B" w:rsidRPr="00874E7E" w:rsidRDefault="0067482B" w:rsidP="00E404D5">
      <w:pPr>
        <w:pStyle w:val="DocumentText"/>
        <w:rPr>
          <w:b/>
        </w:rPr>
      </w:pPr>
      <w:r w:rsidRPr="00874E7E">
        <w:t>Australia</w:t>
      </w:r>
    </w:p>
    <w:p w:rsidR="0067482B" w:rsidRPr="0004042B" w:rsidRDefault="0067482B" w:rsidP="00046464">
      <w:pPr>
        <w:pStyle w:val="Heading2"/>
        <w:numPr>
          <w:ilvl w:val="0"/>
          <w:numId w:val="0"/>
        </w:numPr>
        <w:ind w:left="1404" w:hanging="1404"/>
        <w:rPr>
          <w:lang w:val="en-AU"/>
        </w:rPr>
      </w:pPr>
      <w:r w:rsidRPr="0004042B">
        <w:rPr>
          <w:lang w:val="en-AU"/>
        </w:rPr>
        <w:t>NAME AND ADDRESS OF THE MANUFACTURER</w:t>
      </w:r>
    </w:p>
    <w:p w:rsidR="0067482B" w:rsidRPr="00B14FF6" w:rsidRDefault="003F11D3" w:rsidP="001C29B7">
      <w:pPr>
        <w:pStyle w:val="DocumentText"/>
        <w:spacing w:after="0"/>
        <w:rPr>
          <w:lang w:val="de-CH"/>
        </w:rPr>
      </w:pPr>
      <w:r w:rsidRPr="00B14FF6">
        <w:rPr>
          <w:lang w:val="de-CH"/>
        </w:rPr>
        <w:t>CSL Behring AG</w:t>
      </w:r>
    </w:p>
    <w:p w:rsidR="0067482B" w:rsidRPr="00B14FF6" w:rsidRDefault="003F11D3" w:rsidP="001C29B7">
      <w:pPr>
        <w:pStyle w:val="DocumentText"/>
        <w:spacing w:after="0"/>
        <w:rPr>
          <w:lang w:val="de-CH"/>
        </w:rPr>
      </w:pPr>
      <w:r w:rsidRPr="00B14FF6">
        <w:rPr>
          <w:lang w:val="de-CH"/>
        </w:rPr>
        <w:t>Wankdorfstrasse 10</w:t>
      </w:r>
    </w:p>
    <w:p w:rsidR="0067482B" w:rsidRPr="00B14FF6" w:rsidRDefault="003F11D3" w:rsidP="001C29B7">
      <w:pPr>
        <w:pStyle w:val="DocumentText"/>
        <w:spacing w:after="0"/>
        <w:rPr>
          <w:lang w:val="de-CH"/>
        </w:rPr>
      </w:pPr>
      <w:r w:rsidRPr="00B14FF6">
        <w:rPr>
          <w:lang w:val="de-CH"/>
        </w:rPr>
        <w:t>CH</w:t>
      </w:r>
      <w:r w:rsidRPr="00B14FF6">
        <w:rPr>
          <w:lang w:val="de-CH"/>
        </w:rPr>
        <w:noBreakHyphen/>
        <w:t>3000 Bern 22</w:t>
      </w:r>
    </w:p>
    <w:p w:rsidR="0067482B" w:rsidRPr="001C29B7" w:rsidRDefault="0067482B" w:rsidP="001C29B7">
      <w:pPr>
        <w:pStyle w:val="DocumentText"/>
      </w:pPr>
      <w:r w:rsidRPr="00874E7E">
        <w:t>Switzerland</w:t>
      </w:r>
    </w:p>
    <w:p w:rsidR="0067482B" w:rsidRPr="009523B9" w:rsidRDefault="0067482B" w:rsidP="00DF5F96">
      <w:pPr>
        <w:pStyle w:val="Heading2"/>
        <w:numPr>
          <w:ilvl w:val="0"/>
          <w:numId w:val="0"/>
        </w:numPr>
        <w:ind w:left="1404" w:hanging="1404"/>
        <w:rPr>
          <w:lang w:val="en-AU"/>
        </w:rPr>
      </w:pPr>
      <w:r w:rsidRPr="009523B9">
        <w:rPr>
          <w:lang w:val="en-AU"/>
        </w:rPr>
        <w:t>POISON SCHEDULE OF THE MEDICINE</w:t>
      </w:r>
    </w:p>
    <w:p w:rsidR="0067482B" w:rsidRPr="009523B9" w:rsidRDefault="0067482B" w:rsidP="00793B2F">
      <w:pPr>
        <w:pStyle w:val="DocumentText"/>
      </w:pPr>
      <w:r w:rsidRPr="009523B9">
        <w:t>S4</w:t>
      </w:r>
    </w:p>
    <w:p w:rsidR="0067482B" w:rsidRPr="009523B9" w:rsidRDefault="0067482B" w:rsidP="00710481">
      <w:pPr>
        <w:pStyle w:val="Heading2"/>
        <w:numPr>
          <w:ilvl w:val="0"/>
          <w:numId w:val="0"/>
        </w:numPr>
        <w:tabs>
          <w:tab w:val="clear" w:pos="1404"/>
        </w:tabs>
        <w:rPr>
          <w:lang w:val="en-AU"/>
        </w:rPr>
      </w:pPr>
      <w:r w:rsidRPr="009523B9">
        <w:rPr>
          <w:lang w:val="en-AU"/>
        </w:rPr>
        <w:t>DATE OF FIRST INCLUSION IN THE AUSTRALIAN REGISTER OF THERAPEUTIC GOODS (THE ARTG)</w:t>
      </w:r>
    </w:p>
    <w:p w:rsidR="0067482B" w:rsidRPr="009523B9" w:rsidRDefault="00AE63A9" w:rsidP="00362452">
      <w:pPr>
        <w:pStyle w:val="DocumentText"/>
      </w:pPr>
      <w:r>
        <w:t>8 May 2014</w:t>
      </w:r>
    </w:p>
    <w:p w:rsidR="0067482B" w:rsidRPr="009523B9" w:rsidRDefault="00E27351" w:rsidP="0027008D">
      <w:pPr>
        <w:pStyle w:val="DocumentText"/>
      </w:pPr>
      <w:r>
        <w:rPr>
          <w:vertAlign w:val="superscript"/>
        </w:rPr>
        <w:t>®</w:t>
      </w:r>
      <w:r w:rsidR="0027008D">
        <w:rPr>
          <w:vertAlign w:val="superscript"/>
        </w:rPr>
        <w:t xml:space="preserve"> </w:t>
      </w:r>
      <w:r w:rsidR="0067482B" w:rsidRPr="009523B9">
        <w:t>Registered trademark of CSL Limited Group of Companies</w:t>
      </w:r>
    </w:p>
    <w:p w:rsidR="009523B9" w:rsidRDefault="009523B9" w:rsidP="001B4B12">
      <w:pPr>
        <w:pStyle w:val="Heading2"/>
        <w:numPr>
          <w:ilvl w:val="0"/>
          <w:numId w:val="0"/>
        </w:numPr>
        <w:ind w:left="1404" w:hanging="1404"/>
      </w:pPr>
      <w:r w:rsidRPr="009523B9">
        <w:t>For Medical/Technical Enquiries</w:t>
      </w:r>
    </w:p>
    <w:p w:rsidR="00E174BD" w:rsidRPr="00E174BD" w:rsidRDefault="00E174BD" w:rsidP="00131F40">
      <w:pPr>
        <w:pStyle w:val="DocumentText"/>
      </w:pPr>
      <w:r>
        <w:t>+61 3 9389 1932</w:t>
      </w:r>
    </w:p>
    <w:p w:rsidR="00E174BD" w:rsidRPr="00E174BD" w:rsidRDefault="00E174BD" w:rsidP="00131F40">
      <w:pPr>
        <w:pStyle w:val="DocumentText"/>
      </w:pPr>
      <w:r>
        <w:lastRenderedPageBreak/>
        <w:t xml:space="preserve">Australia </w:t>
      </w:r>
      <w:r w:rsidR="009523B9" w:rsidRPr="009523B9">
        <w:t>TOLL FREE: 1800 642 865</w:t>
      </w:r>
    </w:p>
    <w:p w:rsidR="009523B9" w:rsidRDefault="009523B9" w:rsidP="0099603C">
      <w:pPr>
        <w:pStyle w:val="Heading2"/>
        <w:numPr>
          <w:ilvl w:val="0"/>
          <w:numId w:val="0"/>
        </w:numPr>
        <w:ind w:left="1404" w:hanging="1404"/>
      </w:pPr>
      <w:r w:rsidRPr="009523B9">
        <w:t>For Customer Service Enquiries</w:t>
      </w:r>
    </w:p>
    <w:p w:rsidR="00D77537" w:rsidRDefault="00E174BD" w:rsidP="00234C47">
      <w:pPr>
        <w:pStyle w:val="DocumentText"/>
      </w:pPr>
      <w:r>
        <w:t>+61 3 9246 5231</w:t>
      </w:r>
    </w:p>
    <w:p w:rsidR="00B91601" w:rsidRDefault="00E174BD" w:rsidP="00234C47">
      <w:pPr>
        <w:pStyle w:val="DocumentText"/>
      </w:pPr>
      <w:r>
        <w:t xml:space="preserve">Australia </w:t>
      </w:r>
      <w:r w:rsidR="009523B9" w:rsidRPr="009523B9">
        <w:t>TOLL FREE: 1800 063 892</w:t>
      </w:r>
    </w:p>
    <w:p w:rsidR="006F41FC" w:rsidRDefault="004F5DB6" w:rsidP="00234C47">
      <w:pPr>
        <w:pStyle w:val="DocumentText"/>
        <w:rPr>
          <w:b/>
        </w:rPr>
      </w:pPr>
      <w:r>
        <w:t>c</w:t>
      </w:r>
      <w:r w:rsidR="009523B9" w:rsidRPr="009523B9">
        <w:t>ustomerservice@csl</w:t>
      </w:r>
      <w:r w:rsidR="00407E9A">
        <w:t>behring</w:t>
      </w:r>
      <w:r w:rsidR="009523B9" w:rsidRPr="009523B9">
        <w:t>.com.au</w:t>
      </w:r>
    </w:p>
    <w:p w:rsidR="00755981" w:rsidRPr="009523B9" w:rsidRDefault="009523B9" w:rsidP="00234C47">
      <w:pPr>
        <w:pStyle w:val="DocumentText"/>
      </w:pPr>
      <w:r w:rsidRPr="009523B9">
        <w:t>www.</w:t>
      </w:r>
      <w:r w:rsidR="00407E9A" w:rsidRPr="009523B9">
        <w:t>csl</w:t>
      </w:r>
      <w:r w:rsidR="00407E9A">
        <w:t>behring</w:t>
      </w:r>
      <w:r w:rsidRPr="009523B9">
        <w:t>.com.au</w:t>
      </w:r>
    </w:p>
    <w:sectPr w:rsidR="00755981" w:rsidRPr="009523B9" w:rsidSect="00D00222">
      <w:headerReference w:type="default" r:id="rId9"/>
      <w:footerReference w:type="default" r:id="rId10"/>
      <w:pgSz w:w="11907" w:h="16840" w:code="9"/>
      <w:pgMar w:top="1440" w:right="1440" w:bottom="2434" w:left="1440" w:header="720" w:footer="171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0BC" w:rsidRDefault="006D70BC">
      <w:r>
        <w:separator/>
      </w:r>
    </w:p>
  </w:endnote>
  <w:endnote w:type="continuationSeparator" w:id="0">
    <w:p w:rsidR="006D70BC" w:rsidRDefault="006D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Times New Roman"/>
    <w:charset w:val="00"/>
    <w:family w:val="roman"/>
    <w:pitch w:val="variable"/>
    <w:sig w:usb0="80000027"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paign-Norm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HelveticaNeueLT Std Lt">
    <w:altName w:val="HelveticaNeueLT Std Lt"/>
    <w:panose1 w:val="00000000000000000000"/>
    <w:charset w:val="00"/>
    <w:family w:val="swiss"/>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dobe Heiti Std R">
    <w:panose1 w:val="00000000000000000000"/>
    <w:charset w:val="80"/>
    <w:family w:val="swiss"/>
    <w:notTrueType/>
    <w:pitch w:val="variable"/>
    <w:sig w:usb0="00000207" w:usb1="0A0F1810" w:usb2="00000016"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E6C" w:rsidRPr="005D5649" w:rsidRDefault="00B71E6C" w:rsidP="00C3148C">
    <w:pPr>
      <w:pStyle w:val="Footer"/>
      <w:pBdr>
        <w:top w:val="single" w:sz="4" w:space="1" w:color="auto"/>
      </w:pBdr>
      <w:tabs>
        <w:tab w:val="clear" w:pos="4478"/>
        <w:tab w:val="clear" w:pos="8957"/>
        <w:tab w:val="right" w:pos="9180"/>
        <w:tab w:val="right" w:pos="14742"/>
      </w:tabs>
      <w:ind w:right="-215"/>
      <w:rPr>
        <w:rStyle w:val="PageNumber"/>
        <w:szCs w:val="20"/>
      </w:rPr>
    </w:pPr>
    <w:proofErr w:type="spellStart"/>
    <w:r w:rsidRPr="005D5649">
      <w:rPr>
        <w:szCs w:val="20"/>
      </w:rPr>
      <w:t>Hizentra</w:t>
    </w:r>
    <w:proofErr w:type="spellEnd"/>
    <w:r w:rsidRPr="005D5649">
      <w:rPr>
        <w:szCs w:val="20"/>
      </w:rPr>
      <w:t xml:space="preserve"> AU PI </w:t>
    </w:r>
    <w:r w:rsidR="00AE63A9">
      <w:rPr>
        <w:szCs w:val="20"/>
      </w:rPr>
      <w:t>1.00</w:t>
    </w:r>
    <w:r w:rsidRPr="005D5649">
      <w:rPr>
        <w:szCs w:val="20"/>
      </w:rPr>
      <w:tab/>
      <w:t xml:space="preserve">Page </w:t>
    </w:r>
    <w:r w:rsidR="00FF7E29" w:rsidRPr="005D5649">
      <w:rPr>
        <w:rStyle w:val="PageNumber"/>
        <w:szCs w:val="20"/>
      </w:rPr>
      <w:fldChar w:fldCharType="begin"/>
    </w:r>
    <w:r w:rsidRPr="005D5649">
      <w:rPr>
        <w:rStyle w:val="PageNumber"/>
        <w:szCs w:val="20"/>
      </w:rPr>
      <w:instrText xml:space="preserve"> PAGE </w:instrText>
    </w:r>
    <w:r w:rsidR="00FF7E29" w:rsidRPr="005D5649">
      <w:rPr>
        <w:rStyle w:val="PageNumber"/>
        <w:szCs w:val="20"/>
      </w:rPr>
      <w:fldChar w:fldCharType="separate"/>
    </w:r>
    <w:r w:rsidR="00403524">
      <w:rPr>
        <w:rStyle w:val="PageNumber"/>
        <w:noProof/>
        <w:szCs w:val="20"/>
      </w:rPr>
      <w:t>1</w:t>
    </w:r>
    <w:r w:rsidR="00FF7E29" w:rsidRPr="005D5649">
      <w:rPr>
        <w:rStyle w:val="PageNumber"/>
        <w:szCs w:val="20"/>
      </w:rPr>
      <w:fldChar w:fldCharType="end"/>
    </w:r>
    <w:r w:rsidRPr="005D5649">
      <w:rPr>
        <w:szCs w:val="20"/>
      </w:rPr>
      <w:t xml:space="preserve"> of </w:t>
    </w:r>
    <w:r w:rsidR="00FF7E29" w:rsidRPr="005D5649">
      <w:rPr>
        <w:rStyle w:val="PageNumber"/>
        <w:szCs w:val="20"/>
      </w:rPr>
      <w:fldChar w:fldCharType="begin"/>
    </w:r>
    <w:r w:rsidRPr="005D5649">
      <w:rPr>
        <w:rStyle w:val="PageNumber"/>
        <w:szCs w:val="20"/>
      </w:rPr>
      <w:instrText xml:space="preserve"> NUMPAGES </w:instrText>
    </w:r>
    <w:r w:rsidR="00FF7E29" w:rsidRPr="005D5649">
      <w:rPr>
        <w:rStyle w:val="PageNumber"/>
        <w:szCs w:val="20"/>
      </w:rPr>
      <w:fldChar w:fldCharType="separate"/>
    </w:r>
    <w:r w:rsidR="00403524">
      <w:rPr>
        <w:rStyle w:val="PageNumber"/>
        <w:noProof/>
        <w:szCs w:val="20"/>
      </w:rPr>
      <w:t>15</w:t>
    </w:r>
    <w:r w:rsidR="00FF7E29" w:rsidRPr="005D5649">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0BC" w:rsidRDefault="006D70BC">
      <w:r>
        <w:separator/>
      </w:r>
    </w:p>
  </w:footnote>
  <w:footnote w:type="continuationSeparator" w:id="0">
    <w:p w:rsidR="006D70BC" w:rsidRDefault="006D7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537" w:rsidRPr="00D77537" w:rsidRDefault="00D77537" w:rsidP="00D77537">
    <w:pPr>
      <w:pBdr>
        <w:top w:val="single" w:sz="4" w:space="1" w:color="auto"/>
        <w:left w:val="single" w:sz="4" w:space="4" w:color="auto"/>
        <w:bottom w:val="single" w:sz="4" w:space="1" w:color="auto"/>
        <w:right w:val="single" w:sz="4" w:space="4" w:color="auto"/>
      </w:pBdr>
      <w:shd w:val="clear" w:color="auto" w:fill="E4F2E0"/>
      <w:spacing w:after="0" w:line="240" w:lineRule="auto"/>
      <w:rPr>
        <w:rFonts w:ascii="Cambria" w:hAnsi="Cambria"/>
        <w:b/>
        <w:sz w:val="20"/>
        <w:szCs w:val="20"/>
      </w:rPr>
    </w:pPr>
    <w:r w:rsidRPr="00D77537">
      <w:rPr>
        <w:rFonts w:ascii="Cambria" w:hAnsi="Cambria"/>
        <w:b/>
        <w:sz w:val="20"/>
        <w:szCs w:val="20"/>
      </w:rPr>
      <w:t xml:space="preserve">Attachment 1: Product information for </w:t>
    </w:r>
    <w:proofErr w:type="spellStart"/>
    <w:r w:rsidRPr="00D77537">
      <w:rPr>
        <w:rFonts w:ascii="Cambria" w:hAnsi="Cambria"/>
        <w:b/>
        <w:sz w:val="20"/>
        <w:szCs w:val="20"/>
      </w:rPr>
      <w:t>AusPAR</w:t>
    </w:r>
    <w:proofErr w:type="spellEnd"/>
    <w:r w:rsidRPr="00D77537">
      <w:rPr>
        <w:rFonts w:ascii="Cambria" w:hAnsi="Cambria"/>
        <w:b/>
        <w:sz w:val="20"/>
        <w:szCs w:val="20"/>
      </w:rPr>
      <w:t xml:space="preserve"> </w:t>
    </w:r>
    <w:proofErr w:type="spellStart"/>
    <w:r w:rsidRPr="00D77537">
      <w:rPr>
        <w:rFonts w:ascii="Cambria" w:hAnsi="Cambria"/>
        <w:b/>
        <w:sz w:val="20"/>
        <w:szCs w:val="20"/>
      </w:rPr>
      <w:t>Hizentra</w:t>
    </w:r>
    <w:proofErr w:type="spellEnd"/>
    <w:r w:rsidRPr="00D77537">
      <w:rPr>
        <w:rFonts w:ascii="Cambria" w:hAnsi="Cambria"/>
        <w:b/>
        <w:sz w:val="20"/>
        <w:szCs w:val="20"/>
      </w:rPr>
      <w:t xml:space="preserve"> Normal Human Immunoglobulin CSL Behring Ltd 2013-00301-2-2</w:t>
    </w:r>
    <w:r>
      <w:rPr>
        <w:rFonts w:ascii="Cambria" w:hAnsi="Cambria"/>
        <w:b/>
        <w:sz w:val="20"/>
        <w:szCs w:val="20"/>
      </w:rPr>
      <w:t xml:space="preserve"> </w:t>
    </w:r>
    <w:r w:rsidRPr="00D77537">
      <w:rPr>
        <w:rFonts w:ascii="Cambria" w:hAnsi="Cambria"/>
        <w:b/>
        <w:sz w:val="20"/>
        <w:szCs w:val="20"/>
      </w:rPr>
      <w:t xml:space="preserve">Final 25 June 2014. This Product Information was approved at the time this </w:t>
    </w:r>
    <w:proofErr w:type="spellStart"/>
    <w:r w:rsidRPr="00D77537">
      <w:rPr>
        <w:rFonts w:ascii="Cambria" w:hAnsi="Cambria"/>
        <w:b/>
        <w:sz w:val="20"/>
        <w:szCs w:val="20"/>
      </w:rPr>
      <w:t>AusPAR</w:t>
    </w:r>
    <w:proofErr w:type="spellEnd"/>
    <w:r w:rsidRPr="00D77537">
      <w:rPr>
        <w:rFonts w:ascii="Cambria" w:hAnsi="Cambria"/>
        <w:b/>
        <w:sz w:val="20"/>
        <w:szCs w:val="20"/>
      </w:rPr>
      <w:t xml:space="preserve"> was published.</w:t>
    </w:r>
  </w:p>
  <w:p w:rsidR="00D77537" w:rsidRDefault="00D77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15605C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EFE59F2"/>
    <w:multiLevelType w:val="hybridMultilevel"/>
    <w:tmpl w:val="E68056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FEE3D6A"/>
    <w:multiLevelType w:val="hybridMultilevel"/>
    <w:tmpl w:val="ADF86D96"/>
    <w:lvl w:ilvl="0" w:tplc="08D898CE">
      <w:start w:val="1"/>
      <w:numFmt w:val="decimal"/>
      <w:lvlRestart w:val="0"/>
      <w:pStyle w:val="ListNumbered"/>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B657F"/>
    <w:multiLevelType w:val="hybridMultilevel"/>
    <w:tmpl w:val="C3F42122"/>
    <w:lvl w:ilvl="0" w:tplc="8BA6F5A2">
      <w:start w:val="1"/>
      <w:numFmt w:val="bullet"/>
      <w:pStyle w:val="ListBulleted"/>
      <w:lvlText w:val=""/>
      <w:lvlJc w:val="left"/>
      <w:pPr>
        <w:tabs>
          <w:tab w:val="num" w:pos="360"/>
        </w:tabs>
        <w:ind w:left="360" w:hanging="360"/>
      </w:pPr>
      <w:rPr>
        <w:rFonts w:ascii="Symbol"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65897863"/>
    <w:multiLevelType w:val="multilevel"/>
    <w:tmpl w:val="752EF22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 w:numId="2">
    <w:abstractNumId w:val="3"/>
  </w:num>
  <w:num w:numId="3">
    <w:abstractNumId w:val="4"/>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intFractionalCharacterWidth/>
  <w:activeWritingStyle w:appName="MSWord" w:lang="de-CH" w:vendorID="64" w:dllVersion="131078"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6"/>
  <w:doNotHyphenateCap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4B38DB"/>
    <w:rsid w:val="00000710"/>
    <w:rsid w:val="00000C90"/>
    <w:rsid w:val="0000154D"/>
    <w:rsid w:val="000029F1"/>
    <w:rsid w:val="0000335C"/>
    <w:rsid w:val="000069B9"/>
    <w:rsid w:val="00007794"/>
    <w:rsid w:val="000120B2"/>
    <w:rsid w:val="0001327C"/>
    <w:rsid w:val="00014F5E"/>
    <w:rsid w:val="00015001"/>
    <w:rsid w:val="000151D9"/>
    <w:rsid w:val="00015556"/>
    <w:rsid w:val="00016691"/>
    <w:rsid w:val="00016C36"/>
    <w:rsid w:val="0002119E"/>
    <w:rsid w:val="00023CF1"/>
    <w:rsid w:val="000244F6"/>
    <w:rsid w:val="000252D4"/>
    <w:rsid w:val="00025B9E"/>
    <w:rsid w:val="00031814"/>
    <w:rsid w:val="0003286A"/>
    <w:rsid w:val="000332F8"/>
    <w:rsid w:val="00034C1B"/>
    <w:rsid w:val="00034C6E"/>
    <w:rsid w:val="00034E86"/>
    <w:rsid w:val="0003575A"/>
    <w:rsid w:val="00035DFD"/>
    <w:rsid w:val="0003681D"/>
    <w:rsid w:val="00036B8B"/>
    <w:rsid w:val="000378A3"/>
    <w:rsid w:val="00037D0D"/>
    <w:rsid w:val="0004042B"/>
    <w:rsid w:val="0004132F"/>
    <w:rsid w:val="000442E1"/>
    <w:rsid w:val="00044709"/>
    <w:rsid w:val="00044DB2"/>
    <w:rsid w:val="00044FC4"/>
    <w:rsid w:val="00045F5E"/>
    <w:rsid w:val="000461B8"/>
    <w:rsid w:val="00046464"/>
    <w:rsid w:val="000465F4"/>
    <w:rsid w:val="00047410"/>
    <w:rsid w:val="000479B0"/>
    <w:rsid w:val="00047E60"/>
    <w:rsid w:val="00050A87"/>
    <w:rsid w:val="0005389E"/>
    <w:rsid w:val="00053CEC"/>
    <w:rsid w:val="0005441F"/>
    <w:rsid w:val="00055714"/>
    <w:rsid w:val="0005580B"/>
    <w:rsid w:val="0005622E"/>
    <w:rsid w:val="000605FB"/>
    <w:rsid w:val="00060ABA"/>
    <w:rsid w:val="00061B08"/>
    <w:rsid w:val="00063D32"/>
    <w:rsid w:val="00064AF9"/>
    <w:rsid w:val="000653FE"/>
    <w:rsid w:val="00066199"/>
    <w:rsid w:val="00066305"/>
    <w:rsid w:val="000678F7"/>
    <w:rsid w:val="000709FD"/>
    <w:rsid w:val="00071F1F"/>
    <w:rsid w:val="000739FC"/>
    <w:rsid w:val="00073A12"/>
    <w:rsid w:val="00074554"/>
    <w:rsid w:val="000748A2"/>
    <w:rsid w:val="00074BF2"/>
    <w:rsid w:val="0007533E"/>
    <w:rsid w:val="000772F2"/>
    <w:rsid w:val="00077D92"/>
    <w:rsid w:val="00080219"/>
    <w:rsid w:val="00081DBD"/>
    <w:rsid w:val="00083C8E"/>
    <w:rsid w:val="00085B34"/>
    <w:rsid w:val="00085E6A"/>
    <w:rsid w:val="000868CD"/>
    <w:rsid w:val="000871B7"/>
    <w:rsid w:val="00092881"/>
    <w:rsid w:val="0009404E"/>
    <w:rsid w:val="000941DC"/>
    <w:rsid w:val="00094809"/>
    <w:rsid w:val="00094FFA"/>
    <w:rsid w:val="00095153"/>
    <w:rsid w:val="000952F3"/>
    <w:rsid w:val="00095622"/>
    <w:rsid w:val="00096BCD"/>
    <w:rsid w:val="0009745F"/>
    <w:rsid w:val="000A0930"/>
    <w:rsid w:val="000A1F44"/>
    <w:rsid w:val="000A2882"/>
    <w:rsid w:val="000A38AC"/>
    <w:rsid w:val="000B05FF"/>
    <w:rsid w:val="000B17E4"/>
    <w:rsid w:val="000B2DE5"/>
    <w:rsid w:val="000B5B13"/>
    <w:rsid w:val="000B687D"/>
    <w:rsid w:val="000B701D"/>
    <w:rsid w:val="000B7CE6"/>
    <w:rsid w:val="000C0027"/>
    <w:rsid w:val="000C0312"/>
    <w:rsid w:val="000C15AD"/>
    <w:rsid w:val="000C413C"/>
    <w:rsid w:val="000C46E2"/>
    <w:rsid w:val="000C5348"/>
    <w:rsid w:val="000C53D5"/>
    <w:rsid w:val="000C6694"/>
    <w:rsid w:val="000C6EF8"/>
    <w:rsid w:val="000D5332"/>
    <w:rsid w:val="000D5AED"/>
    <w:rsid w:val="000D5D0E"/>
    <w:rsid w:val="000D69B2"/>
    <w:rsid w:val="000D798D"/>
    <w:rsid w:val="000E07BF"/>
    <w:rsid w:val="000E0CB2"/>
    <w:rsid w:val="000E280F"/>
    <w:rsid w:val="000E5924"/>
    <w:rsid w:val="000F1B41"/>
    <w:rsid w:val="000F4CC8"/>
    <w:rsid w:val="000F4D8C"/>
    <w:rsid w:val="000F65AE"/>
    <w:rsid w:val="000F67CB"/>
    <w:rsid w:val="000F717E"/>
    <w:rsid w:val="0010039D"/>
    <w:rsid w:val="00100E62"/>
    <w:rsid w:val="001036F2"/>
    <w:rsid w:val="00103E6B"/>
    <w:rsid w:val="0010524D"/>
    <w:rsid w:val="001069CD"/>
    <w:rsid w:val="00107851"/>
    <w:rsid w:val="001101A2"/>
    <w:rsid w:val="001106CB"/>
    <w:rsid w:val="00112AEE"/>
    <w:rsid w:val="00113B7F"/>
    <w:rsid w:val="0011507A"/>
    <w:rsid w:val="001155B7"/>
    <w:rsid w:val="00125AC3"/>
    <w:rsid w:val="0012670D"/>
    <w:rsid w:val="001268A8"/>
    <w:rsid w:val="0012706C"/>
    <w:rsid w:val="001271FC"/>
    <w:rsid w:val="001277E1"/>
    <w:rsid w:val="00130099"/>
    <w:rsid w:val="00130532"/>
    <w:rsid w:val="001308F0"/>
    <w:rsid w:val="00131556"/>
    <w:rsid w:val="00131CD6"/>
    <w:rsid w:val="00131F40"/>
    <w:rsid w:val="001321C1"/>
    <w:rsid w:val="00132608"/>
    <w:rsid w:val="00135B54"/>
    <w:rsid w:val="00135D4C"/>
    <w:rsid w:val="00137490"/>
    <w:rsid w:val="00137B3D"/>
    <w:rsid w:val="00140684"/>
    <w:rsid w:val="00140B97"/>
    <w:rsid w:val="0014187E"/>
    <w:rsid w:val="00143B8B"/>
    <w:rsid w:val="00144A3C"/>
    <w:rsid w:val="001455A0"/>
    <w:rsid w:val="00145F07"/>
    <w:rsid w:val="00146077"/>
    <w:rsid w:val="0014661E"/>
    <w:rsid w:val="00146F4A"/>
    <w:rsid w:val="00151878"/>
    <w:rsid w:val="00151E2D"/>
    <w:rsid w:val="00152317"/>
    <w:rsid w:val="00154D0F"/>
    <w:rsid w:val="001557EA"/>
    <w:rsid w:val="00155B3E"/>
    <w:rsid w:val="00155F66"/>
    <w:rsid w:val="00156D2E"/>
    <w:rsid w:val="00157C14"/>
    <w:rsid w:val="00161183"/>
    <w:rsid w:val="0016235C"/>
    <w:rsid w:val="00162E1F"/>
    <w:rsid w:val="00163427"/>
    <w:rsid w:val="00165445"/>
    <w:rsid w:val="00166026"/>
    <w:rsid w:val="00167AEE"/>
    <w:rsid w:val="0017016E"/>
    <w:rsid w:val="00170B80"/>
    <w:rsid w:val="00170C9F"/>
    <w:rsid w:val="001712D8"/>
    <w:rsid w:val="00172709"/>
    <w:rsid w:val="00172717"/>
    <w:rsid w:val="001735BA"/>
    <w:rsid w:val="00174BCA"/>
    <w:rsid w:val="0017527A"/>
    <w:rsid w:val="00175C15"/>
    <w:rsid w:val="0017668A"/>
    <w:rsid w:val="00181C61"/>
    <w:rsid w:val="001854D0"/>
    <w:rsid w:val="001860F3"/>
    <w:rsid w:val="001866F4"/>
    <w:rsid w:val="00186D2C"/>
    <w:rsid w:val="001872FD"/>
    <w:rsid w:val="00187DAC"/>
    <w:rsid w:val="00187F8E"/>
    <w:rsid w:val="0019209F"/>
    <w:rsid w:val="0019360E"/>
    <w:rsid w:val="00193896"/>
    <w:rsid w:val="001954E6"/>
    <w:rsid w:val="0019621D"/>
    <w:rsid w:val="0019714A"/>
    <w:rsid w:val="001A06EF"/>
    <w:rsid w:val="001A109A"/>
    <w:rsid w:val="001A140A"/>
    <w:rsid w:val="001A167E"/>
    <w:rsid w:val="001A1D47"/>
    <w:rsid w:val="001A206B"/>
    <w:rsid w:val="001A3A51"/>
    <w:rsid w:val="001A63DF"/>
    <w:rsid w:val="001A652A"/>
    <w:rsid w:val="001A70C2"/>
    <w:rsid w:val="001A7682"/>
    <w:rsid w:val="001B0D39"/>
    <w:rsid w:val="001B4B12"/>
    <w:rsid w:val="001B522C"/>
    <w:rsid w:val="001B5998"/>
    <w:rsid w:val="001C0281"/>
    <w:rsid w:val="001C106B"/>
    <w:rsid w:val="001C1936"/>
    <w:rsid w:val="001C1B22"/>
    <w:rsid w:val="001C2314"/>
    <w:rsid w:val="001C27EF"/>
    <w:rsid w:val="001C29B7"/>
    <w:rsid w:val="001C36DE"/>
    <w:rsid w:val="001C3DEA"/>
    <w:rsid w:val="001C531D"/>
    <w:rsid w:val="001C5B9B"/>
    <w:rsid w:val="001C5D8C"/>
    <w:rsid w:val="001C7610"/>
    <w:rsid w:val="001D0EC7"/>
    <w:rsid w:val="001D12E6"/>
    <w:rsid w:val="001D2485"/>
    <w:rsid w:val="001D2DCF"/>
    <w:rsid w:val="001D3329"/>
    <w:rsid w:val="001D37A2"/>
    <w:rsid w:val="001D4660"/>
    <w:rsid w:val="001D5174"/>
    <w:rsid w:val="001D566E"/>
    <w:rsid w:val="001D644C"/>
    <w:rsid w:val="001D7023"/>
    <w:rsid w:val="001E1F80"/>
    <w:rsid w:val="001E257D"/>
    <w:rsid w:val="001E7D39"/>
    <w:rsid w:val="001F0C15"/>
    <w:rsid w:val="001F1F7D"/>
    <w:rsid w:val="001F247A"/>
    <w:rsid w:val="001F3AD5"/>
    <w:rsid w:val="001F4408"/>
    <w:rsid w:val="001F4825"/>
    <w:rsid w:val="001F4AB4"/>
    <w:rsid w:val="001F4E97"/>
    <w:rsid w:val="001F57AB"/>
    <w:rsid w:val="001F5DC3"/>
    <w:rsid w:val="001F6E85"/>
    <w:rsid w:val="001F70D6"/>
    <w:rsid w:val="001F7FCF"/>
    <w:rsid w:val="002004D1"/>
    <w:rsid w:val="00201436"/>
    <w:rsid w:val="0020536F"/>
    <w:rsid w:val="002061E8"/>
    <w:rsid w:val="00210043"/>
    <w:rsid w:val="00210784"/>
    <w:rsid w:val="002111C7"/>
    <w:rsid w:val="00212EB9"/>
    <w:rsid w:val="002133A1"/>
    <w:rsid w:val="00214016"/>
    <w:rsid w:val="00214112"/>
    <w:rsid w:val="00214EEB"/>
    <w:rsid w:val="00214F12"/>
    <w:rsid w:val="002153F3"/>
    <w:rsid w:val="00216F20"/>
    <w:rsid w:val="00221535"/>
    <w:rsid w:val="00221A0B"/>
    <w:rsid w:val="0022238C"/>
    <w:rsid w:val="002233A9"/>
    <w:rsid w:val="002249AA"/>
    <w:rsid w:val="00230A63"/>
    <w:rsid w:val="00231692"/>
    <w:rsid w:val="002329D8"/>
    <w:rsid w:val="00232A83"/>
    <w:rsid w:val="002336FA"/>
    <w:rsid w:val="00233C4E"/>
    <w:rsid w:val="00233E23"/>
    <w:rsid w:val="002347C0"/>
    <w:rsid w:val="00234C47"/>
    <w:rsid w:val="00236212"/>
    <w:rsid w:val="002363ED"/>
    <w:rsid w:val="0023674E"/>
    <w:rsid w:val="00237FD3"/>
    <w:rsid w:val="0024037C"/>
    <w:rsid w:val="00240F05"/>
    <w:rsid w:val="00241AB1"/>
    <w:rsid w:val="00241CFB"/>
    <w:rsid w:val="00241E04"/>
    <w:rsid w:val="00242B80"/>
    <w:rsid w:val="00243FF8"/>
    <w:rsid w:val="00244176"/>
    <w:rsid w:val="00244941"/>
    <w:rsid w:val="00244EA2"/>
    <w:rsid w:val="00247387"/>
    <w:rsid w:val="00247445"/>
    <w:rsid w:val="002478F0"/>
    <w:rsid w:val="00250522"/>
    <w:rsid w:val="00250C28"/>
    <w:rsid w:val="00251563"/>
    <w:rsid w:val="00251C58"/>
    <w:rsid w:val="00253746"/>
    <w:rsid w:val="00254281"/>
    <w:rsid w:val="002571A0"/>
    <w:rsid w:val="0025770A"/>
    <w:rsid w:val="00261E58"/>
    <w:rsid w:val="00263B98"/>
    <w:rsid w:val="00264920"/>
    <w:rsid w:val="002654D9"/>
    <w:rsid w:val="00265D9F"/>
    <w:rsid w:val="00266BE4"/>
    <w:rsid w:val="0027008D"/>
    <w:rsid w:val="00270827"/>
    <w:rsid w:val="00276243"/>
    <w:rsid w:val="00280910"/>
    <w:rsid w:val="0028106D"/>
    <w:rsid w:val="00281D4F"/>
    <w:rsid w:val="00282BF9"/>
    <w:rsid w:val="00283BCD"/>
    <w:rsid w:val="00284137"/>
    <w:rsid w:val="002841A1"/>
    <w:rsid w:val="0028489C"/>
    <w:rsid w:val="00284EAA"/>
    <w:rsid w:val="00287FAC"/>
    <w:rsid w:val="0029026C"/>
    <w:rsid w:val="0029126A"/>
    <w:rsid w:val="00291899"/>
    <w:rsid w:val="00292BD6"/>
    <w:rsid w:val="00294E2D"/>
    <w:rsid w:val="002959C5"/>
    <w:rsid w:val="00297E1F"/>
    <w:rsid w:val="002A1D0F"/>
    <w:rsid w:val="002A289F"/>
    <w:rsid w:val="002A4DB2"/>
    <w:rsid w:val="002A7FE7"/>
    <w:rsid w:val="002B23D6"/>
    <w:rsid w:val="002B2551"/>
    <w:rsid w:val="002B28A1"/>
    <w:rsid w:val="002B5413"/>
    <w:rsid w:val="002B5832"/>
    <w:rsid w:val="002C05D9"/>
    <w:rsid w:val="002C09E9"/>
    <w:rsid w:val="002C163A"/>
    <w:rsid w:val="002C1BF9"/>
    <w:rsid w:val="002C2872"/>
    <w:rsid w:val="002C3F86"/>
    <w:rsid w:val="002C4020"/>
    <w:rsid w:val="002C46F5"/>
    <w:rsid w:val="002C5B71"/>
    <w:rsid w:val="002C6D13"/>
    <w:rsid w:val="002C7FDC"/>
    <w:rsid w:val="002D028B"/>
    <w:rsid w:val="002D1AAE"/>
    <w:rsid w:val="002D2B78"/>
    <w:rsid w:val="002D2EDA"/>
    <w:rsid w:val="002D3A1E"/>
    <w:rsid w:val="002D44CD"/>
    <w:rsid w:val="002D467A"/>
    <w:rsid w:val="002D4750"/>
    <w:rsid w:val="002D4D93"/>
    <w:rsid w:val="002D68F5"/>
    <w:rsid w:val="002D6BD2"/>
    <w:rsid w:val="002E05CD"/>
    <w:rsid w:val="002E2B15"/>
    <w:rsid w:val="002E3A9E"/>
    <w:rsid w:val="002E729E"/>
    <w:rsid w:val="002F0DE5"/>
    <w:rsid w:val="002F356A"/>
    <w:rsid w:val="002F58FD"/>
    <w:rsid w:val="003000F5"/>
    <w:rsid w:val="00303D18"/>
    <w:rsid w:val="003050EC"/>
    <w:rsid w:val="003073A1"/>
    <w:rsid w:val="00307E68"/>
    <w:rsid w:val="003109D8"/>
    <w:rsid w:val="0031160C"/>
    <w:rsid w:val="003123E8"/>
    <w:rsid w:val="00313127"/>
    <w:rsid w:val="00313574"/>
    <w:rsid w:val="003139EF"/>
    <w:rsid w:val="0031469D"/>
    <w:rsid w:val="00315382"/>
    <w:rsid w:val="00315A58"/>
    <w:rsid w:val="0031655D"/>
    <w:rsid w:val="00317F3A"/>
    <w:rsid w:val="00320A90"/>
    <w:rsid w:val="00320EA8"/>
    <w:rsid w:val="00322118"/>
    <w:rsid w:val="00324F6C"/>
    <w:rsid w:val="00325D4A"/>
    <w:rsid w:val="00326687"/>
    <w:rsid w:val="003266D5"/>
    <w:rsid w:val="00331D33"/>
    <w:rsid w:val="00332228"/>
    <w:rsid w:val="003328A6"/>
    <w:rsid w:val="0033404E"/>
    <w:rsid w:val="00334A67"/>
    <w:rsid w:val="003379BC"/>
    <w:rsid w:val="00337C88"/>
    <w:rsid w:val="003410AD"/>
    <w:rsid w:val="00341F42"/>
    <w:rsid w:val="00344AEC"/>
    <w:rsid w:val="00344BE8"/>
    <w:rsid w:val="0034669D"/>
    <w:rsid w:val="00347F59"/>
    <w:rsid w:val="00350A0E"/>
    <w:rsid w:val="0035191E"/>
    <w:rsid w:val="003523F3"/>
    <w:rsid w:val="00354166"/>
    <w:rsid w:val="003550E3"/>
    <w:rsid w:val="00355620"/>
    <w:rsid w:val="00356825"/>
    <w:rsid w:val="00360581"/>
    <w:rsid w:val="00360FC6"/>
    <w:rsid w:val="0036180B"/>
    <w:rsid w:val="00362452"/>
    <w:rsid w:val="00362ABA"/>
    <w:rsid w:val="003631C3"/>
    <w:rsid w:val="003635C1"/>
    <w:rsid w:val="00363635"/>
    <w:rsid w:val="00363BDA"/>
    <w:rsid w:val="00363F23"/>
    <w:rsid w:val="00364D70"/>
    <w:rsid w:val="00364E59"/>
    <w:rsid w:val="0036543C"/>
    <w:rsid w:val="00366F58"/>
    <w:rsid w:val="00367AC0"/>
    <w:rsid w:val="00367C73"/>
    <w:rsid w:val="00370E4B"/>
    <w:rsid w:val="0037213D"/>
    <w:rsid w:val="00372EEC"/>
    <w:rsid w:val="003742C2"/>
    <w:rsid w:val="00375D34"/>
    <w:rsid w:val="003769BB"/>
    <w:rsid w:val="00377B0A"/>
    <w:rsid w:val="00383AE9"/>
    <w:rsid w:val="00385B66"/>
    <w:rsid w:val="00386DEB"/>
    <w:rsid w:val="00386E45"/>
    <w:rsid w:val="00387FE6"/>
    <w:rsid w:val="00390072"/>
    <w:rsid w:val="00390286"/>
    <w:rsid w:val="00391070"/>
    <w:rsid w:val="0039216D"/>
    <w:rsid w:val="003921B9"/>
    <w:rsid w:val="003925C2"/>
    <w:rsid w:val="00392B83"/>
    <w:rsid w:val="00392F9E"/>
    <w:rsid w:val="00393B44"/>
    <w:rsid w:val="003940BE"/>
    <w:rsid w:val="003947B6"/>
    <w:rsid w:val="003948FC"/>
    <w:rsid w:val="00397E87"/>
    <w:rsid w:val="003A00CF"/>
    <w:rsid w:val="003A0BA4"/>
    <w:rsid w:val="003A0D97"/>
    <w:rsid w:val="003A1B7B"/>
    <w:rsid w:val="003A33C9"/>
    <w:rsid w:val="003A41A2"/>
    <w:rsid w:val="003A6BAF"/>
    <w:rsid w:val="003B00AA"/>
    <w:rsid w:val="003B07FE"/>
    <w:rsid w:val="003B08CD"/>
    <w:rsid w:val="003B1188"/>
    <w:rsid w:val="003B2834"/>
    <w:rsid w:val="003B2D80"/>
    <w:rsid w:val="003B378A"/>
    <w:rsid w:val="003B39FF"/>
    <w:rsid w:val="003B3C00"/>
    <w:rsid w:val="003B3C16"/>
    <w:rsid w:val="003B4F84"/>
    <w:rsid w:val="003B5225"/>
    <w:rsid w:val="003B5468"/>
    <w:rsid w:val="003B623F"/>
    <w:rsid w:val="003C06F6"/>
    <w:rsid w:val="003C09A5"/>
    <w:rsid w:val="003C1056"/>
    <w:rsid w:val="003C1687"/>
    <w:rsid w:val="003C2F70"/>
    <w:rsid w:val="003C354A"/>
    <w:rsid w:val="003C3ECA"/>
    <w:rsid w:val="003C4DAE"/>
    <w:rsid w:val="003D004C"/>
    <w:rsid w:val="003D03C2"/>
    <w:rsid w:val="003D0CB8"/>
    <w:rsid w:val="003D1F6C"/>
    <w:rsid w:val="003D4005"/>
    <w:rsid w:val="003D4E4B"/>
    <w:rsid w:val="003D5F1D"/>
    <w:rsid w:val="003D6D88"/>
    <w:rsid w:val="003E03EA"/>
    <w:rsid w:val="003E0D68"/>
    <w:rsid w:val="003E1B18"/>
    <w:rsid w:val="003E38BF"/>
    <w:rsid w:val="003E3E96"/>
    <w:rsid w:val="003E6EA7"/>
    <w:rsid w:val="003F00BC"/>
    <w:rsid w:val="003F00F3"/>
    <w:rsid w:val="003F11D3"/>
    <w:rsid w:val="003F146F"/>
    <w:rsid w:val="003F1DE2"/>
    <w:rsid w:val="003F2A0D"/>
    <w:rsid w:val="003F317E"/>
    <w:rsid w:val="003F3BD7"/>
    <w:rsid w:val="003F40F5"/>
    <w:rsid w:val="003F5770"/>
    <w:rsid w:val="00401230"/>
    <w:rsid w:val="00401524"/>
    <w:rsid w:val="00402CAD"/>
    <w:rsid w:val="00403524"/>
    <w:rsid w:val="00405879"/>
    <w:rsid w:val="00405B8C"/>
    <w:rsid w:val="00407554"/>
    <w:rsid w:val="00407E9A"/>
    <w:rsid w:val="004104F3"/>
    <w:rsid w:val="00410E23"/>
    <w:rsid w:val="0041149A"/>
    <w:rsid w:val="00412D64"/>
    <w:rsid w:val="00413482"/>
    <w:rsid w:val="00416789"/>
    <w:rsid w:val="004170F0"/>
    <w:rsid w:val="00417BCE"/>
    <w:rsid w:val="004200AA"/>
    <w:rsid w:val="00420176"/>
    <w:rsid w:val="00421C5F"/>
    <w:rsid w:val="00422952"/>
    <w:rsid w:val="00422BEE"/>
    <w:rsid w:val="0042328D"/>
    <w:rsid w:val="004248A3"/>
    <w:rsid w:val="0042733A"/>
    <w:rsid w:val="0042750A"/>
    <w:rsid w:val="0043036E"/>
    <w:rsid w:val="00430957"/>
    <w:rsid w:val="00431D3D"/>
    <w:rsid w:val="0043207A"/>
    <w:rsid w:val="00432866"/>
    <w:rsid w:val="00432EFD"/>
    <w:rsid w:val="00432F25"/>
    <w:rsid w:val="00433076"/>
    <w:rsid w:val="0043345E"/>
    <w:rsid w:val="004335DA"/>
    <w:rsid w:val="0043563C"/>
    <w:rsid w:val="00437B61"/>
    <w:rsid w:val="004409B9"/>
    <w:rsid w:val="00441744"/>
    <w:rsid w:val="00441BD0"/>
    <w:rsid w:val="00441C9A"/>
    <w:rsid w:val="004449E5"/>
    <w:rsid w:val="00445E58"/>
    <w:rsid w:val="004463E7"/>
    <w:rsid w:val="004473A6"/>
    <w:rsid w:val="004502A5"/>
    <w:rsid w:val="004517D7"/>
    <w:rsid w:val="00452888"/>
    <w:rsid w:val="004553AA"/>
    <w:rsid w:val="0045572D"/>
    <w:rsid w:val="00455A95"/>
    <w:rsid w:val="00456874"/>
    <w:rsid w:val="00456E78"/>
    <w:rsid w:val="00456FC8"/>
    <w:rsid w:val="00457399"/>
    <w:rsid w:val="004574CF"/>
    <w:rsid w:val="00457916"/>
    <w:rsid w:val="00460560"/>
    <w:rsid w:val="0046201F"/>
    <w:rsid w:val="00462FA8"/>
    <w:rsid w:val="0046362B"/>
    <w:rsid w:val="004643F4"/>
    <w:rsid w:val="00464457"/>
    <w:rsid w:val="004648BA"/>
    <w:rsid w:val="00464A16"/>
    <w:rsid w:val="004728DA"/>
    <w:rsid w:val="00472D62"/>
    <w:rsid w:val="00473852"/>
    <w:rsid w:val="00475803"/>
    <w:rsid w:val="00475FEC"/>
    <w:rsid w:val="004775CB"/>
    <w:rsid w:val="004800FA"/>
    <w:rsid w:val="00482880"/>
    <w:rsid w:val="00483389"/>
    <w:rsid w:val="00483F09"/>
    <w:rsid w:val="00486A28"/>
    <w:rsid w:val="00486E39"/>
    <w:rsid w:val="00490692"/>
    <w:rsid w:val="00493B82"/>
    <w:rsid w:val="0049477B"/>
    <w:rsid w:val="00496C8A"/>
    <w:rsid w:val="004A063A"/>
    <w:rsid w:val="004A198C"/>
    <w:rsid w:val="004A1EE9"/>
    <w:rsid w:val="004A6938"/>
    <w:rsid w:val="004A7513"/>
    <w:rsid w:val="004A7665"/>
    <w:rsid w:val="004A7AC9"/>
    <w:rsid w:val="004B1249"/>
    <w:rsid w:val="004B2B41"/>
    <w:rsid w:val="004B307E"/>
    <w:rsid w:val="004B3425"/>
    <w:rsid w:val="004B38DB"/>
    <w:rsid w:val="004B390B"/>
    <w:rsid w:val="004B48F4"/>
    <w:rsid w:val="004B4FA3"/>
    <w:rsid w:val="004B4FC9"/>
    <w:rsid w:val="004B5701"/>
    <w:rsid w:val="004B7F87"/>
    <w:rsid w:val="004C0856"/>
    <w:rsid w:val="004C16FB"/>
    <w:rsid w:val="004C29F5"/>
    <w:rsid w:val="004C332C"/>
    <w:rsid w:val="004C5C3D"/>
    <w:rsid w:val="004C6683"/>
    <w:rsid w:val="004C6C39"/>
    <w:rsid w:val="004C7E47"/>
    <w:rsid w:val="004D1AC1"/>
    <w:rsid w:val="004D3CA6"/>
    <w:rsid w:val="004D4735"/>
    <w:rsid w:val="004D49DA"/>
    <w:rsid w:val="004D589C"/>
    <w:rsid w:val="004D5ED5"/>
    <w:rsid w:val="004E0E25"/>
    <w:rsid w:val="004E25B4"/>
    <w:rsid w:val="004E2AC0"/>
    <w:rsid w:val="004E2F12"/>
    <w:rsid w:val="004E30F4"/>
    <w:rsid w:val="004E34B5"/>
    <w:rsid w:val="004E393A"/>
    <w:rsid w:val="004E4145"/>
    <w:rsid w:val="004E4B8F"/>
    <w:rsid w:val="004E5BF1"/>
    <w:rsid w:val="004E672A"/>
    <w:rsid w:val="004E78A8"/>
    <w:rsid w:val="004F41B2"/>
    <w:rsid w:val="004F45FC"/>
    <w:rsid w:val="004F46C4"/>
    <w:rsid w:val="004F510D"/>
    <w:rsid w:val="004F5575"/>
    <w:rsid w:val="004F5DB6"/>
    <w:rsid w:val="004F6BEF"/>
    <w:rsid w:val="004F75B4"/>
    <w:rsid w:val="004F7CEF"/>
    <w:rsid w:val="005001A6"/>
    <w:rsid w:val="0050152D"/>
    <w:rsid w:val="00502457"/>
    <w:rsid w:val="00502763"/>
    <w:rsid w:val="00504469"/>
    <w:rsid w:val="005048FD"/>
    <w:rsid w:val="00505AC6"/>
    <w:rsid w:val="00505F0F"/>
    <w:rsid w:val="0050611E"/>
    <w:rsid w:val="00506689"/>
    <w:rsid w:val="00506E30"/>
    <w:rsid w:val="00507EFE"/>
    <w:rsid w:val="00511A41"/>
    <w:rsid w:val="00511C99"/>
    <w:rsid w:val="00513B2B"/>
    <w:rsid w:val="005162CE"/>
    <w:rsid w:val="0051677D"/>
    <w:rsid w:val="005174CA"/>
    <w:rsid w:val="005210A2"/>
    <w:rsid w:val="00521FB3"/>
    <w:rsid w:val="005226C8"/>
    <w:rsid w:val="0052536E"/>
    <w:rsid w:val="005258F3"/>
    <w:rsid w:val="00527253"/>
    <w:rsid w:val="005316E2"/>
    <w:rsid w:val="00531CAF"/>
    <w:rsid w:val="005326B8"/>
    <w:rsid w:val="00533BED"/>
    <w:rsid w:val="00534484"/>
    <w:rsid w:val="00536093"/>
    <w:rsid w:val="0054027E"/>
    <w:rsid w:val="005403C3"/>
    <w:rsid w:val="00540646"/>
    <w:rsid w:val="005414F2"/>
    <w:rsid w:val="00542FE2"/>
    <w:rsid w:val="005453B2"/>
    <w:rsid w:val="00545DF0"/>
    <w:rsid w:val="005463F6"/>
    <w:rsid w:val="00546DD7"/>
    <w:rsid w:val="00547B6B"/>
    <w:rsid w:val="00550E32"/>
    <w:rsid w:val="00551F8C"/>
    <w:rsid w:val="005536A8"/>
    <w:rsid w:val="005536CD"/>
    <w:rsid w:val="00554DA1"/>
    <w:rsid w:val="005600C6"/>
    <w:rsid w:val="00560AC3"/>
    <w:rsid w:val="00562B3E"/>
    <w:rsid w:val="0056355A"/>
    <w:rsid w:val="005644CA"/>
    <w:rsid w:val="00564D69"/>
    <w:rsid w:val="005652E7"/>
    <w:rsid w:val="00566315"/>
    <w:rsid w:val="00566682"/>
    <w:rsid w:val="00566967"/>
    <w:rsid w:val="00567AB4"/>
    <w:rsid w:val="005724BC"/>
    <w:rsid w:val="00572B21"/>
    <w:rsid w:val="0057366B"/>
    <w:rsid w:val="00573D38"/>
    <w:rsid w:val="00575502"/>
    <w:rsid w:val="005771C6"/>
    <w:rsid w:val="005809EA"/>
    <w:rsid w:val="00582002"/>
    <w:rsid w:val="005847DC"/>
    <w:rsid w:val="00585A5B"/>
    <w:rsid w:val="00587D9C"/>
    <w:rsid w:val="00591E7B"/>
    <w:rsid w:val="005943D9"/>
    <w:rsid w:val="0059622E"/>
    <w:rsid w:val="00597D48"/>
    <w:rsid w:val="005A2567"/>
    <w:rsid w:val="005A34AD"/>
    <w:rsid w:val="005A353F"/>
    <w:rsid w:val="005A38A9"/>
    <w:rsid w:val="005A4C55"/>
    <w:rsid w:val="005A50A5"/>
    <w:rsid w:val="005A5402"/>
    <w:rsid w:val="005A6607"/>
    <w:rsid w:val="005A74F5"/>
    <w:rsid w:val="005B0859"/>
    <w:rsid w:val="005B4DC7"/>
    <w:rsid w:val="005B5876"/>
    <w:rsid w:val="005B6C7F"/>
    <w:rsid w:val="005B74A9"/>
    <w:rsid w:val="005B7E27"/>
    <w:rsid w:val="005C0ADB"/>
    <w:rsid w:val="005C12EE"/>
    <w:rsid w:val="005C22E7"/>
    <w:rsid w:val="005C27BD"/>
    <w:rsid w:val="005C33DA"/>
    <w:rsid w:val="005C4309"/>
    <w:rsid w:val="005C4EC6"/>
    <w:rsid w:val="005C5D4E"/>
    <w:rsid w:val="005C7129"/>
    <w:rsid w:val="005D0DA5"/>
    <w:rsid w:val="005D2C22"/>
    <w:rsid w:val="005D4723"/>
    <w:rsid w:val="005D5447"/>
    <w:rsid w:val="005D5649"/>
    <w:rsid w:val="005D5FCE"/>
    <w:rsid w:val="005D6A1E"/>
    <w:rsid w:val="005E0117"/>
    <w:rsid w:val="005E1016"/>
    <w:rsid w:val="005E1F49"/>
    <w:rsid w:val="005E3551"/>
    <w:rsid w:val="005E41A7"/>
    <w:rsid w:val="005E457F"/>
    <w:rsid w:val="005E46C1"/>
    <w:rsid w:val="005E4CD4"/>
    <w:rsid w:val="005E61A3"/>
    <w:rsid w:val="005E6299"/>
    <w:rsid w:val="005E68D5"/>
    <w:rsid w:val="005E6C7D"/>
    <w:rsid w:val="005E7BA0"/>
    <w:rsid w:val="005F034D"/>
    <w:rsid w:val="005F247C"/>
    <w:rsid w:val="005F432A"/>
    <w:rsid w:val="005F6A27"/>
    <w:rsid w:val="005F7835"/>
    <w:rsid w:val="006026C9"/>
    <w:rsid w:val="00602C1D"/>
    <w:rsid w:val="00602ED7"/>
    <w:rsid w:val="00602FBE"/>
    <w:rsid w:val="006039E7"/>
    <w:rsid w:val="0060483E"/>
    <w:rsid w:val="0060573F"/>
    <w:rsid w:val="00607157"/>
    <w:rsid w:val="00610D4C"/>
    <w:rsid w:val="00611843"/>
    <w:rsid w:val="00613A8B"/>
    <w:rsid w:val="00613E3A"/>
    <w:rsid w:val="00622B2C"/>
    <w:rsid w:val="006230F3"/>
    <w:rsid w:val="006271AE"/>
    <w:rsid w:val="00627832"/>
    <w:rsid w:val="00627841"/>
    <w:rsid w:val="00627B1A"/>
    <w:rsid w:val="0063243D"/>
    <w:rsid w:val="00632F95"/>
    <w:rsid w:val="0063342A"/>
    <w:rsid w:val="006338FF"/>
    <w:rsid w:val="00634438"/>
    <w:rsid w:val="0063537F"/>
    <w:rsid w:val="00635B9F"/>
    <w:rsid w:val="00635E66"/>
    <w:rsid w:val="00637B99"/>
    <w:rsid w:val="00640EA3"/>
    <w:rsid w:val="006412B0"/>
    <w:rsid w:val="0064177E"/>
    <w:rsid w:val="00641F2C"/>
    <w:rsid w:val="006433B9"/>
    <w:rsid w:val="00643C0D"/>
    <w:rsid w:val="0064433B"/>
    <w:rsid w:val="00644AC2"/>
    <w:rsid w:val="00646499"/>
    <w:rsid w:val="00651B09"/>
    <w:rsid w:val="00652496"/>
    <w:rsid w:val="00652B56"/>
    <w:rsid w:val="006561E0"/>
    <w:rsid w:val="006608AF"/>
    <w:rsid w:val="00660E9E"/>
    <w:rsid w:val="006613C2"/>
    <w:rsid w:val="00665D6C"/>
    <w:rsid w:val="00665D87"/>
    <w:rsid w:val="0066649C"/>
    <w:rsid w:val="00670F61"/>
    <w:rsid w:val="00672FBF"/>
    <w:rsid w:val="006736F6"/>
    <w:rsid w:val="00673987"/>
    <w:rsid w:val="0067438A"/>
    <w:rsid w:val="0067482B"/>
    <w:rsid w:val="00674CFF"/>
    <w:rsid w:val="006766D6"/>
    <w:rsid w:val="006767B0"/>
    <w:rsid w:val="00676842"/>
    <w:rsid w:val="00676A83"/>
    <w:rsid w:val="00676C73"/>
    <w:rsid w:val="00681BDF"/>
    <w:rsid w:val="006826F8"/>
    <w:rsid w:val="00684ECC"/>
    <w:rsid w:val="006850EE"/>
    <w:rsid w:val="00686620"/>
    <w:rsid w:val="0069128D"/>
    <w:rsid w:val="0069148A"/>
    <w:rsid w:val="00692BAF"/>
    <w:rsid w:val="00692E41"/>
    <w:rsid w:val="00692EA1"/>
    <w:rsid w:val="00693022"/>
    <w:rsid w:val="0069425C"/>
    <w:rsid w:val="00694E9D"/>
    <w:rsid w:val="00696CCC"/>
    <w:rsid w:val="00697513"/>
    <w:rsid w:val="006A54AB"/>
    <w:rsid w:val="006A5C12"/>
    <w:rsid w:val="006A5D7D"/>
    <w:rsid w:val="006B14D1"/>
    <w:rsid w:val="006B21AF"/>
    <w:rsid w:val="006B2DCB"/>
    <w:rsid w:val="006B32EC"/>
    <w:rsid w:val="006B43B2"/>
    <w:rsid w:val="006B6050"/>
    <w:rsid w:val="006C039D"/>
    <w:rsid w:val="006C3886"/>
    <w:rsid w:val="006C3DB6"/>
    <w:rsid w:val="006C4D12"/>
    <w:rsid w:val="006C5DA4"/>
    <w:rsid w:val="006C6534"/>
    <w:rsid w:val="006C797A"/>
    <w:rsid w:val="006C7E07"/>
    <w:rsid w:val="006D03B0"/>
    <w:rsid w:val="006D1433"/>
    <w:rsid w:val="006D1CCC"/>
    <w:rsid w:val="006D1FDE"/>
    <w:rsid w:val="006D37C1"/>
    <w:rsid w:val="006D4611"/>
    <w:rsid w:val="006D6132"/>
    <w:rsid w:val="006D6182"/>
    <w:rsid w:val="006D70BC"/>
    <w:rsid w:val="006D7A19"/>
    <w:rsid w:val="006E0C40"/>
    <w:rsid w:val="006E1254"/>
    <w:rsid w:val="006E1E2F"/>
    <w:rsid w:val="006E2AF0"/>
    <w:rsid w:val="006E3EB2"/>
    <w:rsid w:val="006E4060"/>
    <w:rsid w:val="006E41E8"/>
    <w:rsid w:val="006E607A"/>
    <w:rsid w:val="006E6369"/>
    <w:rsid w:val="006E6719"/>
    <w:rsid w:val="006E7073"/>
    <w:rsid w:val="006E7BBE"/>
    <w:rsid w:val="006F050E"/>
    <w:rsid w:val="006F1500"/>
    <w:rsid w:val="006F1D25"/>
    <w:rsid w:val="006F1FE4"/>
    <w:rsid w:val="006F33AA"/>
    <w:rsid w:val="006F41FC"/>
    <w:rsid w:val="006F4374"/>
    <w:rsid w:val="006F531D"/>
    <w:rsid w:val="006F67D4"/>
    <w:rsid w:val="0070209C"/>
    <w:rsid w:val="007055B8"/>
    <w:rsid w:val="00710481"/>
    <w:rsid w:val="00710F7B"/>
    <w:rsid w:val="00711929"/>
    <w:rsid w:val="00713227"/>
    <w:rsid w:val="0071374D"/>
    <w:rsid w:val="00713FB8"/>
    <w:rsid w:val="00714B11"/>
    <w:rsid w:val="00715660"/>
    <w:rsid w:val="007171E3"/>
    <w:rsid w:val="0072219A"/>
    <w:rsid w:val="00723366"/>
    <w:rsid w:val="00723ECF"/>
    <w:rsid w:val="0072539F"/>
    <w:rsid w:val="00726086"/>
    <w:rsid w:val="00726966"/>
    <w:rsid w:val="007274F6"/>
    <w:rsid w:val="007318CB"/>
    <w:rsid w:val="00732F30"/>
    <w:rsid w:val="007371D9"/>
    <w:rsid w:val="007401F7"/>
    <w:rsid w:val="00740B8E"/>
    <w:rsid w:val="00742ECF"/>
    <w:rsid w:val="0074584E"/>
    <w:rsid w:val="007462CF"/>
    <w:rsid w:val="0074649E"/>
    <w:rsid w:val="00747C71"/>
    <w:rsid w:val="00747E19"/>
    <w:rsid w:val="00750847"/>
    <w:rsid w:val="00753C70"/>
    <w:rsid w:val="00753DE6"/>
    <w:rsid w:val="00754E0C"/>
    <w:rsid w:val="00755796"/>
    <w:rsid w:val="00755981"/>
    <w:rsid w:val="00756CA7"/>
    <w:rsid w:val="0075771C"/>
    <w:rsid w:val="00761F9D"/>
    <w:rsid w:val="007630D2"/>
    <w:rsid w:val="00764E21"/>
    <w:rsid w:val="00764EBE"/>
    <w:rsid w:val="00766992"/>
    <w:rsid w:val="00766EC1"/>
    <w:rsid w:val="00770AD9"/>
    <w:rsid w:val="00775402"/>
    <w:rsid w:val="007805EB"/>
    <w:rsid w:val="007807AA"/>
    <w:rsid w:val="00781296"/>
    <w:rsid w:val="00783C0B"/>
    <w:rsid w:val="00790894"/>
    <w:rsid w:val="00791B91"/>
    <w:rsid w:val="00792226"/>
    <w:rsid w:val="00793B2F"/>
    <w:rsid w:val="00794098"/>
    <w:rsid w:val="007949E7"/>
    <w:rsid w:val="00795500"/>
    <w:rsid w:val="007965EA"/>
    <w:rsid w:val="00797088"/>
    <w:rsid w:val="00797574"/>
    <w:rsid w:val="007A089F"/>
    <w:rsid w:val="007A10F0"/>
    <w:rsid w:val="007A1C0B"/>
    <w:rsid w:val="007A23A1"/>
    <w:rsid w:val="007A23BB"/>
    <w:rsid w:val="007A2839"/>
    <w:rsid w:val="007A30BC"/>
    <w:rsid w:val="007A3877"/>
    <w:rsid w:val="007A4821"/>
    <w:rsid w:val="007A5203"/>
    <w:rsid w:val="007A5755"/>
    <w:rsid w:val="007B261B"/>
    <w:rsid w:val="007B278D"/>
    <w:rsid w:val="007B4582"/>
    <w:rsid w:val="007B54BE"/>
    <w:rsid w:val="007B5691"/>
    <w:rsid w:val="007B73CB"/>
    <w:rsid w:val="007B7BBD"/>
    <w:rsid w:val="007C0D4A"/>
    <w:rsid w:val="007C1B2F"/>
    <w:rsid w:val="007C1B88"/>
    <w:rsid w:val="007C2166"/>
    <w:rsid w:val="007C23E7"/>
    <w:rsid w:val="007C5799"/>
    <w:rsid w:val="007C5ED3"/>
    <w:rsid w:val="007C686F"/>
    <w:rsid w:val="007C6B99"/>
    <w:rsid w:val="007C7E7D"/>
    <w:rsid w:val="007D1C54"/>
    <w:rsid w:val="007D3B2F"/>
    <w:rsid w:val="007D507D"/>
    <w:rsid w:val="007D6A94"/>
    <w:rsid w:val="007D6D8B"/>
    <w:rsid w:val="007D70D4"/>
    <w:rsid w:val="007E035D"/>
    <w:rsid w:val="007E047D"/>
    <w:rsid w:val="007E1384"/>
    <w:rsid w:val="007E18BD"/>
    <w:rsid w:val="007E2696"/>
    <w:rsid w:val="007E3069"/>
    <w:rsid w:val="007E33C0"/>
    <w:rsid w:val="007E49E1"/>
    <w:rsid w:val="007E4BAF"/>
    <w:rsid w:val="007F1CBA"/>
    <w:rsid w:val="007F1EF3"/>
    <w:rsid w:val="007F2D70"/>
    <w:rsid w:val="007F4677"/>
    <w:rsid w:val="007F4845"/>
    <w:rsid w:val="007F79EB"/>
    <w:rsid w:val="0080044F"/>
    <w:rsid w:val="00801E3C"/>
    <w:rsid w:val="00802C4E"/>
    <w:rsid w:val="00807142"/>
    <w:rsid w:val="0081022A"/>
    <w:rsid w:val="00812366"/>
    <w:rsid w:val="008126AF"/>
    <w:rsid w:val="00813A78"/>
    <w:rsid w:val="00814BFF"/>
    <w:rsid w:val="008157D0"/>
    <w:rsid w:val="008166B5"/>
    <w:rsid w:val="00817837"/>
    <w:rsid w:val="00817BD8"/>
    <w:rsid w:val="0082118E"/>
    <w:rsid w:val="008264CB"/>
    <w:rsid w:val="008269C0"/>
    <w:rsid w:val="00831B05"/>
    <w:rsid w:val="00831DE0"/>
    <w:rsid w:val="00833B32"/>
    <w:rsid w:val="00833F9C"/>
    <w:rsid w:val="008350B4"/>
    <w:rsid w:val="00835365"/>
    <w:rsid w:val="008357B8"/>
    <w:rsid w:val="0084057D"/>
    <w:rsid w:val="00840BE6"/>
    <w:rsid w:val="00840EE8"/>
    <w:rsid w:val="00841991"/>
    <w:rsid w:val="00841E2A"/>
    <w:rsid w:val="00842B87"/>
    <w:rsid w:val="00842ED8"/>
    <w:rsid w:val="00843C5D"/>
    <w:rsid w:val="008461FE"/>
    <w:rsid w:val="00847BD9"/>
    <w:rsid w:val="00850D28"/>
    <w:rsid w:val="00850D2F"/>
    <w:rsid w:val="00852580"/>
    <w:rsid w:val="00853AA4"/>
    <w:rsid w:val="00854CFC"/>
    <w:rsid w:val="00856C4C"/>
    <w:rsid w:val="00856D3A"/>
    <w:rsid w:val="00861AED"/>
    <w:rsid w:val="00862917"/>
    <w:rsid w:val="00862EC4"/>
    <w:rsid w:val="00862FD2"/>
    <w:rsid w:val="00863415"/>
    <w:rsid w:val="00863419"/>
    <w:rsid w:val="008656E3"/>
    <w:rsid w:val="00865B1F"/>
    <w:rsid w:val="00867186"/>
    <w:rsid w:val="00867195"/>
    <w:rsid w:val="0087016B"/>
    <w:rsid w:val="00871CE8"/>
    <w:rsid w:val="00873213"/>
    <w:rsid w:val="00873469"/>
    <w:rsid w:val="00874E7E"/>
    <w:rsid w:val="00877DFA"/>
    <w:rsid w:val="008804E7"/>
    <w:rsid w:val="0088109F"/>
    <w:rsid w:val="00884903"/>
    <w:rsid w:val="00884E8B"/>
    <w:rsid w:val="00885594"/>
    <w:rsid w:val="0089012A"/>
    <w:rsid w:val="0089204B"/>
    <w:rsid w:val="00896F5C"/>
    <w:rsid w:val="008A0D3A"/>
    <w:rsid w:val="008A238D"/>
    <w:rsid w:val="008A2C7C"/>
    <w:rsid w:val="008A333F"/>
    <w:rsid w:val="008A4155"/>
    <w:rsid w:val="008A448E"/>
    <w:rsid w:val="008A4692"/>
    <w:rsid w:val="008B0406"/>
    <w:rsid w:val="008B0E78"/>
    <w:rsid w:val="008B40E3"/>
    <w:rsid w:val="008B636D"/>
    <w:rsid w:val="008B6F8D"/>
    <w:rsid w:val="008B738B"/>
    <w:rsid w:val="008B7598"/>
    <w:rsid w:val="008B7836"/>
    <w:rsid w:val="008C010E"/>
    <w:rsid w:val="008C1D32"/>
    <w:rsid w:val="008C2684"/>
    <w:rsid w:val="008C2DD9"/>
    <w:rsid w:val="008C3279"/>
    <w:rsid w:val="008C32F7"/>
    <w:rsid w:val="008C4559"/>
    <w:rsid w:val="008C7E81"/>
    <w:rsid w:val="008D181C"/>
    <w:rsid w:val="008D4B5C"/>
    <w:rsid w:val="008D5E93"/>
    <w:rsid w:val="008D6E40"/>
    <w:rsid w:val="008D6FC8"/>
    <w:rsid w:val="008E002E"/>
    <w:rsid w:val="008E06F8"/>
    <w:rsid w:val="008E2962"/>
    <w:rsid w:val="008E378C"/>
    <w:rsid w:val="008E6762"/>
    <w:rsid w:val="008E7813"/>
    <w:rsid w:val="008F03AD"/>
    <w:rsid w:val="008F3D69"/>
    <w:rsid w:val="008F5DDA"/>
    <w:rsid w:val="008F76FC"/>
    <w:rsid w:val="00902949"/>
    <w:rsid w:val="009040A7"/>
    <w:rsid w:val="00904170"/>
    <w:rsid w:val="009055F4"/>
    <w:rsid w:val="009057B4"/>
    <w:rsid w:val="009078A8"/>
    <w:rsid w:val="00910216"/>
    <w:rsid w:val="009109C6"/>
    <w:rsid w:val="00910BE5"/>
    <w:rsid w:val="00911757"/>
    <w:rsid w:val="00911898"/>
    <w:rsid w:val="00911A76"/>
    <w:rsid w:val="00914731"/>
    <w:rsid w:val="00914E49"/>
    <w:rsid w:val="00915207"/>
    <w:rsid w:val="0092394D"/>
    <w:rsid w:val="009245F6"/>
    <w:rsid w:val="00924B65"/>
    <w:rsid w:val="009259B1"/>
    <w:rsid w:val="00926F62"/>
    <w:rsid w:val="00927615"/>
    <w:rsid w:val="00927D82"/>
    <w:rsid w:val="00930257"/>
    <w:rsid w:val="0093261B"/>
    <w:rsid w:val="00933257"/>
    <w:rsid w:val="009353A7"/>
    <w:rsid w:val="009356DE"/>
    <w:rsid w:val="00935D7A"/>
    <w:rsid w:val="00936A95"/>
    <w:rsid w:val="009401A2"/>
    <w:rsid w:val="00940CD5"/>
    <w:rsid w:val="00943763"/>
    <w:rsid w:val="009439B6"/>
    <w:rsid w:val="00944C99"/>
    <w:rsid w:val="00947342"/>
    <w:rsid w:val="009476F6"/>
    <w:rsid w:val="009508E0"/>
    <w:rsid w:val="00950D51"/>
    <w:rsid w:val="009523B9"/>
    <w:rsid w:val="00953D72"/>
    <w:rsid w:val="00955582"/>
    <w:rsid w:val="00955F94"/>
    <w:rsid w:val="009575D3"/>
    <w:rsid w:val="00962736"/>
    <w:rsid w:val="009634CF"/>
    <w:rsid w:val="00964657"/>
    <w:rsid w:val="009674A0"/>
    <w:rsid w:val="009678DE"/>
    <w:rsid w:val="0097051C"/>
    <w:rsid w:val="0097170E"/>
    <w:rsid w:val="0097416B"/>
    <w:rsid w:val="00974A86"/>
    <w:rsid w:val="00975628"/>
    <w:rsid w:val="009759E7"/>
    <w:rsid w:val="00975CDC"/>
    <w:rsid w:val="00976B43"/>
    <w:rsid w:val="009779A1"/>
    <w:rsid w:val="00985331"/>
    <w:rsid w:val="009853F3"/>
    <w:rsid w:val="00985B8C"/>
    <w:rsid w:val="00986571"/>
    <w:rsid w:val="00986E71"/>
    <w:rsid w:val="009918B4"/>
    <w:rsid w:val="009931FA"/>
    <w:rsid w:val="00994376"/>
    <w:rsid w:val="00994D7D"/>
    <w:rsid w:val="00995410"/>
    <w:rsid w:val="009954DC"/>
    <w:rsid w:val="00995DEE"/>
    <w:rsid w:val="0099603C"/>
    <w:rsid w:val="009974FF"/>
    <w:rsid w:val="009978D6"/>
    <w:rsid w:val="009A0E80"/>
    <w:rsid w:val="009A1C89"/>
    <w:rsid w:val="009A3191"/>
    <w:rsid w:val="009A3A35"/>
    <w:rsid w:val="009A42AF"/>
    <w:rsid w:val="009A4939"/>
    <w:rsid w:val="009A56D9"/>
    <w:rsid w:val="009A784D"/>
    <w:rsid w:val="009B03DE"/>
    <w:rsid w:val="009B3776"/>
    <w:rsid w:val="009B50B3"/>
    <w:rsid w:val="009B7B3A"/>
    <w:rsid w:val="009C1637"/>
    <w:rsid w:val="009C3EC9"/>
    <w:rsid w:val="009C4EC7"/>
    <w:rsid w:val="009C61E6"/>
    <w:rsid w:val="009C6E26"/>
    <w:rsid w:val="009C6E37"/>
    <w:rsid w:val="009C7FF9"/>
    <w:rsid w:val="009D1411"/>
    <w:rsid w:val="009D3287"/>
    <w:rsid w:val="009D37C4"/>
    <w:rsid w:val="009D3D84"/>
    <w:rsid w:val="009D3EC9"/>
    <w:rsid w:val="009D4042"/>
    <w:rsid w:val="009D40A6"/>
    <w:rsid w:val="009D4949"/>
    <w:rsid w:val="009D49CC"/>
    <w:rsid w:val="009D4D24"/>
    <w:rsid w:val="009D516F"/>
    <w:rsid w:val="009D54C8"/>
    <w:rsid w:val="009D5BE1"/>
    <w:rsid w:val="009D66B6"/>
    <w:rsid w:val="009E05B0"/>
    <w:rsid w:val="009E391C"/>
    <w:rsid w:val="009E3B2C"/>
    <w:rsid w:val="009E41CB"/>
    <w:rsid w:val="009E4A09"/>
    <w:rsid w:val="009E54B7"/>
    <w:rsid w:val="009E61CA"/>
    <w:rsid w:val="009E7187"/>
    <w:rsid w:val="009F01E6"/>
    <w:rsid w:val="009F19BC"/>
    <w:rsid w:val="009F19CA"/>
    <w:rsid w:val="009F2111"/>
    <w:rsid w:val="009F2A69"/>
    <w:rsid w:val="009F3398"/>
    <w:rsid w:val="00A005A1"/>
    <w:rsid w:val="00A00BB3"/>
    <w:rsid w:val="00A023EA"/>
    <w:rsid w:val="00A06126"/>
    <w:rsid w:val="00A07E5A"/>
    <w:rsid w:val="00A10418"/>
    <w:rsid w:val="00A1137E"/>
    <w:rsid w:val="00A12AB8"/>
    <w:rsid w:val="00A12B4C"/>
    <w:rsid w:val="00A14F8A"/>
    <w:rsid w:val="00A17EDC"/>
    <w:rsid w:val="00A21A5F"/>
    <w:rsid w:val="00A249CF"/>
    <w:rsid w:val="00A24A5B"/>
    <w:rsid w:val="00A24C6E"/>
    <w:rsid w:val="00A25F8D"/>
    <w:rsid w:val="00A31A49"/>
    <w:rsid w:val="00A31AA0"/>
    <w:rsid w:val="00A31F37"/>
    <w:rsid w:val="00A32871"/>
    <w:rsid w:val="00A328BB"/>
    <w:rsid w:val="00A345DC"/>
    <w:rsid w:val="00A34945"/>
    <w:rsid w:val="00A354D2"/>
    <w:rsid w:val="00A3556B"/>
    <w:rsid w:val="00A35F13"/>
    <w:rsid w:val="00A4099B"/>
    <w:rsid w:val="00A41FAB"/>
    <w:rsid w:val="00A427FA"/>
    <w:rsid w:val="00A469ED"/>
    <w:rsid w:val="00A50F0A"/>
    <w:rsid w:val="00A514B5"/>
    <w:rsid w:val="00A54F08"/>
    <w:rsid w:val="00A55FC6"/>
    <w:rsid w:val="00A577DC"/>
    <w:rsid w:val="00A60277"/>
    <w:rsid w:val="00A60AFE"/>
    <w:rsid w:val="00A615CB"/>
    <w:rsid w:val="00A61AD8"/>
    <w:rsid w:val="00A61FD3"/>
    <w:rsid w:val="00A62DFF"/>
    <w:rsid w:val="00A62E9B"/>
    <w:rsid w:val="00A6541F"/>
    <w:rsid w:val="00A66EFF"/>
    <w:rsid w:val="00A702D0"/>
    <w:rsid w:val="00A71124"/>
    <w:rsid w:val="00A71385"/>
    <w:rsid w:val="00A71C0D"/>
    <w:rsid w:val="00A761B8"/>
    <w:rsid w:val="00A767D4"/>
    <w:rsid w:val="00A80DF9"/>
    <w:rsid w:val="00A833B5"/>
    <w:rsid w:val="00A843E9"/>
    <w:rsid w:val="00A86364"/>
    <w:rsid w:val="00A864F4"/>
    <w:rsid w:val="00A86703"/>
    <w:rsid w:val="00A87224"/>
    <w:rsid w:val="00A90942"/>
    <w:rsid w:val="00A91F56"/>
    <w:rsid w:val="00A92366"/>
    <w:rsid w:val="00A92375"/>
    <w:rsid w:val="00A93540"/>
    <w:rsid w:val="00A9375A"/>
    <w:rsid w:val="00A9576D"/>
    <w:rsid w:val="00A96529"/>
    <w:rsid w:val="00AA24D9"/>
    <w:rsid w:val="00AA60AE"/>
    <w:rsid w:val="00AA6FED"/>
    <w:rsid w:val="00AB0258"/>
    <w:rsid w:val="00AB04BA"/>
    <w:rsid w:val="00AB3CF3"/>
    <w:rsid w:val="00AB54D9"/>
    <w:rsid w:val="00AB7E8C"/>
    <w:rsid w:val="00AC07A8"/>
    <w:rsid w:val="00AC0F50"/>
    <w:rsid w:val="00AC1A1E"/>
    <w:rsid w:val="00AC25D0"/>
    <w:rsid w:val="00AC303C"/>
    <w:rsid w:val="00AC3F99"/>
    <w:rsid w:val="00AC623A"/>
    <w:rsid w:val="00AC6924"/>
    <w:rsid w:val="00AC706E"/>
    <w:rsid w:val="00AC767E"/>
    <w:rsid w:val="00AC7A32"/>
    <w:rsid w:val="00AD283A"/>
    <w:rsid w:val="00AD358E"/>
    <w:rsid w:val="00AD3908"/>
    <w:rsid w:val="00AD3A95"/>
    <w:rsid w:val="00AD42E9"/>
    <w:rsid w:val="00AD4358"/>
    <w:rsid w:val="00AD4D9B"/>
    <w:rsid w:val="00AD5D71"/>
    <w:rsid w:val="00AD6518"/>
    <w:rsid w:val="00AD76A1"/>
    <w:rsid w:val="00AE25DC"/>
    <w:rsid w:val="00AE38B5"/>
    <w:rsid w:val="00AE39F3"/>
    <w:rsid w:val="00AE4A82"/>
    <w:rsid w:val="00AE63A9"/>
    <w:rsid w:val="00AE772C"/>
    <w:rsid w:val="00AF00AC"/>
    <w:rsid w:val="00AF19BC"/>
    <w:rsid w:val="00AF1DD6"/>
    <w:rsid w:val="00AF20A2"/>
    <w:rsid w:val="00AF3994"/>
    <w:rsid w:val="00AF3FF1"/>
    <w:rsid w:val="00AF4D6D"/>
    <w:rsid w:val="00AF64AC"/>
    <w:rsid w:val="00AF7AD4"/>
    <w:rsid w:val="00B00605"/>
    <w:rsid w:val="00B0065C"/>
    <w:rsid w:val="00B00C41"/>
    <w:rsid w:val="00B044CA"/>
    <w:rsid w:val="00B05B98"/>
    <w:rsid w:val="00B077D7"/>
    <w:rsid w:val="00B107F4"/>
    <w:rsid w:val="00B12675"/>
    <w:rsid w:val="00B12805"/>
    <w:rsid w:val="00B1296F"/>
    <w:rsid w:val="00B138E3"/>
    <w:rsid w:val="00B14FF6"/>
    <w:rsid w:val="00B15683"/>
    <w:rsid w:val="00B20924"/>
    <w:rsid w:val="00B20CF5"/>
    <w:rsid w:val="00B210B2"/>
    <w:rsid w:val="00B21861"/>
    <w:rsid w:val="00B21B5A"/>
    <w:rsid w:val="00B22B2E"/>
    <w:rsid w:val="00B22E5A"/>
    <w:rsid w:val="00B24685"/>
    <w:rsid w:val="00B24B4B"/>
    <w:rsid w:val="00B269FE"/>
    <w:rsid w:val="00B3124B"/>
    <w:rsid w:val="00B32A1B"/>
    <w:rsid w:val="00B343E4"/>
    <w:rsid w:val="00B34A44"/>
    <w:rsid w:val="00B34A70"/>
    <w:rsid w:val="00B35297"/>
    <w:rsid w:val="00B36A62"/>
    <w:rsid w:val="00B4161E"/>
    <w:rsid w:val="00B442F0"/>
    <w:rsid w:val="00B46038"/>
    <w:rsid w:val="00B462E5"/>
    <w:rsid w:val="00B47931"/>
    <w:rsid w:val="00B512EF"/>
    <w:rsid w:val="00B5380B"/>
    <w:rsid w:val="00B5392C"/>
    <w:rsid w:val="00B53DBF"/>
    <w:rsid w:val="00B54457"/>
    <w:rsid w:val="00B55319"/>
    <w:rsid w:val="00B559D1"/>
    <w:rsid w:val="00B579A7"/>
    <w:rsid w:val="00B60278"/>
    <w:rsid w:val="00B614BF"/>
    <w:rsid w:val="00B62E0D"/>
    <w:rsid w:val="00B64E87"/>
    <w:rsid w:val="00B64EA1"/>
    <w:rsid w:val="00B64ED8"/>
    <w:rsid w:val="00B65162"/>
    <w:rsid w:val="00B6597A"/>
    <w:rsid w:val="00B70751"/>
    <w:rsid w:val="00B71E6C"/>
    <w:rsid w:val="00B7227D"/>
    <w:rsid w:val="00B733C2"/>
    <w:rsid w:val="00B762D6"/>
    <w:rsid w:val="00B812B4"/>
    <w:rsid w:val="00B82636"/>
    <w:rsid w:val="00B8387F"/>
    <w:rsid w:val="00B84B4C"/>
    <w:rsid w:val="00B858D5"/>
    <w:rsid w:val="00B9098C"/>
    <w:rsid w:val="00B913EB"/>
    <w:rsid w:val="00B91601"/>
    <w:rsid w:val="00B92283"/>
    <w:rsid w:val="00B92F4E"/>
    <w:rsid w:val="00B93C09"/>
    <w:rsid w:val="00B94D16"/>
    <w:rsid w:val="00B95C70"/>
    <w:rsid w:val="00BA0991"/>
    <w:rsid w:val="00BA1D1B"/>
    <w:rsid w:val="00BA3C6F"/>
    <w:rsid w:val="00BA594D"/>
    <w:rsid w:val="00BA5AF8"/>
    <w:rsid w:val="00BB05A3"/>
    <w:rsid w:val="00BB1A1D"/>
    <w:rsid w:val="00BB1C6A"/>
    <w:rsid w:val="00BB2362"/>
    <w:rsid w:val="00BB3881"/>
    <w:rsid w:val="00BB3D1F"/>
    <w:rsid w:val="00BB4C31"/>
    <w:rsid w:val="00BB558C"/>
    <w:rsid w:val="00BB7DB0"/>
    <w:rsid w:val="00BB7F2F"/>
    <w:rsid w:val="00BC0852"/>
    <w:rsid w:val="00BC0E1E"/>
    <w:rsid w:val="00BC160E"/>
    <w:rsid w:val="00BC2155"/>
    <w:rsid w:val="00BC2670"/>
    <w:rsid w:val="00BC29DF"/>
    <w:rsid w:val="00BC37C8"/>
    <w:rsid w:val="00BC39F8"/>
    <w:rsid w:val="00BC54C8"/>
    <w:rsid w:val="00BC764E"/>
    <w:rsid w:val="00BD1A70"/>
    <w:rsid w:val="00BD2B3C"/>
    <w:rsid w:val="00BD45EF"/>
    <w:rsid w:val="00BD466B"/>
    <w:rsid w:val="00BD4A54"/>
    <w:rsid w:val="00BD5822"/>
    <w:rsid w:val="00BD6DE4"/>
    <w:rsid w:val="00BE08EB"/>
    <w:rsid w:val="00BE1E35"/>
    <w:rsid w:val="00BE2AAB"/>
    <w:rsid w:val="00BE405D"/>
    <w:rsid w:val="00BE4228"/>
    <w:rsid w:val="00BE45D5"/>
    <w:rsid w:val="00BE5910"/>
    <w:rsid w:val="00BF23B3"/>
    <w:rsid w:val="00BF25A2"/>
    <w:rsid w:val="00BF2FD3"/>
    <w:rsid w:val="00BF3D72"/>
    <w:rsid w:val="00BF4406"/>
    <w:rsid w:val="00BF7A8A"/>
    <w:rsid w:val="00C02E3A"/>
    <w:rsid w:val="00C03885"/>
    <w:rsid w:val="00C0465A"/>
    <w:rsid w:val="00C063BC"/>
    <w:rsid w:val="00C0711F"/>
    <w:rsid w:val="00C10768"/>
    <w:rsid w:val="00C13572"/>
    <w:rsid w:val="00C1359C"/>
    <w:rsid w:val="00C14399"/>
    <w:rsid w:val="00C16924"/>
    <w:rsid w:val="00C24564"/>
    <w:rsid w:val="00C2477D"/>
    <w:rsid w:val="00C25254"/>
    <w:rsid w:val="00C27D7A"/>
    <w:rsid w:val="00C3003C"/>
    <w:rsid w:val="00C3148C"/>
    <w:rsid w:val="00C324B2"/>
    <w:rsid w:val="00C34C78"/>
    <w:rsid w:val="00C34E78"/>
    <w:rsid w:val="00C354E2"/>
    <w:rsid w:val="00C4031D"/>
    <w:rsid w:val="00C4107A"/>
    <w:rsid w:val="00C41CA7"/>
    <w:rsid w:val="00C422F7"/>
    <w:rsid w:val="00C47B8B"/>
    <w:rsid w:val="00C50FD5"/>
    <w:rsid w:val="00C51195"/>
    <w:rsid w:val="00C51A6D"/>
    <w:rsid w:val="00C51B03"/>
    <w:rsid w:val="00C51C1D"/>
    <w:rsid w:val="00C52AFD"/>
    <w:rsid w:val="00C52C64"/>
    <w:rsid w:val="00C53254"/>
    <w:rsid w:val="00C55032"/>
    <w:rsid w:val="00C55575"/>
    <w:rsid w:val="00C56755"/>
    <w:rsid w:val="00C579A3"/>
    <w:rsid w:val="00C60170"/>
    <w:rsid w:val="00C6097F"/>
    <w:rsid w:val="00C6377B"/>
    <w:rsid w:val="00C640E8"/>
    <w:rsid w:val="00C6423F"/>
    <w:rsid w:val="00C65944"/>
    <w:rsid w:val="00C67044"/>
    <w:rsid w:val="00C67667"/>
    <w:rsid w:val="00C70A48"/>
    <w:rsid w:val="00C71AFB"/>
    <w:rsid w:val="00C7255E"/>
    <w:rsid w:val="00C74622"/>
    <w:rsid w:val="00C80309"/>
    <w:rsid w:val="00C80B80"/>
    <w:rsid w:val="00C81B25"/>
    <w:rsid w:val="00C83E00"/>
    <w:rsid w:val="00C842DA"/>
    <w:rsid w:val="00C8482D"/>
    <w:rsid w:val="00C84F3B"/>
    <w:rsid w:val="00C85775"/>
    <w:rsid w:val="00C863A3"/>
    <w:rsid w:val="00C86A72"/>
    <w:rsid w:val="00C926FF"/>
    <w:rsid w:val="00C93574"/>
    <w:rsid w:val="00C93821"/>
    <w:rsid w:val="00C93EFF"/>
    <w:rsid w:val="00C95505"/>
    <w:rsid w:val="00C95A53"/>
    <w:rsid w:val="00C96B5A"/>
    <w:rsid w:val="00C96BDA"/>
    <w:rsid w:val="00CA101A"/>
    <w:rsid w:val="00CA3605"/>
    <w:rsid w:val="00CA3C9E"/>
    <w:rsid w:val="00CA4420"/>
    <w:rsid w:val="00CB1EC7"/>
    <w:rsid w:val="00CB4A53"/>
    <w:rsid w:val="00CB4A89"/>
    <w:rsid w:val="00CB4C24"/>
    <w:rsid w:val="00CB4CBA"/>
    <w:rsid w:val="00CB58F6"/>
    <w:rsid w:val="00CB76BA"/>
    <w:rsid w:val="00CC0CF0"/>
    <w:rsid w:val="00CC1AC5"/>
    <w:rsid w:val="00CC1B58"/>
    <w:rsid w:val="00CC29D1"/>
    <w:rsid w:val="00CC4428"/>
    <w:rsid w:val="00CC4B4D"/>
    <w:rsid w:val="00CC4DD4"/>
    <w:rsid w:val="00CC5E1A"/>
    <w:rsid w:val="00CD00AF"/>
    <w:rsid w:val="00CD0B50"/>
    <w:rsid w:val="00CD13E7"/>
    <w:rsid w:val="00CD1E2C"/>
    <w:rsid w:val="00CD3409"/>
    <w:rsid w:val="00CD36C8"/>
    <w:rsid w:val="00CD5847"/>
    <w:rsid w:val="00CD6786"/>
    <w:rsid w:val="00CE0CA1"/>
    <w:rsid w:val="00CE37C6"/>
    <w:rsid w:val="00CE39DA"/>
    <w:rsid w:val="00CE447E"/>
    <w:rsid w:val="00CE55AB"/>
    <w:rsid w:val="00CE5CA7"/>
    <w:rsid w:val="00CF041F"/>
    <w:rsid w:val="00CF0753"/>
    <w:rsid w:val="00CF0771"/>
    <w:rsid w:val="00CF0F59"/>
    <w:rsid w:val="00CF4AFF"/>
    <w:rsid w:val="00CF5F17"/>
    <w:rsid w:val="00CF7991"/>
    <w:rsid w:val="00D00222"/>
    <w:rsid w:val="00D008BB"/>
    <w:rsid w:val="00D02F68"/>
    <w:rsid w:val="00D03803"/>
    <w:rsid w:val="00D03B5B"/>
    <w:rsid w:val="00D04662"/>
    <w:rsid w:val="00D04DA5"/>
    <w:rsid w:val="00D05D94"/>
    <w:rsid w:val="00D067FC"/>
    <w:rsid w:val="00D07422"/>
    <w:rsid w:val="00D074A7"/>
    <w:rsid w:val="00D0782F"/>
    <w:rsid w:val="00D13F5F"/>
    <w:rsid w:val="00D14221"/>
    <w:rsid w:val="00D14AB6"/>
    <w:rsid w:val="00D15300"/>
    <w:rsid w:val="00D15DA0"/>
    <w:rsid w:val="00D1649D"/>
    <w:rsid w:val="00D1710B"/>
    <w:rsid w:val="00D2154B"/>
    <w:rsid w:val="00D215F4"/>
    <w:rsid w:val="00D220FB"/>
    <w:rsid w:val="00D226B7"/>
    <w:rsid w:val="00D231A6"/>
    <w:rsid w:val="00D23D9E"/>
    <w:rsid w:val="00D2476E"/>
    <w:rsid w:val="00D25A6A"/>
    <w:rsid w:val="00D27AE1"/>
    <w:rsid w:val="00D346EB"/>
    <w:rsid w:val="00D351B6"/>
    <w:rsid w:val="00D36064"/>
    <w:rsid w:val="00D36C15"/>
    <w:rsid w:val="00D36D88"/>
    <w:rsid w:val="00D37936"/>
    <w:rsid w:val="00D415FF"/>
    <w:rsid w:val="00D42807"/>
    <w:rsid w:val="00D4444D"/>
    <w:rsid w:val="00D44843"/>
    <w:rsid w:val="00D45332"/>
    <w:rsid w:val="00D477C9"/>
    <w:rsid w:val="00D47934"/>
    <w:rsid w:val="00D50BEB"/>
    <w:rsid w:val="00D5418F"/>
    <w:rsid w:val="00D54EE5"/>
    <w:rsid w:val="00D5662D"/>
    <w:rsid w:val="00D57C9E"/>
    <w:rsid w:val="00D605C6"/>
    <w:rsid w:val="00D60866"/>
    <w:rsid w:val="00D60C8C"/>
    <w:rsid w:val="00D61BC4"/>
    <w:rsid w:val="00D62AAE"/>
    <w:rsid w:val="00D630BE"/>
    <w:rsid w:val="00D64592"/>
    <w:rsid w:val="00D65691"/>
    <w:rsid w:val="00D6766A"/>
    <w:rsid w:val="00D71A06"/>
    <w:rsid w:val="00D72C7F"/>
    <w:rsid w:val="00D751C5"/>
    <w:rsid w:val="00D76AE9"/>
    <w:rsid w:val="00D77537"/>
    <w:rsid w:val="00D804EA"/>
    <w:rsid w:val="00D81A39"/>
    <w:rsid w:val="00D82FA7"/>
    <w:rsid w:val="00D83285"/>
    <w:rsid w:val="00D838C3"/>
    <w:rsid w:val="00D839DF"/>
    <w:rsid w:val="00D83ECA"/>
    <w:rsid w:val="00D84303"/>
    <w:rsid w:val="00D858B4"/>
    <w:rsid w:val="00D85A62"/>
    <w:rsid w:val="00D85CD0"/>
    <w:rsid w:val="00D86019"/>
    <w:rsid w:val="00D8649E"/>
    <w:rsid w:val="00D8726D"/>
    <w:rsid w:val="00D8745A"/>
    <w:rsid w:val="00D87F09"/>
    <w:rsid w:val="00D94366"/>
    <w:rsid w:val="00D961BE"/>
    <w:rsid w:val="00D966A9"/>
    <w:rsid w:val="00D97432"/>
    <w:rsid w:val="00DA23C9"/>
    <w:rsid w:val="00DA26EB"/>
    <w:rsid w:val="00DA3727"/>
    <w:rsid w:val="00DA5683"/>
    <w:rsid w:val="00DA5DE4"/>
    <w:rsid w:val="00DA633A"/>
    <w:rsid w:val="00DA659A"/>
    <w:rsid w:val="00DA67A9"/>
    <w:rsid w:val="00DA7CFA"/>
    <w:rsid w:val="00DB063E"/>
    <w:rsid w:val="00DB07BB"/>
    <w:rsid w:val="00DB0D7A"/>
    <w:rsid w:val="00DB1441"/>
    <w:rsid w:val="00DB2329"/>
    <w:rsid w:val="00DB2378"/>
    <w:rsid w:val="00DB45BE"/>
    <w:rsid w:val="00DB622D"/>
    <w:rsid w:val="00DB6261"/>
    <w:rsid w:val="00DB6410"/>
    <w:rsid w:val="00DB7CAC"/>
    <w:rsid w:val="00DC00B7"/>
    <w:rsid w:val="00DC0518"/>
    <w:rsid w:val="00DC1439"/>
    <w:rsid w:val="00DC2885"/>
    <w:rsid w:val="00DC497F"/>
    <w:rsid w:val="00DC6B65"/>
    <w:rsid w:val="00DC7FFB"/>
    <w:rsid w:val="00DD046C"/>
    <w:rsid w:val="00DD20BF"/>
    <w:rsid w:val="00DD2880"/>
    <w:rsid w:val="00DD336F"/>
    <w:rsid w:val="00DD4338"/>
    <w:rsid w:val="00DD6C2D"/>
    <w:rsid w:val="00DD6F92"/>
    <w:rsid w:val="00DD74A0"/>
    <w:rsid w:val="00DD74D9"/>
    <w:rsid w:val="00DD7588"/>
    <w:rsid w:val="00DE044A"/>
    <w:rsid w:val="00DE0F58"/>
    <w:rsid w:val="00DE15C3"/>
    <w:rsid w:val="00DE1E61"/>
    <w:rsid w:val="00DE1FEE"/>
    <w:rsid w:val="00DE2871"/>
    <w:rsid w:val="00DE4D85"/>
    <w:rsid w:val="00DE5406"/>
    <w:rsid w:val="00DE5F36"/>
    <w:rsid w:val="00DE6FDF"/>
    <w:rsid w:val="00DE7744"/>
    <w:rsid w:val="00DE794B"/>
    <w:rsid w:val="00DF1098"/>
    <w:rsid w:val="00DF3990"/>
    <w:rsid w:val="00DF3C0E"/>
    <w:rsid w:val="00DF5354"/>
    <w:rsid w:val="00DF57FD"/>
    <w:rsid w:val="00DF5B85"/>
    <w:rsid w:val="00DF5F96"/>
    <w:rsid w:val="00DF6C7B"/>
    <w:rsid w:val="00DF74DA"/>
    <w:rsid w:val="00DF7565"/>
    <w:rsid w:val="00DF7BDA"/>
    <w:rsid w:val="00DF7CDE"/>
    <w:rsid w:val="00E00961"/>
    <w:rsid w:val="00E010E5"/>
    <w:rsid w:val="00E047BB"/>
    <w:rsid w:val="00E04C62"/>
    <w:rsid w:val="00E053F8"/>
    <w:rsid w:val="00E070A0"/>
    <w:rsid w:val="00E10D4A"/>
    <w:rsid w:val="00E1131A"/>
    <w:rsid w:val="00E1175B"/>
    <w:rsid w:val="00E1275F"/>
    <w:rsid w:val="00E129F4"/>
    <w:rsid w:val="00E12AD2"/>
    <w:rsid w:val="00E144B5"/>
    <w:rsid w:val="00E1466E"/>
    <w:rsid w:val="00E1491B"/>
    <w:rsid w:val="00E1645B"/>
    <w:rsid w:val="00E174BD"/>
    <w:rsid w:val="00E2006B"/>
    <w:rsid w:val="00E21112"/>
    <w:rsid w:val="00E21473"/>
    <w:rsid w:val="00E2224A"/>
    <w:rsid w:val="00E2232A"/>
    <w:rsid w:val="00E24767"/>
    <w:rsid w:val="00E2720B"/>
    <w:rsid w:val="00E27351"/>
    <w:rsid w:val="00E3018C"/>
    <w:rsid w:val="00E358A8"/>
    <w:rsid w:val="00E35D15"/>
    <w:rsid w:val="00E37C20"/>
    <w:rsid w:val="00E404D5"/>
    <w:rsid w:val="00E41C2F"/>
    <w:rsid w:val="00E422F2"/>
    <w:rsid w:val="00E44CC2"/>
    <w:rsid w:val="00E47CBF"/>
    <w:rsid w:val="00E50699"/>
    <w:rsid w:val="00E51056"/>
    <w:rsid w:val="00E51701"/>
    <w:rsid w:val="00E5240A"/>
    <w:rsid w:val="00E526DD"/>
    <w:rsid w:val="00E54F9A"/>
    <w:rsid w:val="00E5517F"/>
    <w:rsid w:val="00E5524F"/>
    <w:rsid w:val="00E55914"/>
    <w:rsid w:val="00E6074E"/>
    <w:rsid w:val="00E613BE"/>
    <w:rsid w:val="00E64D5A"/>
    <w:rsid w:val="00E65CC9"/>
    <w:rsid w:val="00E66D36"/>
    <w:rsid w:val="00E66DC8"/>
    <w:rsid w:val="00E71A4B"/>
    <w:rsid w:val="00E7384D"/>
    <w:rsid w:val="00E741A1"/>
    <w:rsid w:val="00E75137"/>
    <w:rsid w:val="00E762E7"/>
    <w:rsid w:val="00E77EDE"/>
    <w:rsid w:val="00E8153A"/>
    <w:rsid w:val="00E83D12"/>
    <w:rsid w:val="00E84A6E"/>
    <w:rsid w:val="00E84C63"/>
    <w:rsid w:val="00E85273"/>
    <w:rsid w:val="00E855C2"/>
    <w:rsid w:val="00E864FC"/>
    <w:rsid w:val="00E90F56"/>
    <w:rsid w:val="00E92BA6"/>
    <w:rsid w:val="00E93AE8"/>
    <w:rsid w:val="00EA1C8C"/>
    <w:rsid w:val="00EA1E94"/>
    <w:rsid w:val="00EA2C1A"/>
    <w:rsid w:val="00EA57CA"/>
    <w:rsid w:val="00EA5892"/>
    <w:rsid w:val="00EA60B0"/>
    <w:rsid w:val="00EA6485"/>
    <w:rsid w:val="00EB1F87"/>
    <w:rsid w:val="00EB5BDE"/>
    <w:rsid w:val="00EB6035"/>
    <w:rsid w:val="00EB6767"/>
    <w:rsid w:val="00EB78BA"/>
    <w:rsid w:val="00EC08FF"/>
    <w:rsid w:val="00EC0F39"/>
    <w:rsid w:val="00EC111B"/>
    <w:rsid w:val="00EC245D"/>
    <w:rsid w:val="00EC24CF"/>
    <w:rsid w:val="00EC534C"/>
    <w:rsid w:val="00EC7666"/>
    <w:rsid w:val="00ED0902"/>
    <w:rsid w:val="00ED2A03"/>
    <w:rsid w:val="00ED40B0"/>
    <w:rsid w:val="00ED43C5"/>
    <w:rsid w:val="00ED4416"/>
    <w:rsid w:val="00ED4801"/>
    <w:rsid w:val="00ED58C2"/>
    <w:rsid w:val="00ED73BD"/>
    <w:rsid w:val="00EE2196"/>
    <w:rsid w:val="00EE2355"/>
    <w:rsid w:val="00EE2B31"/>
    <w:rsid w:val="00EE2D3F"/>
    <w:rsid w:val="00EE59E2"/>
    <w:rsid w:val="00EE7843"/>
    <w:rsid w:val="00EF1FBC"/>
    <w:rsid w:val="00EF21EE"/>
    <w:rsid w:val="00EF405D"/>
    <w:rsid w:val="00EF55A8"/>
    <w:rsid w:val="00EF71D6"/>
    <w:rsid w:val="00EF76D8"/>
    <w:rsid w:val="00F0065B"/>
    <w:rsid w:val="00F0212A"/>
    <w:rsid w:val="00F046C3"/>
    <w:rsid w:val="00F059AF"/>
    <w:rsid w:val="00F07F72"/>
    <w:rsid w:val="00F1061E"/>
    <w:rsid w:val="00F106FB"/>
    <w:rsid w:val="00F11030"/>
    <w:rsid w:val="00F11966"/>
    <w:rsid w:val="00F11A52"/>
    <w:rsid w:val="00F13475"/>
    <w:rsid w:val="00F14245"/>
    <w:rsid w:val="00F14BF1"/>
    <w:rsid w:val="00F14E27"/>
    <w:rsid w:val="00F154F3"/>
    <w:rsid w:val="00F16D12"/>
    <w:rsid w:val="00F16F20"/>
    <w:rsid w:val="00F2363D"/>
    <w:rsid w:val="00F23ACE"/>
    <w:rsid w:val="00F242CE"/>
    <w:rsid w:val="00F24718"/>
    <w:rsid w:val="00F24B8B"/>
    <w:rsid w:val="00F24CF0"/>
    <w:rsid w:val="00F24E64"/>
    <w:rsid w:val="00F25BA6"/>
    <w:rsid w:val="00F25D64"/>
    <w:rsid w:val="00F3060B"/>
    <w:rsid w:val="00F31C7D"/>
    <w:rsid w:val="00F36A2C"/>
    <w:rsid w:val="00F41D29"/>
    <w:rsid w:val="00F43F67"/>
    <w:rsid w:val="00F47D1A"/>
    <w:rsid w:val="00F51219"/>
    <w:rsid w:val="00F546FC"/>
    <w:rsid w:val="00F57F79"/>
    <w:rsid w:val="00F60049"/>
    <w:rsid w:val="00F6084B"/>
    <w:rsid w:val="00F62138"/>
    <w:rsid w:val="00F62482"/>
    <w:rsid w:val="00F627CD"/>
    <w:rsid w:val="00F63BC1"/>
    <w:rsid w:val="00F65B4D"/>
    <w:rsid w:val="00F66B31"/>
    <w:rsid w:val="00F7222D"/>
    <w:rsid w:val="00F72BEA"/>
    <w:rsid w:val="00F7429C"/>
    <w:rsid w:val="00F74444"/>
    <w:rsid w:val="00F74657"/>
    <w:rsid w:val="00F74A04"/>
    <w:rsid w:val="00F75E6F"/>
    <w:rsid w:val="00F7700B"/>
    <w:rsid w:val="00F773C5"/>
    <w:rsid w:val="00F77781"/>
    <w:rsid w:val="00F8035D"/>
    <w:rsid w:val="00F80883"/>
    <w:rsid w:val="00F80AFB"/>
    <w:rsid w:val="00F8108A"/>
    <w:rsid w:val="00F81A58"/>
    <w:rsid w:val="00F81F75"/>
    <w:rsid w:val="00F841EA"/>
    <w:rsid w:val="00F8593C"/>
    <w:rsid w:val="00F859B3"/>
    <w:rsid w:val="00F85BA8"/>
    <w:rsid w:val="00F864E2"/>
    <w:rsid w:val="00F8703B"/>
    <w:rsid w:val="00F8740E"/>
    <w:rsid w:val="00F8753A"/>
    <w:rsid w:val="00F9031A"/>
    <w:rsid w:val="00F910FC"/>
    <w:rsid w:val="00F914AE"/>
    <w:rsid w:val="00F91779"/>
    <w:rsid w:val="00F925EF"/>
    <w:rsid w:val="00F94BBA"/>
    <w:rsid w:val="00F950EF"/>
    <w:rsid w:val="00F95693"/>
    <w:rsid w:val="00F96658"/>
    <w:rsid w:val="00FA03D1"/>
    <w:rsid w:val="00FA0C03"/>
    <w:rsid w:val="00FA1D2F"/>
    <w:rsid w:val="00FA206F"/>
    <w:rsid w:val="00FA2235"/>
    <w:rsid w:val="00FA2685"/>
    <w:rsid w:val="00FA2DC1"/>
    <w:rsid w:val="00FA56B6"/>
    <w:rsid w:val="00FA6047"/>
    <w:rsid w:val="00FA79B9"/>
    <w:rsid w:val="00FB1219"/>
    <w:rsid w:val="00FB1ADD"/>
    <w:rsid w:val="00FB25E5"/>
    <w:rsid w:val="00FB2AA1"/>
    <w:rsid w:val="00FB30C5"/>
    <w:rsid w:val="00FB4233"/>
    <w:rsid w:val="00FB475B"/>
    <w:rsid w:val="00FB4DF7"/>
    <w:rsid w:val="00FB55C7"/>
    <w:rsid w:val="00FB6112"/>
    <w:rsid w:val="00FB7B46"/>
    <w:rsid w:val="00FC4D96"/>
    <w:rsid w:val="00FC6EE3"/>
    <w:rsid w:val="00FC7649"/>
    <w:rsid w:val="00FD2D00"/>
    <w:rsid w:val="00FD5428"/>
    <w:rsid w:val="00FD55F7"/>
    <w:rsid w:val="00FD6141"/>
    <w:rsid w:val="00FE2169"/>
    <w:rsid w:val="00FE42F7"/>
    <w:rsid w:val="00FE52F3"/>
    <w:rsid w:val="00FE695F"/>
    <w:rsid w:val="00FE6F4C"/>
    <w:rsid w:val="00FE7827"/>
    <w:rsid w:val="00FF04B5"/>
    <w:rsid w:val="00FF114E"/>
    <w:rsid w:val="00FF673C"/>
    <w:rsid w:val="00FF77DD"/>
    <w:rsid w:val="00FF7E29"/>
    <w:rsid w:val="00FF7E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5D6C"/>
    <w:pPr>
      <w:spacing w:after="240" w:line="300" w:lineRule="auto"/>
    </w:pPr>
    <w:rPr>
      <w:kern w:val="24"/>
      <w:sz w:val="24"/>
      <w:szCs w:val="24"/>
      <w:lang w:val="en-US" w:eastAsia="en-US"/>
    </w:rPr>
  </w:style>
  <w:style w:type="paragraph" w:styleId="Heading1">
    <w:name w:val="heading 1"/>
    <w:basedOn w:val="DocumentText"/>
    <w:next w:val="DocumentText"/>
    <w:qFormat/>
    <w:rsid w:val="00665D6C"/>
    <w:pPr>
      <w:keepNext/>
      <w:keepLines/>
      <w:numPr>
        <w:numId w:val="3"/>
      </w:numPr>
      <w:tabs>
        <w:tab w:val="clear" w:pos="432"/>
        <w:tab w:val="left" w:pos="1152"/>
      </w:tabs>
      <w:spacing w:before="120" w:after="120"/>
      <w:ind w:left="1152" w:hanging="1152"/>
      <w:outlineLvl w:val="0"/>
    </w:pPr>
    <w:rPr>
      <w:b/>
      <w:kern w:val="28"/>
      <w:sz w:val="28"/>
      <w:szCs w:val="28"/>
    </w:rPr>
  </w:style>
  <w:style w:type="paragraph" w:styleId="Heading2">
    <w:name w:val="heading 2"/>
    <w:basedOn w:val="Heading1"/>
    <w:next w:val="DocumentText"/>
    <w:qFormat/>
    <w:rsid w:val="00665D6C"/>
    <w:pPr>
      <w:numPr>
        <w:ilvl w:val="1"/>
      </w:numPr>
      <w:tabs>
        <w:tab w:val="clear" w:pos="576"/>
        <w:tab w:val="clear" w:pos="1152"/>
        <w:tab w:val="left" w:pos="1404"/>
      </w:tabs>
      <w:ind w:left="1404" w:hanging="1404"/>
      <w:outlineLvl w:val="1"/>
    </w:pPr>
  </w:style>
  <w:style w:type="paragraph" w:styleId="Heading3">
    <w:name w:val="heading 3"/>
    <w:basedOn w:val="Heading1"/>
    <w:next w:val="DocumentText"/>
    <w:qFormat/>
    <w:rsid w:val="00665D6C"/>
    <w:pPr>
      <w:numPr>
        <w:ilvl w:val="2"/>
      </w:numPr>
      <w:tabs>
        <w:tab w:val="clear" w:pos="1152"/>
        <w:tab w:val="left" w:pos="1642"/>
      </w:tabs>
      <w:outlineLvl w:val="2"/>
    </w:pPr>
  </w:style>
  <w:style w:type="paragraph" w:styleId="Heading4">
    <w:name w:val="heading 4"/>
    <w:basedOn w:val="Heading1"/>
    <w:next w:val="DocumentText"/>
    <w:qFormat/>
    <w:rsid w:val="00665D6C"/>
    <w:pPr>
      <w:numPr>
        <w:ilvl w:val="3"/>
      </w:numPr>
      <w:tabs>
        <w:tab w:val="clear" w:pos="1152"/>
        <w:tab w:val="left" w:pos="1865"/>
      </w:tabs>
      <w:outlineLvl w:val="3"/>
    </w:pPr>
  </w:style>
  <w:style w:type="paragraph" w:styleId="Heading5">
    <w:name w:val="heading 5"/>
    <w:basedOn w:val="Heading1"/>
    <w:next w:val="DocumentText"/>
    <w:qFormat/>
    <w:rsid w:val="00665D6C"/>
    <w:pPr>
      <w:numPr>
        <w:ilvl w:val="4"/>
      </w:numPr>
      <w:tabs>
        <w:tab w:val="clear" w:pos="1008"/>
        <w:tab w:val="clear" w:pos="1152"/>
        <w:tab w:val="left" w:pos="2074"/>
      </w:tabs>
      <w:ind w:left="2074" w:hanging="2074"/>
      <w:outlineLvl w:val="4"/>
    </w:pPr>
  </w:style>
  <w:style w:type="paragraph" w:styleId="Heading6">
    <w:name w:val="heading 6"/>
    <w:basedOn w:val="Heading1"/>
    <w:next w:val="DocumentText"/>
    <w:qFormat/>
    <w:rsid w:val="00665D6C"/>
    <w:pPr>
      <w:numPr>
        <w:ilvl w:val="5"/>
      </w:numPr>
      <w:tabs>
        <w:tab w:val="clear" w:pos="1152"/>
        <w:tab w:val="left" w:pos="2268"/>
      </w:tabs>
      <w:ind w:left="2268" w:hanging="2268"/>
      <w:outlineLvl w:val="5"/>
    </w:pPr>
  </w:style>
  <w:style w:type="paragraph" w:styleId="Heading7">
    <w:name w:val="heading 7"/>
    <w:basedOn w:val="Heading1"/>
    <w:next w:val="DocumentText"/>
    <w:qFormat/>
    <w:rsid w:val="00665D6C"/>
    <w:pPr>
      <w:numPr>
        <w:ilvl w:val="6"/>
      </w:numPr>
      <w:tabs>
        <w:tab w:val="clear" w:pos="1152"/>
        <w:tab w:val="clear" w:pos="1296"/>
        <w:tab w:val="left" w:pos="2448"/>
      </w:tabs>
      <w:ind w:left="2448" w:hanging="2448"/>
      <w:outlineLvl w:val="6"/>
    </w:pPr>
  </w:style>
  <w:style w:type="paragraph" w:styleId="Heading8">
    <w:name w:val="heading 8"/>
    <w:basedOn w:val="Heading1"/>
    <w:next w:val="DocumentText"/>
    <w:qFormat/>
    <w:rsid w:val="00665D6C"/>
    <w:pPr>
      <w:numPr>
        <w:ilvl w:val="7"/>
      </w:numPr>
      <w:tabs>
        <w:tab w:val="clear" w:pos="1152"/>
        <w:tab w:val="clear" w:pos="1440"/>
        <w:tab w:val="left" w:pos="2614"/>
      </w:tabs>
      <w:ind w:left="2614" w:hanging="2614"/>
      <w:outlineLvl w:val="7"/>
    </w:pPr>
  </w:style>
  <w:style w:type="paragraph" w:styleId="Heading9">
    <w:name w:val="heading 9"/>
    <w:basedOn w:val="Heading1"/>
    <w:next w:val="DocumentText"/>
    <w:qFormat/>
    <w:rsid w:val="00665D6C"/>
    <w:pPr>
      <w:numPr>
        <w:ilvl w:val="8"/>
      </w:numPr>
      <w:tabs>
        <w:tab w:val="clear" w:pos="1152"/>
        <w:tab w:val="clear" w:pos="1584"/>
        <w:tab w:val="left" w:pos="2765"/>
      </w:tabs>
      <w:ind w:left="2765" w:hanging="27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autoRedefine/>
    <w:semiHidden/>
    <w:rsid w:val="00665D6C"/>
    <w:pPr>
      <w:spacing w:after="60" w:line="240" w:lineRule="auto"/>
      <w:ind w:left="2614" w:hanging="2614"/>
    </w:pPr>
  </w:style>
  <w:style w:type="paragraph" w:styleId="TOC7">
    <w:name w:val="toc 7"/>
    <w:basedOn w:val="Normal"/>
    <w:next w:val="Normal"/>
    <w:autoRedefine/>
    <w:semiHidden/>
    <w:rsid w:val="00665D6C"/>
    <w:pPr>
      <w:spacing w:after="60" w:line="240" w:lineRule="auto"/>
      <w:ind w:left="2448" w:hanging="2448"/>
      <w:contextualSpacing/>
    </w:pPr>
  </w:style>
  <w:style w:type="paragraph" w:styleId="TOC6">
    <w:name w:val="toc 6"/>
    <w:basedOn w:val="Normal"/>
    <w:next w:val="Normal"/>
    <w:autoRedefine/>
    <w:semiHidden/>
    <w:rsid w:val="00665D6C"/>
    <w:pPr>
      <w:spacing w:after="60" w:line="240" w:lineRule="auto"/>
      <w:ind w:left="2268" w:hanging="2268"/>
    </w:pPr>
  </w:style>
  <w:style w:type="paragraph" w:styleId="TOC5">
    <w:name w:val="toc 5"/>
    <w:basedOn w:val="Normal"/>
    <w:next w:val="Normal"/>
    <w:autoRedefine/>
    <w:semiHidden/>
    <w:rsid w:val="00665D6C"/>
    <w:pPr>
      <w:spacing w:after="60" w:line="240" w:lineRule="auto"/>
      <w:ind w:left="2074" w:hanging="2074"/>
    </w:pPr>
  </w:style>
  <w:style w:type="paragraph" w:styleId="TOC4">
    <w:name w:val="toc 4"/>
    <w:basedOn w:val="Normal"/>
    <w:next w:val="Normal"/>
    <w:autoRedefine/>
    <w:semiHidden/>
    <w:rsid w:val="00665D6C"/>
    <w:pPr>
      <w:spacing w:after="60" w:line="240" w:lineRule="auto"/>
      <w:ind w:left="1865" w:hanging="1865"/>
    </w:pPr>
  </w:style>
  <w:style w:type="paragraph" w:styleId="TOC3">
    <w:name w:val="toc 3"/>
    <w:basedOn w:val="Normal"/>
    <w:next w:val="Normal"/>
    <w:autoRedefine/>
    <w:semiHidden/>
    <w:rsid w:val="00665D6C"/>
    <w:pPr>
      <w:spacing w:after="60" w:line="240" w:lineRule="auto"/>
      <w:ind w:left="1642" w:hanging="1642"/>
    </w:pPr>
  </w:style>
  <w:style w:type="paragraph" w:styleId="TOC2">
    <w:name w:val="toc 2"/>
    <w:basedOn w:val="Normal"/>
    <w:next w:val="Normal"/>
    <w:autoRedefine/>
    <w:semiHidden/>
    <w:rsid w:val="00665D6C"/>
    <w:pPr>
      <w:spacing w:after="120" w:line="240" w:lineRule="auto"/>
      <w:ind w:left="1404" w:hanging="1404"/>
    </w:pPr>
  </w:style>
  <w:style w:type="paragraph" w:styleId="TOC1">
    <w:name w:val="toc 1"/>
    <w:basedOn w:val="Normal"/>
    <w:next w:val="Normal"/>
    <w:autoRedefine/>
    <w:semiHidden/>
    <w:rsid w:val="00665D6C"/>
    <w:pPr>
      <w:spacing w:after="180" w:line="240" w:lineRule="auto"/>
      <w:ind w:left="1152" w:hanging="1152"/>
    </w:pPr>
  </w:style>
  <w:style w:type="paragraph" w:styleId="Index2">
    <w:name w:val="index 2"/>
    <w:basedOn w:val="Normal"/>
    <w:next w:val="Normal"/>
    <w:semiHidden/>
    <w:rsid w:val="00D231A6"/>
    <w:pPr>
      <w:tabs>
        <w:tab w:val="right" w:leader="dot" w:pos="9360"/>
      </w:tabs>
      <w:ind w:left="1440" w:right="720" w:hanging="720"/>
    </w:pPr>
  </w:style>
  <w:style w:type="paragraph" w:styleId="Index1">
    <w:name w:val="index 1"/>
    <w:basedOn w:val="Normal"/>
    <w:next w:val="Normal"/>
    <w:semiHidden/>
    <w:rsid w:val="00D231A6"/>
    <w:pPr>
      <w:tabs>
        <w:tab w:val="right" w:leader="dot" w:pos="9360"/>
      </w:tabs>
      <w:ind w:left="1440" w:right="720" w:hanging="1440"/>
    </w:pPr>
  </w:style>
  <w:style w:type="paragraph" w:styleId="Footer">
    <w:name w:val="footer"/>
    <w:basedOn w:val="DocumentText"/>
    <w:rsid w:val="00665D6C"/>
    <w:pPr>
      <w:tabs>
        <w:tab w:val="center" w:pos="4478"/>
        <w:tab w:val="right" w:pos="8957"/>
      </w:tabs>
      <w:spacing w:before="120" w:after="0" w:line="240" w:lineRule="auto"/>
    </w:pPr>
    <w:rPr>
      <w:kern w:val="18"/>
      <w:sz w:val="20"/>
    </w:rPr>
  </w:style>
  <w:style w:type="paragraph" w:styleId="Header">
    <w:name w:val="header"/>
    <w:basedOn w:val="DocumentText"/>
    <w:rsid w:val="00665D6C"/>
    <w:pPr>
      <w:tabs>
        <w:tab w:val="right" w:pos="8957"/>
      </w:tabs>
      <w:spacing w:after="120" w:line="240" w:lineRule="auto"/>
    </w:pPr>
    <w:rPr>
      <w:kern w:val="18"/>
      <w:sz w:val="20"/>
    </w:rPr>
  </w:style>
  <w:style w:type="paragraph" w:styleId="FootnoteText">
    <w:name w:val="footnote text"/>
    <w:basedOn w:val="Normal"/>
    <w:semiHidden/>
    <w:rsid w:val="00D231A6"/>
  </w:style>
  <w:style w:type="paragraph" w:styleId="EndnoteText">
    <w:name w:val="endnote text"/>
    <w:basedOn w:val="Normal"/>
    <w:semiHidden/>
    <w:rsid w:val="00D231A6"/>
  </w:style>
  <w:style w:type="paragraph" w:styleId="TOC9">
    <w:name w:val="toc 9"/>
    <w:basedOn w:val="Normal"/>
    <w:next w:val="Normal"/>
    <w:autoRedefine/>
    <w:semiHidden/>
    <w:rsid w:val="00665D6C"/>
    <w:pPr>
      <w:spacing w:after="60" w:line="240" w:lineRule="auto"/>
      <w:ind w:left="2765" w:hanging="2765"/>
    </w:pPr>
  </w:style>
  <w:style w:type="paragraph" w:styleId="TOAHeading">
    <w:name w:val="toa heading"/>
    <w:basedOn w:val="Normal"/>
    <w:next w:val="Normal"/>
    <w:semiHidden/>
    <w:rsid w:val="00D231A6"/>
    <w:pPr>
      <w:tabs>
        <w:tab w:val="right" w:pos="9360"/>
      </w:tabs>
    </w:pPr>
  </w:style>
  <w:style w:type="paragraph" w:styleId="Caption">
    <w:name w:val="caption"/>
    <w:basedOn w:val="Normal"/>
    <w:next w:val="Normal"/>
    <w:qFormat/>
    <w:rsid w:val="00665D6C"/>
    <w:pPr>
      <w:keepNext/>
      <w:spacing w:before="240" w:after="120" w:line="240" w:lineRule="auto"/>
      <w:ind w:left="2160" w:hanging="2160"/>
    </w:pPr>
    <w:rPr>
      <w:b/>
      <w:bCs/>
      <w:szCs w:val="20"/>
    </w:rPr>
  </w:style>
  <w:style w:type="character" w:styleId="PageNumber">
    <w:name w:val="page number"/>
    <w:basedOn w:val="DefaultParagraphFont"/>
    <w:rsid w:val="00D231A6"/>
  </w:style>
  <w:style w:type="paragraph" w:styleId="BodyText2">
    <w:name w:val="Body Text 2"/>
    <w:basedOn w:val="Normal"/>
    <w:rsid w:val="00D231A6"/>
    <w:pPr>
      <w:spacing w:line="270" w:lineRule="exact"/>
    </w:pPr>
    <w:rPr>
      <w:rFonts w:ascii="Sabon" w:hAnsi="Sabon"/>
      <w:i/>
    </w:rPr>
  </w:style>
  <w:style w:type="paragraph" w:styleId="BodyText">
    <w:name w:val="Body Text"/>
    <w:basedOn w:val="Normal"/>
    <w:rsid w:val="00D231A6"/>
    <w:pPr>
      <w:spacing w:line="270" w:lineRule="exact"/>
    </w:pPr>
    <w:rPr>
      <w:rFonts w:ascii="Helv" w:hAnsi="Helv"/>
      <w:i/>
      <w:color w:val="000000"/>
    </w:rPr>
  </w:style>
  <w:style w:type="paragraph" w:styleId="BodyText3">
    <w:name w:val="Body Text 3"/>
    <w:basedOn w:val="Normal"/>
    <w:rsid w:val="00D231A6"/>
    <w:pPr>
      <w:spacing w:line="320" w:lineRule="atLeast"/>
    </w:pPr>
    <w:rPr>
      <w:color w:val="FF0000"/>
    </w:rPr>
  </w:style>
  <w:style w:type="paragraph" w:styleId="CommentText">
    <w:name w:val="annotation text"/>
    <w:basedOn w:val="Normal"/>
    <w:link w:val="CommentTextChar"/>
    <w:semiHidden/>
    <w:rsid w:val="00D231A6"/>
    <w:pPr>
      <w:spacing w:after="120"/>
      <w:ind w:right="142"/>
    </w:pPr>
    <w:rPr>
      <w:sz w:val="20"/>
      <w:lang w:val="en-AU"/>
    </w:rPr>
  </w:style>
  <w:style w:type="paragraph" w:styleId="BodyTextIndent">
    <w:name w:val="Body Text Indent"/>
    <w:basedOn w:val="Normal"/>
    <w:rsid w:val="00D231A6"/>
    <w:pPr>
      <w:ind w:left="180" w:hanging="180"/>
    </w:pPr>
    <w:rPr>
      <w:rFonts w:ascii="Arial" w:hAnsi="Arial"/>
    </w:rPr>
  </w:style>
  <w:style w:type="paragraph" w:styleId="BodyTextIndent2">
    <w:name w:val="Body Text Indent 2"/>
    <w:basedOn w:val="Normal"/>
    <w:rsid w:val="00D231A6"/>
    <w:pPr>
      <w:tabs>
        <w:tab w:val="left" w:pos="590"/>
        <w:tab w:val="right" w:pos="9140"/>
      </w:tabs>
      <w:ind w:left="540" w:hanging="540"/>
    </w:pPr>
    <w:rPr>
      <w:rFonts w:ascii="Arial" w:hAnsi="Arial"/>
    </w:rPr>
  </w:style>
  <w:style w:type="paragraph" w:customStyle="1" w:styleId="Pamela">
    <w:name w:val="Pamela"/>
    <w:basedOn w:val="Normal"/>
    <w:rsid w:val="00D231A6"/>
    <w:rPr>
      <w:rFonts w:ascii="Campaign-Normal" w:hAnsi="Campaign-Normal"/>
      <w:lang w:val="en-AU"/>
    </w:rPr>
  </w:style>
  <w:style w:type="paragraph" w:customStyle="1" w:styleId="Sprechblasentext1">
    <w:name w:val="Sprechblasentext1"/>
    <w:basedOn w:val="Normal"/>
    <w:semiHidden/>
    <w:rsid w:val="00D231A6"/>
    <w:rPr>
      <w:rFonts w:ascii="Tahoma" w:hAnsi="Tahoma" w:cs="Tahoma"/>
      <w:sz w:val="16"/>
      <w:szCs w:val="16"/>
    </w:rPr>
  </w:style>
  <w:style w:type="character" w:styleId="CommentReference">
    <w:name w:val="annotation reference"/>
    <w:basedOn w:val="DefaultParagraphFont"/>
    <w:semiHidden/>
    <w:rsid w:val="00D231A6"/>
    <w:rPr>
      <w:sz w:val="16"/>
      <w:szCs w:val="16"/>
    </w:rPr>
  </w:style>
  <w:style w:type="paragraph" w:customStyle="1" w:styleId="Kommentarthema1">
    <w:name w:val="Kommentarthema1"/>
    <w:basedOn w:val="CommentText"/>
    <w:next w:val="CommentText"/>
    <w:semiHidden/>
    <w:rsid w:val="00D231A6"/>
    <w:pPr>
      <w:spacing w:after="0"/>
      <w:ind w:right="0"/>
    </w:pPr>
    <w:rPr>
      <w:b/>
      <w:bCs/>
      <w:lang w:val="en-GB"/>
    </w:rPr>
  </w:style>
  <w:style w:type="paragraph" w:styleId="BalloonText">
    <w:name w:val="Balloon Text"/>
    <w:basedOn w:val="Normal"/>
    <w:semiHidden/>
    <w:rsid w:val="008E6762"/>
    <w:rPr>
      <w:rFonts w:ascii="Tahoma" w:hAnsi="Tahoma" w:cs="Tahoma"/>
      <w:sz w:val="16"/>
      <w:szCs w:val="16"/>
    </w:rPr>
  </w:style>
  <w:style w:type="paragraph" w:styleId="CommentSubject">
    <w:name w:val="annotation subject"/>
    <w:basedOn w:val="CommentText"/>
    <w:next w:val="CommentText"/>
    <w:semiHidden/>
    <w:rsid w:val="00253746"/>
    <w:pPr>
      <w:spacing w:after="0"/>
      <w:ind w:right="0"/>
    </w:pPr>
    <w:rPr>
      <w:b/>
      <w:bCs/>
      <w:lang w:val="en-GB"/>
    </w:rPr>
  </w:style>
  <w:style w:type="paragraph" w:customStyle="1" w:styleId="PA-KopfZ1">
    <w:name w:val="PA-Kopf_Z1"/>
    <w:basedOn w:val="Normal"/>
    <w:rsid w:val="009F19BC"/>
    <w:pPr>
      <w:tabs>
        <w:tab w:val="left" w:pos="2410"/>
        <w:tab w:val="right" w:pos="8789"/>
      </w:tabs>
      <w:spacing w:line="220" w:lineRule="exact"/>
    </w:pPr>
    <w:rPr>
      <w:b/>
    </w:rPr>
  </w:style>
  <w:style w:type="character" w:styleId="LineNumber">
    <w:name w:val="line number"/>
    <w:basedOn w:val="DefaultParagraphFont"/>
    <w:rsid w:val="00ED43C5"/>
  </w:style>
  <w:style w:type="table" w:styleId="TableGrid">
    <w:name w:val="Table Grid"/>
    <w:basedOn w:val="TableNormal"/>
    <w:uiPriority w:val="59"/>
    <w:rsid w:val="00665D6C"/>
    <w:pPr>
      <w:spacing w:after="240"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rechblasentext2">
    <w:name w:val="Sprechblasentext2"/>
    <w:basedOn w:val="Normal"/>
    <w:semiHidden/>
    <w:rsid w:val="00D8649E"/>
    <w:rPr>
      <w:rFonts w:ascii="Tahoma" w:hAnsi="Tahoma" w:cs="Tahoma"/>
      <w:sz w:val="16"/>
      <w:szCs w:val="16"/>
      <w:lang w:val="de-DE" w:eastAsia="de-DE"/>
    </w:rPr>
  </w:style>
  <w:style w:type="paragraph" w:customStyle="1" w:styleId="TblFigFootnote">
    <w:name w:val="Tbl Fig Footnote"/>
    <w:basedOn w:val="Normal"/>
    <w:rsid w:val="002654D9"/>
    <w:pPr>
      <w:keepNext/>
      <w:keepLines/>
    </w:pPr>
    <w:rPr>
      <w:sz w:val="18"/>
    </w:rPr>
  </w:style>
  <w:style w:type="paragraph" w:customStyle="1" w:styleId="FormatvorlagepyFett">
    <w:name w:val="Formatvorlage py + Fett"/>
    <w:basedOn w:val="Normal"/>
    <w:rsid w:val="0050152D"/>
    <w:pPr>
      <w:overflowPunct w:val="0"/>
      <w:autoSpaceDE w:val="0"/>
      <w:autoSpaceDN w:val="0"/>
      <w:adjustRightInd w:val="0"/>
      <w:spacing w:after="60"/>
      <w:textAlignment w:val="baseline"/>
    </w:pPr>
    <w:rPr>
      <w:rFonts w:ascii="Arial" w:hAnsi="Arial" w:cs="Arial"/>
      <w:b/>
      <w:bCs/>
      <w:szCs w:val="22"/>
      <w:lang w:eastAsia="zh-CN"/>
    </w:rPr>
  </w:style>
  <w:style w:type="paragraph" w:styleId="ListBullet">
    <w:name w:val="List Bullet"/>
    <w:basedOn w:val="Normal"/>
    <w:autoRedefine/>
    <w:rsid w:val="0050152D"/>
    <w:pPr>
      <w:numPr>
        <w:numId w:val="1"/>
      </w:numPr>
    </w:pPr>
  </w:style>
  <w:style w:type="character" w:styleId="Hyperlink">
    <w:name w:val="Hyperlink"/>
    <w:basedOn w:val="DefaultParagraphFont"/>
    <w:rsid w:val="00665D6C"/>
    <w:rPr>
      <w:color w:val="0000FF"/>
      <w:u w:val="none"/>
    </w:rPr>
  </w:style>
  <w:style w:type="paragraph" w:styleId="DocumentMap">
    <w:name w:val="Document Map"/>
    <w:basedOn w:val="Normal"/>
    <w:semiHidden/>
    <w:rsid w:val="00B442F0"/>
    <w:pPr>
      <w:shd w:val="clear" w:color="auto" w:fill="000080"/>
    </w:pPr>
    <w:rPr>
      <w:rFonts w:ascii="Tahoma" w:hAnsi="Tahoma" w:cs="Tahoma"/>
      <w:sz w:val="20"/>
    </w:rPr>
  </w:style>
  <w:style w:type="paragraph" w:customStyle="1" w:styleId="Sprechblasentext3">
    <w:name w:val="Sprechblasentext3"/>
    <w:basedOn w:val="Normal"/>
    <w:semiHidden/>
    <w:rsid w:val="004A198C"/>
    <w:rPr>
      <w:rFonts w:ascii="Tahoma" w:hAnsi="Tahoma" w:cs="Tahoma"/>
      <w:sz w:val="16"/>
      <w:szCs w:val="16"/>
      <w:lang w:val="de-DE" w:eastAsia="de-DE"/>
    </w:rPr>
  </w:style>
  <w:style w:type="character" w:customStyle="1" w:styleId="CommentTextChar">
    <w:name w:val="Comment Text Char"/>
    <w:basedOn w:val="DefaultParagraphFont"/>
    <w:link w:val="CommentText"/>
    <w:semiHidden/>
    <w:rsid w:val="008F3D69"/>
    <w:rPr>
      <w:lang w:val="en-AU" w:eastAsia="de-CH" w:bidi="ar-SA"/>
    </w:rPr>
  </w:style>
  <w:style w:type="paragraph" w:styleId="Revision">
    <w:name w:val="Revision"/>
    <w:hidden/>
    <w:uiPriority w:val="99"/>
    <w:semiHidden/>
    <w:rsid w:val="001F3AD5"/>
    <w:rPr>
      <w:sz w:val="22"/>
      <w:lang w:val="en-GB" w:eastAsia="de-CH"/>
    </w:rPr>
  </w:style>
  <w:style w:type="paragraph" w:customStyle="1" w:styleId="Default">
    <w:name w:val="Default"/>
    <w:rsid w:val="00DE794B"/>
    <w:pPr>
      <w:autoSpaceDE w:val="0"/>
      <w:autoSpaceDN w:val="0"/>
      <w:adjustRightInd w:val="0"/>
    </w:pPr>
    <w:rPr>
      <w:rFonts w:eastAsiaTheme="minorHAnsi"/>
      <w:color w:val="000000"/>
      <w:sz w:val="24"/>
      <w:szCs w:val="24"/>
      <w:lang w:eastAsia="en-US"/>
    </w:rPr>
  </w:style>
  <w:style w:type="character" w:customStyle="1" w:styleId="A1">
    <w:name w:val="A1"/>
    <w:uiPriority w:val="99"/>
    <w:rsid w:val="00BF2FD3"/>
    <w:rPr>
      <w:rFonts w:cs="HelveticaNeueLT Std Lt"/>
      <w:color w:val="221E1F"/>
      <w:sz w:val="20"/>
      <w:szCs w:val="20"/>
    </w:rPr>
  </w:style>
  <w:style w:type="paragraph" w:styleId="ListParagraph">
    <w:name w:val="List Paragraph"/>
    <w:basedOn w:val="Normal"/>
    <w:uiPriority w:val="34"/>
    <w:qFormat/>
    <w:rsid w:val="00D858B4"/>
    <w:pPr>
      <w:ind w:left="720"/>
      <w:contextualSpacing/>
    </w:pPr>
  </w:style>
  <w:style w:type="paragraph" w:styleId="Title">
    <w:name w:val="Title"/>
    <w:basedOn w:val="DocumentText"/>
    <w:next w:val="DocumentText"/>
    <w:link w:val="TitleChar"/>
    <w:qFormat/>
    <w:rsid w:val="00665D6C"/>
    <w:pPr>
      <w:keepNext/>
      <w:keepLines/>
      <w:spacing w:after="0"/>
      <w:jc w:val="center"/>
    </w:pPr>
    <w:rPr>
      <w:rFonts w:ascii="Times New Roman Bold" w:hAnsi="Times New Roman Bold" w:cs="Arial"/>
      <w:b/>
      <w:bCs/>
      <w:kern w:val="28"/>
      <w:sz w:val="28"/>
      <w:szCs w:val="28"/>
    </w:rPr>
  </w:style>
  <w:style w:type="character" w:customStyle="1" w:styleId="TitleChar">
    <w:name w:val="Title Char"/>
    <w:basedOn w:val="DefaultParagraphFont"/>
    <w:link w:val="Title"/>
    <w:rsid w:val="0067482B"/>
    <w:rPr>
      <w:rFonts w:ascii="Times New Roman Bold" w:hAnsi="Times New Roman Bold" w:cs="Arial"/>
      <w:b/>
      <w:bCs/>
      <w:kern w:val="28"/>
      <w:sz w:val="28"/>
      <w:szCs w:val="28"/>
      <w:lang w:val="en-US" w:eastAsia="en-US"/>
    </w:rPr>
  </w:style>
  <w:style w:type="paragraph" w:customStyle="1" w:styleId="LAFISPCNormal">
    <w:name w:val="LA_FI_SPC_Normal"/>
    <w:basedOn w:val="Normal"/>
    <w:rsid w:val="009A1C89"/>
    <w:pPr>
      <w:tabs>
        <w:tab w:val="left" w:pos="567"/>
      </w:tabs>
      <w:spacing w:line="120" w:lineRule="auto"/>
      <w:ind w:left="567"/>
    </w:pPr>
  </w:style>
  <w:style w:type="paragraph" w:customStyle="1" w:styleId="DocumentText">
    <w:name w:val="Document Text"/>
    <w:basedOn w:val="Normal"/>
    <w:rsid w:val="00665D6C"/>
  </w:style>
  <w:style w:type="paragraph" w:customStyle="1" w:styleId="ListBulleted">
    <w:name w:val="List Bulleted"/>
    <w:basedOn w:val="DocumentText"/>
    <w:rsid w:val="00665D6C"/>
    <w:pPr>
      <w:keepLines/>
      <w:numPr>
        <w:numId w:val="2"/>
      </w:numPr>
      <w:adjustRightInd w:val="0"/>
      <w:spacing w:before="120" w:after="120"/>
    </w:pPr>
  </w:style>
  <w:style w:type="paragraph" w:customStyle="1" w:styleId="ListNumbered">
    <w:name w:val="List Numbered"/>
    <w:basedOn w:val="DocumentText"/>
    <w:rsid w:val="00665D6C"/>
    <w:pPr>
      <w:keepLines/>
      <w:numPr>
        <w:numId w:val="4"/>
      </w:numPr>
      <w:snapToGrid w:val="0"/>
      <w:spacing w:before="120" w:after="120"/>
    </w:pPr>
  </w:style>
  <w:style w:type="paragraph" w:customStyle="1" w:styleId="TableTitleContinued">
    <w:name w:val="Table Title Continued"/>
    <w:basedOn w:val="DocumentText"/>
    <w:next w:val="DocumentText"/>
    <w:rsid w:val="00665D6C"/>
    <w:pPr>
      <w:keepNext/>
      <w:spacing w:before="240" w:after="120" w:line="240" w:lineRule="auto"/>
      <w:ind w:left="2160" w:hanging="2160"/>
    </w:pPr>
    <w:rPr>
      <w:b/>
      <w:bCs/>
    </w:rPr>
  </w:style>
  <w:style w:type="paragraph" w:customStyle="1" w:styleId="TableFootnote">
    <w:name w:val="Table Footnote"/>
    <w:basedOn w:val="DocumentText"/>
    <w:next w:val="DocumentText"/>
    <w:rsid w:val="00665D6C"/>
    <w:pPr>
      <w:keepNext/>
      <w:keepLines/>
      <w:spacing w:before="40" w:after="0" w:line="240" w:lineRule="auto"/>
      <w:ind w:left="360" w:hanging="360"/>
    </w:pPr>
    <w:rPr>
      <w:kern w:val="20"/>
      <w:sz w:val="20"/>
      <w:szCs w:val="20"/>
    </w:rPr>
  </w:style>
  <w:style w:type="paragraph" w:customStyle="1" w:styleId="TableCellHeading12pt">
    <w:name w:val="Table Cell Heading 12pt"/>
    <w:basedOn w:val="DocumentText"/>
    <w:rsid w:val="00665D6C"/>
    <w:pPr>
      <w:keepNext/>
      <w:spacing w:before="40" w:after="40" w:line="240" w:lineRule="auto"/>
      <w:jc w:val="center"/>
    </w:pPr>
    <w:rPr>
      <w:b/>
    </w:rPr>
  </w:style>
  <w:style w:type="paragraph" w:customStyle="1" w:styleId="TableCellHeading10pt">
    <w:name w:val="Table Cell Heading 10pt"/>
    <w:basedOn w:val="TableCellHeading12pt"/>
    <w:rsid w:val="00665D6C"/>
    <w:rPr>
      <w:kern w:val="20"/>
      <w:sz w:val="20"/>
    </w:rPr>
  </w:style>
  <w:style w:type="paragraph" w:styleId="TableofFigures">
    <w:name w:val="table of figures"/>
    <w:basedOn w:val="Normal"/>
    <w:next w:val="Normal"/>
    <w:rsid w:val="00665D6C"/>
    <w:pPr>
      <w:spacing w:line="240" w:lineRule="auto"/>
      <w:ind w:left="1440" w:hanging="1440"/>
    </w:pPr>
  </w:style>
  <w:style w:type="paragraph" w:customStyle="1" w:styleId="TableCellText12pt">
    <w:name w:val="Table Cell Text 12pt"/>
    <w:basedOn w:val="DocumentText"/>
    <w:rsid w:val="00665D6C"/>
    <w:pPr>
      <w:keepNext/>
      <w:spacing w:before="40" w:after="40" w:line="240" w:lineRule="auto"/>
    </w:pPr>
  </w:style>
  <w:style w:type="paragraph" w:customStyle="1" w:styleId="TableCellText10pt">
    <w:name w:val="Table Cell Text 10pt"/>
    <w:basedOn w:val="TableCellText12pt"/>
    <w:rsid w:val="00665D6C"/>
    <w:rPr>
      <w:sz w:val="20"/>
    </w:rPr>
  </w:style>
  <w:style w:type="paragraph" w:customStyle="1" w:styleId="TableCellText09pt">
    <w:name w:val="Table Cell Text 09pt"/>
    <w:basedOn w:val="TableCellText10pt"/>
    <w:rsid w:val="00665D6C"/>
    <w:rPr>
      <w:sz w:val="18"/>
    </w:rPr>
  </w:style>
  <w:style w:type="paragraph" w:customStyle="1" w:styleId="TOCTitle">
    <w:name w:val="TOC Title"/>
    <w:basedOn w:val="Title"/>
    <w:next w:val="DocumentText"/>
    <w:rsid w:val="00665D6C"/>
    <w:pPr>
      <w:outlineLvl w:val="0"/>
    </w:pPr>
  </w:style>
  <w:style w:type="paragraph" w:customStyle="1" w:styleId="Guidance">
    <w:name w:val="Guidance"/>
    <w:basedOn w:val="DocumentText"/>
    <w:qFormat/>
    <w:rsid w:val="00665D6C"/>
  </w:style>
  <w:style w:type="paragraph" w:customStyle="1" w:styleId="StandardRAL-GB">
    <w:name w:val="Standard_RAL-GB"/>
    <w:basedOn w:val="Normal"/>
    <w:link w:val="StandardRAL-GBChar"/>
    <w:rsid w:val="00F77781"/>
    <w:pPr>
      <w:topLinePunct/>
      <w:spacing w:after="0" w:line="240" w:lineRule="auto"/>
    </w:pPr>
    <w:rPr>
      <w:kern w:val="0"/>
      <w:lang w:val="en-GB"/>
    </w:rPr>
  </w:style>
  <w:style w:type="character" w:customStyle="1" w:styleId="StandardRAL-GBChar">
    <w:name w:val="Standard_RAL-GB Char"/>
    <w:link w:val="StandardRAL-GB"/>
    <w:rsid w:val="00F77781"/>
    <w:rPr>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5D6C"/>
    <w:pPr>
      <w:spacing w:after="240" w:line="300" w:lineRule="auto"/>
    </w:pPr>
    <w:rPr>
      <w:kern w:val="24"/>
      <w:sz w:val="24"/>
      <w:szCs w:val="24"/>
      <w:lang w:val="en-US" w:eastAsia="en-US"/>
    </w:rPr>
  </w:style>
  <w:style w:type="paragraph" w:styleId="Heading1">
    <w:name w:val="heading 1"/>
    <w:basedOn w:val="DocumentText"/>
    <w:next w:val="DocumentText"/>
    <w:qFormat/>
    <w:rsid w:val="00665D6C"/>
    <w:pPr>
      <w:keepNext/>
      <w:keepLines/>
      <w:numPr>
        <w:numId w:val="3"/>
      </w:numPr>
      <w:tabs>
        <w:tab w:val="clear" w:pos="432"/>
        <w:tab w:val="left" w:pos="1152"/>
      </w:tabs>
      <w:spacing w:before="120" w:after="120"/>
      <w:ind w:left="1152" w:hanging="1152"/>
      <w:outlineLvl w:val="0"/>
    </w:pPr>
    <w:rPr>
      <w:b/>
      <w:kern w:val="28"/>
      <w:sz w:val="28"/>
      <w:szCs w:val="28"/>
    </w:rPr>
  </w:style>
  <w:style w:type="paragraph" w:styleId="Heading2">
    <w:name w:val="heading 2"/>
    <w:basedOn w:val="Heading1"/>
    <w:next w:val="DocumentText"/>
    <w:qFormat/>
    <w:rsid w:val="00665D6C"/>
    <w:pPr>
      <w:numPr>
        <w:ilvl w:val="1"/>
      </w:numPr>
      <w:tabs>
        <w:tab w:val="clear" w:pos="576"/>
        <w:tab w:val="clear" w:pos="1152"/>
        <w:tab w:val="left" w:pos="1404"/>
      </w:tabs>
      <w:ind w:left="1404" w:hanging="1404"/>
      <w:outlineLvl w:val="1"/>
    </w:pPr>
  </w:style>
  <w:style w:type="paragraph" w:styleId="Heading3">
    <w:name w:val="heading 3"/>
    <w:basedOn w:val="Heading1"/>
    <w:next w:val="DocumentText"/>
    <w:qFormat/>
    <w:rsid w:val="00665D6C"/>
    <w:pPr>
      <w:numPr>
        <w:ilvl w:val="2"/>
      </w:numPr>
      <w:tabs>
        <w:tab w:val="clear" w:pos="1152"/>
        <w:tab w:val="left" w:pos="1642"/>
      </w:tabs>
      <w:outlineLvl w:val="2"/>
    </w:pPr>
  </w:style>
  <w:style w:type="paragraph" w:styleId="Heading4">
    <w:name w:val="heading 4"/>
    <w:basedOn w:val="Heading1"/>
    <w:next w:val="DocumentText"/>
    <w:qFormat/>
    <w:rsid w:val="00665D6C"/>
    <w:pPr>
      <w:numPr>
        <w:ilvl w:val="3"/>
      </w:numPr>
      <w:tabs>
        <w:tab w:val="clear" w:pos="1152"/>
        <w:tab w:val="left" w:pos="1865"/>
      </w:tabs>
      <w:outlineLvl w:val="3"/>
    </w:pPr>
  </w:style>
  <w:style w:type="paragraph" w:styleId="Heading5">
    <w:name w:val="heading 5"/>
    <w:basedOn w:val="Heading1"/>
    <w:next w:val="DocumentText"/>
    <w:qFormat/>
    <w:rsid w:val="00665D6C"/>
    <w:pPr>
      <w:numPr>
        <w:ilvl w:val="4"/>
      </w:numPr>
      <w:tabs>
        <w:tab w:val="clear" w:pos="1008"/>
        <w:tab w:val="clear" w:pos="1152"/>
        <w:tab w:val="left" w:pos="2074"/>
      </w:tabs>
      <w:ind w:left="2074" w:hanging="2074"/>
      <w:outlineLvl w:val="4"/>
    </w:pPr>
  </w:style>
  <w:style w:type="paragraph" w:styleId="Heading6">
    <w:name w:val="heading 6"/>
    <w:basedOn w:val="Heading1"/>
    <w:next w:val="DocumentText"/>
    <w:qFormat/>
    <w:rsid w:val="00665D6C"/>
    <w:pPr>
      <w:numPr>
        <w:ilvl w:val="5"/>
      </w:numPr>
      <w:tabs>
        <w:tab w:val="clear" w:pos="1152"/>
        <w:tab w:val="left" w:pos="2268"/>
      </w:tabs>
      <w:ind w:left="2268" w:hanging="2268"/>
      <w:outlineLvl w:val="5"/>
    </w:pPr>
  </w:style>
  <w:style w:type="paragraph" w:styleId="Heading7">
    <w:name w:val="heading 7"/>
    <w:basedOn w:val="Heading1"/>
    <w:next w:val="DocumentText"/>
    <w:qFormat/>
    <w:rsid w:val="00665D6C"/>
    <w:pPr>
      <w:numPr>
        <w:ilvl w:val="6"/>
      </w:numPr>
      <w:tabs>
        <w:tab w:val="clear" w:pos="1152"/>
        <w:tab w:val="clear" w:pos="1296"/>
        <w:tab w:val="left" w:pos="2448"/>
      </w:tabs>
      <w:ind w:left="2448" w:hanging="2448"/>
      <w:outlineLvl w:val="6"/>
    </w:pPr>
  </w:style>
  <w:style w:type="paragraph" w:styleId="Heading8">
    <w:name w:val="heading 8"/>
    <w:basedOn w:val="Heading1"/>
    <w:next w:val="DocumentText"/>
    <w:qFormat/>
    <w:rsid w:val="00665D6C"/>
    <w:pPr>
      <w:numPr>
        <w:ilvl w:val="7"/>
      </w:numPr>
      <w:tabs>
        <w:tab w:val="clear" w:pos="1152"/>
        <w:tab w:val="clear" w:pos="1440"/>
        <w:tab w:val="left" w:pos="2614"/>
      </w:tabs>
      <w:ind w:left="2614" w:hanging="2614"/>
      <w:outlineLvl w:val="7"/>
    </w:pPr>
  </w:style>
  <w:style w:type="paragraph" w:styleId="Heading9">
    <w:name w:val="heading 9"/>
    <w:basedOn w:val="Heading1"/>
    <w:next w:val="DocumentText"/>
    <w:qFormat/>
    <w:rsid w:val="00665D6C"/>
    <w:pPr>
      <w:numPr>
        <w:ilvl w:val="8"/>
      </w:numPr>
      <w:tabs>
        <w:tab w:val="clear" w:pos="1152"/>
        <w:tab w:val="clear" w:pos="1584"/>
        <w:tab w:val="left" w:pos="2765"/>
      </w:tabs>
      <w:ind w:left="2765" w:hanging="27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autoRedefine/>
    <w:semiHidden/>
    <w:rsid w:val="00665D6C"/>
    <w:pPr>
      <w:spacing w:after="60" w:line="240" w:lineRule="auto"/>
      <w:ind w:left="2614" w:hanging="2614"/>
    </w:pPr>
  </w:style>
  <w:style w:type="paragraph" w:styleId="TOC7">
    <w:name w:val="toc 7"/>
    <w:basedOn w:val="Normal"/>
    <w:next w:val="Normal"/>
    <w:autoRedefine/>
    <w:semiHidden/>
    <w:rsid w:val="00665D6C"/>
    <w:pPr>
      <w:spacing w:after="60" w:line="240" w:lineRule="auto"/>
      <w:ind w:left="2448" w:hanging="2448"/>
      <w:contextualSpacing/>
    </w:pPr>
  </w:style>
  <w:style w:type="paragraph" w:styleId="TOC6">
    <w:name w:val="toc 6"/>
    <w:basedOn w:val="Normal"/>
    <w:next w:val="Normal"/>
    <w:autoRedefine/>
    <w:semiHidden/>
    <w:rsid w:val="00665D6C"/>
    <w:pPr>
      <w:spacing w:after="60" w:line="240" w:lineRule="auto"/>
      <w:ind w:left="2268" w:hanging="2268"/>
    </w:pPr>
  </w:style>
  <w:style w:type="paragraph" w:styleId="TOC5">
    <w:name w:val="toc 5"/>
    <w:basedOn w:val="Normal"/>
    <w:next w:val="Normal"/>
    <w:autoRedefine/>
    <w:semiHidden/>
    <w:rsid w:val="00665D6C"/>
    <w:pPr>
      <w:spacing w:after="60" w:line="240" w:lineRule="auto"/>
      <w:ind w:left="2074" w:hanging="2074"/>
    </w:pPr>
  </w:style>
  <w:style w:type="paragraph" w:styleId="TOC4">
    <w:name w:val="toc 4"/>
    <w:basedOn w:val="Normal"/>
    <w:next w:val="Normal"/>
    <w:autoRedefine/>
    <w:semiHidden/>
    <w:rsid w:val="00665D6C"/>
    <w:pPr>
      <w:spacing w:after="60" w:line="240" w:lineRule="auto"/>
      <w:ind w:left="1865" w:hanging="1865"/>
    </w:pPr>
  </w:style>
  <w:style w:type="paragraph" w:styleId="TOC3">
    <w:name w:val="toc 3"/>
    <w:basedOn w:val="Normal"/>
    <w:next w:val="Normal"/>
    <w:autoRedefine/>
    <w:semiHidden/>
    <w:rsid w:val="00665D6C"/>
    <w:pPr>
      <w:spacing w:after="60" w:line="240" w:lineRule="auto"/>
      <w:ind w:left="1642" w:hanging="1642"/>
    </w:pPr>
  </w:style>
  <w:style w:type="paragraph" w:styleId="TOC2">
    <w:name w:val="toc 2"/>
    <w:basedOn w:val="Normal"/>
    <w:next w:val="Normal"/>
    <w:autoRedefine/>
    <w:semiHidden/>
    <w:rsid w:val="00665D6C"/>
    <w:pPr>
      <w:spacing w:after="120" w:line="240" w:lineRule="auto"/>
      <w:ind w:left="1404" w:hanging="1404"/>
    </w:pPr>
  </w:style>
  <w:style w:type="paragraph" w:styleId="TOC1">
    <w:name w:val="toc 1"/>
    <w:basedOn w:val="Normal"/>
    <w:next w:val="Normal"/>
    <w:autoRedefine/>
    <w:semiHidden/>
    <w:rsid w:val="00665D6C"/>
    <w:pPr>
      <w:spacing w:after="180" w:line="240" w:lineRule="auto"/>
      <w:ind w:left="1152" w:hanging="1152"/>
    </w:pPr>
  </w:style>
  <w:style w:type="paragraph" w:styleId="Index2">
    <w:name w:val="index 2"/>
    <w:basedOn w:val="Normal"/>
    <w:next w:val="Normal"/>
    <w:semiHidden/>
    <w:rsid w:val="00D231A6"/>
    <w:pPr>
      <w:tabs>
        <w:tab w:val="right" w:leader="dot" w:pos="9360"/>
      </w:tabs>
      <w:ind w:left="1440" w:right="720" w:hanging="720"/>
    </w:pPr>
  </w:style>
  <w:style w:type="paragraph" w:styleId="Index1">
    <w:name w:val="index 1"/>
    <w:basedOn w:val="Normal"/>
    <w:next w:val="Normal"/>
    <w:semiHidden/>
    <w:rsid w:val="00D231A6"/>
    <w:pPr>
      <w:tabs>
        <w:tab w:val="right" w:leader="dot" w:pos="9360"/>
      </w:tabs>
      <w:ind w:left="1440" w:right="720" w:hanging="1440"/>
    </w:pPr>
  </w:style>
  <w:style w:type="paragraph" w:styleId="Footer">
    <w:name w:val="footer"/>
    <w:basedOn w:val="DocumentText"/>
    <w:rsid w:val="00665D6C"/>
    <w:pPr>
      <w:tabs>
        <w:tab w:val="center" w:pos="4478"/>
        <w:tab w:val="right" w:pos="8957"/>
      </w:tabs>
      <w:spacing w:before="120" w:after="0" w:line="240" w:lineRule="auto"/>
    </w:pPr>
    <w:rPr>
      <w:kern w:val="18"/>
      <w:sz w:val="20"/>
    </w:rPr>
  </w:style>
  <w:style w:type="paragraph" w:styleId="Header">
    <w:name w:val="header"/>
    <w:basedOn w:val="DocumentText"/>
    <w:rsid w:val="00665D6C"/>
    <w:pPr>
      <w:tabs>
        <w:tab w:val="right" w:pos="8957"/>
      </w:tabs>
      <w:spacing w:after="120" w:line="240" w:lineRule="auto"/>
    </w:pPr>
    <w:rPr>
      <w:kern w:val="18"/>
      <w:sz w:val="20"/>
    </w:rPr>
  </w:style>
  <w:style w:type="paragraph" w:styleId="FootnoteText">
    <w:name w:val="footnote text"/>
    <w:basedOn w:val="Normal"/>
    <w:semiHidden/>
    <w:rsid w:val="00D231A6"/>
  </w:style>
  <w:style w:type="paragraph" w:styleId="EndnoteText">
    <w:name w:val="endnote text"/>
    <w:basedOn w:val="Normal"/>
    <w:semiHidden/>
    <w:rsid w:val="00D231A6"/>
  </w:style>
  <w:style w:type="paragraph" w:styleId="TOC9">
    <w:name w:val="toc 9"/>
    <w:basedOn w:val="Normal"/>
    <w:next w:val="Normal"/>
    <w:autoRedefine/>
    <w:semiHidden/>
    <w:rsid w:val="00665D6C"/>
    <w:pPr>
      <w:spacing w:after="60" w:line="240" w:lineRule="auto"/>
      <w:ind w:left="2765" w:hanging="2765"/>
    </w:pPr>
  </w:style>
  <w:style w:type="paragraph" w:styleId="TOAHeading">
    <w:name w:val="toa heading"/>
    <w:basedOn w:val="Normal"/>
    <w:next w:val="Normal"/>
    <w:semiHidden/>
    <w:rsid w:val="00D231A6"/>
    <w:pPr>
      <w:tabs>
        <w:tab w:val="right" w:pos="9360"/>
      </w:tabs>
    </w:pPr>
  </w:style>
  <w:style w:type="paragraph" w:styleId="Caption">
    <w:name w:val="caption"/>
    <w:basedOn w:val="Normal"/>
    <w:next w:val="Normal"/>
    <w:qFormat/>
    <w:rsid w:val="00665D6C"/>
    <w:pPr>
      <w:keepNext/>
      <w:spacing w:before="240" w:after="120" w:line="240" w:lineRule="auto"/>
      <w:ind w:left="2160" w:hanging="2160"/>
    </w:pPr>
    <w:rPr>
      <w:b/>
      <w:bCs/>
      <w:szCs w:val="20"/>
    </w:rPr>
  </w:style>
  <w:style w:type="character" w:styleId="PageNumber">
    <w:name w:val="page number"/>
    <w:basedOn w:val="DefaultParagraphFont"/>
    <w:rsid w:val="00D231A6"/>
  </w:style>
  <w:style w:type="paragraph" w:styleId="BodyText2">
    <w:name w:val="Body Text 2"/>
    <w:basedOn w:val="Normal"/>
    <w:rsid w:val="00D231A6"/>
    <w:pPr>
      <w:spacing w:line="270" w:lineRule="exact"/>
    </w:pPr>
    <w:rPr>
      <w:rFonts w:ascii="Sabon" w:hAnsi="Sabon"/>
      <w:i/>
    </w:rPr>
  </w:style>
  <w:style w:type="paragraph" w:styleId="BodyText">
    <w:name w:val="Body Text"/>
    <w:basedOn w:val="Normal"/>
    <w:rsid w:val="00D231A6"/>
    <w:pPr>
      <w:spacing w:line="270" w:lineRule="exact"/>
    </w:pPr>
    <w:rPr>
      <w:rFonts w:ascii="Helv" w:hAnsi="Helv"/>
      <w:i/>
      <w:color w:val="000000"/>
    </w:rPr>
  </w:style>
  <w:style w:type="paragraph" w:styleId="BodyText3">
    <w:name w:val="Body Text 3"/>
    <w:basedOn w:val="Normal"/>
    <w:rsid w:val="00D231A6"/>
    <w:pPr>
      <w:spacing w:line="320" w:lineRule="atLeast"/>
    </w:pPr>
    <w:rPr>
      <w:color w:val="FF0000"/>
    </w:rPr>
  </w:style>
  <w:style w:type="paragraph" w:styleId="CommentText">
    <w:name w:val="annotation text"/>
    <w:basedOn w:val="Normal"/>
    <w:link w:val="CommentTextChar"/>
    <w:semiHidden/>
    <w:rsid w:val="00D231A6"/>
    <w:pPr>
      <w:spacing w:after="120"/>
      <w:ind w:right="142"/>
    </w:pPr>
    <w:rPr>
      <w:sz w:val="20"/>
      <w:lang w:val="en-AU"/>
    </w:rPr>
  </w:style>
  <w:style w:type="paragraph" w:styleId="BodyTextIndent">
    <w:name w:val="Body Text Indent"/>
    <w:basedOn w:val="Normal"/>
    <w:rsid w:val="00D231A6"/>
    <w:pPr>
      <w:ind w:left="180" w:hanging="180"/>
    </w:pPr>
    <w:rPr>
      <w:rFonts w:ascii="Arial" w:hAnsi="Arial"/>
    </w:rPr>
  </w:style>
  <w:style w:type="paragraph" w:styleId="BodyTextIndent2">
    <w:name w:val="Body Text Indent 2"/>
    <w:basedOn w:val="Normal"/>
    <w:rsid w:val="00D231A6"/>
    <w:pPr>
      <w:tabs>
        <w:tab w:val="left" w:pos="590"/>
        <w:tab w:val="right" w:pos="9140"/>
      </w:tabs>
      <w:ind w:left="540" w:hanging="540"/>
    </w:pPr>
    <w:rPr>
      <w:rFonts w:ascii="Arial" w:hAnsi="Arial"/>
    </w:rPr>
  </w:style>
  <w:style w:type="paragraph" w:customStyle="1" w:styleId="Pamela">
    <w:name w:val="Pamela"/>
    <w:basedOn w:val="Normal"/>
    <w:rsid w:val="00D231A6"/>
    <w:rPr>
      <w:rFonts w:ascii="Campaign-Normal" w:hAnsi="Campaign-Normal"/>
      <w:lang w:val="en-AU"/>
    </w:rPr>
  </w:style>
  <w:style w:type="paragraph" w:customStyle="1" w:styleId="Sprechblasentext1">
    <w:name w:val="Sprechblasentext1"/>
    <w:basedOn w:val="Normal"/>
    <w:semiHidden/>
    <w:rsid w:val="00D231A6"/>
    <w:rPr>
      <w:rFonts w:ascii="Tahoma" w:hAnsi="Tahoma" w:cs="Tahoma"/>
      <w:sz w:val="16"/>
      <w:szCs w:val="16"/>
    </w:rPr>
  </w:style>
  <w:style w:type="character" w:styleId="CommentReference">
    <w:name w:val="annotation reference"/>
    <w:basedOn w:val="DefaultParagraphFont"/>
    <w:semiHidden/>
    <w:rsid w:val="00D231A6"/>
    <w:rPr>
      <w:sz w:val="16"/>
      <w:szCs w:val="16"/>
    </w:rPr>
  </w:style>
  <w:style w:type="paragraph" w:customStyle="1" w:styleId="Kommentarthema1">
    <w:name w:val="Kommentarthema1"/>
    <w:basedOn w:val="CommentText"/>
    <w:next w:val="CommentText"/>
    <w:semiHidden/>
    <w:rsid w:val="00D231A6"/>
    <w:pPr>
      <w:spacing w:after="0"/>
      <w:ind w:right="0"/>
    </w:pPr>
    <w:rPr>
      <w:b/>
      <w:bCs/>
      <w:lang w:val="en-GB"/>
    </w:rPr>
  </w:style>
  <w:style w:type="paragraph" w:styleId="BalloonText">
    <w:name w:val="Balloon Text"/>
    <w:basedOn w:val="Normal"/>
    <w:semiHidden/>
    <w:rsid w:val="008E6762"/>
    <w:rPr>
      <w:rFonts w:ascii="Tahoma" w:hAnsi="Tahoma" w:cs="Tahoma"/>
      <w:sz w:val="16"/>
      <w:szCs w:val="16"/>
    </w:rPr>
  </w:style>
  <w:style w:type="paragraph" w:styleId="CommentSubject">
    <w:name w:val="annotation subject"/>
    <w:basedOn w:val="CommentText"/>
    <w:next w:val="CommentText"/>
    <w:semiHidden/>
    <w:rsid w:val="00253746"/>
    <w:pPr>
      <w:spacing w:after="0"/>
      <w:ind w:right="0"/>
    </w:pPr>
    <w:rPr>
      <w:b/>
      <w:bCs/>
      <w:lang w:val="en-GB"/>
    </w:rPr>
  </w:style>
  <w:style w:type="paragraph" w:customStyle="1" w:styleId="PA-KopfZ1">
    <w:name w:val="PA-Kopf_Z1"/>
    <w:basedOn w:val="Normal"/>
    <w:rsid w:val="009F19BC"/>
    <w:pPr>
      <w:tabs>
        <w:tab w:val="left" w:pos="2410"/>
        <w:tab w:val="right" w:pos="8789"/>
      </w:tabs>
      <w:spacing w:line="220" w:lineRule="exact"/>
    </w:pPr>
    <w:rPr>
      <w:b/>
    </w:rPr>
  </w:style>
  <w:style w:type="character" w:styleId="LineNumber">
    <w:name w:val="line number"/>
    <w:basedOn w:val="DefaultParagraphFont"/>
    <w:rsid w:val="00ED43C5"/>
  </w:style>
  <w:style w:type="table" w:styleId="TableGrid">
    <w:name w:val="Table Grid"/>
    <w:basedOn w:val="TableNormal"/>
    <w:rsid w:val="00665D6C"/>
    <w:pPr>
      <w:spacing w:after="240"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prechblasentext2">
    <w:name w:val="Sprechblasentext2"/>
    <w:basedOn w:val="Normal"/>
    <w:semiHidden/>
    <w:rsid w:val="00D8649E"/>
    <w:rPr>
      <w:rFonts w:ascii="Tahoma" w:hAnsi="Tahoma" w:cs="Tahoma"/>
      <w:sz w:val="16"/>
      <w:szCs w:val="16"/>
      <w:lang w:val="de-DE" w:eastAsia="de-DE"/>
    </w:rPr>
  </w:style>
  <w:style w:type="paragraph" w:customStyle="1" w:styleId="TblFigFootnote">
    <w:name w:val="Tbl Fig Footnote"/>
    <w:basedOn w:val="Normal"/>
    <w:rsid w:val="002654D9"/>
    <w:pPr>
      <w:keepNext/>
      <w:keepLines/>
    </w:pPr>
    <w:rPr>
      <w:sz w:val="18"/>
    </w:rPr>
  </w:style>
  <w:style w:type="paragraph" w:customStyle="1" w:styleId="FormatvorlagepyFett">
    <w:name w:val="Formatvorlage py + Fett"/>
    <w:basedOn w:val="Normal"/>
    <w:rsid w:val="0050152D"/>
    <w:pPr>
      <w:overflowPunct w:val="0"/>
      <w:autoSpaceDE w:val="0"/>
      <w:autoSpaceDN w:val="0"/>
      <w:adjustRightInd w:val="0"/>
      <w:spacing w:after="60"/>
      <w:textAlignment w:val="baseline"/>
    </w:pPr>
    <w:rPr>
      <w:rFonts w:ascii="Arial" w:hAnsi="Arial" w:cs="Arial"/>
      <w:b/>
      <w:bCs/>
      <w:szCs w:val="22"/>
      <w:lang w:eastAsia="zh-CN"/>
    </w:rPr>
  </w:style>
  <w:style w:type="paragraph" w:styleId="ListBullet">
    <w:name w:val="List Bullet"/>
    <w:basedOn w:val="Normal"/>
    <w:autoRedefine/>
    <w:rsid w:val="0050152D"/>
    <w:pPr>
      <w:numPr>
        <w:numId w:val="1"/>
      </w:numPr>
    </w:pPr>
  </w:style>
  <w:style w:type="character" w:styleId="Hyperlink">
    <w:name w:val="Hyperlink"/>
    <w:basedOn w:val="DefaultParagraphFont"/>
    <w:rsid w:val="00665D6C"/>
    <w:rPr>
      <w:color w:val="0000FF"/>
      <w:u w:val="none"/>
    </w:rPr>
  </w:style>
  <w:style w:type="paragraph" w:styleId="DocumentMap">
    <w:name w:val="Document Map"/>
    <w:basedOn w:val="Normal"/>
    <w:semiHidden/>
    <w:rsid w:val="00B442F0"/>
    <w:pPr>
      <w:shd w:val="clear" w:color="auto" w:fill="000080"/>
    </w:pPr>
    <w:rPr>
      <w:rFonts w:ascii="Tahoma" w:hAnsi="Tahoma" w:cs="Tahoma"/>
      <w:sz w:val="20"/>
    </w:rPr>
  </w:style>
  <w:style w:type="paragraph" w:customStyle="1" w:styleId="Sprechblasentext3">
    <w:name w:val="Sprechblasentext3"/>
    <w:basedOn w:val="Normal"/>
    <w:semiHidden/>
    <w:rsid w:val="004A198C"/>
    <w:rPr>
      <w:rFonts w:ascii="Tahoma" w:hAnsi="Tahoma" w:cs="Tahoma"/>
      <w:sz w:val="16"/>
      <w:szCs w:val="16"/>
      <w:lang w:val="de-DE" w:eastAsia="de-DE"/>
    </w:rPr>
  </w:style>
  <w:style w:type="character" w:customStyle="1" w:styleId="CommentTextChar">
    <w:name w:val="Comment Text Char"/>
    <w:basedOn w:val="DefaultParagraphFont"/>
    <w:link w:val="CommentText"/>
    <w:semiHidden/>
    <w:rsid w:val="008F3D69"/>
    <w:rPr>
      <w:lang w:val="en-AU" w:eastAsia="de-CH" w:bidi="ar-SA"/>
    </w:rPr>
  </w:style>
  <w:style w:type="paragraph" w:styleId="Revision">
    <w:name w:val="Revision"/>
    <w:hidden/>
    <w:uiPriority w:val="99"/>
    <w:semiHidden/>
    <w:rsid w:val="001F3AD5"/>
    <w:rPr>
      <w:sz w:val="22"/>
      <w:lang w:val="en-GB" w:eastAsia="de-CH"/>
    </w:rPr>
  </w:style>
  <w:style w:type="paragraph" w:customStyle="1" w:styleId="Default">
    <w:name w:val="Default"/>
    <w:rsid w:val="00DE794B"/>
    <w:pPr>
      <w:autoSpaceDE w:val="0"/>
      <w:autoSpaceDN w:val="0"/>
      <w:adjustRightInd w:val="0"/>
    </w:pPr>
    <w:rPr>
      <w:rFonts w:eastAsiaTheme="minorHAnsi"/>
      <w:color w:val="000000"/>
      <w:sz w:val="24"/>
      <w:szCs w:val="24"/>
      <w:lang w:eastAsia="en-US"/>
    </w:rPr>
  </w:style>
  <w:style w:type="character" w:customStyle="1" w:styleId="A1">
    <w:name w:val="A1"/>
    <w:uiPriority w:val="99"/>
    <w:rsid w:val="00BF2FD3"/>
    <w:rPr>
      <w:rFonts w:cs="HelveticaNeueLT Std Lt"/>
      <w:color w:val="221E1F"/>
      <w:sz w:val="20"/>
      <w:szCs w:val="20"/>
    </w:rPr>
  </w:style>
  <w:style w:type="paragraph" w:styleId="ListParagraph">
    <w:name w:val="List Paragraph"/>
    <w:basedOn w:val="Normal"/>
    <w:uiPriority w:val="34"/>
    <w:qFormat/>
    <w:rsid w:val="00D858B4"/>
    <w:pPr>
      <w:ind w:left="720"/>
      <w:contextualSpacing/>
    </w:pPr>
  </w:style>
  <w:style w:type="paragraph" w:styleId="Title">
    <w:name w:val="Title"/>
    <w:basedOn w:val="DocumentText"/>
    <w:next w:val="DocumentText"/>
    <w:link w:val="TitleChar"/>
    <w:qFormat/>
    <w:rsid w:val="00665D6C"/>
    <w:pPr>
      <w:keepNext/>
      <w:keepLines/>
      <w:spacing w:after="0"/>
      <w:jc w:val="center"/>
    </w:pPr>
    <w:rPr>
      <w:rFonts w:ascii="Times New Roman Bold" w:hAnsi="Times New Roman Bold" w:cs="Arial"/>
      <w:b/>
      <w:bCs/>
      <w:kern w:val="28"/>
      <w:sz w:val="28"/>
      <w:szCs w:val="28"/>
    </w:rPr>
  </w:style>
  <w:style w:type="character" w:customStyle="1" w:styleId="TitleChar">
    <w:name w:val="Title Char"/>
    <w:basedOn w:val="DefaultParagraphFont"/>
    <w:link w:val="Title"/>
    <w:rsid w:val="0067482B"/>
    <w:rPr>
      <w:rFonts w:ascii="Times New Roman Bold" w:hAnsi="Times New Roman Bold" w:cs="Arial"/>
      <w:b/>
      <w:bCs/>
      <w:kern w:val="28"/>
      <w:sz w:val="28"/>
      <w:szCs w:val="28"/>
      <w:lang w:val="en-US" w:eastAsia="en-US"/>
    </w:rPr>
  </w:style>
  <w:style w:type="paragraph" w:customStyle="1" w:styleId="LAFISPCNormal">
    <w:name w:val="LA_FI_SPC_Normal"/>
    <w:basedOn w:val="Normal"/>
    <w:rsid w:val="009A1C89"/>
    <w:pPr>
      <w:tabs>
        <w:tab w:val="left" w:pos="567"/>
      </w:tabs>
      <w:spacing w:line="120" w:lineRule="auto"/>
      <w:ind w:left="567"/>
    </w:pPr>
  </w:style>
  <w:style w:type="paragraph" w:customStyle="1" w:styleId="DocumentText">
    <w:name w:val="Document Text"/>
    <w:basedOn w:val="Normal"/>
    <w:rsid w:val="00665D6C"/>
  </w:style>
  <w:style w:type="paragraph" w:customStyle="1" w:styleId="ListBulleted">
    <w:name w:val="List Bulleted"/>
    <w:basedOn w:val="DocumentText"/>
    <w:rsid w:val="00665D6C"/>
    <w:pPr>
      <w:keepLines/>
      <w:numPr>
        <w:numId w:val="2"/>
      </w:numPr>
      <w:adjustRightInd w:val="0"/>
      <w:spacing w:before="120" w:after="120"/>
    </w:pPr>
  </w:style>
  <w:style w:type="paragraph" w:customStyle="1" w:styleId="ListNumbered">
    <w:name w:val="List Numbered"/>
    <w:basedOn w:val="DocumentText"/>
    <w:rsid w:val="00665D6C"/>
    <w:pPr>
      <w:keepLines/>
      <w:numPr>
        <w:numId w:val="4"/>
      </w:numPr>
      <w:snapToGrid w:val="0"/>
      <w:spacing w:before="120" w:after="120"/>
    </w:pPr>
  </w:style>
  <w:style w:type="paragraph" w:customStyle="1" w:styleId="TableTitleContinued">
    <w:name w:val="Table Title Continued"/>
    <w:basedOn w:val="DocumentText"/>
    <w:next w:val="DocumentText"/>
    <w:rsid w:val="00665D6C"/>
    <w:pPr>
      <w:keepNext/>
      <w:spacing w:before="240" w:after="120" w:line="240" w:lineRule="auto"/>
      <w:ind w:left="2160" w:hanging="2160"/>
    </w:pPr>
    <w:rPr>
      <w:b/>
      <w:bCs/>
    </w:rPr>
  </w:style>
  <w:style w:type="paragraph" w:customStyle="1" w:styleId="TableFootnote">
    <w:name w:val="Table Footnote"/>
    <w:basedOn w:val="DocumentText"/>
    <w:next w:val="DocumentText"/>
    <w:rsid w:val="00665D6C"/>
    <w:pPr>
      <w:keepNext/>
      <w:keepLines/>
      <w:spacing w:before="40" w:after="0" w:line="240" w:lineRule="auto"/>
      <w:ind w:left="360" w:hanging="360"/>
    </w:pPr>
    <w:rPr>
      <w:kern w:val="20"/>
      <w:sz w:val="20"/>
      <w:szCs w:val="20"/>
    </w:rPr>
  </w:style>
  <w:style w:type="paragraph" w:customStyle="1" w:styleId="TableCellHeading12pt">
    <w:name w:val="Table Cell Heading 12pt"/>
    <w:basedOn w:val="DocumentText"/>
    <w:rsid w:val="00665D6C"/>
    <w:pPr>
      <w:keepNext/>
      <w:spacing w:before="40" w:after="40" w:line="240" w:lineRule="auto"/>
      <w:jc w:val="center"/>
    </w:pPr>
    <w:rPr>
      <w:b/>
    </w:rPr>
  </w:style>
  <w:style w:type="paragraph" w:customStyle="1" w:styleId="TableCellHeading10pt">
    <w:name w:val="Table Cell Heading 10pt"/>
    <w:basedOn w:val="TableCellHeading12pt"/>
    <w:rsid w:val="00665D6C"/>
    <w:rPr>
      <w:kern w:val="20"/>
      <w:sz w:val="20"/>
    </w:rPr>
  </w:style>
  <w:style w:type="paragraph" w:styleId="TableofFigures">
    <w:name w:val="table of figures"/>
    <w:basedOn w:val="Normal"/>
    <w:next w:val="Normal"/>
    <w:rsid w:val="00665D6C"/>
    <w:pPr>
      <w:spacing w:line="240" w:lineRule="auto"/>
      <w:ind w:left="1440" w:hanging="1440"/>
    </w:pPr>
  </w:style>
  <w:style w:type="paragraph" w:customStyle="1" w:styleId="TableCellText12pt">
    <w:name w:val="Table Cell Text 12pt"/>
    <w:basedOn w:val="DocumentText"/>
    <w:rsid w:val="00665D6C"/>
    <w:pPr>
      <w:keepNext/>
      <w:spacing w:before="40" w:after="40" w:line="240" w:lineRule="auto"/>
    </w:pPr>
  </w:style>
  <w:style w:type="paragraph" w:customStyle="1" w:styleId="TableCellText10pt">
    <w:name w:val="Table Cell Text 10pt"/>
    <w:basedOn w:val="TableCellText12pt"/>
    <w:rsid w:val="00665D6C"/>
    <w:rPr>
      <w:sz w:val="20"/>
    </w:rPr>
  </w:style>
  <w:style w:type="paragraph" w:customStyle="1" w:styleId="TableCellText09pt">
    <w:name w:val="Table Cell Text 09pt"/>
    <w:basedOn w:val="TableCellText10pt"/>
    <w:rsid w:val="00665D6C"/>
    <w:rPr>
      <w:sz w:val="18"/>
    </w:rPr>
  </w:style>
  <w:style w:type="paragraph" w:customStyle="1" w:styleId="TOCTitle">
    <w:name w:val="TOC Title"/>
    <w:basedOn w:val="Title"/>
    <w:next w:val="DocumentText"/>
    <w:rsid w:val="00665D6C"/>
    <w:pPr>
      <w:outlineLvl w:val="0"/>
    </w:pPr>
  </w:style>
  <w:style w:type="paragraph" w:customStyle="1" w:styleId="Guidance">
    <w:name w:val="Guidance"/>
    <w:basedOn w:val="DocumentText"/>
    <w:qFormat/>
    <w:rsid w:val="00665D6C"/>
  </w:style>
  <w:style w:type="paragraph" w:customStyle="1" w:styleId="StandardRAL-GB">
    <w:name w:val="Standard_RAL-GB"/>
    <w:basedOn w:val="Normal"/>
    <w:link w:val="StandardRAL-GBChar"/>
    <w:rsid w:val="00F77781"/>
    <w:pPr>
      <w:topLinePunct/>
      <w:spacing w:after="0" w:line="240" w:lineRule="auto"/>
    </w:pPr>
    <w:rPr>
      <w:kern w:val="0"/>
      <w:lang w:val="en-GB"/>
    </w:rPr>
  </w:style>
  <w:style w:type="character" w:customStyle="1" w:styleId="StandardRAL-GBChar">
    <w:name w:val="Standard_RAL-GB Char"/>
    <w:link w:val="StandardRAL-GB"/>
    <w:rsid w:val="00F77781"/>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70097">
      <w:bodyDiv w:val="1"/>
      <w:marLeft w:val="0"/>
      <w:marRight w:val="0"/>
      <w:marTop w:val="0"/>
      <w:marBottom w:val="0"/>
      <w:divBdr>
        <w:top w:val="none" w:sz="0" w:space="0" w:color="auto"/>
        <w:left w:val="none" w:sz="0" w:space="0" w:color="auto"/>
        <w:bottom w:val="none" w:sz="0" w:space="0" w:color="auto"/>
        <w:right w:val="none" w:sz="0" w:space="0" w:color="auto"/>
      </w:divBdr>
    </w:div>
    <w:div w:id="652485099">
      <w:bodyDiv w:val="1"/>
      <w:marLeft w:val="0"/>
      <w:marRight w:val="0"/>
      <w:marTop w:val="0"/>
      <w:marBottom w:val="0"/>
      <w:divBdr>
        <w:top w:val="none" w:sz="0" w:space="0" w:color="auto"/>
        <w:left w:val="none" w:sz="0" w:space="0" w:color="auto"/>
        <w:bottom w:val="none" w:sz="0" w:space="0" w:color="auto"/>
        <w:right w:val="none" w:sz="0" w:space="0" w:color="auto"/>
      </w:divBdr>
    </w:div>
    <w:div w:id="1019819800">
      <w:bodyDiv w:val="1"/>
      <w:marLeft w:val="0"/>
      <w:marRight w:val="0"/>
      <w:marTop w:val="0"/>
      <w:marBottom w:val="0"/>
      <w:divBdr>
        <w:top w:val="none" w:sz="0" w:space="0" w:color="auto"/>
        <w:left w:val="none" w:sz="0" w:space="0" w:color="auto"/>
        <w:bottom w:val="none" w:sz="0" w:space="0" w:color="auto"/>
        <w:right w:val="none" w:sz="0" w:space="0" w:color="auto"/>
      </w:divBdr>
    </w:div>
    <w:div w:id="131179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FF6AD-D42A-420F-A84E-B55C35453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3658</Words>
  <Characters>21002</Characters>
  <Application>Microsoft Office Word</Application>
  <DocSecurity>0</DocSecurity>
  <Lines>381</Lines>
  <Paragraphs>168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IgPro10 PI</vt:lpstr>
      <vt:lpstr>IgPro10 PI</vt:lpstr>
    </vt:vector>
  </TitlesOfParts>
  <Company>CSL Behring Ltd</Company>
  <LinksUpToDate>false</LinksUpToDate>
  <CharactersWithSpaces>24492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Hizentra</dc:title>
  <dc:subject>prescription medicine regulation</dc:subject>
  <dc:creator>CSL Behring Ltd</dc:creator>
  <cp:keywords>pi, product information, prescription, medicine, regulation, australia, hizentra, normal immunoglobulin, human</cp:keywords>
  <dc:description/>
  <cp:lastModifiedBy>Sheppard, Fran</cp:lastModifiedBy>
  <cp:revision>4</cp:revision>
  <cp:lastPrinted>2013-10-21T23:47:00Z</cp:lastPrinted>
  <dcterms:created xsi:type="dcterms:W3CDTF">2014-05-22T01:41:00Z</dcterms:created>
  <dcterms:modified xsi:type="dcterms:W3CDTF">2014-07-10T02:31:00Z</dcterms:modified>
</cp:coreProperties>
</file>