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595369" w:rsidP="00595369">
            <w:pPr>
              <w:rPr>
                <w:rFonts w:ascii="Arial" w:hAnsi="Arial" w:cs="Arial"/>
                <w:b/>
                <w:color w:val="002C47"/>
                <w:sz w:val="36"/>
                <w:szCs w:val="36"/>
              </w:rPr>
            </w:pPr>
            <w:bookmarkStart w:id="0" w:name="_GoBack"/>
            <w:bookmarkEnd w:id="0"/>
            <w:r>
              <w:rPr>
                <w:rFonts w:ascii="Arial" w:hAnsi="Arial" w:cs="Arial"/>
                <w:b/>
                <w:color w:val="002C47"/>
                <w:sz w:val="36"/>
                <w:szCs w:val="36"/>
              </w:rPr>
              <w:t xml:space="preserve">April </w:t>
            </w:r>
            <w:r w:rsidR="00685261">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C24627">
            <w:pPr>
              <w:pStyle w:val="Title"/>
              <w:rPr>
                <w:color w:val="FFFFFF" w:themeColor="background1"/>
              </w:rPr>
            </w:pPr>
            <w:r w:rsidRPr="00A964D1">
              <w:rPr>
                <w:color w:val="FFFFFF" w:themeColor="background1"/>
              </w:rPr>
              <w:t xml:space="preserve">Australian Public Assessment Report for </w:t>
            </w:r>
            <w:proofErr w:type="spellStart"/>
            <w:r w:rsidR="00001C89">
              <w:rPr>
                <w:color w:val="FFFFFF" w:themeColor="background1"/>
              </w:rPr>
              <w:t>n</w:t>
            </w:r>
            <w:r w:rsidR="00C24627">
              <w:rPr>
                <w:color w:val="FFFFFF" w:themeColor="background1"/>
              </w:rPr>
              <w:t>o</w:t>
            </w:r>
            <w:r w:rsidR="00001C89">
              <w:rPr>
                <w:color w:val="FFFFFF" w:themeColor="background1"/>
              </w:rPr>
              <w:t>n</w:t>
            </w:r>
            <w:r w:rsidR="00C24627">
              <w:rPr>
                <w:color w:val="FFFFFF" w:themeColor="background1"/>
              </w:rPr>
              <w:t>a</w:t>
            </w:r>
            <w:r w:rsidR="00001C89">
              <w:rPr>
                <w:color w:val="FFFFFF" w:themeColor="background1"/>
              </w:rPr>
              <w:t>cog</w:t>
            </w:r>
            <w:proofErr w:type="spellEnd"/>
            <w:r w:rsidR="00001C89">
              <w:rPr>
                <w:color w:val="FFFFFF" w:themeColor="background1"/>
              </w:rPr>
              <w:t xml:space="preserve"> gamma</w:t>
            </w:r>
          </w:p>
        </w:tc>
      </w:tr>
      <w:tr w:rsidR="0032583B" w:rsidRPr="00B64760" w:rsidTr="0032583B">
        <w:tc>
          <w:tcPr>
            <w:tcW w:w="9079" w:type="dxa"/>
          </w:tcPr>
          <w:p w:rsidR="0032583B" w:rsidRPr="008E7846" w:rsidRDefault="0032583B" w:rsidP="00685261">
            <w:pPr>
              <w:pStyle w:val="Subtitle"/>
              <w:rPr>
                <w:color w:val="FFFFFF" w:themeColor="background1"/>
              </w:rPr>
            </w:pPr>
            <w:r w:rsidRPr="008E7846">
              <w:rPr>
                <w:color w:val="FFFFFF" w:themeColor="background1"/>
              </w:rPr>
              <w:t xml:space="preserve">Proprietary Product Name: </w:t>
            </w:r>
            <w:r w:rsidR="0051223A">
              <w:rPr>
                <w:color w:val="FFFFFF" w:themeColor="background1"/>
              </w:rPr>
              <w:t>Rixubis</w:t>
            </w:r>
          </w:p>
        </w:tc>
      </w:tr>
      <w:tr w:rsidR="0032583B" w:rsidRPr="00B64760" w:rsidTr="0032583B">
        <w:trPr>
          <w:trHeight w:val="486"/>
        </w:trPr>
        <w:tc>
          <w:tcPr>
            <w:tcW w:w="9079" w:type="dxa"/>
          </w:tcPr>
          <w:p w:rsidR="0032583B" w:rsidRPr="008E7846" w:rsidRDefault="0032583B" w:rsidP="00685261">
            <w:pPr>
              <w:pStyle w:val="Subtitle"/>
              <w:rPr>
                <w:color w:val="FFFFFF" w:themeColor="background1"/>
              </w:rPr>
            </w:pPr>
            <w:r w:rsidRPr="008E7846">
              <w:rPr>
                <w:color w:val="FFFFFF" w:themeColor="background1"/>
              </w:rPr>
              <w:t xml:space="preserve">Sponsor: </w:t>
            </w:r>
            <w:r w:rsidR="00685261">
              <w:rPr>
                <w:color w:val="FFFFFF" w:themeColor="background1"/>
              </w:rPr>
              <w:t>Baxter Healthcare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BD30D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BD30D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BD30D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BD30D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BD30DA">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BD30DA">
      <w:pPr>
        <w:pStyle w:val="ListBullet"/>
        <w:numPr>
          <w:ilvl w:val="0"/>
          <w:numId w:val="1"/>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BD30DA">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BD30DA">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BD30DA">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BD30DA">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D3C54" w:rsidRDefault="00CF4B68">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7924264" w:history="1">
            <w:r w:rsidR="00ED3C54" w:rsidRPr="00513726">
              <w:rPr>
                <w:rStyle w:val="Hyperlink"/>
                <w:noProof/>
              </w:rPr>
              <w:t>List of common abbreviations</w:t>
            </w:r>
            <w:r w:rsidR="00ED3C54">
              <w:rPr>
                <w:noProof/>
                <w:webHidden/>
              </w:rPr>
              <w:tab/>
            </w:r>
            <w:r w:rsidR="00ED3C54">
              <w:rPr>
                <w:noProof/>
                <w:webHidden/>
              </w:rPr>
              <w:fldChar w:fldCharType="begin"/>
            </w:r>
            <w:r w:rsidR="00ED3C54">
              <w:rPr>
                <w:noProof/>
                <w:webHidden/>
              </w:rPr>
              <w:instrText xml:space="preserve"> PAGEREF _Toc387924264 \h </w:instrText>
            </w:r>
            <w:r w:rsidR="00ED3C54">
              <w:rPr>
                <w:noProof/>
                <w:webHidden/>
              </w:rPr>
            </w:r>
            <w:r w:rsidR="00ED3C54">
              <w:rPr>
                <w:noProof/>
                <w:webHidden/>
              </w:rPr>
              <w:fldChar w:fldCharType="separate"/>
            </w:r>
            <w:r w:rsidR="00ED3C54">
              <w:rPr>
                <w:noProof/>
                <w:webHidden/>
              </w:rPr>
              <w:t>5</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65" w:history="1">
            <w:r w:rsidR="00ED3C54" w:rsidRPr="00513726">
              <w:rPr>
                <w:rStyle w:val="Hyperlink"/>
                <w:noProof/>
              </w:rPr>
              <w:t>I. Introduction to product submission</w:t>
            </w:r>
            <w:r w:rsidR="00ED3C54">
              <w:rPr>
                <w:noProof/>
                <w:webHidden/>
              </w:rPr>
              <w:tab/>
            </w:r>
            <w:r w:rsidR="00ED3C54">
              <w:rPr>
                <w:noProof/>
                <w:webHidden/>
              </w:rPr>
              <w:fldChar w:fldCharType="begin"/>
            </w:r>
            <w:r w:rsidR="00ED3C54">
              <w:rPr>
                <w:noProof/>
                <w:webHidden/>
              </w:rPr>
              <w:instrText xml:space="preserve"> PAGEREF _Toc387924265 \h </w:instrText>
            </w:r>
            <w:r w:rsidR="00ED3C54">
              <w:rPr>
                <w:noProof/>
                <w:webHidden/>
              </w:rPr>
            </w:r>
            <w:r w:rsidR="00ED3C54">
              <w:rPr>
                <w:noProof/>
                <w:webHidden/>
              </w:rPr>
              <w:fldChar w:fldCharType="separate"/>
            </w:r>
            <w:r w:rsidR="00ED3C54">
              <w:rPr>
                <w:noProof/>
                <w:webHidden/>
              </w:rPr>
              <w:t>7</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66" w:history="1">
            <w:r w:rsidR="00ED3C54" w:rsidRPr="00513726">
              <w:rPr>
                <w:rStyle w:val="Hyperlink"/>
                <w:noProof/>
                <w:lang w:eastAsia="en-AU"/>
              </w:rPr>
              <w:t>Submission details</w:t>
            </w:r>
            <w:r w:rsidR="00ED3C54">
              <w:rPr>
                <w:noProof/>
                <w:webHidden/>
              </w:rPr>
              <w:tab/>
            </w:r>
            <w:r w:rsidR="00ED3C54">
              <w:rPr>
                <w:noProof/>
                <w:webHidden/>
              </w:rPr>
              <w:fldChar w:fldCharType="begin"/>
            </w:r>
            <w:r w:rsidR="00ED3C54">
              <w:rPr>
                <w:noProof/>
                <w:webHidden/>
              </w:rPr>
              <w:instrText xml:space="preserve"> PAGEREF _Toc387924266 \h </w:instrText>
            </w:r>
            <w:r w:rsidR="00ED3C54">
              <w:rPr>
                <w:noProof/>
                <w:webHidden/>
              </w:rPr>
            </w:r>
            <w:r w:rsidR="00ED3C54">
              <w:rPr>
                <w:noProof/>
                <w:webHidden/>
              </w:rPr>
              <w:fldChar w:fldCharType="separate"/>
            </w:r>
            <w:r w:rsidR="00ED3C54">
              <w:rPr>
                <w:noProof/>
                <w:webHidden/>
              </w:rPr>
              <w:t>7</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67" w:history="1">
            <w:r w:rsidR="00ED3C54" w:rsidRPr="00513726">
              <w:rPr>
                <w:rStyle w:val="Hyperlink"/>
                <w:noProof/>
              </w:rPr>
              <w:t>Product background</w:t>
            </w:r>
            <w:r w:rsidR="00ED3C54">
              <w:rPr>
                <w:noProof/>
                <w:webHidden/>
              </w:rPr>
              <w:tab/>
            </w:r>
            <w:r w:rsidR="00ED3C54">
              <w:rPr>
                <w:noProof/>
                <w:webHidden/>
              </w:rPr>
              <w:fldChar w:fldCharType="begin"/>
            </w:r>
            <w:r w:rsidR="00ED3C54">
              <w:rPr>
                <w:noProof/>
                <w:webHidden/>
              </w:rPr>
              <w:instrText xml:space="preserve"> PAGEREF _Toc387924267 \h </w:instrText>
            </w:r>
            <w:r w:rsidR="00ED3C54">
              <w:rPr>
                <w:noProof/>
                <w:webHidden/>
              </w:rPr>
            </w:r>
            <w:r w:rsidR="00ED3C54">
              <w:rPr>
                <w:noProof/>
                <w:webHidden/>
              </w:rPr>
              <w:fldChar w:fldCharType="separate"/>
            </w:r>
            <w:r w:rsidR="00ED3C54">
              <w:rPr>
                <w:noProof/>
                <w:webHidden/>
              </w:rPr>
              <w:t>7</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68" w:history="1">
            <w:r w:rsidR="00ED3C54" w:rsidRPr="00513726">
              <w:rPr>
                <w:rStyle w:val="Hyperlink"/>
                <w:noProof/>
              </w:rPr>
              <w:t>Regulatory status</w:t>
            </w:r>
            <w:r w:rsidR="00ED3C54">
              <w:rPr>
                <w:noProof/>
                <w:webHidden/>
              </w:rPr>
              <w:tab/>
            </w:r>
            <w:r w:rsidR="00ED3C54">
              <w:rPr>
                <w:noProof/>
                <w:webHidden/>
              </w:rPr>
              <w:fldChar w:fldCharType="begin"/>
            </w:r>
            <w:r w:rsidR="00ED3C54">
              <w:rPr>
                <w:noProof/>
                <w:webHidden/>
              </w:rPr>
              <w:instrText xml:space="preserve"> PAGEREF _Toc387924268 \h </w:instrText>
            </w:r>
            <w:r w:rsidR="00ED3C54">
              <w:rPr>
                <w:noProof/>
                <w:webHidden/>
              </w:rPr>
            </w:r>
            <w:r w:rsidR="00ED3C54">
              <w:rPr>
                <w:noProof/>
                <w:webHidden/>
              </w:rPr>
              <w:fldChar w:fldCharType="separate"/>
            </w:r>
            <w:r w:rsidR="00ED3C54">
              <w:rPr>
                <w:noProof/>
                <w:webHidden/>
              </w:rPr>
              <w:t>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69" w:history="1">
            <w:r w:rsidR="00ED3C54" w:rsidRPr="00513726">
              <w:rPr>
                <w:rStyle w:val="Hyperlink"/>
                <w:noProof/>
              </w:rPr>
              <w:t>Product Information</w:t>
            </w:r>
            <w:r w:rsidR="00ED3C54">
              <w:rPr>
                <w:noProof/>
                <w:webHidden/>
              </w:rPr>
              <w:tab/>
            </w:r>
            <w:r w:rsidR="00ED3C54">
              <w:rPr>
                <w:noProof/>
                <w:webHidden/>
              </w:rPr>
              <w:fldChar w:fldCharType="begin"/>
            </w:r>
            <w:r w:rsidR="00ED3C54">
              <w:rPr>
                <w:noProof/>
                <w:webHidden/>
              </w:rPr>
              <w:instrText xml:space="preserve"> PAGEREF _Toc387924269 \h </w:instrText>
            </w:r>
            <w:r w:rsidR="00ED3C54">
              <w:rPr>
                <w:noProof/>
                <w:webHidden/>
              </w:rPr>
            </w:r>
            <w:r w:rsidR="00ED3C54">
              <w:rPr>
                <w:noProof/>
                <w:webHidden/>
              </w:rPr>
              <w:fldChar w:fldCharType="separate"/>
            </w:r>
            <w:r w:rsidR="00ED3C54">
              <w:rPr>
                <w:noProof/>
                <w:webHidden/>
              </w:rPr>
              <w:t>9</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70" w:history="1">
            <w:r w:rsidR="00ED3C54" w:rsidRPr="00513726">
              <w:rPr>
                <w:rStyle w:val="Hyperlink"/>
                <w:noProof/>
              </w:rPr>
              <w:t>Quality findings</w:t>
            </w:r>
            <w:r w:rsidR="00ED3C54">
              <w:rPr>
                <w:noProof/>
                <w:webHidden/>
              </w:rPr>
              <w:tab/>
            </w:r>
            <w:r w:rsidR="00ED3C54">
              <w:rPr>
                <w:noProof/>
                <w:webHidden/>
              </w:rPr>
              <w:fldChar w:fldCharType="begin"/>
            </w:r>
            <w:r w:rsidR="00ED3C54">
              <w:rPr>
                <w:noProof/>
                <w:webHidden/>
              </w:rPr>
              <w:instrText xml:space="preserve"> PAGEREF _Toc387924270 \h </w:instrText>
            </w:r>
            <w:r w:rsidR="00ED3C54">
              <w:rPr>
                <w:noProof/>
                <w:webHidden/>
              </w:rPr>
            </w:r>
            <w:r w:rsidR="00ED3C54">
              <w:rPr>
                <w:noProof/>
                <w:webHidden/>
              </w:rPr>
              <w:fldChar w:fldCharType="separate"/>
            </w:r>
            <w:r w:rsidR="00ED3C54">
              <w:rPr>
                <w:noProof/>
                <w:webHidden/>
              </w:rPr>
              <w:t>9</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1" w:history="1">
            <w:r w:rsidR="00ED3C54" w:rsidRPr="00513726">
              <w:rPr>
                <w:rStyle w:val="Hyperlink"/>
                <w:noProof/>
              </w:rPr>
              <w:t>Drug substance</w:t>
            </w:r>
            <w:r w:rsidR="00ED3C54">
              <w:rPr>
                <w:noProof/>
                <w:webHidden/>
              </w:rPr>
              <w:tab/>
            </w:r>
            <w:r w:rsidR="00ED3C54">
              <w:rPr>
                <w:noProof/>
                <w:webHidden/>
              </w:rPr>
              <w:fldChar w:fldCharType="begin"/>
            </w:r>
            <w:r w:rsidR="00ED3C54">
              <w:rPr>
                <w:noProof/>
                <w:webHidden/>
              </w:rPr>
              <w:instrText xml:space="preserve"> PAGEREF _Toc387924271 \h </w:instrText>
            </w:r>
            <w:r w:rsidR="00ED3C54">
              <w:rPr>
                <w:noProof/>
                <w:webHidden/>
              </w:rPr>
            </w:r>
            <w:r w:rsidR="00ED3C54">
              <w:rPr>
                <w:noProof/>
                <w:webHidden/>
              </w:rPr>
              <w:fldChar w:fldCharType="separate"/>
            </w:r>
            <w:r w:rsidR="00ED3C54">
              <w:rPr>
                <w:noProof/>
                <w:webHidden/>
              </w:rPr>
              <w:t>9</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2" w:history="1">
            <w:r w:rsidR="00ED3C54" w:rsidRPr="00513726">
              <w:rPr>
                <w:rStyle w:val="Hyperlink"/>
                <w:noProof/>
              </w:rPr>
              <w:t>Drug product</w:t>
            </w:r>
            <w:r w:rsidR="00ED3C54">
              <w:rPr>
                <w:noProof/>
                <w:webHidden/>
              </w:rPr>
              <w:tab/>
            </w:r>
            <w:r w:rsidR="00ED3C54">
              <w:rPr>
                <w:noProof/>
                <w:webHidden/>
              </w:rPr>
              <w:fldChar w:fldCharType="begin"/>
            </w:r>
            <w:r w:rsidR="00ED3C54">
              <w:rPr>
                <w:noProof/>
                <w:webHidden/>
              </w:rPr>
              <w:instrText xml:space="preserve"> PAGEREF _Toc387924272 \h </w:instrText>
            </w:r>
            <w:r w:rsidR="00ED3C54">
              <w:rPr>
                <w:noProof/>
                <w:webHidden/>
              </w:rPr>
            </w:r>
            <w:r w:rsidR="00ED3C54">
              <w:rPr>
                <w:noProof/>
                <w:webHidden/>
              </w:rPr>
              <w:fldChar w:fldCharType="separate"/>
            </w:r>
            <w:r w:rsidR="00ED3C54">
              <w:rPr>
                <w:noProof/>
                <w:webHidden/>
              </w:rPr>
              <w:t>10</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3" w:history="1">
            <w:r w:rsidR="00ED3C54" w:rsidRPr="00513726">
              <w:rPr>
                <w:rStyle w:val="Hyperlink"/>
                <w:noProof/>
              </w:rPr>
              <w:t>Quality summary and conclusions</w:t>
            </w:r>
            <w:r w:rsidR="00ED3C54">
              <w:rPr>
                <w:noProof/>
                <w:webHidden/>
              </w:rPr>
              <w:tab/>
            </w:r>
            <w:r w:rsidR="00ED3C54">
              <w:rPr>
                <w:noProof/>
                <w:webHidden/>
              </w:rPr>
              <w:fldChar w:fldCharType="begin"/>
            </w:r>
            <w:r w:rsidR="00ED3C54">
              <w:rPr>
                <w:noProof/>
                <w:webHidden/>
              </w:rPr>
              <w:instrText xml:space="preserve"> PAGEREF _Toc387924273 \h </w:instrText>
            </w:r>
            <w:r w:rsidR="00ED3C54">
              <w:rPr>
                <w:noProof/>
                <w:webHidden/>
              </w:rPr>
            </w:r>
            <w:r w:rsidR="00ED3C54">
              <w:rPr>
                <w:noProof/>
                <w:webHidden/>
              </w:rPr>
              <w:fldChar w:fldCharType="separate"/>
            </w:r>
            <w:r w:rsidR="00ED3C54">
              <w:rPr>
                <w:noProof/>
                <w:webHidden/>
              </w:rPr>
              <w:t>10</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4" w:history="1">
            <w:r w:rsidR="00ED3C54" w:rsidRPr="00513726">
              <w:rPr>
                <w:rStyle w:val="Hyperlink"/>
                <w:noProof/>
              </w:rPr>
              <w:t>Evaluation of sponsor’s responses to questions</w:t>
            </w:r>
            <w:r w:rsidR="00ED3C54">
              <w:rPr>
                <w:noProof/>
                <w:webHidden/>
              </w:rPr>
              <w:tab/>
            </w:r>
            <w:r w:rsidR="00ED3C54">
              <w:rPr>
                <w:noProof/>
                <w:webHidden/>
              </w:rPr>
              <w:fldChar w:fldCharType="begin"/>
            </w:r>
            <w:r w:rsidR="00ED3C54">
              <w:rPr>
                <w:noProof/>
                <w:webHidden/>
              </w:rPr>
              <w:instrText xml:space="preserve"> PAGEREF _Toc387924274 \h </w:instrText>
            </w:r>
            <w:r w:rsidR="00ED3C54">
              <w:rPr>
                <w:noProof/>
                <w:webHidden/>
              </w:rPr>
            </w:r>
            <w:r w:rsidR="00ED3C54">
              <w:rPr>
                <w:noProof/>
                <w:webHidden/>
              </w:rPr>
              <w:fldChar w:fldCharType="separate"/>
            </w:r>
            <w:r w:rsidR="00ED3C54">
              <w:rPr>
                <w:noProof/>
                <w:webHidden/>
              </w:rPr>
              <w:t>11</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75" w:history="1">
            <w:r w:rsidR="00ED3C54" w:rsidRPr="00513726">
              <w:rPr>
                <w:rStyle w:val="Hyperlink"/>
                <w:noProof/>
              </w:rPr>
              <w:t>III. Nonclinical findings</w:t>
            </w:r>
            <w:r w:rsidR="00ED3C54">
              <w:rPr>
                <w:noProof/>
                <w:webHidden/>
              </w:rPr>
              <w:tab/>
            </w:r>
            <w:r w:rsidR="00ED3C54">
              <w:rPr>
                <w:noProof/>
                <w:webHidden/>
              </w:rPr>
              <w:fldChar w:fldCharType="begin"/>
            </w:r>
            <w:r w:rsidR="00ED3C54">
              <w:rPr>
                <w:noProof/>
                <w:webHidden/>
              </w:rPr>
              <w:instrText xml:space="preserve"> PAGEREF _Toc387924275 \h </w:instrText>
            </w:r>
            <w:r w:rsidR="00ED3C54">
              <w:rPr>
                <w:noProof/>
                <w:webHidden/>
              </w:rPr>
            </w:r>
            <w:r w:rsidR="00ED3C54">
              <w:rPr>
                <w:noProof/>
                <w:webHidden/>
              </w:rPr>
              <w:fldChar w:fldCharType="separate"/>
            </w:r>
            <w:r w:rsidR="00ED3C54">
              <w:rPr>
                <w:noProof/>
                <w:webHidden/>
              </w:rPr>
              <w:t>13</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6" w:history="1">
            <w:r w:rsidR="00ED3C54" w:rsidRPr="00513726">
              <w:rPr>
                <w:rStyle w:val="Hyperlink"/>
                <w:noProof/>
              </w:rPr>
              <w:t>Introduction</w:t>
            </w:r>
            <w:r w:rsidR="00ED3C54">
              <w:rPr>
                <w:noProof/>
                <w:webHidden/>
              </w:rPr>
              <w:tab/>
            </w:r>
            <w:r w:rsidR="00ED3C54">
              <w:rPr>
                <w:noProof/>
                <w:webHidden/>
              </w:rPr>
              <w:fldChar w:fldCharType="begin"/>
            </w:r>
            <w:r w:rsidR="00ED3C54">
              <w:rPr>
                <w:noProof/>
                <w:webHidden/>
              </w:rPr>
              <w:instrText xml:space="preserve"> PAGEREF _Toc387924276 \h </w:instrText>
            </w:r>
            <w:r w:rsidR="00ED3C54">
              <w:rPr>
                <w:noProof/>
                <w:webHidden/>
              </w:rPr>
            </w:r>
            <w:r w:rsidR="00ED3C54">
              <w:rPr>
                <w:noProof/>
                <w:webHidden/>
              </w:rPr>
              <w:fldChar w:fldCharType="separate"/>
            </w:r>
            <w:r w:rsidR="00ED3C54">
              <w:rPr>
                <w:noProof/>
                <w:webHidden/>
              </w:rPr>
              <w:t>13</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7" w:history="1">
            <w:r w:rsidR="00ED3C54" w:rsidRPr="00513726">
              <w:rPr>
                <w:rStyle w:val="Hyperlink"/>
                <w:noProof/>
              </w:rPr>
              <w:t>Pharmacology</w:t>
            </w:r>
            <w:r w:rsidR="00ED3C54">
              <w:rPr>
                <w:noProof/>
                <w:webHidden/>
              </w:rPr>
              <w:tab/>
            </w:r>
            <w:r w:rsidR="00ED3C54">
              <w:rPr>
                <w:noProof/>
                <w:webHidden/>
              </w:rPr>
              <w:fldChar w:fldCharType="begin"/>
            </w:r>
            <w:r w:rsidR="00ED3C54">
              <w:rPr>
                <w:noProof/>
                <w:webHidden/>
              </w:rPr>
              <w:instrText xml:space="preserve"> PAGEREF _Toc387924277 \h </w:instrText>
            </w:r>
            <w:r w:rsidR="00ED3C54">
              <w:rPr>
                <w:noProof/>
                <w:webHidden/>
              </w:rPr>
            </w:r>
            <w:r w:rsidR="00ED3C54">
              <w:rPr>
                <w:noProof/>
                <w:webHidden/>
              </w:rPr>
              <w:fldChar w:fldCharType="separate"/>
            </w:r>
            <w:r w:rsidR="00ED3C54">
              <w:rPr>
                <w:noProof/>
                <w:webHidden/>
              </w:rPr>
              <w:t>15</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8" w:history="1">
            <w:r w:rsidR="00ED3C54" w:rsidRPr="00513726">
              <w:rPr>
                <w:rStyle w:val="Hyperlink"/>
                <w:noProof/>
              </w:rPr>
              <w:t>Pharmacokinetics</w:t>
            </w:r>
            <w:r w:rsidR="00ED3C54">
              <w:rPr>
                <w:noProof/>
                <w:webHidden/>
              </w:rPr>
              <w:tab/>
            </w:r>
            <w:r w:rsidR="00ED3C54">
              <w:rPr>
                <w:noProof/>
                <w:webHidden/>
              </w:rPr>
              <w:fldChar w:fldCharType="begin"/>
            </w:r>
            <w:r w:rsidR="00ED3C54">
              <w:rPr>
                <w:noProof/>
                <w:webHidden/>
              </w:rPr>
              <w:instrText xml:space="preserve"> PAGEREF _Toc387924278 \h </w:instrText>
            </w:r>
            <w:r w:rsidR="00ED3C54">
              <w:rPr>
                <w:noProof/>
                <w:webHidden/>
              </w:rPr>
            </w:r>
            <w:r w:rsidR="00ED3C54">
              <w:rPr>
                <w:noProof/>
                <w:webHidden/>
              </w:rPr>
              <w:fldChar w:fldCharType="separate"/>
            </w:r>
            <w:r w:rsidR="00ED3C54">
              <w:rPr>
                <w:noProof/>
                <w:webHidden/>
              </w:rPr>
              <w:t>16</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79" w:history="1">
            <w:r w:rsidR="00ED3C54" w:rsidRPr="00513726">
              <w:rPr>
                <w:rStyle w:val="Hyperlink"/>
                <w:noProof/>
              </w:rPr>
              <w:t>Toxicology</w:t>
            </w:r>
            <w:r w:rsidR="00ED3C54">
              <w:rPr>
                <w:noProof/>
                <w:webHidden/>
              </w:rPr>
              <w:tab/>
            </w:r>
            <w:r w:rsidR="00ED3C54">
              <w:rPr>
                <w:noProof/>
                <w:webHidden/>
              </w:rPr>
              <w:fldChar w:fldCharType="begin"/>
            </w:r>
            <w:r w:rsidR="00ED3C54">
              <w:rPr>
                <w:noProof/>
                <w:webHidden/>
              </w:rPr>
              <w:instrText xml:space="preserve"> PAGEREF _Toc387924279 \h </w:instrText>
            </w:r>
            <w:r w:rsidR="00ED3C54">
              <w:rPr>
                <w:noProof/>
                <w:webHidden/>
              </w:rPr>
            </w:r>
            <w:r w:rsidR="00ED3C54">
              <w:rPr>
                <w:noProof/>
                <w:webHidden/>
              </w:rPr>
              <w:fldChar w:fldCharType="separate"/>
            </w:r>
            <w:r w:rsidR="00ED3C54">
              <w:rPr>
                <w:noProof/>
                <w:webHidden/>
              </w:rPr>
              <w:t>17</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0" w:history="1">
            <w:r w:rsidR="00ED3C54" w:rsidRPr="00513726">
              <w:rPr>
                <w:rStyle w:val="Hyperlink"/>
                <w:noProof/>
              </w:rPr>
              <w:t>Nonclinical summary and conclusions</w:t>
            </w:r>
            <w:r w:rsidR="00ED3C54">
              <w:rPr>
                <w:noProof/>
                <w:webHidden/>
              </w:rPr>
              <w:tab/>
            </w:r>
            <w:r w:rsidR="00ED3C54">
              <w:rPr>
                <w:noProof/>
                <w:webHidden/>
              </w:rPr>
              <w:fldChar w:fldCharType="begin"/>
            </w:r>
            <w:r w:rsidR="00ED3C54">
              <w:rPr>
                <w:noProof/>
                <w:webHidden/>
              </w:rPr>
              <w:instrText xml:space="preserve"> PAGEREF _Toc387924280 \h </w:instrText>
            </w:r>
            <w:r w:rsidR="00ED3C54">
              <w:rPr>
                <w:noProof/>
                <w:webHidden/>
              </w:rPr>
            </w:r>
            <w:r w:rsidR="00ED3C54">
              <w:rPr>
                <w:noProof/>
                <w:webHidden/>
              </w:rPr>
              <w:fldChar w:fldCharType="separate"/>
            </w:r>
            <w:r w:rsidR="00ED3C54">
              <w:rPr>
                <w:noProof/>
                <w:webHidden/>
              </w:rPr>
              <w:t>20</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81" w:history="1">
            <w:r w:rsidR="00ED3C54" w:rsidRPr="00513726">
              <w:rPr>
                <w:rStyle w:val="Hyperlink"/>
                <w:noProof/>
              </w:rPr>
              <w:t>IV. Clinical findings</w:t>
            </w:r>
            <w:r w:rsidR="00ED3C54">
              <w:rPr>
                <w:noProof/>
                <w:webHidden/>
              </w:rPr>
              <w:tab/>
            </w:r>
            <w:r w:rsidR="00ED3C54">
              <w:rPr>
                <w:noProof/>
                <w:webHidden/>
              </w:rPr>
              <w:fldChar w:fldCharType="begin"/>
            </w:r>
            <w:r w:rsidR="00ED3C54">
              <w:rPr>
                <w:noProof/>
                <w:webHidden/>
              </w:rPr>
              <w:instrText xml:space="preserve"> PAGEREF _Toc387924281 \h </w:instrText>
            </w:r>
            <w:r w:rsidR="00ED3C54">
              <w:rPr>
                <w:noProof/>
                <w:webHidden/>
              </w:rPr>
            </w:r>
            <w:r w:rsidR="00ED3C54">
              <w:rPr>
                <w:noProof/>
                <w:webHidden/>
              </w:rPr>
              <w:fldChar w:fldCharType="separate"/>
            </w:r>
            <w:r w:rsidR="00ED3C54">
              <w:rPr>
                <w:noProof/>
                <w:webHidden/>
              </w:rPr>
              <w:t>21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2" w:history="1">
            <w:r w:rsidR="00ED3C54" w:rsidRPr="00513726">
              <w:rPr>
                <w:rStyle w:val="Hyperlink"/>
                <w:noProof/>
              </w:rPr>
              <w:t>Clinical rationale</w:t>
            </w:r>
            <w:r w:rsidR="00ED3C54">
              <w:rPr>
                <w:noProof/>
                <w:webHidden/>
              </w:rPr>
              <w:tab/>
            </w:r>
            <w:r w:rsidR="00ED3C54">
              <w:rPr>
                <w:noProof/>
                <w:webHidden/>
              </w:rPr>
              <w:fldChar w:fldCharType="begin"/>
            </w:r>
            <w:r w:rsidR="00ED3C54">
              <w:rPr>
                <w:noProof/>
                <w:webHidden/>
              </w:rPr>
              <w:instrText xml:space="preserve"> PAGEREF _Toc387924282 \h </w:instrText>
            </w:r>
            <w:r w:rsidR="00ED3C54">
              <w:rPr>
                <w:noProof/>
                <w:webHidden/>
              </w:rPr>
            </w:r>
            <w:r w:rsidR="00ED3C54">
              <w:rPr>
                <w:noProof/>
                <w:webHidden/>
              </w:rPr>
              <w:fldChar w:fldCharType="separate"/>
            </w:r>
            <w:r w:rsidR="00ED3C54">
              <w:rPr>
                <w:noProof/>
                <w:webHidden/>
              </w:rPr>
              <w:t>21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3" w:history="1">
            <w:r w:rsidR="00ED3C54" w:rsidRPr="00513726">
              <w:rPr>
                <w:rStyle w:val="Hyperlink"/>
                <w:noProof/>
              </w:rPr>
              <w:t>Contents of the clinical dossier</w:t>
            </w:r>
            <w:r w:rsidR="00ED3C54">
              <w:rPr>
                <w:noProof/>
                <w:webHidden/>
              </w:rPr>
              <w:tab/>
            </w:r>
            <w:r w:rsidR="00ED3C54">
              <w:rPr>
                <w:noProof/>
                <w:webHidden/>
              </w:rPr>
              <w:fldChar w:fldCharType="begin"/>
            </w:r>
            <w:r w:rsidR="00ED3C54">
              <w:rPr>
                <w:noProof/>
                <w:webHidden/>
              </w:rPr>
              <w:instrText xml:space="preserve"> PAGEREF _Toc387924283 \h </w:instrText>
            </w:r>
            <w:r w:rsidR="00ED3C54">
              <w:rPr>
                <w:noProof/>
                <w:webHidden/>
              </w:rPr>
            </w:r>
            <w:r w:rsidR="00ED3C54">
              <w:rPr>
                <w:noProof/>
                <w:webHidden/>
              </w:rPr>
              <w:fldChar w:fldCharType="separate"/>
            </w:r>
            <w:r w:rsidR="00ED3C54">
              <w:rPr>
                <w:noProof/>
                <w:webHidden/>
              </w:rPr>
              <w:t>21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4" w:history="1">
            <w:r w:rsidR="00ED3C54" w:rsidRPr="00513726">
              <w:rPr>
                <w:rStyle w:val="Hyperlink"/>
                <w:noProof/>
              </w:rPr>
              <w:t>Paediatric data</w:t>
            </w:r>
            <w:r w:rsidR="00ED3C54">
              <w:rPr>
                <w:noProof/>
                <w:webHidden/>
              </w:rPr>
              <w:tab/>
            </w:r>
            <w:r w:rsidR="00ED3C54">
              <w:rPr>
                <w:noProof/>
                <w:webHidden/>
              </w:rPr>
              <w:fldChar w:fldCharType="begin"/>
            </w:r>
            <w:r w:rsidR="00ED3C54">
              <w:rPr>
                <w:noProof/>
                <w:webHidden/>
              </w:rPr>
              <w:instrText xml:space="preserve"> PAGEREF _Toc387924284 \h </w:instrText>
            </w:r>
            <w:r w:rsidR="00ED3C54">
              <w:rPr>
                <w:noProof/>
                <w:webHidden/>
              </w:rPr>
            </w:r>
            <w:r w:rsidR="00ED3C54">
              <w:rPr>
                <w:noProof/>
                <w:webHidden/>
              </w:rPr>
              <w:fldChar w:fldCharType="separate"/>
            </w:r>
            <w:r w:rsidR="00ED3C54">
              <w:rPr>
                <w:noProof/>
                <w:webHidden/>
              </w:rPr>
              <w:t>21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5" w:history="1">
            <w:r w:rsidR="00ED3C54" w:rsidRPr="00513726">
              <w:rPr>
                <w:rStyle w:val="Hyperlink"/>
                <w:noProof/>
              </w:rPr>
              <w:t>Good clinical practice</w:t>
            </w:r>
            <w:r w:rsidR="00ED3C54">
              <w:rPr>
                <w:noProof/>
                <w:webHidden/>
              </w:rPr>
              <w:tab/>
            </w:r>
            <w:r w:rsidR="00ED3C54">
              <w:rPr>
                <w:noProof/>
                <w:webHidden/>
              </w:rPr>
              <w:fldChar w:fldCharType="begin"/>
            </w:r>
            <w:r w:rsidR="00ED3C54">
              <w:rPr>
                <w:noProof/>
                <w:webHidden/>
              </w:rPr>
              <w:instrText xml:space="preserve"> PAGEREF _Toc387924285 \h </w:instrText>
            </w:r>
            <w:r w:rsidR="00ED3C54">
              <w:rPr>
                <w:noProof/>
                <w:webHidden/>
              </w:rPr>
            </w:r>
            <w:r w:rsidR="00ED3C54">
              <w:rPr>
                <w:noProof/>
                <w:webHidden/>
              </w:rPr>
              <w:fldChar w:fldCharType="separate"/>
            </w:r>
            <w:r w:rsidR="00ED3C54">
              <w:rPr>
                <w:noProof/>
                <w:webHidden/>
              </w:rPr>
              <w:t>21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6" w:history="1">
            <w:r w:rsidR="00ED3C54" w:rsidRPr="00513726">
              <w:rPr>
                <w:rStyle w:val="Hyperlink"/>
                <w:noProof/>
              </w:rPr>
              <w:t>Pharmacokinetics</w:t>
            </w:r>
            <w:r w:rsidR="00ED3C54">
              <w:rPr>
                <w:noProof/>
                <w:webHidden/>
              </w:rPr>
              <w:tab/>
            </w:r>
            <w:r w:rsidR="00ED3C54">
              <w:rPr>
                <w:noProof/>
                <w:webHidden/>
              </w:rPr>
              <w:fldChar w:fldCharType="begin"/>
            </w:r>
            <w:r w:rsidR="00ED3C54">
              <w:rPr>
                <w:noProof/>
                <w:webHidden/>
              </w:rPr>
              <w:instrText xml:space="preserve"> PAGEREF _Toc387924286 \h </w:instrText>
            </w:r>
            <w:r w:rsidR="00ED3C54">
              <w:rPr>
                <w:noProof/>
                <w:webHidden/>
              </w:rPr>
            </w:r>
            <w:r w:rsidR="00ED3C54">
              <w:rPr>
                <w:noProof/>
                <w:webHidden/>
              </w:rPr>
              <w:fldChar w:fldCharType="separate"/>
            </w:r>
            <w:r w:rsidR="00ED3C54">
              <w:rPr>
                <w:noProof/>
                <w:webHidden/>
              </w:rPr>
              <w:t>22</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7" w:history="1">
            <w:r w:rsidR="00ED3C54" w:rsidRPr="00513726">
              <w:rPr>
                <w:rStyle w:val="Hyperlink"/>
                <w:noProof/>
              </w:rPr>
              <w:t>Pharmacodynamics</w:t>
            </w:r>
            <w:r w:rsidR="00ED3C54">
              <w:rPr>
                <w:noProof/>
                <w:webHidden/>
              </w:rPr>
              <w:tab/>
            </w:r>
            <w:r w:rsidR="00ED3C54">
              <w:rPr>
                <w:noProof/>
                <w:webHidden/>
              </w:rPr>
              <w:fldChar w:fldCharType="begin"/>
            </w:r>
            <w:r w:rsidR="00ED3C54">
              <w:rPr>
                <w:noProof/>
                <w:webHidden/>
              </w:rPr>
              <w:instrText xml:space="preserve"> PAGEREF _Toc387924287 \h </w:instrText>
            </w:r>
            <w:r w:rsidR="00ED3C54">
              <w:rPr>
                <w:noProof/>
                <w:webHidden/>
              </w:rPr>
            </w:r>
            <w:r w:rsidR="00ED3C54">
              <w:rPr>
                <w:noProof/>
                <w:webHidden/>
              </w:rPr>
              <w:fldChar w:fldCharType="separate"/>
            </w:r>
            <w:r w:rsidR="00ED3C54">
              <w:rPr>
                <w:noProof/>
                <w:webHidden/>
              </w:rPr>
              <w:t>23</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8" w:history="1">
            <w:r w:rsidR="00ED3C54" w:rsidRPr="00513726">
              <w:rPr>
                <w:rStyle w:val="Hyperlink"/>
                <w:noProof/>
              </w:rPr>
              <w:t>Efficacy</w:t>
            </w:r>
            <w:r w:rsidR="00ED3C54">
              <w:rPr>
                <w:noProof/>
                <w:webHidden/>
              </w:rPr>
              <w:tab/>
            </w:r>
            <w:r w:rsidR="00ED3C54">
              <w:rPr>
                <w:noProof/>
                <w:webHidden/>
              </w:rPr>
              <w:fldChar w:fldCharType="begin"/>
            </w:r>
            <w:r w:rsidR="00ED3C54">
              <w:rPr>
                <w:noProof/>
                <w:webHidden/>
              </w:rPr>
              <w:instrText xml:space="preserve"> PAGEREF _Toc387924288 \h </w:instrText>
            </w:r>
            <w:r w:rsidR="00ED3C54">
              <w:rPr>
                <w:noProof/>
                <w:webHidden/>
              </w:rPr>
            </w:r>
            <w:r w:rsidR="00ED3C54">
              <w:rPr>
                <w:noProof/>
                <w:webHidden/>
              </w:rPr>
              <w:fldChar w:fldCharType="separate"/>
            </w:r>
            <w:r w:rsidR="00ED3C54">
              <w:rPr>
                <w:noProof/>
                <w:webHidden/>
              </w:rPr>
              <w:t>23</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89" w:history="1">
            <w:r w:rsidR="00ED3C54" w:rsidRPr="00513726">
              <w:rPr>
                <w:rStyle w:val="Hyperlink"/>
                <w:noProof/>
              </w:rPr>
              <w:t>Safety</w:t>
            </w:r>
            <w:r w:rsidR="00ED3C54">
              <w:rPr>
                <w:noProof/>
                <w:webHidden/>
              </w:rPr>
              <w:tab/>
            </w:r>
            <w:r w:rsidR="00ED3C54">
              <w:rPr>
                <w:noProof/>
                <w:webHidden/>
              </w:rPr>
              <w:fldChar w:fldCharType="begin"/>
            </w:r>
            <w:r w:rsidR="00ED3C54">
              <w:rPr>
                <w:noProof/>
                <w:webHidden/>
              </w:rPr>
              <w:instrText xml:space="preserve"> PAGEREF _Toc387924289 \h </w:instrText>
            </w:r>
            <w:r w:rsidR="00ED3C54">
              <w:rPr>
                <w:noProof/>
                <w:webHidden/>
              </w:rPr>
            </w:r>
            <w:r w:rsidR="00ED3C54">
              <w:rPr>
                <w:noProof/>
                <w:webHidden/>
              </w:rPr>
              <w:fldChar w:fldCharType="separate"/>
            </w:r>
            <w:r w:rsidR="00ED3C54">
              <w:rPr>
                <w:noProof/>
                <w:webHidden/>
              </w:rPr>
              <w:t>26</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0" w:history="1">
            <w:r w:rsidR="00ED3C54" w:rsidRPr="00513726">
              <w:rPr>
                <w:rStyle w:val="Hyperlink"/>
                <w:noProof/>
              </w:rPr>
              <w:t>First round recommendation regarding authorisation</w:t>
            </w:r>
            <w:r w:rsidR="00ED3C54">
              <w:rPr>
                <w:noProof/>
                <w:webHidden/>
              </w:rPr>
              <w:tab/>
            </w:r>
            <w:r w:rsidR="00ED3C54">
              <w:rPr>
                <w:noProof/>
                <w:webHidden/>
              </w:rPr>
              <w:fldChar w:fldCharType="begin"/>
            </w:r>
            <w:r w:rsidR="00ED3C54">
              <w:rPr>
                <w:noProof/>
                <w:webHidden/>
              </w:rPr>
              <w:instrText xml:space="preserve"> PAGEREF _Toc387924290 \h </w:instrText>
            </w:r>
            <w:r w:rsidR="00ED3C54">
              <w:rPr>
                <w:noProof/>
                <w:webHidden/>
              </w:rPr>
            </w:r>
            <w:r w:rsidR="00ED3C54">
              <w:rPr>
                <w:noProof/>
                <w:webHidden/>
              </w:rPr>
              <w:fldChar w:fldCharType="separate"/>
            </w:r>
            <w:r w:rsidR="00ED3C54">
              <w:rPr>
                <w:noProof/>
                <w:webHidden/>
              </w:rPr>
              <w:t>30</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1" w:history="1">
            <w:r w:rsidR="00ED3C54" w:rsidRPr="00513726">
              <w:rPr>
                <w:rStyle w:val="Hyperlink"/>
                <w:noProof/>
              </w:rPr>
              <w:t>List of questions</w:t>
            </w:r>
            <w:r w:rsidR="00ED3C54">
              <w:rPr>
                <w:noProof/>
                <w:webHidden/>
              </w:rPr>
              <w:tab/>
            </w:r>
            <w:r w:rsidR="00ED3C54">
              <w:rPr>
                <w:noProof/>
                <w:webHidden/>
              </w:rPr>
              <w:fldChar w:fldCharType="begin"/>
            </w:r>
            <w:r w:rsidR="00ED3C54">
              <w:rPr>
                <w:noProof/>
                <w:webHidden/>
              </w:rPr>
              <w:instrText xml:space="preserve"> PAGEREF _Toc387924291 \h </w:instrText>
            </w:r>
            <w:r w:rsidR="00ED3C54">
              <w:rPr>
                <w:noProof/>
                <w:webHidden/>
              </w:rPr>
            </w:r>
            <w:r w:rsidR="00ED3C54">
              <w:rPr>
                <w:noProof/>
                <w:webHidden/>
              </w:rPr>
              <w:fldChar w:fldCharType="separate"/>
            </w:r>
            <w:r w:rsidR="00ED3C54">
              <w:rPr>
                <w:noProof/>
                <w:webHidden/>
              </w:rPr>
              <w:t>31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2" w:history="1">
            <w:r w:rsidR="00ED3C54" w:rsidRPr="00513726">
              <w:rPr>
                <w:rStyle w:val="Hyperlink"/>
                <w:noProof/>
              </w:rPr>
              <w:t>Second round evaluation of clinical data submitted in response to questions</w:t>
            </w:r>
            <w:r w:rsidR="00ED3C54">
              <w:rPr>
                <w:noProof/>
                <w:webHidden/>
              </w:rPr>
              <w:tab/>
            </w:r>
            <w:r w:rsidR="00ED3C54">
              <w:rPr>
                <w:noProof/>
                <w:webHidden/>
              </w:rPr>
              <w:fldChar w:fldCharType="begin"/>
            </w:r>
            <w:r w:rsidR="00ED3C54">
              <w:rPr>
                <w:noProof/>
                <w:webHidden/>
              </w:rPr>
              <w:instrText xml:space="preserve"> PAGEREF _Toc387924292 \h </w:instrText>
            </w:r>
            <w:r w:rsidR="00ED3C54">
              <w:rPr>
                <w:noProof/>
                <w:webHidden/>
              </w:rPr>
            </w:r>
            <w:r w:rsidR="00ED3C54">
              <w:rPr>
                <w:noProof/>
                <w:webHidden/>
              </w:rPr>
              <w:fldChar w:fldCharType="separate"/>
            </w:r>
            <w:r w:rsidR="00ED3C54">
              <w:rPr>
                <w:noProof/>
                <w:webHidden/>
              </w:rPr>
              <w:t>31</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3" w:history="1">
            <w:r w:rsidR="00ED3C54" w:rsidRPr="00513726">
              <w:rPr>
                <w:rStyle w:val="Hyperlink"/>
                <w:noProof/>
              </w:rPr>
              <w:t>Second round benefit-risk assessment</w:t>
            </w:r>
            <w:r w:rsidR="00ED3C54">
              <w:rPr>
                <w:noProof/>
                <w:webHidden/>
              </w:rPr>
              <w:tab/>
            </w:r>
            <w:r w:rsidR="00ED3C54">
              <w:rPr>
                <w:noProof/>
                <w:webHidden/>
              </w:rPr>
              <w:fldChar w:fldCharType="begin"/>
            </w:r>
            <w:r w:rsidR="00ED3C54">
              <w:rPr>
                <w:noProof/>
                <w:webHidden/>
              </w:rPr>
              <w:instrText xml:space="preserve"> PAGEREF _Toc387924293 \h </w:instrText>
            </w:r>
            <w:r w:rsidR="00ED3C54">
              <w:rPr>
                <w:noProof/>
                <w:webHidden/>
              </w:rPr>
            </w:r>
            <w:r w:rsidR="00ED3C54">
              <w:rPr>
                <w:noProof/>
                <w:webHidden/>
              </w:rPr>
              <w:fldChar w:fldCharType="separate"/>
            </w:r>
            <w:r w:rsidR="00ED3C54">
              <w:rPr>
                <w:noProof/>
                <w:webHidden/>
              </w:rPr>
              <w:t>38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4" w:history="1">
            <w:r w:rsidR="00ED3C54" w:rsidRPr="00513726">
              <w:rPr>
                <w:rStyle w:val="Hyperlink"/>
                <w:noProof/>
              </w:rPr>
              <w:t>Second round recommendation regarding authorisation</w:t>
            </w:r>
            <w:r w:rsidR="00ED3C54">
              <w:rPr>
                <w:noProof/>
                <w:webHidden/>
              </w:rPr>
              <w:tab/>
            </w:r>
            <w:r w:rsidR="00ED3C54">
              <w:rPr>
                <w:noProof/>
                <w:webHidden/>
              </w:rPr>
              <w:fldChar w:fldCharType="begin"/>
            </w:r>
            <w:r w:rsidR="00ED3C54">
              <w:rPr>
                <w:noProof/>
                <w:webHidden/>
              </w:rPr>
              <w:instrText xml:space="preserve"> PAGEREF _Toc387924294 \h </w:instrText>
            </w:r>
            <w:r w:rsidR="00ED3C54">
              <w:rPr>
                <w:noProof/>
                <w:webHidden/>
              </w:rPr>
            </w:r>
            <w:r w:rsidR="00ED3C54">
              <w:rPr>
                <w:noProof/>
                <w:webHidden/>
              </w:rPr>
              <w:fldChar w:fldCharType="separate"/>
            </w:r>
            <w:r w:rsidR="00ED3C54">
              <w:rPr>
                <w:noProof/>
                <w:webHidden/>
              </w:rPr>
              <w:t>39</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95" w:history="1">
            <w:r w:rsidR="00ED3C54" w:rsidRPr="00513726">
              <w:rPr>
                <w:rStyle w:val="Hyperlink"/>
                <w:noProof/>
              </w:rPr>
              <w:t>V. Pharmacovigilance findings</w:t>
            </w:r>
            <w:r w:rsidR="00ED3C54">
              <w:rPr>
                <w:noProof/>
                <w:webHidden/>
              </w:rPr>
              <w:tab/>
            </w:r>
            <w:r w:rsidR="00ED3C54">
              <w:rPr>
                <w:noProof/>
                <w:webHidden/>
              </w:rPr>
              <w:fldChar w:fldCharType="begin"/>
            </w:r>
            <w:r w:rsidR="00ED3C54">
              <w:rPr>
                <w:noProof/>
                <w:webHidden/>
              </w:rPr>
              <w:instrText xml:space="preserve"> PAGEREF _Toc387924295 \h </w:instrText>
            </w:r>
            <w:r w:rsidR="00ED3C54">
              <w:rPr>
                <w:noProof/>
                <w:webHidden/>
              </w:rPr>
            </w:r>
            <w:r w:rsidR="00ED3C54">
              <w:rPr>
                <w:noProof/>
                <w:webHidden/>
              </w:rPr>
              <w:fldChar w:fldCharType="separate"/>
            </w:r>
            <w:r w:rsidR="00ED3C54">
              <w:rPr>
                <w:noProof/>
                <w:webHidden/>
              </w:rPr>
              <w:t>39</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6" w:history="1">
            <w:r w:rsidR="00ED3C54" w:rsidRPr="00513726">
              <w:rPr>
                <w:rStyle w:val="Hyperlink"/>
                <w:noProof/>
                <w:lang w:eastAsia="en-AU"/>
              </w:rPr>
              <w:t>Risk management plan</w:t>
            </w:r>
            <w:r w:rsidR="00ED3C54">
              <w:rPr>
                <w:noProof/>
                <w:webHidden/>
              </w:rPr>
              <w:tab/>
            </w:r>
            <w:r w:rsidR="00ED3C54">
              <w:rPr>
                <w:noProof/>
                <w:webHidden/>
              </w:rPr>
              <w:fldChar w:fldCharType="begin"/>
            </w:r>
            <w:r w:rsidR="00ED3C54">
              <w:rPr>
                <w:noProof/>
                <w:webHidden/>
              </w:rPr>
              <w:instrText xml:space="preserve"> PAGEREF _Toc387924296 \h </w:instrText>
            </w:r>
            <w:r w:rsidR="00ED3C54">
              <w:rPr>
                <w:noProof/>
                <w:webHidden/>
              </w:rPr>
            </w:r>
            <w:r w:rsidR="00ED3C54">
              <w:rPr>
                <w:noProof/>
                <w:webHidden/>
              </w:rPr>
              <w:fldChar w:fldCharType="separate"/>
            </w:r>
            <w:r w:rsidR="00ED3C54">
              <w:rPr>
                <w:noProof/>
                <w:webHidden/>
              </w:rPr>
              <w:t>39</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7" w:history="1">
            <w:r w:rsidR="00ED3C54" w:rsidRPr="00513726">
              <w:rPr>
                <w:rStyle w:val="Hyperlink"/>
                <w:noProof/>
              </w:rPr>
              <w:t>Second round evaluation</w:t>
            </w:r>
            <w:r w:rsidR="00ED3C54">
              <w:rPr>
                <w:noProof/>
                <w:webHidden/>
              </w:rPr>
              <w:tab/>
            </w:r>
            <w:r w:rsidR="00ED3C54">
              <w:rPr>
                <w:noProof/>
                <w:webHidden/>
              </w:rPr>
              <w:fldChar w:fldCharType="begin"/>
            </w:r>
            <w:r w:rsidR="00ED3C54">
              <w:rPr>
                <w:noProof/>
                <w:webHidden/>
              </w:rPr>
              <w:instrText xml:space="preserve"> PAGEREF _Toc387924297 \h </w:instrText>
            </w:r>
            <w:r w:rsidR="00ED3C54">
              <w:rPr>
                <w:noProof/>
                <w:webHidden/>
              </w:rPr>
            </w:r>
            <w:r w:rsidR="00ED3C54">
              <w:rPr>
                <w:noProof/>
                <w:webHidden/>
              </w:rPr>
              <w:fldChar w:fldCharType="separate"/>
            </w:r>
            <w:r w:rsidR="00ED3C54">
              <w:rPr>
                <w:noProof/>
                <w:webHidden/>
              </w:rPr>
              <w:t>43</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298" w:history="1">
            <w:r w:rsidR="00ED3C54" w:rsidRPr="00513726">
              <w:rPr>
                <w:rStyle w:val="Hyperlink"/>
                <w:noProof/>
              </w:rPr>
              <w:t>VI. Overall conclusion and risk/benefit assessment</w:t>
            </w:r>
            <w:r w:rsidR="00ED3C54">
              <w:rPr>
                <w:noProof/>
                <w:webHidden/>
              </w:rPr>
              <w:tab/>
            </w:r>
            <w:r w:rsidR="00ED3C54">
              <w:rPr>
                <w:noProof/>
                <w:webHidden/>
              </w:rPr>
              <w:fldChar w:fldCharType="begin"/>
            </w:r>
            <w:r w:rsidR="00ED3C54">
              <w:rPr>
                <w:noProof/>
                <w:webHidden/>
              </w:rPr>
              <w:instrText xml:space="preserve"> PAGEREF _Toc387924298 \h </w:instrText>
            </w:r>
            <w:r w:rsidR="00ED3C54">
              <w:rPr>
                <w:noProof/>
                <w:webHidden/>
              </w:rPr>
            </w:r>
            <w:r w:rsidR="00ED3C54">
              <w:rPr>
                <w:noProof/>
                <w:webHidden/>
              </w:rPr>
              <w:fldChar w:fldCharType="separate"/>
            </w:r>
            <w:r w:rsidR="00ED3C54">
              <w:rPr>
                <w:noProof/>
                <w:webHidden/>
              </w:rPr>
              <w:t>48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299" w:history="1">
            <w:r w:rsidR="00ED3C54" w:rsidRPr="00513726">
              <w:rPr>
                <w:rStyle w:val="Hyperlink"/>
                <w:noProof/>
              </w:rPr>
              <w:t>Quality</w:t>
            </w:r>
            <w:r w:rsidR="00ED3C54">
              <w:rPr>
                <w:noProof/>
                <w:webHidden/>
              </w:rPr>
              <w:tab/>
            </w:r>
            <w:r w:rsidR="00ED3C54">
              <w:rPr>
                <w:noProof/>
                <w:webHidden/>
              </w:rPr>
              <w:fldChar w:fldCharType="begin"/>
            </w:r>
            <w:r w:rsidR="00ED3C54">
              <w:rPr>
                <w:noProof/>
                <w:webHidden/>
              </w:rPr>
              <w:instrText xml:space="preserve"> PAGEREF _Toc387924299 \h </w:instrText>
            </w:r>
            <w:r w:rsidR="00ED3C54">
              <w:rPr>
                <w:noProof/>
                <w:webHidden/>
              </w:rPr>
            </w:r>
            <w:r w:rsidR="00ED3C54">
              <w:rPr>
                <w:noProof/>
                <w:webHidden/>
              </w:rPr>
              <w:fldChar w:fldCharType="separate"/>
            </w:r>
            <w:r w:rsidR="00ED3C54">
              <w:rPr>
                <w:noProof/>
                <w:webHidden/>
              </w:rPr>
              <w:t>48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300" w:history="1">
            <w:r w:rsidR="00ED3C54" w:rsidRPr="00513726">
              <w:rPr>
                <w:rStyle w:val="Hyperlink"/>
                <w:noProof/>
              </w:rPr>
              <w:t>Nonclinical</w:t>
            </w:r>
            <w:r w:rsidR="00ED3C54">
              <w:rPr>
                <w:noProof/>
                <w:webHidden/>
              </w:rPr>
              <w:tab/>
            </w:r>
            <w:r w:rsidR="00ED3C54">
              <w:rPr>
                <w:noProof/>
                <w:webHidden/>
              </w:rPr>
              <w:fldChar w:fldCharType="begin"/>
            </w:r>
            <w:r w:rsidR="00ED3C54">
              <w:rPr>
                <w:noProof/>
                <w:webHidden/>
              </w:rPr>
              <w:instrText xml:space="preserve"> PAGEREF _Toc387924300 \h </w:instrText>
            </w:r>
            <w:r w:rsidR="00ED3C54">
              <w:rPr>
                <w:noProof/>
                <w:webHidden/>
              </w:rPr>
            </w:r>
            <w:r w:rsidR="00ED3C54">
              <w:rPr>
                <w:noProof/>
                <w:webHidden/>
              </w:rPr>
              <w:fldChar w:fldCharType="separate"/>
            </w:r>
            <w:r w:rsidR="00ED3C54">
              <w:rPr>
                <w:noProof/>
                <w:webHidden/>
              </w:rPr>
              <w:t>48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301" w:history="1">
            <w:r w:rsidR="00ED3C54" w:rsidRPr="00513726">
              <w:rPr>
                <w:rStyle w:val="Hyperlink"/>
                <w:noProof/>
              </w:rPr>
              <w:t>Clinical</w:t>
            </w:r>
            <w:r w:rsidR="00ED3C54">
              <w:rPr>
                <w:noProof/>
                <w:webHidden/>
              </w:rPr>
              <w:tab/>
            </w:r>
            <w:r w:rsidR="00ED3C54">
              <w:rPr>
                <w:noProof/>
                <w:webHidden/>
              </w:rPr>
              <w:fldChar w:fldCharType="begin"/>
            </w:r>
            <w:r w:rsidR="00ED3C54">
              <w:rPr>
                <w:noProof/>
                <w:webHidden/>
              </w:rPr>
              <w:instrText xml:space="preserve"> PAGEREF _Toc387924301 \h </w:instrText>
            </w:r>
            <w:r w:rsidR="00ED3C54">
              <w:rPr>
                <w:noProof/>
                <w:webHidden/>
              </w:rPr>
            </w:r>
            <w:r w:rsidR="00ED3C54">
              <w:rPr>
                <w:noProof/>
                <w:webHidden/>
              </w:rPr>
              <w:fldChar w:fldCharType="separate"/>
            </w:r>
            <w:r w:rsidR="00ED3C54">
              <w:rPr>
                <w:noProof/>
                <w:webHidden/>
              </w:rPr>
              <w:t>48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302" w:history="1">
            <w:r w:rsidR="00ED3C54" w:rsidRPr="00513726">
              <w:rPr>
                <w:rStyle w:val="Hyperlink"/>
                <w:noProof/>
              </w:rPr>
              <w:t>Advisory committee considerations</w:t>
            </w:r>
            <w:r w:rsidR="00ED3C54">
              <w:rPr>
                <w:noProof/>
                <w:webHidden/>
              </w:rPr>
              <w:tab/>
            </w:r>
            <w:r w:rsidR="00ED3C54">
              <w:rPr>
                <w:noProof/>
                <w:webHidden/>
              </w:rPr>
              <w:fldChar w:fldCharType="begin"/>
            </w:r>
            <w:r w:rsidR="00ED3C54">
              <w:rPr>
                <w:noProof/>
                <w:webHidden/>
              </w:rPr>
              <w:instrText xml:space="preserve"> PAGEREF _Toc387924302 \h </w:instrText>
            </w:r>
            <w:r w:rsidR="00ED3C54">
              <w:rPr>
                <w:noProof/>
                <w:webHidden/>
              </w:rPr>
            </w:r>
            <w:r w:rsidR="00ED3C54">
              <w:rPr>
                <w:noProof/>
                <w:webHidden/>
              </w:rPr>
              <w:fldChar w:fldCharType="separate"/>
            </w:r>
            <w:r w:rsidR="00ED3C54">
              <w:rPr>
                <w:noProof/>
                <w:webHidden/>
              </w:rPr>
              <w:t>58</w:t>
            </w:r>
            <w:r w:rsidR="00ED3C54">
              <w:rPr>
                <w:noProof/>
                <w:webHidden/>
              </w:rPr>
              <w:fldChar w:fldCharType="end"/>
            </w:r>
          </w:hyperlink>
        </w:p>
        <w:p w:rsidR="00ED3C54" w:rsidRDefault="007B0010">
          <w:pPr>
            <w:pStyle w:val="TOC3"/>
            <w:rPr>
              <w:rFonts w:asciiTheme="minorHAnsi" w:eastAsiaTheme="minorEastAsia" w:hAnsiTheme="minorHAnsi" w:cstheme="minorBidi"/>
              <w:noProof/>
              <w:lang w:eastAsia="en-AU"/>
            </w:rPr>
          </w:pPr>
          <w:hyperlink w:anchor="_Toc387924303" w:history="1">
            <w:r w:rsidR="00ED3C54" w:rsidRPr="00513726">
              <w:rPr>
                <w:rStyle w:val="Hyperlink"/>
                <w:noProof/>
              </w:rPr>
              <w:t>Outcome</w:t>
            </w:r>
            <w:r w:rsidR="00ED3C54">
              <w:rPr>
                <w:noProof/>
                <w:webHidden/>
              </w:rPr>
              <w:tab/>
            </w:r>
            <w:r w:rsidR="00ED3C54">
              <w:rPr>
                <w:noProof/>
                <w:webHidden/>
              </w:rPr>
              <w:fldChar w:fldCharType="begin"/>
            </w:r>
            <w:r w:rsidR="00ED3C54">
              <w:rPr>
                <w:noProof/>
                <w:webHidden/>
              </w:rPr>
              <w:instrText xml:space="preserve"> PAGEREF _Toc387924303 \h </w:instrText>
            </w:r>
            <w:r w:rsidR="00ED3C54">
              <w:rPr>
                <w:noProof/>
                <w:webHidden/>
              </w:rPr>
            </w:r>
            <w:r w:rsidR="00ED3C54">
              <w:rPr>
                <w:noProof/>
                <w:webHidden/>
              </w:rPr>
              <w:fldChar w:fldCharType="separate"/>
            </w:r>
            <w:r w:rsidR="00ED3C54">
              <w:rPr>
                <w:noProof/>
                <w:webHidden/>
              </w:rPr>
              <w:t>59</w:t>
            </w:r>
            <w:r w:rsidR="00ED3C54">
              <w:rPr>
                <w:noProof/>
                <w:webHidden/>
              </w:rPr>
              <w:fldChar w:fldCharType="end"/>
            </w:r>
          </w:hyperlink>
        </w:p>
        <w:p w:rsidR="00ED3C54" w:rsidRDefault="007B0010">
          <w:pPr>
            <w:pStyle w:val="TOC2"/>
            <w:rPr>
              <w:rFonts w:asciiTheme="minorHAnsi" w:eastAsiaTheme="minorEastAsia" w:hAnsiTheme="minorHAnsi" w:cstheme="minorBidi"/>
              <w:b w:val="0"/>
              <w:noProof/>
              <w:sz w:val="22"/>
              <w:lang w:eastAsia="en-AU"/>
            </w:rPr>
          </w:pPr>
          <w:hyperlink w:anchor="_Toc387924304" w:history="1">
            <w:r w:rsidR="00ED3C54" w:rsidRPr="00513726">
              <w:rPr>
                <w:rStyle w:val="Hyperlink"/>
                <w:noProof/>
              </w:rPr>
              <w:t>Attachment 1:.Product Information</w:t>
            </w:r>
            <w:r w:rsidR="00ED3C54">
              <w:rPr>
                <w:noProof/>
                <w:webHidden/>
              </w:rPr>
              <w:tab/>
            </w:r>
            <w:r w:rsidR="00ED3C54">
              <w:rPr>
                <w:noProof/>
                <w:webHidden/>
              </w:rPr>
              <w:fldChar w:fldCharType="begin"/>
            </w:r>
            <w:r w:rsidR="00ED3C54">
              <w:rPr>
                <w:noProof/>
                <w:webHidden/>
              </w:rPr>
              <w:instrText xml:space="preserve"> PAGEREF _Toc387924304 \h </w:instrText>
            </w:r>
            <w:r w:rsidR="00ED3C54">
              <w:rPr>
                <w:noProof/>
                <w:webHidden/>
              </w:rPr>
            </w:r>
            <w:r w:rsidR="00ED3C54">
              <w:rPr>
                <w:noProof/>
                <w:webHidden/>
              </w:rPr>
              <w:fldChar w:fldCharType="separate"/>
            </w:r>
            <w:r w:rsidR="00ED3C54">
              <w:rPr>
                <w:noProof/>
                <w:webHidden/>
              </w:rPr>
              <w:t>60</w:t>
            </w:r>
            <w:r w:rsidR="00ED3C54">
              <w:rPr>
                <w:noProof/>
                <w:webHidden/>
              </w:rPr>
              <w:fldChar w:fldCharType="end"/>
            </w:r>
          </w:hyperlink>
        </w:p>
        <w:p w:rsidR="002D3B13" w:rsidRDefault="007B0010" w:rsidP="00AF7876">
          <w:pPr>
            <w:pStyle w:val="TOC2"/>
          </w:pPr>
          <w:hyperlink w:anchor="_Toc387924305" w:history="1">
            <w:r w:rsidR="00ED3C54" w:rsidRPr="00513726">
              <w:rPr>
                <w:rStyle w:val="Hyperlink"/>
                <w:noProof/>
                <w:lang w:eastAsia="en-AU"/>
              </w:rPr>
              <w:t xml:space="preserve">Attachment 2:.Extract from the </w:t>
            </w:r>
            <w:r w:rsidR="00ED3C54" w:rsidRPr="00513726">
              <w:rPr>
                <w:rStyle w:val="Hyperlink"/>
                <w:noProof/>
              </w:rPr>
              <w:t>Clinical</w:t>
            </w:r>
            <w:r w:rsidR="00ED3C54" w:rsidRPr="00513726">
              <w:rPr>
                <w:rStyle w:val="Hyperlink"/>
                <w:noProof/>
                <w:lang w:eastAsia="en-AU"/>
              </w:rPr>
              <w:t xml:space="preserve"> Evaluation Report</w:t>
            </w:r>
            <w:r w:rsidR="00ED3C54">
              <w:rPr>
                <w:noProof/>
                <w:webHidden/>
              </w:rPr>
              <w:tab/>
            </w:r>
            <w:r w:rsidR="00ED3C54">
              <w:rPr>
                <w:noProof/>
                <w:webHidden/>
              </w:rPr>
              <w:fldChar w:fldCharType="begin"/>
            </w:r>
            <w:r w:rsidR="00ED3C54">
              <w:rPr>
                <w:noProof/>
                <w:webHidden/>
              </w:rPr>
              <w:instrText xml:space="preserve"> PAGEREF _Toc387924305 \h </w:instrText>
            </w:r>
            <w:r w:rsidR="00ED3C54">
              <w:rPr>
                <w:noProof/>
                <w:webHidden/>
              </w:rPr>
            </w:r>
            <w:r w:rsidR="00ED3C54">
              <w:rPr>
                <w:noProof/>
                <w:webHidden/>
              </w:rPr>
              <w:fldChar w:fldCharType="separate"/>
            </w:r>
            <w:r w:rsidR="00ED3C54">
              <w:rPr>
                <w:noProof/>
                <w:webHidden/>
              </w:rPr>
              <w:t>60</w:t>
            </w:r>
            <w:r w:rsidR="00ED3C54">
              <w:rPr>
                <w:noProof/>
                <w:webHidden/>
              </w:rPr>
              <w:fldChar w:fldCharType="end"/>
            </w:r>
          </w:hyperlink>
          <w:r w:rsidR="00CF4B68">
            <w:fldChar w:fldCharType="end"/>
          </w:r>
        </w:p>
      </w:sdtContent>
    </w:sdt>
    <w:bookmarkStart w:id="3" w:name="_Toc382554200" w:displacedByCustomXml="prev"/>
    <w:bookmarkStart w:id="4" w:name="_Toc355338616" w:displacedByCustomXml="prev"/>
    <w:bookmarkStart w:id="5" w:name="_Toc351718881" w:displacedByCustomXml="prev"/>
    <w:bookmarkStart w:id="6" w:name="_Toc351716269" w:displacedByCustomXml="prev"/>
    <w:bookmarkStart w:id="7" w:name="_Toc314842482" w:displacedByCustomXml="prev"/>
    <w:p w:rsidR="00605489" w:rsidRDefault="00605489">
      <w:pPr>
        <w:spacing w:before="0" w:after="200" w:line="0" w:lineRule="auto"/>
        <w:rPr>
          <w:rFonts w:ascii="Arial" w:eastAsia="Times New Roman" w:hAnsi="Arial"/>
          <w:b/>
          <w:bCs/>
          <w:sz w:val="32"/>
          <w:szCs w:val="26"/>
        </w:rPr>
      </w:pPr>
      <w:r>
        <w:br w:type="page"/>
      </w:r>
    </w:p>
    <w:p w:rsidR="00685261" w:rsidRDefault="00685261" w:rsidP="00685261">
      <w:pPr>
        <w:pStyle w:val="Heading2"/>
      </w:pPr>
      <w:bookmarkStart w:id="8" w:name="_Toc387924264"/>
      <w:r w:rsidRPr="00685261">
        <w:lastRenderedPageBreak/>
        <w:t xml:space="preserve">List of </w:t>
      </w:r>
      <w:r w:rsidR="002D3B13">
        <w:t xml:space="preserve">common </w:t>
      </w:r>
      <w:r w:rsidRPr="00685261">
        <w:t>abbreviations</w:t>
      </w:r>
      <w:bookmarkEnd w:id="8"/>
      <w:bookmarkEnd w:id="6"/>
      <w:bookmarkEnd w:id="5"/>
      <w:bookmarkEnd w:id="4"/>
      <w:bookmarkEnd w:id="3"/>
    </w:p>
    <w:tbl>
      <w:tblPr>
        <w:tblStyle w:val="TableTGAblue"/>
        <w:tblW w:w="0" w:type="auto"/>
        <w:tblLook w:val="04A0" w:firstRow="1" w:lastRow="0" w:firstColumn="1" w:lastColumn="0" w:noHBand="0" w:noVBand="1"/>
      </w:tblPr>
      <w:tblGrid>
        <w:gridCol w:w="2067"/>
        <w:gridCol w:w="6653"/>
      </w:tblGrid>
      <w:tr w:rsidR="00685261" w:rsidTr="00685261">
        <w:trPr>
          <w:cnfStyle w:val="100000000000" w:firstRow="1" w:lastRow="0" w:firstColumn="0" w:lastColumn="0" w:oddVBand="0" w:evenVBand="0" w:oddHBand="0" w:evenHBand="0" w:firstRowFirstColumn="0" w:firstRowLastColumn="0" w:lastRowFirstColumn="0" w:lastRowLastColumn="0"/>
        </w:trPr>
        <w:tc>
          <w:tcPr>
            <w:tcW w:w="2067" w:type="dxa"/>
          </w:tcPr>
          <w:p w:rsidR="00685261" w:rsidRPr="00685261" w:rsidRDefault="00AF7876" w:rsidP="00685261">
            <w:r>
              <w:t>Abbreviation</w:t>
            </w:r>
          </w:p>
        </w:tc>
        <w:tc>
          <w:tcPr>
            <w:tcW w:w="6653" w:type="dxa"/>
          </w:tcPr>
          <w:p w:rsidR="00685261" w:rsidRPr="00685261" w:rsidRDefault="00685261" w:rsidP="00685261">
            <w:r>
              <w:t>Meaning</w:t>
            </w:r>
          </w:p>
        </w:tc>
      </w:tr>
      <w:tr w:rsidR="00685261" w:rsidTr="00685261">
        <w:tc>
          <w:tcPr>
            <w:tcW w:w="2067" w:type="dxa"/>
          </w:tcPr>
          <w:p w:rsidR="00685261" w:rsidRDefault="00685261" w:rsidP="00685261">
            <w:r w:rsidRPr="00685261">
              <w:t>ABR</w:t>
            </w:r>
          </w:p>
        </w:tc>
        <w:tc>
          <w:tcPr>
            <w:tcW w:w="6653" w:type="dxa"/>
          </w:tcPr>
          <w:p w:rsidR="00685261" w:rsidRDefault="00685261" w:rsidP="00685261">
            <w:r w:rsidRPr="00685261">
              <w:t>Annualised bleeding rate</w:t>
            </w:r>
          </w:p>
        </w:tc>
      </w:tr>
      <w:tr w:rsidR="00685261" w:rsidTr="00685261">
        <w:tc>
          <w:tcPr>
            <w:tcW w:w="2067" w:type="dxa"/>
          </w:tcPr>
          <w:p w:rsidR="00685261" w:rsidRPr="00685261" w:rsidRDefault="00685261" w:rsidP="00685261">
            <w:r w:rsidRPr="00685261">
              <w:t>AE</w:t>
            </w:r>
          </w:p>
        </w:tc>
        <w:tc>
          <w:tcPr>
            <w:tcW w:w="6653" w:type="dxa"/>
          </w:tcPr>
          <w:p w:rsidR="00685261" w:rsidRPr="00685261" w:rsidRDefault="00685261" w:rsidP="00685261">
            <w:r w:rsidRPr="00685261">
              <w:t>Adverse event</w:t>
            </w:r>
          </w:p>
        </w:tc>
      </w:tr>
      <w:tr w:rsidR="00685261" w:rsidTr="00685261">
        <w:tc>
          <w:tcPr>
            <w:tcW w:w="2067" w:type="dxa"/>
          </w:tcPr>
          <w:p w:rsidR="00685261" w:rsidRPr="00685261" w:rsidRDefault="00685261" w:rsidP="00685261">
            <w:r w:rsidRPr="00685261">
              <w:t>ALT</w:t>
            </w:r>
          </w:p>
        </w:tc>
        <w:tc>
          <w:tcPr>
            <w:tcW w:w="6653" w:type="dxa"/>
          </w:tcPr>
          <w:p w:rsidR="00685261" w:rsidRPr="00685261" w:rsidRDefault="00685261" w:rsidP="00685261">
            <w:r w:rsidRPr="00685261">
              <w:t>Alanine aminotransferase</w:t>
            </w:r>
          </w:p>
        </w:tc>
      </w:tr>
      <w:tr w:rsidR="00685261" w:rsidTr="00685261">
        <w:tc>
          <w:tcPr>
            <w:tcW w:w="2067" w:type="dxa"/>
          </w:tcPr>
          <w:p w:rsidR="00685261" w:rsidRPr="00685261" w:rsidRDefault="00685261" w:rsidP="00685261">
            <w:r w:rsidRPr="00685261">
              <w:t>AST</w:t>
            </w:r>
          </w:p>
        </w:tc>
        <w:tc>
          <w:tcPr>
            <w:tcW w:w="6653" w:type="dxa"/>
          </w:tcPr>
          <w:p w:rsidR="00685261" w:rsidRPr="00685261" w:rsidRDefault="00685261" w:rsidP="00685261">
            <w:r w:rsidRPr="00685261">
              <w:t>Aspartate aminotransferase</w:t>
            </w:r>
          </w:p>
        </w:tc>
      </w:tr>
      <w:tr w:rsidR="00685261" w:rsidTr="00685261">
        <w:tc>
          <w:tcPr>
            <w:tcW w:w="2067" w:type="dxa"/>
          </w:tcPr>
          <w:p w:rsidR="00685261" w:rsidRPr="00685261" w:rsidRDefault="00685261" w:rsidP="001819BA">
            <w:r w:rsidRPr="00685261">
              <w:t>AUC</w:t>
            </w:r>
          </w:p>
        </w:tc>
        <w:tc>
          <w:tcPr>
            <w:tcW w:w="6653" w:type="dxa"/>
          </w:tcPr>
          <w:p w:rsidR="00685261" w:rsidRPr="00685261" w:rsidRDefault="00685261" w:rsidP="001819BA">
            <w:r w:rsidRPr="00685261">
              <w:t>Area under the plasma concentration versus time curve</w:t>
            </w:r>
          </w:p>
        </w:tc>
      </w:tr>
      <w:tr w:rsidR="00685261" w:rsidTr="00685261">
        <w:tc>
          <w:tcPr>
            <w:tcW w:w="2067" w:type="dxa"/>
          </w:tcPr>
          <w:p w:rsidR="00685261" w:rsidRPr="00685261" w:rsidRDefault="00685261" w:rsidP="001819BA">
            <w:r w:rsidRPr="00685261">
              <w:t>AUC</w:t>
            </w:r>
            <w:r w:rsidRPr="001819BA">
              <w:rPr>
                <w:vertAlign w:val="subscript"/>
              </w:rPr>
              <w:t>0-72 h</w:t>
            </w:r>
          </w:p>
        </w:tc>
        <w:tc>
          <w:tcPr>
            <w:tcW w:w="6653" w:type="dxa"/>
          </w:tcPr>
          <w:p w:rsidR="00685261" w:rsidRPr="00685261" w:rsidRDefault="00685261" w:rsidP="001819BA">
            <w:r w:rsidRPr="00685261">
              <w:t>Area under the plasma concentration versus time curve from 0 to 72 hours post-infusion</w:t>
            </w:r>
          </w:p>
        </w:tc>
      </w:tr>
      <w:tr w:rsidR="00685261" w:rsidTr="00685261">
        <w:tc>
          <w:tcPr>
            <w:tcW w:w="2067" w:type="dxa"/>
          </w:tcPr>
          <w:p w:rsidR="00685261" w:rsidRDefault="00685261" w:rsidP="001819BA">
            <w:r w:rsidRPr="00685261">
              <w:t>AUC</w:t>
            </w:r>
            <w:r w:rsidRPr="001819BA">
              <w:rPr>
                <w:vertAlign w:val="subscript"/>
              </w:rPr>
              <w:t>0-</w:t>
            </w:r>
            <w:r w:rsidRPr="001819BA">
              <w:rPr>
                <w:rFonts w:hint="eastAsia"/>
                <w:vertAlign w:val="subscript"/>
              </w:rPr>
              <w:t>∞</w:t>
            </w:r>
            <w:r w:rsidRPr="00685261">
              <w:t xml:space="preserve"> or </w:t>
            </w:r>
          </w:p>
          <w:p w:rsidR="00685261" w:rsidRPr="00685261" w:rsidRDefault="00685261" w:rsidP="001819BA">
            <w:r w:rsidRPr="00685261">
              <w:t>AUC</w:t>
            </w:r>
            <w:r w:rsidR="001819BA">
              <w:rPr>
                <w:vertAlign w:val="subscript"/>
              </w:rPr>
              <w:t>0</w:t>
            </w:r>
            <w:r w:rsidRPr="001819BA">
              <w:rPr>
                <w:vertAlign w:val="subscript"/>
              </w:rPr>
              <w:t>-inf</w:t>
            </w:r>
          </w:p>
        </w:tc>
        <w:tc>
          <w:tcPr>
            <w:tcW w:w="6653" w:type="dxa"/>
          </w:tcPr>
          <w:p w:rsidR="00685261" w:rsidRPr="00685261" w:rsidRDefault="00685261" w:rsidP="001819BA">
            <w:r w:rsidRPr="00685261">
              <w:t>Area under the plasma concentration versus time curve from time 0 to infinity</w:t>
            </w:r>
          </w:p>
        </w:tc>
      </w:tr>
      <w:tr w:rsidR="00685261" w:rsidTr="00685261">
        <w:tc>
          <w:tcPr>
            <w:tcW w:w="2067" w:type="dxa"/>
          </w:tcPr>
          <w:p w:rsidR="00685261" w:rsidRPr="00685261" w:rsidRDefault="00685261" w:rsidP="001819BA">
            <w:r w:rsidRPr="00685261">
              <w:t>BDS</w:t>
            </w:r>
          </w:p>
        </w:tc>
        <w:tc>
          <w:tcPr>
            <w:tcW w:w="6653" w:type="dxa"/>
          </w:tcPr>
          <w:p w:rsidR="00685261" w:rsidRPr="00685261" w:rsidRDefault="00685261" w:rsidP="001819BA">
            <w:r w:rsidRPr="00685261">
              <w:t>Bulk Drug Substance</w:t>
            </w:r>
          </w:p>
        </w:tc>
      </w:tr>
      <w:tr w:rsidR="00685261" w:rsidTr="00685261">
        <w:tc>
          <w:tcPr>
            <w:tcW w:w="2067" w:type="dxa"/>
          </w:tcPr>
          <w:p w:rsidR="00685261" w:rsidRPr="00685261" w:rsidRDefault="00685261" w:rsidP="001819BA">
            <w:r w:rsidRPr="00685261">
              <w:t>BE</w:t>
            </w:r>
          </w:p>
        </w:tc>
        <w:tc>
          <w:tcPr>
            <w:tcW w:w="6653" w:type="dxa"/>
          </w:tcPr>
          <w:p w:rsidR="00685261" w:rsidRPr="00685261" w:rsidRDefault="00685261" w:rsidP="001819BA">
            <w:r w:rsidRPr="00685261">
              <w:t>Bleeding episode</w:t>
            </w:r>
          </w:p>
        </w:tc>
      </w:tr>
      <w:tr w:rsidR="00685261" w:rsidTr="00685261">
        <w:tc>
          <w:tcPr>
            <w:tcW w:w="2067" w:type="dxa"/>
          </w:tcPr>
          <w:p w:rsidR="00685261" w:rsidRDefault="001819BA" w:rsidP="001819BA">
            <w:r>
              <w:t>BU</w:t>
            </w:r>
          </w:p>
        </w:tc>
        <w:tc>
          <w:tcPr>
            <w:tcW w:w="6653" w:type="dxa"/>
          </w:tcPr>
          <w:p w:rsidR="00685261" w:rsidRDefault="00685261" w:rsidP="001819BA">
            <w:r w:rsidRPr="00685261">
              <w:t>Bethesda Unit</w:t>
            </w:r>
          </w:p>
        </w:tc>
      </w:tr>
      <w:tr w:rsidR="00685261" w:rsidTr="00685261">
        <w:tc>
          <w:tcPr>
            <w:tcW w:w="2067" w:type="dxa"/>
          </w:tcPr>
          <w:p w:rsidR="00685261" w:rsidRPr="00685261" w:rsidRDefault="00685261" w:rsidP="001819BA">
            <w:r w:rsidRPr="00685261">
              <w:t>CHO</w:t>
            </w:r>
          </w:p>
        </w:tc>
        <w:tc>
          <w:tcPr>
            <w:tcW w:w="6653" w:type="dxa"/>
          </w:tcPr>
          <w:p w:rsidR="00685261" w:rsidRPr="00685261" w:rsidRDefault="00685261" w:rsidP="001819BA">
            <w:r w:rsidRPr="00685261">
              <w:t>Chinese hamster ovary</w:t>
            </w:r>
          </w:p>
        </w:tc>
      </w:tr>
      <w:tr w:rsidR="00685261" w:rsidTr="00685261">
        <w:tc>
          <w:tcPr>
            <w:tcW w:w="2067" w:type="dxa"/>
          </w:tcPr>
          <w:p w:rsidR="00685261" w:rsidRPr="00685261" w:rsidRDefault="00685261" w:rsidP="001819BA">
            <w:r w:rsidRPr="00685261">
              <w:t>CL</w:t>
            </w:r>
          </w:p>
        </w:tc>
        <w:tc>
          <w:tcPr>
            <w:tcW w:w="6653" w:type="dxa"/>
          </w:tcPr>
          <w:p w:rsidR="00685261" w:rsidRPr="00685261" w:rsidRDefault="00685261" w:rsidP="001819BA">
            <w:r w:rsidRPr="00685261">
              <w:t>Clearance</w:t>
            </w:r>
          </w:p>
        </w:tc>
      </w:tr>
      <w:tr w:rsidR="00685261" w:rsidTr="00685261">
        <w:tc>
          <w:tcPr>
            <w:tcW w:w="2067" w:type="dxa"/>
          </w:tcPr>
          <w:p w:rsidR="00685261" w:rsidRPr="00685261" w:rsidRDefault="00685261" w:rsidP="001819BA">
            <w:r w:rsidRPr="00685261">
              <w:t>DIC</w:t>
            </w:r>
          </w:p>
        </w:tc>
        <w:tc>
          <w:tcPr>
            <w:tcW w:w="6653" w:type="dxa"/>
          </w:tcPr>
          <w:p w:rsidR="00685261" w:rsidRPr="00685261" w:rsidRDefault="00685261" w:rsidP="001819BA">
            <w:r w:rsidRPr="00685261">
              <w:t>Disseminated intravascular coagulation</w:t>
            </w:r>
          </w:p>
        </w:tc>
      </w:tr>
      <w:tr w:rsidR="00685261" w:rsidTr="00685261">
        <w:tc>
          <w:tcPr>
            <w:tcW w:w="2067" w:type="dxa"/>
          </w:tcPr>
          <w:p w:rsidR="00685261" w:rsidRPr="00685261" w:rsidRDefault="00685261" w:rsidP="001819BA">
            <w:r w:rsidRPr="00685261">
              <w:t>DMC</w:t>
            </w:r>
          </w:p>
        </w:tc>
        <w:tc>
          <w:tcPr>
            <w:tcW w:w="6653" w:type="dxa"/>
          </w:tcPr>
          <w:p w:rsidR="00685261" w:rsidRPr="00685261" w:rsidRDefault="00685261" w:rsidP="001819BA">
            <w:r w:rsidRPr="00685261">
              <w:t>Data Monitoring Committee</w:t>
            </w:r>
          </w:p>
        </w:tc>
      </w:tr>
      <w:tr w:rsidR="00685261" w:rsidTr="00685261">
        <w:tc>
          <w:tcPr>
            <w:tcW w:w="2067" w:type="dxa"/>
          </w:tcPr>
          <w:p w:rsidR="00685261" w:rsidRPr="00685261" w:rsidRDefault="00685261" w:rsidP="001819BA">
            <w:proofErr w:type="spellStart"/>
            <w:r w:rsidRPr="00685261">
              <w:t>eCRF</w:t>
            </w:r>
            <w:proofErr w:type="spellEnd"/>
          </w:p>
        </w:tc>
        <w:tc>
          <w:tcPr>
            <w:tcW w:w="6653" w:type="dxa"/>
          </w:tcPr>
          <w:p w:rsidR="00685261" w:rsidRPr="00685261" w:rsidRDefault="00685261" w:rsidP="001819BA">
            <w:r w:rsidRPr="00685261">
              <w:t>Electronic case report form</w:t>
            </w:r>
          </w:p>
        </w:tc>
      </w:tr>
      <w:tr w:rsidR="00685261" w:rsidTr="00685261">
        <w:tc>
          <w:tcPr>
            <w:tcW w:w="2067" w:type="dxa"/>
          </w:tcPr>
          <w:p w:rsidR="00685261" w:rsidRPr="00685261" w:rsidRDefault="00685261" w:rsidP="001819BA">
            <w:r w:rsidRPr="00685261">
              <w:t>EC</w:t>
            </w:r>
          </w:p>
        </w:tc>
        <w:tc>
          <w:tcPr>
            <w:tcW w:w="6653" w:type="dxa"/>
          </w:tcPr>
          <w:p w:rsidR="00685261" w:rsidRPr="00685261" w:rsidRDefault="00685261" w:rsidP="001819BA">
            <w:r w:rsidRPr="00685261">
              <w:t>Ethics committee</w:t>
            </w:r>
          </w:p>
        </w:tc>
      </w:tr>
      <w:tr w:rsidR="00685261" w:rsidTr="00685261">
        <w:tc>
          <w:tcPr>
            <w:tcW w:w="2067" w:type="dxa"/>
          </w:tcPr>
          <w:p w:rsidR="00685261" w:rsidRPr="00685261" w:rsidRDefault="00685261" w:rsidP="001819BA">
            <w:r w:rsidRPr="00685261">
              <w:t>ED</w:t>
            </w:r>
          </w:p>
        </w:tc>
        <w:tc>
          <w:tcPr>
            <w:tcW w:w="6653" w:type="dxa"/>
          </w:tcPr>
          <w:p w:rsidR="00685261" w:rsidRPr="00685261" w:rsidRDefault="00685261" w:rsidP="001819BA">
            <w:r w:rsidRPr="00685261">
              <w:t>Exposure day</w:t>
            </w:r>
          </w:p>
        </w:tc>
      </w:tr>
      <w:tr w:rsidR="00685261" w:rsidTr="00685261">
        <w:tc>
          <w:tcPr>
            <w:tcW w:w="2067" w:type="dxa"/>
          </w:tcPr>
          <w:p w:rsidR="00685261" w:rsidRPr="00685261" w:rsidRDefault="00685261" w:rsidP="001819BA">
            <w:pPr>
              <w:ind w:left="113"/>
            </w:pPr>
            <w:r w:rsidRPr="00685261">
              <w:t>ELISA</w:t>
            </w:r>
          </w:p>
        </w:tc>
        <w:tc>
          <w:tcPr>
            <w:tcW w:w="6653" w:type="dxa"/>
          </w:tcPr>
          <w:p w:rsidR="00685261" w:rsidRPr="00685261" w:rsidRDefault="00685261" w:rsidP="001819BA">
            <w:pPr>
              <w:ind w:left="113"/>
            </w:pPr>
            <w:r w:rsidRPr="00685261">
              <w:t xml:space="preserve">Enzyme-linked </w:t>
            </w:r>
            <w:proofErr w:type="spellStart"/>
            <w:r w:rsidRPr="00685261">
              <w:t>immunosorbent</w:t>
            </w:r>
            <w:proofErr w:type="spellEnd"/>
            <w:r w:rsidRPr="00685261">
              <w:t xml:space="preserve"> assay</w:t>
            </w:r>
          </w:p>
        </w:tc>
      </w:tr>
      <w:tr w:rsidR="00685261" w:rsidTr="00685261">
        <w:tc>
          <w:tcPr>
            <w:tcW w:w="2067" w:type="dxa"/>
          </w:tcPr>
          <w:p w:rsidR="00685261" w:rsidRPr="00685261" w:rsidRDefault="00685261" w:rsidP="001819BA">
            <w:pPr>
              <w:ind w:left="113"/>
            </w:pPr>
            <w:r w:rsidRPr="00685261">
              <w:t>EMA</w:t>
            </w:r>
          </w:p>
        </w:tc>
        <w:tc>
          <w:tcPr>
            <w:tcW w:w="6653" w:type="dxa"/>
          </w:tcPr>
          <w:p w:rsidR="00685261" w:rsidRPr="00685261" w:rsidRDefault="00685261" w:rsidP="001819BA">
            <w:pPr>
              <w:ind w:left="113"/>
            </w:pPr>
            <w:r w:rsidRPr="00685261">
              <w:t>European Medicines Agency</w:t>
            </w:r>
          </w:p>
        </w:tc>
      </w:tr>
      <w:tr w:rsidR="00685261" w:rsidTr="00685261">
        <w:tc>
          <w:tcPr>
            <w:tcW w:w="2067" w:type="dxa"/>
          </w:tcPr>
          <w:p w:rsidR="00685261" w:rsidRPr="00685261" w:rsidRDefault="00685261" w:rsidP="00685261">
            <w:pPr>
              <w:rPr>
                <w:lang w:val="en-US"/>
              </w:rPr>
            </w:pPr>
            <w:r w:rsidRPr="00685261">
              <w:rPr>
                <w:lang w:val="en-US"/>
              </w:rPr>
              <w:t>ER</w:t>
            </w:r>
          </w:p>
        </w:tc>
        <w:tc>
          <w:tcPr>
            <w:tcW w:w="6653" w:type="dxa"/>
          </w:tcPr>
          <w:p w:rsidR="00685261" w:rsidRPr="00685261" w:rsidRDefault="00685261" w:rsidP="00685261">
            <w:pPr>
              <w:rPr>
                <w:lang w:val="en-US"/>
              </w:rPr>
            </w:pPr>
            <w:r w:rsidRPr="00685261">
              <w:rPr>
                <w:lang w:val="en-US"/>
              </w:rPr>
              <w:t>Emergency room</w:t>
            </w:r>
          </w:p>
        </w:tc>
      </w:tr>
      <w:tr w:rsidR="00685261" w:rsidTr="00685261">
        <w:tc>
          <w:tcPr>
            <w:tcW w:w="2067" w:type="dxa"/>
          </w:tcPr>
          <w:p w:rsidR="00685261" w:rsidRPr="00685261" w:rsidRDefault="00685261" w:rsidP="00685261">
            <w:pPr>
              <w:rPr>
                <w:lang w:val="en-US"/>
              </w:rPr>
            </w:pPr>
            <w:r w:rsidRPr="00685261">
              <w:rPr>
                <w:lang w:val="en-US"/>
              </w:rPr>
              <w:t>FAS</w:t>
            </w:r>
          </w:p>
        </w:tc>
        <w:tc>
          <w:tcPr>
            <w:tcW w:w="6653" w:type="dxa"/>
          </w:tcPr>
          <w:p w:rsidR="00685261" w:rsidRPr="00685261" w:rsidRDefault="00685261" w:rsidP="00685261">
            <w:pPr>
              <w:rPr>
                <w:lang w:val="en-US"/>
              </w:rPr>
            </w:pPr>
            <w:r w:rsidRPr="00685261">
              <w:rPr>
                <w:lang w:val="en-US"/>
              </w:rPr>
              <w:t>Full Analysis Set</w:t>
            </w:r>
          </w:p>
        </w:tc>
      </w:tr>
      <w:tr w:rsidR="00685261" w:rsidTr="00685261">
        <w:tc>
          <w:tcPr>
            <w:tcW w:w="2067" w:type="dxa"/>
          </w:tcPr>
          <w:p w:rsidR="00685261" w:rsidRPr="00685261" w:rsidRDefault="00685261" w:rsidP="00685261">
            <w:pPr>
              <w:rPr>
                <w:lang w:val="en-US"/>
              </w:rPr>
            </w:pPr>
            <w:r w:rsidRPr="00685261">
              <w:rPr>
                <w:lang w:val="en-US"/>
              </w:rPr>
              <w:t>FDP</w:t>
            </w:r>
          </w:p>
        </w:tc>
        <w:tc>
          <w:tcPr>
            <w:tcW w:w="6653" w:type="dxa"/>
          </w:tcPr>
          <w:p w:rsidR="00685261" w:rsidRPr="00685261" w:rsidRDefault="00685261" w:rsidP="00685261">
            <w:pPr>
              <w:rPr>
                <w:lang w:val="en-US"/>
              </w:rPr>
            </w:pPr>
            <w:r w:rsidRPr="00685261">
              <w:rPr>
                <w:lang w:val="en-US"/>
              </w:rPr>
              <w:t>Finished Drug Product</w:t>
            </w:r>
          </w:p>
        </w:tc>
      </w:tr>
      <w:tr w:rsidR="00685261" w:rsidTr="00685261">
        <w:tc>
          <w:tcPr>
            <w:tcW w:w="2067" w:type="dxa"/>
          </w:tcPr>
          <w:p w:rsidR="00685261" w:rsidRPr="00685261" w:rsidRDefault="00685261" w:rsidP="00685261">
            <w:pPr>
              <w:rPr>
                <w:lang w:val="en-US"/>
              </w:rPr>
            </w:pPr>
            <w:r w:rsidRPr="00685261">
              <w:rPr>
                <w:lang w:val="en-US"/>
              </w:rPr>
              <w:t>FIX</w:t>
            </w:r>
          </w:p>
        </w:tc>
        <w:tc>
          <w:tcPr>
            <w:tcW w:w="6653" w:type="dxa"/>
          </w:tcPr>
          <w:p w:rsidR="00685261" w:rsidRPr="00685261" w:rsidRDefault="00685261" w:rsidP="00685261">
            <w:pPr>
              <w:rPr>
                <w:lang w:val="en-US"/>
              </w:rPr>
            </w:pPr>
            <w:r w:rsidRPr="00685261">
              <w:rPr>
                <w:lang w:val="en-US"/>
              </w:rPr>
              <w:t>Factor IX</w:t>
            </w:r>
          </w:p>
        </w:tc>
      </w:tr>
      <w:tr w:rsidR="00685261" w:rsidTr="00685261">
        <w:tc>
          <w:tcPr>
            <w:tcW w:w="2067" w:type="dxa"/>
          </w:tcPr>
          <w:p w:rsidR="00685261" w:rsidRPr="00685261" w:rsidRDefault="00685261" w:rsidP="00685261">
            <w:pPr>
              <w:rPr>
                <w:lang w:val="en-US"/>
              </w:rPr>
            </w:pPr>
            <w:r w:rsidRPr="00685261">
              <w:rPr>
                <w:lang w:val="en-US"/>
              </w:rPr>
              <w:lastRenderedPageBreak/>
              <w:t>GCP</w:t>
            </w:r>
          </w:p>
        </w:tc>
        <w:tc>
          <w:tcPr>
            <w:tcW w:w="6653" w:type="dxa"/>
          </w:tcPr>
          <w:p w:rsidR="00685261" w:rsidRPr="00685261" w:rsidRDefault="00685261" w:rsidP="00685261">
            <w:pPr>
              <w:rPr>
                <w:lang w:val="en-US"/>
              </w:rPr>
            </w:pPr>
            <w:r w:rsidRPr="00685261">
              <w:rPr>
                <w:lang w:val="en-US"/>
              </w:rPr>
              <w:t>Good clinical practice</w:t>
            </w:r>
          </w:p>
        </w:tc>
      </w:tr>
      <w:tr w:rsidR="00685261" w:rsidTr="00685261">
        <w:tc>
          <w:tcPr>
            <w:tcW w:w="2067" w:type="dxa"/>
          </w:tcPr>
          <w:p w:rsidR="00685261" w:rsidRPr="00685261" w:rsidRDefault="00685261" w:rsidP="00685261">
            <w:pPr>
              <w:rPr>
                <w:lang w:val="en-US"/>
              </w:rPr>
            </w:pPr>
            <w:r w:rsidRPr="00685261">
              <w:rPr>
                <w:lang w:val="en-US"/>
              </w:rPr>
              <w:t>GP</w:t>
            </w:r>
          </w:p>
        </w:tc>
        <w:tc>
          <w:tcPr>
            <w:tcW w:w="6653" w:type="dxa"/>
          </w:tcPr>
          <w:p w:rsidR="00685261" w:rsidRPr="00685261" w:rsidRDefault="00685261" w:rsidP="00685261">
            <w:pPr>
              <w:rPr>
                <w:lang w:val="en-US"/>
              </w:rPr>
            </w:pPr>
            <w:r w:rsidRPr="00685261">
              <w:rPr>
                <w:lang w:val="en-US"/>
              </w:rPr>
              <w:t>General practitioner</w:t>
            </w:r>
          </w:p>
        </w:tc>
      </w:tr>
      <w:tr w:rsidR="00685261" w:rsidTr="00685261">
        <w:tc>
          <w:tcPr>
            <w:tcW w:w="2067" w:type="dxa"/>
          </w:tcPr>
          <w:p w:rsidR="00685261" w:rsidRPr="00685261" w:rsidRDefault="00685261" w:rsidP="00685261">
            <w:pPr>
              <w:rPr>
                <w:lang w:val="en-US"/>
              </w:rPr>
            </w:pPr>
            <w:r w:rsidRPr="00685261">
              <w:rPr>
                <w:lang w:val="en-US"/>
              </w:rPr>
              <w:t>h</w:t>
            </w:r>
          </w:p>
        </w:tc>
        <w:tc>
          <w:tcPr>
            <w:tcW w:w="6653" w:type="dxa"/>
          </w:tcPr>
          <w:p w:rsidR="00685261" w:rsidRPr="00685261" w:rsidRDefault="00685261" w:rsidP="00685261">
            <w:pPr>
              <w:rPr>
                <w:lang w:val="en-US"/>
              </w:rPr>
            </w:pPr>
            <w:r w:rsidRPr="00685261">
              <w:rPr>
                <w:lang w:val="en-US"/>
              </w:rPr>
              <w:t>Hour(s)</w:t>
            </w:r>
          </w:p>
        </w:tc>
      </w:tr>
      <w:tr w:rsidR="00685261" w:rsidTr="00685261">
        <w:tc>
          <w:tcPr>
            <w:tcW w:w="2067" w:type="dxa"/>
          </w:tcPr>
          <w:p w:rsidR="00685261" w:rsidRPr="00685261" w:rsidRDefault="00685261" w:rsidP="00685261">
            <w:pPr>
              <w:rPr>
                <w:lang w:val="en-US"/>
              </w:rPr>
            </w:pPr>
            <w:r w:rsidRPr="00685261">
              <w:rPr>
                <w:lang w:val="en-US"/>
              </w:rPr>
              <w:t>HCV</w:t>
            </w:r>
          </w:p>
        </w:tc>
        <w:tc>
          <w:tcPr>
            <w:tcW w:w="6653" w:type="dxa"/>
          </w:tcPr>
          <w:p w:rsidR="00685261" w:rsidRPr="00685261" w:rsidRDefault="00685261" w:rsidP="00685261">
            <w:pPr>
              <w:rPr>
                <w:lang w:val="en-US"/>
              </w:rPr>
            </w:pPr>
            <w:r w:rsidRPr="00685261">
              <w:rPr>
                <w:lang w:val="en-US"/>
              </w:rPr>
              <w:t>Hepatitis C virus</w:t>
            </w:r>
          </w:p>
        </w:tc>
      </w:tr>
      <w:tr w:rsidR="00685261" w:rsidTr="00685261">
        <w:tc>
          <w:tcPr>
            <w:tcW w:w="2067" w:type="dxa"/>
          </w:tcPr>
          <w:p w:rsidR="00685261" w:rsidRPr="00685261" w:rsidRDefault="00685261" w:rsidP="00685261">
            <w:pPr>
              <w:rPr>
                <w:lang w:val="en-US"/>
              </w:rPr>
            </w:pPr>
            <w:r w:rsidRPr="00685261">
              <w:rPr>
                <w:lang w:val="en-US"/>
              </w:rPr>
              <w:t>HIV</w:t>
            </w:r>
          </w:p>
        </w:tc>
        <w:tc>
          <w:tcPr>
            <w:tcW w:w="6653" w:type="dxa"/>
          </w:tcPr>
          <w:p w:rsidR="00685261" w:rsidRPr="00685261" w:rsidRDefault="00685261" w:rsidP="00685261">
            <w:pPr>
              <w:rPr>
                <w:lang w:val="en-US"/>
              </w:rPr>
            </w:pPr>
            <w:r w:rsidRPr="00685261">
              <w:rPr>
                <w:lang w:val="en-US"/>
              </w:rPr>
              <w:t>Human immunodeficiency virus</w:t>
            </w:r>
          </w:p>
        </w:tc>
      </w:tr>
      <w:tr w:rsidR="00685261" w:rsidTr="00685261">
        <w:tc>
          <w:tcPr>
            <w:tcW w:w="2067" w:type="dxa"/>
          </w:tcPr>
          <w:p w:rsidR="00685261" w:rsidRPr="00685261" w:rsidRDefault="00685261" w:rsidP="00685261">
            <w:pPr>
              <w:rPr>
                <w:lang w:val="en-US"/>
              </w:rPr>
            </w:pPr>
            <w:r w:rsidRPr="00685261">
              <w:rPr>
                <w:lang w:val="en-US"/>
              </w:rPr>
              <w:t xml:space="preserve">HR </w:t>
            </w:r>
            <w:proofErr w:type="spellStart"/>
            <w:r w:rsidRPr="00685261">
              <w:rPr>
                <w:lang w:val="en-US"/>
              </w:rPr>
              <w:t>QoL</w:t>
            </w:r>
            <w:proofErr w:type="spellEnd"/>
          </w:p>
        </w:tc>
        <w:tc>
          <w:tcPr>
            <w:tcW w:w="6653" w:type="dxa"/>
          </w:tcPr>
          <w:p w:rsidR="00685261" w:rsidRPr="00685261" w:rsidRDefault="00685261" w:rsidP="00685261">
            <w:pPr>
              <w:rPr>
                <w:lang w:val="en-US"/>
              </w:rPr>
            </w:pPr>
            <w:r w:rsidRPr="00685261">
              <w:rPr>
                <w:lang w:val="en-US"/>
              </w:rPr>
              <w:t>Health-related quality of life</w:t>
            </w:r>
          </w:p>
        </w:tc>
      </w:tr>
      <w:tr w:rsidR="00685261" w:rsidTr="00685261">
        <w:tc>
          <w:tcPr>
            <w:tcW w:w="2067" w:type="dxa"/>
          </w:tcPr>
          <w:p w:rsidR="00685261" w:rsidRPr="00685261" w:rsidRDefault="00685261" w:rsidP="00685261">
            <w:pPr>
              <w:rPr>
                <w:lang w:val="en-US"/>
              </w:rPr>
            </w:pPr>
            <w:proofErr w:type="spellStart"/>
            <w:r w:rsidRPr="00685261">
              <w:rPr>
                <w:lang w:val="en-US"/>
              </w:rPr>
              <w:t>hs</w:t>
            </w:r>
            <w:proofErr w:type="spellEnd"/>
            <w:r w:rsidRPr="00685261">
              <w:rPr>
                <w:lang w:val="en-US"/>
              </w:rPr>
              <w:t>-CRP</w:t>
            </w:r>
          </w:p>
        </w:tc>
        <w:tc>
          <w:tcPr>
            <w:tcW w:w="6653" w:type="dxa"/>
          </w:tcPr>
          <w:p w:rsidR="00685261" w:rsidRPr="00685261" w:rsidRDefault="00685261" w:rsidP="00685261">
            <w:pPr>
              <w:rPr>
                <w:lang w:val="en-US"/>
              </w:rPr>
            </w:pPr>
            <w:r w:rsidRPr="00685261">
              <w:rPr>
                <w:lang w:val="en-US"/>
              </w:rPr>
              <w:t>High-sensitive C-reactive protein</w:t>
            </w:r>
          </w:p>
        </w:tc>
      </w:tr>
      <w:tr w:rsidR="00685261" w:rsidTr="00685261">
        <w:tc>
          <w:tcPr>
            <w:tcW w:w="2067" w:type="dxa"/>
          </w:tcPr>
          <w:p w:rsidR="00685261" w:rsidRPr="00685261" w:rsidRDefault="00685261" w:rsidP="00685261">
            <w:pPr>
              <w:rPr>
                <w:lang w:val="en-US"/>
              </w:rPr>
            </w:pPr>
            <w:r w:rsidRPr="00685261">
              <w:rPr>
                <w:lang w:val="en-US"/>
              </w:rPr>
              <w:t>ICH</w:t>
            </w:r>
          </w:p>
        </w:tc>
        <w:tc>
          <w:tcPr>
            <w:tcW w:w="6653" w:type="dxa"/>
          </w:tcPr>
          <w:p w:rsidR="00685261" w:rsidRPr="00685261" w:rsidRDefault="00685261" w:rsidP="00685261">
            <w:pPr>
              <w:rPr>
                <w:lang w:val="en-US"/>
              </w:rPr>
            </w:pPr>
            <w:r w:rsidRPr="00685261">
              <w:rPr>
                <w:lang w:val="en-US"/>
              </w:rPr>
              <w:t xml:space="preserve">International Conference on </w:t>
            </w:r>
            <w:proofErr w:type="spellStart"/>
            <w:r w:rsidRPr="00685261">
              <w:rPr>
                <w:lang w:val="en-US"/>
              </w:rPr>
              <w:t>Harmonisation</w:t>
            </w:r>
            <w:proofErr w:type="spellEnd"/>
          </w:p>
        </w:tc>
      </w:tr>
      <w:tr w:rsidR="00685261" w:rsidTr="00685261">
        <w:tc>
          <w:tcPr>
            <w:tcW w:w="2067" w:type="dxa"/>
          </w:tcPr>
          <w:p w:rsidR="00685261" w:rsidRPr="00685261" w:rsidRDefault="00685261" w:rsidP="00685261">
            <w:pPr>
              <w:rPr>
                <w:lang w:val="en-US"/>
              </w:rPr>
            </w:pPr>
            <w:proofErr w:type="spellStart"/>
            <w:r w:rsidRPr="00685261">
              <w:rPr>
                <w:lang w:val="en-US"/>
              </w:rPr>
              <w:t>Ig</w:t>
            </w:r>
            <w:proofErr w:type="spellEnd"/>
          </w:p>
        </w:tc>
        <w:tc>
          <w:tcPr>
            <w:tcW w:w="6653" w:type="dxa"/>
          </w:tcPr>
          <w:p w:rsidR="00685261" w:rsidRPr="00685261" w:rsidRDefault="00685261" w:rsidP="00685261">
            <w:pPr>
              <w:rPr>
                <w:lang w:val="en-US"/>
              </w:rPr>
            </w:pPr>
            <w:r w:rsidRPr="00685261">
              <w:rPr>
                <w:lang w:val="en-US"/>
              </w:rPr>
              <w:t>Immunoglobulin</w:t>
            </w:r>
          </w:p>
        </w:tc>
      </w:tr>
      <w:tr w:rsidR="00685261" w:rsidTr="00685261">
        <w:tc>
          <w:tcPr>
            <w:tcW w:w="2067" w:type="dxa"/>
          </w:tcPr>
          <w:p w:rsidR="00685261" w:rsidRPr="00685261" w:rsidRDefault="00685261" w:rsidP="00685261">
            <w:pPr>
              <w:rPr>
                <w:lang w:val="en-US"/>
              </w:rPr>
            </w:pPr>
            <w:r w:rsidRPr="00685261">
              <w:rPr>
                <w:lang w:val="en-US"/>
              </w:rPr>
              <w:t>INR</w:t>
            </w:r>
          </w:p>
        </w:tc>
        <w:tc>
          <w:tcPr>
            <w:tcW w:w="6653" w:type="dxa"/>
          </w:tcPr>
          <w:p w:rsidR="00685261" w:rsidRPr="00685261" w:rsidRDefault="00685261" w:rsidP="00685261">
            <w:pPr>
              <w:rPr>
                <w:lang w:val="en-US"/>
              </w:rPr>
            </w:pPr>
            <w:r w:rsidRPr="00685261">
              <w:rPr>
                <w:lang w:val="en-US"/>
              </w:rPr>
              <w:t xml:space="preserve">International </w:t>
            </w:r>
            <w:proofErr w:type="spellStart"/>
            <w:r w:rsidRPr="00685261">
              <w:rPr>
                <w:lang w:val="en-US"/>
              </w:rPr>
              <w:t>normalised</w:t>
            </w:r>
            <w:proofErr w:type="spellEnd"/>
            <w:r w:rsidRPr="00685261">
              <w:rPr>
                <w:lang w:val="en-US"/>
              </w:rPr>
              <w:t xml:space="preserve"> ratio</w:t>
            </w:r>
          </w:p>
        </w:tc>
      </w:tr>
      <w:tr w:rsidR="00685261" w:rsidTr="00685261">
        <w:tc>
          <w:tcPr>
            <w:tcW w:w="2067" w:type="dxa"/>
          </w:tcPr>
          <w:p w:rsidR="00685261" w:rsidRPr="00685261" w:rsidRDefault="00685261" w:rsidP="00685261">
            <w:pPr>
              <w:rPr>
                <w:lang w:val="en-US"/>
              </w:rPr>
            </w:pPr>
            <w:r w:rsidRPr="00685261">
              <w:rPr>
                <w:lang w:val="en-US"/>
              </w:rPr>
              <w:t>IP</w:t>
            </w:r>
          </w:p>
        </w:tc>
        <w:tc>
          <w:tcPr>
            <w:tcW w:w="6653" w:type="dxa"/>
          </w:tcPr>
          <w:p w:rsidR="00685261" w:rsidRPr="00685261" w:rsidRDefault="00685261" w:rsidP="00685261">
            <w:pPr>
              <w:rPr>
                <w:lang w:val="en-US"/>
              </w:rPr>
            </w:pPr>
            <w:r w:rsidRPr="00685261">
              <w:rPr>
                <w:lang w:val="en-US"/>
              </w:rPr>
              <w:t>Investigational product</w:t>
            </w:r>
          </w:p>
        </w:tc>
      </w:tr>
      <w:tr w:rsidR="00685261" w:rsidTr="00685261">
        <w:tc>
          <w:tcPr>
            <w:tcW w:w="2067" w:type="dxa"/>
          </w:tcPr>
          <w:p w:rsidR="00685261" w:rsidRPr="00685261" w:rsidRDefault="00685261" w:rsidP="00685261">
            <w:pPr>
              <w:rPr>
                <w:lang w:val="en-US"/>
              </w:rPr>
            </w:pPr>
            <w:r w:rsidRPr="00685261">
              <w:rPr>
                <w:lang w:val="en-US"/>
              </w:rPr>
              <w:t>IR</w:t>
            </w:r>
          </w:p>
        </w:tc>
        <w:tc>
          <w:tcPr>
            <w:tcW w:w="6653" w:type="dxa"/>
          </w:tcPr>
          <w:p w:rsidR="00685261" w:rsidRPr="00685261" w:rsidRDefault="00685261" w:rsidP="00685261">
            <w:pPr>
              <w:rPr>
                <w:lang w:val="en-US"/>
              </w:rPr>
            </w:pPr>
            <w:r w:rsidRPr="00685261">
              <w:rPr>
                <w:lang w:val="en-US"/>
              </w:rPr>
              <w:t>Incremental recovery</w:t>
            </w:r>
          </w:p>
        </w:tc>
      </w:tr>
      <w:tr w:rsidR="00685261" w:rsidTr="00685261">
        <w:tc>
          <w:tcPr>
            <w:tcW w:w="2067" w:type="dxa"/>
          </w:tcPr>
          <w:p w:rsidR="00685261" w:rsidRPr="00685261" w:rsidRDefault="00685261" w:rsidP="00685261">
            <w:pPr>
              <w:rPr>
                <w:lang w:val="en-US"/>
              </w:rPr>
            </w:pPr>
            <w:r w:rsidRPr="00685261">
              <w:rPr>
                <w:lang w:val="en-US"/>
              </w:rPr>
              <w:t>ITI</w:t>
            </w:r>
          </w:p>
        </w:tc>
        <w:tc>
          <w:tcPr>
            <w:tcW w:w="6653" w:type="dxa"/>
          </w:tcPr>
          <w:p w:rsidR="00685261" w:rsidRPr="00685261" w:rsidRDefault="00685261" w:rsidP="00685261">
            <w:pPr>
              <w:rPr>
                <w:lang w:val="en-US"/>
              </w:rPr>
            </w:pPr>
            <w:r w:rsidRPr="00685261">
              <w:rPr>
                <w:lang w:val="en-US"/>
              </w:rPr>
              <w:t>Immune tolerance induction</w:t>
            </w:r>
          </w:p>
        </w:tc>
      </w:tr>
      <w:tr w:rsidR="00685261" w:rsidTr="00685261">
        <w:tc>
          <w:tcPr>
            <w:tcW w:w="2067" w:type="dxa"/>
          </w:tcPr>
          <w:p w:rsidR="00685261" w:rsidRPr="00685261" w:rsidRDefault="00685261" w:rsidP="00685261">
            <w:pPr>
              <w:rPr>
                <w:lang w:val="en-US"/>
              </w:rPr>
            </w:pPr>
            <w:r w:rsidRPr="00685261">
              <w:rPr>
                <w:lang w:val="en-US"/>
              </w:rPr>
              <w:t>IU</w:t>
            </w:r>
          </w:p>
        </w:tc>
        <w:tc>
          <w:tcPr>
            <w:tcW w:w="6653" w:type="dxa"/>
          </w:tcPr>
          <w:p w:rsidR="00685261" w:rsidRPr="00685261" w:rsidRDefault="00685261" w:rsidP="00685261">
            <w:pPr>
              <w:rPr>
                <w:lang w:val="en-US"/>
              </w:rPr>
            </w:pPr>
            <w:r w:rsidRPr="00685261">
              <w:rPr>
                <w:lang w:val="en-US"/>
              </w:rPr>
              <w:t>International units</w:t>
            </w:r>
          </w:p>
        </w:tc>
      </w:tr>
      <w:tr w:rsidR="00685261" w:rsidTr="00685261">
        <w:tc>
          <w:tcPr>
            <w:tcW w:w="2067" w:type="dxa"/>
          </w:tcPr>
          <w:p w:rsidR="00685261" w:rsidRPr="00685261" w:rsidRDefault="00685261" w:rsidP="00685261">
            <w:pPr>
              <w:rPr>
                <w:lang w:val="en-US"/>
              </w:rPr>
            </w:pPr>
            <w:r w:rsidRPr="00685261">
              <w:rPr>
                <w:lang w:val="en-US"/>
              </w:rPr>
              <w:t>MRT</w:t>
            </w:r>
          </w:p>
        </w:tc>
        <w:tc>
          <w:tcPr>
            <w:tcW w:w="6653" w:type="dxa"/>
          </w:tcPr>
          <w:p w:rsidR="00685261" w:rsidRPr="00685261" w:rsidRDefault="00685261" w:rsidP="00685261">
            <w:pPr>
              <w:rPr>
                <w:lang w:val="en-US"/>
              </w:rPr>
            </w:pPr>
            <w:r w:rsidRPr="00685261">
              <w:rPr>
                <w:lang w:val="en-US"/>
              </w:rPr>
              <w:t>Mean residence time</w:t>
            </w:r>
          </w:p>
        </w:tc>
      </w:tr>
      <w:tr w:rsidR="001819BA" w:rsidTr="00685261">
        <w:tc>
          <w:tcPr>
            <w:tcW w:w="2067" w:type="dxa"/>
          </w:tcPr>
          <w:p w:rsidR="001819BA" w:rsidRPr="00685261" w:rsidRDefault="001819BA" w:rsidP="00EA07AA">
            <w:pPr>
              <w:rPr>
                <w:lang w:val="en-US"/>
              </w:rPr>
            </w:pPr>
            <w:r w:rsidRPr="00685261">
              <w:rPr>
                <w:lang w:val="en-US"/>
              </w:rPr>
              <w:t>NOAEL</w:t>
            </w:r>
          </w:p>
        </w:tc>
        <w:tc>
          <w:tcPr>
            <w:tcW w:w="6653" w:type="dxa"/>
          </w:tcPr>
          <w:p w:rsidR="001819BA" w:rsidRPr="00685261" w:rsidRDefault="001819BA" w:rsidP="00EA07AA">
            <w:pPr>
              <w:rPr>
                <w:lang w:val="en-US"/>
              </w:rPr>
            </w:pPr>
            <w:r w:rsidRPr="00685261">
              <w:rPr>
                <w:lang w:val="en-US"/>
              </w:rPr>
              <w:t>No observable adverse event level</w:t>
            </w:r>
          </w:p>
        </w:tc>
      </w:tr>
      <w:tr w:rsidR="001819BA" w:rsidTr="00685261">
        <w:tc>
          <w:tcPr>
            <w:tcW w:w="2067" w:type="dxa"/>
          </w:tcPr>
          <w:p w:rsidR="001819BA" w:rsidRPr="00685261" w:rsidRDefault="001819BA" w:rsidP="00EA07AA">
            <w:pPr>
              <w:rPr>
                <w:lang w:val="en-US"/>
              </w:rPr>
            </w:pPr>
            <w:r w:rsidRPr="00685261">
              <w:rPr>
                <w:lang w:val="en-US"/>
              </w:rPr>
              <w:t>PK</w:t>
            </w:r>
          </w:p>
        </w:tc>
        <w:tc>
          <w:tcPr>
            <w:tcW w:w="6653" w:type="dxa"/>
          </w:tcPr>
          <w:p w:rsidR="001819BA" w:rsidRPr="00685261" w:rsidRDefault="001819BA" w:rsidP="00EA07AA">
            <w:pPr>
              <w:rPr>
                <w:lang w:val="en-US"/>
              </w:rPr>
            </w:pPr>
            <w:r w:rsidRPr="00685261">
              <w:rPr>
                <w:lang w:val="en-US"/>
              </w:rPr>
              <w:t>Pharmacokinetic</w:t>
            </w:r>
          </w:p>
        </w:tc>
      </w:tr>
      <w:tr w:rsidR="001819BA" w:rsidTr="00685261">
        <w:tc>
          <w:tcPr>
            <w:tcW w:w="2067" w:type="dxa"/>
          </w:tcPr>
          <w:p w:rsidR="001819BA" w:rsidRPr="00685261" w:rsidRDefault="001819BA" w:rsidP="00EA07AA">
            <w:pPr>
              <w:rPr>
                <w:lang w:val="en-US"/>
              </w:rPr>
            </w:pPr>
            <w:r w:rsidRPr="00685261">
              <w:rPr>
                <w:lang w:val="en-US"/>
              </w:rPr>
              <w:t>PTP</w:t>
            </w:r>
          </w:p>
        </w:tc>
        <w:tc>
          <w:tcPr>
            <w:tcW w:w="6653" w:type="dxa"/>
          </w:tcPr>
          <w:p w:rsidR="001819BA" w:rsidRPr="00685261" w:rsidRDefault="001819BA" w:rsidP="00EA07AA">
            <w:pPr>
              <w:rPr>
                <w:lang w:val="en-US"/>
              </w:rPr>
            </w:pPr>
            <w:r w:rsidRPr="00685261">
              <w:rPr>
                <w:lang w:val="en-US"/>
              </w:rPr>
              <w:t>Previously treated patients</w:t>
            </w:r>
          </w:p>
        </w:tc>
      </w:tr>
      <w:tr w:rsidR="009E49DD" w:rsidTr="00685261">
        <w:tc>
          <w:tcPr>
            <w:tcW w:w="2067" w:type="dxa"/>
          </w:tcPr>
          <w:p w:rsidR="009E49DD" w:rsidRPr="00685261" w:rsidRDefault="009E49DD" w:rsidP="00EA07AA">
            <w:pPr>
              <w:rPr>
                <w:lang w:val="en-US"/>
              </w:rPr>
            </w:pPr>
            <w:proofErr w:type="spellStart"/>
            <w:r>
              <w:rPr>
                <w:lang w:val="en-US"/>
              </w:rPr>
              <w:t>rFIX</w:t>
            </w:r>
            <w:proofErr w:type="spellEnd"/>
          </w:p>
        </w:tc>
        <w:tc>
          <w:tcPr>
            <w:tcW w:w="6653" w:type="dxa"/>
          </w:tcPr>
          <w:p w:rsidR="009E49DD" w:rsidRPr="00685261" w:rsidRDefault="009E49DD" w:rsidP="00EA07AA">
            <w:pPr>
              <w:rPr>
                <w:lang w:val="en-US"/>
              </w:rPr>
            </w:pPr>
            <w:r>
              <w:rPr>
                <w:lang w:val="en-US"/>
              </w:rPr>
              <w:t>Recombinant Factor IX</w:t>
            </w:r>
          </w:p>
        </w:tc>
      </w:tr>
      <w:tr w:rsidR="001819BA" w:rsidTr="00685261">
        <w:tc>
          <w:tcPr>
            <w:tcW w:w="2067" w:type="dxa"/>
          </w:tcPr>
          <w:p w:rsidR="001819BA" w:rsidRPr="00685261" w:rsidRDefault="001819BA" w:rsidP="00EA07AA">
            <w:pPr>
              <w:rPr>
                <w:lang w:val="en-US"/>
              </w:rPr>
            </w:pPr>
            <w:r w:rsidRPr="00685261">
              <w:rPr>
                <w:lang w:val="en-US"/>
              </w:rPr>
              <w:t>SAE</w:t>
            </w:r>
          </w:p>
        </w:tc>
        <w:tc>
          <w:tcPr>
            <w:tcW w:w="6653" w:type="dxa"/>
          </w:tcPr>
          <w:p w:rsidR="001819BA" w:rsidRPr="00685261" w:rsidRDefault="001819BA" w:rsidP="00EA07AA">
            <w:pPr>
              <w:rPr>
                <w:lang w:val="en-US"/>
              </w:rPr>
            </w:pPr>
            <w:r w:rsidRPr="00685261">
              <w:rPr>
                <w:lang w:val="en-US"/>
              </w:rPr>
              <w:t>Serious adverse event</w:t>
            </w:r>
          </w:p>
        </w:tc>
      </w:tr>
      <w:tr w:rsidR="001819BA" w:rsidTr="00685261">
        <w:tc>
          <w:tcPr>
            <w:tcW w:w="2067" w:type="dxa"/>
          </w:tcPr>
          <w:p w:rsidR="001819BA" w:rsidRPr="00685261" w:rsidRDefault="001819BA" w:rsidP="00EA07AA">
            <w:pPr>
              <w:rPr>
                <w:lang w:val="en-US"/>
              </w:rPr>
            </w:pPr>
            <w:r w:rsidRPr="00685261">
              <w:rPr>
                <w:lang w:val="en-US"/>
              </w:rPr>
              <w:t>SAER</w:t>
            </w:r>
          </w:p>
        </w:tc>
        <w:tc>
          <w:tcPr>
            <w:tcW w:w="6653" w:type="dxa"/>
          </w:tcPr>
          <w:p w:rsidR="001819BA" w:rsidRPr="00685261" w:rsidRDefault="001819BA" w:rsidP="00EA07AA">
            <w:pPr>
              <w:rPr>
                <w:lang w:val="en-US"/>
              </w:rPr>
            </w:pPr>
            <w:r w:rsidRPr="00685261">
              <w:rPr>
                <w:lang w:val="en-US"/>
              </w:rPr>
              <w:t>Serious adverse event report</w:t>
            </w:r>
          </w:p>
        </w:tc>
      </w:tr>
      <w:tr w:rsidR="001819BA" w:rsidTr="00685261">
        <w:tc>
          <w:tcPr>
            <w:tcW w:w="2067" w:type="dxa"/>
          </w:tcPr>
          <w:p w:rsidR="001819BA" w:rsidRPr="00685261" w:rsidRDefault="001819BA" w:rsidP="00EA07AA">
            <w:r w:rsidRPr="00685261">
              <w:rPr>
                <w:lang w:val="en-US"/>
              </w:rPr>
              <w:t>SPC</w:t>
            </w:r>
          </w:p>
        </w:tc>
        <w:tc>
          <w:tcPr>
            <w:tcW w:w="6653" w:type="dxa"/>
          </w:tcPr>
          <w:p w:rsidR="001819BA" w:rsidRPr="00685261" w:rsidRDefault="001819BA" w:rsidP="00EA07AA">
            <w:r w:rsidRPr="00685261">
              <w:rPr>
                <w:lang w:val="en-US"/>
              </w:rPr>
              <w:t>Summary of product characteristics</w:t>
            </w:r>
          </w:p>
        </w:tc>
      </w:tr>
      <w:tr w:rsidR="001819BA" w:rsidTr="00685261">
        <w:tc>
          <w:tcPr>
            <w:tcW w:w="2067" w:type="dxa"/>
          </w:tcPr>
          <w:p w:rsidR="001819BA" w:rsidRPr="00685261" w:rsidRDefault="001819BA" w:rsidP="00EA07AA">
            <w:r w:rsidRPr="00685261">
              <w:rPr>
                <w:lang w:val="en-US"/>
              </w:rPr>
              <w:t>SWFI</w:t>
            </w:r>
          </w:p>
        </w:tc>
        <w:tc>
          <w:tcPr>
            <w:tcW w:w="6653" w:type="dxa"/>
          </w:tcPr>
          <w:p w:rsidR="001819BA" w:rsidRPr="00685261" w:rsidRDefault="001819BA" w:rsidP="00EA07AA">
            <w:r w:rsidRPr="00685261">
              <w:rPr>
                <w:lang w:val="en-US"/>
              </w:rPr>
              <w:t>Sterile water for injection</w:t>
            </w:r>
          </w:p>
        </w:tc>
      </w:tr>
      <w:tr w:rsidR="001819BA" w:rsidTr="00685261">
        <w:tc>
          <w:tcPr>
            <w:tcW w:w="2067" w:type="dxa"/>
          </w:tcPr>
          <w:p w:rsidR="001819BA" w:rsidRPr="001819BA" w:rsidRDefault="001819BA" w:rsidP="001819BA">
            <w:r w:rsidRPr="001819BA">
              <w:rPr>
                <w:lang w:val="en-US"/>
              </w:rPr>
              <w:t>T</w:t>
            </w:r>
            <w:r>
              <w:rPr>
                <w:lang w:val="en-US"/>
              </w:rPr>
              <w:t>½</w:t>
            </w:r>
          </w:p>
        </w:tc>
        <w:tc>
          <w:tcPr>
            <w:tcW w:w="6653" w:type="dxa"/>
          </w:tcPr>
          <w:p w:rsidR="001819BA" w:rsidRPr="00685261" w:rsidRDefault="001819BA" w:rsidP="00EA07AA">
            <w:r w:rsidRPr="00685261">
              <w:rPr>
                <w:lang w:val="en-US"/>
              </w:rPr>
              <w:t>Elimination phase half-life</w:t>
            </w:r>
          </w:p>
        </w:tc>
      </w:tr>
      <w:tr w:rsidR="001819BA" w:rsidTr="00685261">
        <w:tc>
          <w:tcPr>
            <w:tcW w:w="2067" w:type="dxa"/>
          </w:tcPr>
          <w:p w:rsidR="001819BA" w:rsidRPr="00685261" w:rsidRDefault="001819BA" w:rsidP="00EA07AA">
            <w:proofErr w:type="spellStart"/>
            <w:r w:rsidRPr="00685261">
              <w:rPr>
                <w:lang w:val="en-US"/>
              </w:rPr>
              <w:t>Vss</w:t>
            </w:r>
            <w:proofErr w:type="spellEnd"/>
          </w:p>
        </w:tc>
        <w:tc>
          <w:tcPr>
            <w:tcW w:w="6653" w:type="dxa"/>
          </w:tcPr>
          <w:p w:rsidR="001819BA" w:rsidRPr="00685261" w:rsidRDefault="001819BA" w:rsidP="00EA07AA">
            <w:r w:rsidRPr="00685261">
              <w:rPr>
                <w:lang w:val="en-US"/>
              </w:rPr>
              <w:t>Volume of distribution at steady state</w:t>
            </w:r>
          </w:p>
        </w:tc>
      </w:tr>
    </w:tbl>
    <w:p w:rsidR="008E7846" w:rsidRDefault="00685261" w:rsidP="008E7846">
      <w:pPr>
        <w:pStyle w:val="Heading2"/>
      </w:pPr>
      <w:r w:rsidRPr="00685261">
        <w:lastRenderedPageBreak/>
        <w:t xml:space="preserve"> </w:t>
      </w:r>
      <w:bookmarkStart w:id="9" w:name="_Toc387924265"/>
      <w:r w:rsidR="00F53C07">
        <w:t>I.</w:t>
      </w:r>
      <w:r w:rsidR="008E7846">
        <w:t xml:space="preserve"> Introduction to product submission</w:t>
      </w:r>
      <w:bookmarkEnd w:id="9"/>
      <w:bookmarkEnd w:id="1"/>
      <w:bookmarkEnd w:id="7"/>
    </w:p>
    <w:p w:rsidR="008E7846" w:rsidRDefault="008E7846" w:rsidP="008E7846">
      <w:pPr>
        <w:pStyle w:val="Heading3"/>
        <w:rPr>
          <w:lang w:eastAsia="en-AU"/>
        </w:rPr>
      </w:pPr>
      <w:bookmarkStart w:id="10" w:name="_Toc247691502"/>
      <w:bookmarkStart w:id="11" w:name="_Toc314842483"/>
      <w:bookmarkStart w:id="12" w:name="_Toc387924266"/>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685261">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717B5C">
            <w:r w:rsidRPr="003D1E62">
              <w:t>New</w:t>
            </w:r>
            <w:r w:rsidR="00717B5C">
              <w:t xml:space="preserve"> biological</w:t>
            </w:r>
            <w:r w:rsidRPr="003D1E62">
              <w:t xml:space="preserve"> </w:t>
            </w:r>
            <w:r w:rsidR="001B5C90">
              <w:t>e</w:t>
            </w:r>
            <w:r w:rsidRPr="003D1E62">
              <w:t>ntity</w:t>
            </w:r>
          </w:p>
        </w:tc>
      </w:tr>
      <w:tr w:rsidR="008E7846" w:rsidRPr="003D1E62" w:rsidTr="00685261">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AF7876" w:rsidP="00057190">
            <w:r>
              <w:t>Approved</w:t>
            </w:r>
          </w:p>
        </w:tc>
      </w:tr>
      <w:tr w:rsidR="008E7846" w:rsidRPr="003D1E62" w:rsidTr="00685261">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411F1D" w:rsidP="00411F1D">
            <w:r>
              <w:t>30 January 2014</w:t>
            </w:r>
          </w:p>
        </w:tc>
      </w:tr>
      <w:tr w:rsidR="008E7846" w:rsidRPr="00487162" w:rsidTr="00685261">
        <w:trPr>
          <w:gridAfter w:val="1"/>
          <w:wAfter w:w="283" w:type="dxa"/>
        </w:trPr>
        <w:tc>
          <w:tcPr>
            <w:tcW w:w="2907" w:type="dxa"/>
          </w:tcPr>
          <w:p w:rsidR="008E7846" w:rsidRPr="00487162" w:rsidRDefault="001B5C90" w:rsidP="004706A9">
            <w:pPr>
              <w:rPr>
                <w:i/>
              </w:rPr>
            </w:pPr>
            <w:r>
              <w:rPr>
                <w:i/>
              </w:rPr>
              <w:t>Active ingredient:</w:t>
            </w:r>
          </w:p>
        </w:tc>
        <w:tc>
          <w:tcPr>
            <w:tcW w:w="6307" w:type="dxa"/>
          </w:tcPr>
          <w:p w:rsidR="008E7846" w:rsidRPr="00487162" w:rsidRDefault="00EA07AA" w:rsidP="00A1120A">
            <w:proofErr w:type="spellStart"/>
            <w:r>
              <w:t>Non</w:t>
            </w:r>
            <w:r w:rsidR="00A1120A">
              <w:t>a</w:t>
            </w:r>
            <w:r>
              <w:t>cog</w:t>
            </w:r>
            <w:proofErr w:type="spellEnd"/>
            <w:r>
              <w:t xml:space="preserve"> gamma</w:t>
            </w:r>
          </w:p>
        </w:tc>
      </w:tr>
      <w:tr w:rsidR="008E7846" w:rsidRPr="00487162" w:rsidTr="00685261">
        <w:trPr>
          <w:gridAfter w:val="1"/>
          <w:wAfter w:w="283" w:type="dxa"/>
        </w:trPr>
        <w:tc>
          <w:tcPr>
            <w:tcW w:w="2907" w:type="dxa"/>
          </w:tcPr>
          <w:p w:rsidR="008E7846" w:rsidRPr="00487162" w:rsidRDefault="008E7846" w:rsidP="004706A9">
            <w:pPr>
              <w:rPr>
                <w:i/>
              </w:rPr>
            </w:pPr>
            <w:r w:rsidRPr="00487162">
              <w:rPr>
                <w:i/>
              </w:rPr>
              <w:t>Product</w:t>
            </w:r>
            <w:r w:rsidR="001B5C90">
              <w:rPr>
                <w:i/>
              </w:rPr>
              <w:t xml:space="preserve"> name:</w:t>
            </w:r>
          </w:p>
        </w:tc>
        <w:tc>
          <w:tcPr>
            <w:tcW w:w="6307" w:type="dxa"/>
          </w:tcPr>
          <w:p w:rsidR="008E7846" w:rsidRPr="00487162" w:rsidRDefault="00C81F17" w:rsidP="00C81F17">
            <w:r>
              <w:t>Rixu</w:t>
            </w:r>
            <w:r w:rsidR="00685261">
              <w:t>b</w:t>
            </w:r>
            <w:r>
              <w:t>i</w:t>
            </w:r>
            <w:r w:rsidR="00685261">
              <w:t>s</w:t>
            </w:r>
          </w:p>
        </w:tc>
      </w:tr>
      <w:tr w:rsidR="008E7846" w:rsidRPr="00487162" w:rsidTr="00685261">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685261" w:rsidP="00E45619">
            <w:r>
              <w:t>Baxter Healthcare Pty Ltd</w:t>
            </w:r>
          </w:p>
          <w:p w:rsidR="00C81F17" w:rsidRDefault="00C81F17" w:rsidP="00E45619">
            <w:r>
              <w:t>1 Baxter Drive</w:t>
            </w:r>
          </w:p>
          <w:p w:rsidR="00C81F17" w:rsidRPr="00487162" w:rsidRDefault="00C81F17" w:rsidP="00AF7876">
            <w:r>
              <w:t>Old Toongabbie NSW 2146</w:t>
            </w:r>
          </w:p>
        </w:tc>
      </w:tr>
      <w:tr w:rsidR="008E7846" w:rsidRPr="00487162" w:rsidTr="00685261">
        <w:trPr>
          <w:gridAfter w:val="1"/>
          <w:wAfter w:w="283" w:type="dxa"/>
        </w:trPr>
        <w:tc>
          <w:tcPr>
            <w:tcW w:w="2907" w:type="dxa"/>
          </w:tcPr>
          <w:p w:rsidR="008E7846" w:rsidRPr="00487162" w:rsidRDefault="001B5C90" w:rsidP="004706A9">
            <w:pPr>
              <w:rPr>
                <w:i/>
              </w:rPr>
            </w:pPr>
            <w:r>
              <w:rPr>
                <w:i/>
              </w:rPr>
              <w:t>Dose form:</w:t>
            </w:r>
          </w:p>
        </w:tc>
        <w:tc>
          <w:tcPr>
            <w:tcW w:w="6307" w:type="dxa"/>
          </w:tcPr>
          <w:p w:rsidR="008E7846" w:rsidRPr="00057190" w:rsidRDefault="00057190" w:rsidP="00057190">
            <w:r w:rsidRPr="00057190">
              <w:t>Lyophilised powder</w:t>
            </w:r>
            <w:r w:rsidR="00F44E99">
              <w:t xml:space="preserve"> </w:t>
            </w:r>
            <w:r w:rsidR="00F44E99" w:rsidRPr="00F44E99">
              <w:t>and solvent for solution for injection</w:t>
            </w:r>
          </w:p>
        </w:tc>
      </w:tr>
      <w:tr w:rsidR="008E7846" w:rsidRPr="00487162" w:rsidTr="00685261">
        <w:trPr>
          <w:gridAfter w:val="1"/>
          <w:wAfter w:w="283" w:type="dxa"/>
        </w:trPr>
        <w:tc>
          <w:tcPr>
            <w:tcW w:w="2907" w:type="dxa"/>
          </w:tcPr>
          <w:p w:rsidR="008E7846" w:rsidRPr="00487162" w:rsidRDefault="008E7846" w:rsidP="00C6334D">
            <w:pPr>
              <w:rPr>
                <w:i/>
              </w:rPr>
            </w:pPr>
            <w:r w:rsidRPr="00487162">
              <w:rPr>
                <w:i/>
              </w:rPr>
              <w:t xml:space="preserve">Strengths: </w:t>
            </w:r>
          </w:p>
        </w:tc>
        <w:tc>
          <w:tcPr>
            <w:tcW w:w="6307" w:type="dxa"/>
          </w:tcPr>
          <w:p w:rsidR="008E7846" w:rsidRPr="00487162" w:rsidRDefault="00C6334D" w:rsidP="00C6334D">
            <w:r>
              <w:t>250, 500, 1000, 2000 and 3000 IU</w:t>
            </w:r>
          </w:p>
        </w:tc>
      </w:tr>
      <w:tr w:rsidR="008E7846" w:rsidRPr="00487162" w:rsidTr="00685261">
        <w:trPr>
          <w:gridAfter w:val="1"/>
          <w:wAfter w:w="283" w:type="dxa"/>
        </w:trPr>
        <w:tc>
          <w:tcPr>
            <w:tcW w:w="2907" w:type="dxa"/>
          </w:tcPr>
          <w:p w:rsidR="008E7846" w:rsidRPr="00487162" w:rsidRDefault="008E7846" w:rsidP="00F44E99">
            <w:pPr>
              <w:rPr>
                <w:i/>
              </w:rPr>
            </w:pPr>
            <w:r w:rsidRPr="00487162">
              <w:rPr>
                <w:i/>
              </w:rPr>
              <w:t>Containers:</w:t>
            </w:r>
          </w:p>
        </w:tc>
        <w:tc>
          <w:tcPr>
            <w:tcW w:w="6307" w:type="dxa"/>
          </w:tcPr>
          <w:p w:rsidR="008E7846" w:rsidRPr="00487162" w:rsidRDefault="004706A9" w:rsidP="004706A9">
            <w:r>
              <w:t>S</w:t>
            </w:r>
            <w:r w:rsidRPr="004706A9">
              <w:t xml:space="preserve">ingle-use </w:t>
            </w:r>
            <w:r w:rsidR="00F44E99">
              <w:t xml:space="preserve">glass </w:t>
            </w:r>
            <w:r w:rsidRPr="004706A9">
              <w:t>vials</w:t>
            </w:r>
          </w:p>
        </w:tc>
      </w:tr>
      <w:tr w:rsidR="008E7846" w:rsidRPr="00487162" w:rsidTr="00685261">
        <w:trPr>
          <w:gridAfter w:val="1"/>
          <w:wAfter w:w="283" w:type="dxa"/>
        </w:trPr>
        <w:tc>
          <w:tcPr>
            <w:tcW w:w="2907" w:type="dxa"/>
          </w:tcPr>
          <w:p w:rsidR="008E7846" w:rsidRPr="00487162" w:rsidRDefault="008E7846" w:rsidP="00F44E99">
            <w:pPr>
              <w:rPr>
                <w:i/>
              </w:rPr>
            </w:pPr>
            <w:r w:rsidRPr="00487162">
              <w:rPr>
                <w:i/>
              </w:rPr>
              <w:t>Pack siz</w:t>
            </w:r>
            <w:r w:rsidR="00F44E99">
              <w:rPr>
                <w:i/>
              </w:rPr>
              <w:t>e</w:t>
            </w:r>
            <w:r w:rsidRPr="00487162">
              <w:rPr>
                <w:i/>
              </w:rPr>
              <w:t>:</w:t>
            </w:r>
          </w:p>
        </w:tc>
        <w:tc>
          <w:tcPr>
            <w:tcW w:w="6307" w:type="dxa"/>
          </w:tcPr>
          <w:p w:rsidR="008E7846" w:rsidRPr="00411F1D" w:rsidRDefault="00411F1D" w:rsidP="002D4898">
            <w:r w:rsidRPr="00411F1D">
              <w:t xml:space="preserve">1 powder vial, 1 WFI vial and 1 </w:t>
            </w:r>
            <w:proofErr w:type="spellStart"/>
            <w:r w:rsidRPr="00411F1D">
              <w:t>BaxJect</w:t>
            </w:r>
            <w:proofErr w:type="spellEnd"/>
            <w:r w:rsidRPr="00411F1D">
              <w:t xml:space="preserve"> II </w:t>
            </w:r>
            <w:r w:rsidR="002D4898">
              <w:t>n</w:t>
            </w:r>
            <w:r w:rsidRPr="00411F1D">
              <w:t xml:space="preserve">eedleless </w:t>
            </w:r>
            <w:r w:rsidR="002D4898">
              <w:t>t</w:t>
            </w:r>
            <w:r w:rsidR="00AF7876">
              <w:t>ransfer Device</w:t>
            </w:r>
          </w:p>
        </w:tc>
      </w:tr>
      <w:tr w:rsidR="008E7846" w:rsidRPr="00487162" w:rsidTr="00685261">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057190" w:rsidRPr="00057190" w:rsidRDefault="00057190" w:rsidP="00057190">
            <w:pPr>
              <w:rPr>
                <w:i/>
              </w:rPr>
            </w:pPr>
            <w:r w:rsidRPr="00057190">
              <w:rPr>
                <w:i/>
              </w:rPr>
              <w:t>Routine prophylaxis of bleeding episodes in patients 12 years and older with haemophilia B.</w:t>
            </w:r>
          </w:p>
          <w:p w:rsidR="00057190" w:rsidRPr="00057190" w:rsidRDefault="00057190" w:rsidP="00057190">
            <w:pPr>
              <w:rPr>
                <w:i/>
              </w:rPr>
            </w:pPr>
            <w:r w:rsidRPr="00057190">
              <w:rPr>
                <w:i/>
              </w:rPr>
              <w:t>Treatment and prevention of bleeding episodes in patients 12 years and older with haemophilia B (congenital factor IX deficiency).</w:t>
            </w:r>
          </w:p>
          <w:p w:rsidR="008E7846" w:rsidRPr="00487162" w:rsidRDefault="00057190" w:rsidP="00057190">
            <w:pPr>
              <w:rPr>
                <w:rFonts w:eastAsia="MS Mincho"/>
                <w:lang w:eastAsia="ja-JP"/>
              </w:rPr>
            </w:pPr>
            <w:r w:rsidRPr="00057190">
              <w:rPr>
                <w:i/>
              </w:rPr>
              <w:t>Peri-operative management in patients 12 years and older with haemophilia B.</w:t>
            </w:r>
          </w:p>
        </w:tc>
      </w:tr>
      <w:tr w:rsidR="008E7846" w:rsidRPr="00487162" w:rsidTr="00685261">
        <w:trPr>
          <w:gridAfter w:val="1"/>
          <w:wAfter w:w="283" w:type="dxa"/>
        </w:trPr>
        <w:tc>
          <w:tcPr>
            <w:tcW w:w="2907" w:type="dxa"/>
          </w:tcPr>
          <w:p w:rsidR="008E7846" w:rsidRPr="00487162" w:rsidRDefault="008E7846" w:rsidP="004706A9">
            <w:pPr>
              <w:rPr>
                <w:i/>
              </w:rPr>
            </w:pPr>
            <w:r w:rsidRPr="00487162">
              <w:rPr>
                <w:i/>
              </w:rPr>
              <w:t>Route</w:t>
            </w:r>
            <w:r w:rsidR="004706A9">
              <w:rPr>
                <w:i/>
              </w:rPr>
              <w:t xml:space="preserve"> </w:t>
            </w:r>
            <w:r w:rsidRPr="00487162">
              <w:rPr>
                <w:i/>
              </w:rPr>
              <w:t>of administration:</w:t>
            </w:r>
          </w:p>
        </w:tc>
        <w:tc>
          <w:tcPr>
            <w:tcW w:w="6307" w:type="dxa"/>
          </w:tcPr>
          <w:p w:rsidR="008E7846" w:rsidRPr="00487162" w:rsidRDefault="004706A9" w:rsidP="004706A9">
            <w:r>
              <w:t>I</w:t>
            </w:r>
            <w:r w:rsidRPr="004706A9">
              <w:t>ntrav</w:t>
            </w:r>
            <w:r w:rsidR="00AF7876">
              <w:t>enous</w:t>
            </w:r>
          </w:p>
        </w:tc>
      </w:tr>
      <w:tr w:rsidR="008E7846" w:rsidRPr="00487162" w:rsidTr="00685261">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411F1D" w:rsidP="00411F1D">
            <w:r>
              <w:t>S</w:t>
            </w:r>
            <w:r w:rsidR="00057190">
              <w:t xml:space="preserve">ee </w:t>
            </w:r>
            <w:r>
              <w:t xml:space="preserve">Rixubis </w:t>
            </w:r>
            <w:r w:rsidR="00057190">
              <w:t>PI</w:t>
            </w:r>
          </w:p>
        </w:tc>
      </w:tr>
      <w:tr w:rsidR="008E7846" w:rsidRPr="00487162" w:rsidTr="00685261">
        <w:trPr>
          <w:gridAfter w:val="1"/>
          <w:wAfter w:w="283" w:type="dxa"/>
        </w:trPr>
        <w:tc>
          <w:tcPr>
            <w:tcW w:w="2907" w:type="dxa"/>
          </w:tcPr>
          <w:p w:rsidR="008E7846" w:rsidRPr="00487162" w:rsidRDefault="008E7846" w:rsidP="00F44E99">
            <w:pPr>
              <w:rPr>
                <w:i/>
              </w:rPr>
            </w:pPr>
            <w:r w:rsidRPr="00487162">
              <w:rPr>
                <w:i/>
              </w:rPr>
              <w:t xml:space="preserve">ARTG </w:t>
            </w:r>
            <w:r w:rsidR="001B5C90">
              <w:rPr>
                <w:i/>
              </w:rPr>
              <w:t>n</w:t>
            </w:r>
            <w:r w:rsidRPr="00487162">
              <w:rPr>
                <w:i/>
              </w:rPr>
              <w:t>umbers</w:t>
            </w:r>
            <w:r w:rsidR="001B5C90">
              <w:rPr>
                <w:i/>
              </w:rPr>
              <w:t>:</w:t>
            </w:r>
          </w:p>
        </w:tc>
        <w:tc>
          <w:tcPr>
            <w:tcW w:w="6307" w:type="dxa"/>
          </w:tcPr>
          <w:p w:rsidR="00F44E99" w:rsidRDefault="00F44E99" w:rsidP="00E45619">
            <w:r w:rsidRPr="00F44E99">
              <w:t>204767</w:t>
            </w:r>
            <w:r>
              <w:t xml:space="preserve"> - </w:t>
            </w:r>
            <w:r w:rsidRPr="00F44E99">
              <w:t>250 IU</w:t>
            </w:r>
          </w:p>
          <w:p w:rsidR="008E6B22" w:rsidRDefault="00F44E99" w:rsidP="00E45619">
            <w:r w:rsidRPr="00F44E99">
              <w:t>204769</w:t>
            </w:r>
            <w:r w:rsidR="008E6B22">
              <w:t xml:space="preserve"> - </w:t>
            </w:r>
            <w:r w:rsidRPr="00F44E99">
              <w:t>500 IU</w:t>
            </w:r>
          </w:p>
          <w:p w:rsidR="00F44E99" w:rsidRDefault="00F44E99" w:rsidP="00E45619">
            <w:r w:rsidRPr="00F44E99">
              <w:t>204766</w:t>
            </w:r>
            <w:r w:rsidR="008E6B22">
              <w:t xml:space="preserve"> - </w:t>
            </w:r>
            <w:r w:rsidRPr="00F44E99">
              <w:t>1000 IU</w:t>
            </w:r>
          </w:p>
          <w:p w:rsidR="00F44E99" w:rsidRDefault="00F44E99" w:rsidP="00E45619">
            <w:r w:rsidRPr="00F44E99">
              <w:t>204768</w:t>
            </w:r>
            <w:r w:rsidR="008E6B22">
              <w:t xml:space="preserve"> - </w:t>
            </w:r>
            <w:r w:rsidRPr="00F44E99">
              <w:t>2000 IU</w:t>
            </w:r>
          </w:p>
          <w:p w:rsidR="008E7846" w:rsidRPr="00487162" w:rsidRDefault="00F44E99" w:rsidP="008E6B22">
            <w:r w:rsidRPr="00F44E99">
              <w:t>204765</w:t>
            </w:r>
            <w:r w:rsidR="008E6B22">
              <w:t xml:space="preserve"> - </w:t>
            </w:r>
            <w:r w:rsidRPr="00F44E99">
              <w:t>3000 IU</w:t>
            </w:r>
          </w:p>
        </w:tc>
      </w:tr>
    </w:tbl>
    <w:p w:rsidR="008E7846" w:rsidRPr="00AF7876" w:rsidRDefault="008E7846" w:rsidP="00AF7876">
      <w:pPr>
        <w:pStyle w:val="Heading3"/>
      </w:pPr>
      <w:bookmarkStart w:id="13" w:name="_Toc247691503"/>
      <w:bookmarkStart w:id="14" w:name="_Toc314842484"/>
      <w:bookmarkStart w:id="15" w:name="_Toc387924267"/>
      <w:r>
        <w:t>Product background</w:t>
      </w:r>
      <w:bookmarkEnd w:id="13"/>
      <w:bookmarkEnd w:id="14"/>
      <w:bookmarkEnd w:id="15"/>
    </w:p>
    <w:p w:rsidR="007F5D36" w:rsidRPr="007F5D36" w:rsidRDefault="00D65709" w:rsidP="00AF7876">
      <w:r w:rsidRPr="007F5D36">
        <w:t>Haemophilia B (congenital factor IX (FIX) deficiency; Christmas disease) is</w:t>
      </w:r>
      <w:r w:rsidR="007F5D36" w:rsidRPr="007F5D36">
        <w:t xml:space="preserve"> an X-chromosomal-linked bleeding disorder with an incidence of approximately </w:t>
      </w:r>
      <w:r w:rsidR="003E2FA2">
        <w:t>one</w:t>
      </w:r>
      <w:r w:rsidR="007F5D36" w:rsidRPr="007F5D36">
        <w:t xml:space="preserve"> in 30,000 live male births. Haemophilia B is the second most common type of haemophilia</w:t>
      </w:r>
      <w:r w:rsidR="007F5D36">
        <w:t xml:space="preserve"> and is five</w:t>
      </w:r>
      <w:r w:rsidR="007F5D36" w:rsidRPr="007F5D36">
        <w:t xml:space="preserve"> </w:t>
      </w:r>
      <w:r w:rsidR="007F5D36" w:rsidRPr="007F5D36">
        <w:lastRenderedPageBreak/>
        <w:t xml:space="preserve">times rarer than haemophilia A. The World Federation of </w:t>
      </w:r>
      <w:proofErr w:type="spellStart"/>
      <w:r w:rsidR="007F5D36" w:rsidRPr="007F5D36">
        <w:t>Hemophilia</w:t>
      </w:r>
      <w:proofErr w:type="spellEnd"/>
      <w:r w:rsidR="007F5D36" w:rsidRPr="007F5D36">
        <w:t xml:space="preserve"> (WFH) reported a worldwide prevalence of 399,000 subjects with haemophilia, of which there are an estimated 80,000 patients with haemophilia</w:t>
      </w:r>
      <w:r w:rsidR="007F5D36">
        <w:t xml:space="preserve"> B</w:t>
      </w:r>
      <w:r w:rsidR="007F5D36" w:rsidRPr="007F5D36">
        <w:t>. In approximately 30</w:t>
      </w:r>
      <w:r w:rsidR="007F5D36">
        <w:t>%</w:t>
      </w:r>
      <w:r w:rsidR="007F5D36" w:rsidRPr="007F5D36">
        <w:t xml:space="preserve"> of haemophilia B cases, there is no family history of the disorder and the condition is the result of a spontaneous gene mutation.</w:t>
      </w:r>
    </w:p>
    <w:p w:rsidR="007F5D36" w:rsidRPr="007F5D36" w:rsidRDefault="007F5D36" w:rsidP="00AF7876">
      <w:r w:rsidRPr="007F5D36">
        <w:t>Historically, haemophilia patients were only treated when they had bleeding episodes</w:t>
      </w:r>
      <w:r>
        <w:t xml:space="preserve"> </w:t>
      </w:r>
      <w:r w:rsidRPr="007F5D36">
        <w:t>(on-demand). One of the main reasons on-demand treatment has been used is the high</w:t>
      </w:r>
      <w:r>
        <w:t xml:space="preserve"> </w:t>
      </w:r>
      <w:r w:rsidRPr="007F5D36">
        <w:t>cost and limited supply of FIX products. However, it has become known that treatment of</w:t>
      </w:r>
      <w:r>
        <w:t xml:space="preserve"> </w:t>
      </w:r>
      <w:r w:rsidRPr="007F5D36">
        <w:t>severe haemophilia with frequent, periodic prophylactic FIX infusions can have significant</w:t>
      </w:r>
      <w:r>
        <w:t xml:space="preserve"> </w:t>
      </w:r>
      <w:r w:rsidRPr="007F5D36">
        <w:t>medical and quality of life benefits. On prophylaxis, adequate plasma levels of FIX for</w:t>
      </w:r>
      <w:r>
        <w:t xml:space="preserve"> </w:t>
      </w:r>
      <w:r w:rsidRPr="007F5D36">
        <w:t>haemostasis are maintained, approximating a non-diseased state. Prophylaxis treatment</w:t>
      </w:r>
      <w:r>
        <w:t xml:space="preserve"> </w:t>
      </w:r>
      <w:r w:rsidRPr="007F5D36">
        <w:t>started at a young age would facilitate a complete lack of bleeding episodes, maintain</w:t>
      </w:r>
      <w:r>
        <w:t xml:space="preserve"> </w:t>
      </w:r>
      <w:r w:rsidRPr="007F5D36">
        <w:t>healthy joints, and can lead to functionally normal lives. Thus, prophylaxis is preferred</w:t>
      </w:r>
      <w:r>
        <w:t xml:space="preserve"> </w:t>
      </w:r>
      <w:r w:rsidRPr="007F5D36">
        <w:t>over on-demand therapy as it prevents most of the irreversible long-term effects brought</w:t>
      </w:r>
      <w:r>
        <w:t xml:space="preserve"> </w:t>
      </w:r>
      <w:r w:rsidRPr="007F5D36">
        <w:t>about by bleeding.</w:t>
      </w:r>
    </w:p>
    <w:p w:rsidR="007F5D36" w:rsidRPr="006276D6" w:rsidRDefault="00D65709" w:rsidP="006276D6">
      <w:r w:rsidRPr="006276D6">
        <w:t>Rixubis is a recombinant FIX (</w:t>
      </w:r>
      <w:proofErr w:type="spellStart"/>
      <w:r w:rsidRPr="006276D6">
        <w:t>rFIX</w:t>
      </w:r>
      <w:proofErr w:type="spellEnd"/>
      <w:r w:rsidRPr="006276D6">
        <w:t>) product, with structural and functional characteristics comparable to endogenous FIX.</w:t>
      </w:r>
      <w:r w:rsidR="007F5D36" w:rsidRPr="006276D6">
        <w:t xml:space="preserve"> It is synthesised by a recombinant Chinese Hamster Ovary (CHO) cell clone in suspension culture which </w:t>
      </w:r>
      <w:proofErr w:type="spellStart"/>
      <w:r w:rsidR="007F5D36" w:rsidRPr="006276D6">
        <w:t>coexpresses</w:t>
      </w:r>
      <w:proofErr w:type="spellEnd"/>
      <w:r w:rsidR="007F5D36" w:rsidRPr="006276D6">
        <w:t xml:space="preserve"> </w:t>
      </w:r>
      <w:proofErr w:type="spellStart"/>
      <w:r w:rsidR="007F5D36" w:rsidRPr="006276D6">
        <w:t>rFIX</w:t>
      </w:r>
      <w:proofErr w:type="spellEnd"/>
      <w:r w:rsidR="007F5D36" w:rsidRPr="006276D6">
        <w:t xml:space="preserve"> and recombinant human wild-type </w:t>
      </w:r>
      <w:proofErr w:type="spellStart"/>
      <w:r w:rsidR="007F5D36" w:rsidRPr="006276D6">
        <w:t>Furin</w:t>
      </w:r>
      <w:proofErr w:type="spellEnd"/>
      <w:r w:rsidR="007F5D36" w:rsidRPr="006276D6">
        <w:t xml:space="preserve"> [</w:t>
      </w:r>
      <w:proofErr w:type="spellStart"/>
      <w:r w:rsidR="007F5D36" w:rsidRPr="006276D6">
        <w:t>rFurin</w:t>
      </w:r>
      <w:proofErr w:type="spellEnd"/>
      <w:r w:rsidR="007F5D36" w:rsidRPr="006276D6">
        <w:t xml:space="preserve">], a </w:t>
      </w:r>
      <w:proofErr w:type="spellStart"/>
      <w:r w:rsidR="007F5D36" w:rsidRPr="006276D6">
        <w:t>proteolytic</w:t>
      </w:r>
      <w:proofErr w:type="spellEnd"/>
      <w:r w:rsidR="007F5D36" w:rsidRPr="006276D6">
        <w:t xml:space="preserve"> enzyme which facilitates complete cleavage of the FIX </w:t>
      </w:r>
      <w:proofErr w:type="spellStart"/>
      <w:r w:rsidR="007F5D36" w:rsidRPr="006276D6">
        <w:t>propeptide</w:t>
      </w:r>
      <w:proofErr w:type="spellEnd"/>
      <w:r w:rsidR="007F5D36" w:rsidRPr="006276D6">
        <w:t>. The CHO cell culture medium is a chemically defined medium developed by Baxter, and the downstream process does not use monoclonal antibodies for the purification. No materials of human or animal origin are employed in the manufacture, purification, or formulation of the final product, thus reducing the risk of transmission of adventitious agents.</w:t>
      </w:r>
    </w:p>
    <w:p w:rsidR="007F5D36" w:rsidRPr="006276D6" w:rsidRDefault="007F5D36" w:rsidP="00AF7876">
      <w:r w:rsidRPr="006276D6">
        <w:t xml:space="preserve">Properly processed plasma-derived products are considered virally-safe, but the discovery of any new human pathogen (such as West Nile virus, SARS and blood-borne prions) leads to apprehension within the </w:t>
      </w:r>
      <w:r w:rsidR="006276D6" w:rsidRPr="006276D6">
        <w:t>haemophilia</w:t>
      </w:r>
      <w:r w:rsidRPr="006276D6">
        <w:t xml:space="preserve"> community. Due to the absence of exposure to any human-derived proteins during manufacturing and formulation, </w:t>
      </w:r>
      <w:r w:rsidR="006276D6">
        <w:t>Rixub</w:t>
      </w:r>
      <w:r w:rsidR="008E6B22">
        <w:t xml:space="preserve">is </w:t>
      </w:r>
      <w:r w:rsidRPr="006276D6">
        <w:t>has an inherently improved viral safety profile compared with plasma derived FIX products.</w:t>
      </w:r>
    </w:p>
    <w:p w:rsidR="00D65709" w:rsidRPr="00D65709" w:rsidRDefault="00D65709" w:rsidP="00AF7876">
      <w:r w:rsidRPr="00D65709">
        <w:t xml:space="preserve">Baxter’s </w:t>
      </w:r>
      <w:proofErr w:type="spellStart"/>
      <w:r w:rsidRPr="00D65709">
        <w:t>rFIX</w:t>
      </w:r>
      <w:proofErr w:type="spellEnd"/>
      <w:r w:rsidRPr="00D65709">
        <w:t xml:space="preserve"> product was designated an orphan drug on</w:t>
      </w:r>
      <w:r w:rsidR="007F5D36">
        <w:t xml:space="preserve"> </w:t>
      </w:r>
      <w:r w:rsidRPr="00D65709">
        <w:t>3</w:t>
      </w:r>
      <w:r w:rsidR="007F5D36">
        <w:t xml:space="preserve"> October </w:t>
      </w:r>
      <w:r w:rsidRPr="00D65709">
        <w:t>2012, under a different product name (</w:t>
      </w:r>
      <w:proofErr w:type="spellStart"/>
      <w:r w:rsidRPr="00D65709">
        <w:t>F</w:t>
      </w:r>
      <w:r w:rsidR="007F5D36">
        <w:t>ixtera</w:t>
      </w:r>
      <w:proofErr w:type="spellEnd"/>
      <w:r w:rsidRPr="00D65709">
        <w:t>).</w:t>
      </w:r>
    </w:p>
    <w:p w:rsidR="00D65709" w:rsidRDefault="008E6B22" w:rsidP="00AF7876">
      <w:r>
        <w:t xml:space="preserve">This </w:t>
      </w:r>
      <w:proofErr w:type="spellStart"/>
      <w:r>
        <w:t>AusPAR</w:t>
      </w:r>
      <w:proofErr w:type="spellEnd"/>
      <w:r>
        <w:t xml:space="preserve"> describes the application by </w:t>
      </w:r>
      <w:r w:rsidR="00D65709">
        <w:t xml:space="preserve">Baxter Healthcare Pty Ltd </w:t>
      </w:r>
      <w:r>
        <w:t>(the sponsor) to</w:t>
      </w:r>
      <w:r w:rsidR="00D65709">
        <w:t xml:space="preserve"> seek approval for Rixubis to be registered with the following indications:</w:t>
      </w:r>
    </w:p>
    <w:p w:rsidR="00D65709" w:rsidRPr="00AF7876" w:rsidRDefault="00D65709" w:rsidP="00AF7876">
      <w:pPr>
        <w:ind w:left="720"/>
        <w:rPr>
          <w:i/>
        </w:rPr>
      </w:pPr>
      <w:proofErr w:type="gramStart"/>
      <w:r w:rsidRPr="00AF7876">
        <w:rPr>
          <w:i/>
        </w:rPr>
        <w:t>Routine prophylaxis of bleeding episodes in patients 12 years and older with haemophilia B.</w:t>
      </w:r>
      <w:proofErr w:type="gramEnd"/>
    </w:p>
    <w:p w:rsidR="00D65709" w:rsidRPr="00AF7876" w:rsidRDefault="00D65709" w:rsidP="00AF7876">
      <w:pPr>
        <w:ind w:left="720"/>
        <w:rPr>
          <w:i/>
        </w:rPr>
      </w:pPr>
      <w:proofErr w:type="gramStart"/>
      <w:r w:rsidRPr="00AF7876">
        <w:rPr>
          <w:i/>
        </w:rPr>
        <w:t>Treatment and prevention of bleeding episodes in patients 12 years and older with haemophilia B (congenital factor IX deficiency).</w:t>
      </w:r>
      <w:proofErr w:type="gramEnd"/>
    </w:p>
    <w:p w:rsidR="00D65709" w:rsidRPr="00AF7876" w:rsidRDefault="00D65709" w:rsidP="00AF7876">
      <w:pPr>
        <w:ind w:left="720"/>
        <w:rPr>
          <w:i/>
        </w:rPr>
      </w:pPr>
      <w:proofErr w:type="gramStart"/>
      <w:r w:rsidRPr="00AF7876">
        <w:rPr>
          <w:i/>
        </w:rPr>
        <w:t>Peri-operative management in patients 12 years and older with haemophilia B.</w:t>
      </w:r>
      <w:proofErr w:type="gramEnd"/>
    </w:p>
    <w:p w:rsidR="008E7846" w:rsidRPr="00AF7876" w:rsidRDefault="00386150" w:rsidP="00AF7876">
      <w:pPr>
        <w:pStyle w:val="Heading3"/>
      </w:pPr>
      <w:bookmarkStart w:id="16" w:name="_Toc314842485"/>
      <w:bookmarkStart w:id="17" w:name="_Toc247691504"/>
      <w:bookmarkStart w:id="18" w:name="_Toc387924268"/>
      <w:r>
        <w:t>Regulatory s</w:t>
      </w:r>
      <w:r w:rsidR="008E7846">
        <w:t>tatus</w:t>
      </w:r>
      <w:bookmarkEnd w:id="16"/>
      <w:bookmarkEnd w:id="17"/>
      <w:bookmarkEnd w:id="18"/>
    </w:p>
    <w:p w:rsidR="00B11252" w:rsidRDefault="008E7846" w:rsidP="00AF7876">
      <w:r>
        <w:t>The product received initial ARTG Registration on</w:t>
      </w:r>
      <w:r w:rsidR="00B11252">
        <w:t xml:space="preserve"> 5 February 2014.</w:t>
      </w:r>
    </w:p>
    <w:p w:rsidR="000A5BB5" w:rsidRDefault="00B11252" w:rsidP="00AF7876">
      <w:r>
        <w:t>R</w:t>
      </w:r>
      <w:r w:rsidR="0051223A">
        <w:t>ixubis</w:t>
      </w:r>
      <w:r w:rsidR="000A5BB5">
        <w:t xml:space="preserve"> has received approval in </w:t>
      </w:r>
      <w:r w:rsidR="00315FC8">
        <w:t xml:space="preserve">the United States and applications for registration have </w:t>
      </w:r>
      <w:r w:rsidR="00AF7876">
        <w:t>been lodged in other countries.</w:t>
      </w:r>
    </w:p>
    <w:p w:rsidR="00D65709" w:rsidRDefault="00D65709" w:rsidP="00B11252">
      <w:pPr>
        <w:pStyle w:val="TableTitle"/>
        <w:keepLines/>
      </w:pPr>
      <w:r>
        <w:lastRenderedPageBreak/>
        <w:t>Table 1: Overseas regulatory status of Rixubis</w:t>
      </w:r>
    </w:p>
    <w:tbl>
      <w:tblPr>
        <w:tblStyle w:val="TableTGAblue"/>
        <w:tblW w:w="0" w:type="auto"/>
        <w:tblLook w:val="04A0" w:firstRow="1" w:lastRow="0" w:firstColumn="1" w:lastColumn="0" w:noHBand="0" w:noVBand="1"/>
      </w:tblPr>
      <w:tblGrid>
        <w:gridCol w:w="2180"/>
        <w:gridCol w:w="2180"/>
        <w:gridCol w:w="2180"/>
        <w:gridCol w:w="2180"/>
      </w:tblGrid>
      <w:tr w:rsidR="005A0B9B" w:rsidTr="005A0B9B">
        <w:trPr>
          <w:cnfStyle w:val="100000000000" w:firstRow="1" w:lastRow="0" w:firstColumn="0" w:lastColumn="0" w:oddVBand="0" w:evenVBand="0" w:oddHBand="0" w:evenHBand="0" w:firstRowFirstColumn="0" w:firstRowLastColumn="0" w:lastRowFirstColumn="0" w:lastRowLastColumn="0"/>
        </w:trPr>
        <w:tc>
          <w:tcPr>
            <w:tcW w:w="2180" w:type="dxa"/>
          </w:tcPr>
          <w:p w:rsidR="005A0B9B" w:rsidRPr="00315FC8" w:rsidRDefault="005A0B9B" w:rsidP="00064889">
            <w:pPr>
              <w:ind w:left="0" w:right="0"/>
            </w:pPr>
            <w:r w:rsidRPr="00315FC8">
              <w:t>Country</w:t>
            </w:r>
          </w:p>
        </w:tc>
        <w:tc>
          <w:tcPr>
            <w:tcW w:w="2180" w:type="dxa"/>
          </w:tcPr>
          <w:p w:rsidR="005A0B9B" w:rsidRPr="00315FC8" w:rsidRDefault="005A0B9B" w:rsidP="00064889">
            <w:pPr>
              <w:ind w:left="0" w:right="33"/>
            </w:pPr>
            <w:r w:rsidRPr="00315FC8">
              <w:t>Application Status</w:t>
            </w:r>
          </w:p>
        </w:tc>
        <w:tc>
          <w:tcPr>
            <w:tcW w:w="2180" w:type="dxa"/>
          </w:tcPr>
          <w:p w:rsidR="005A0B9B" w:rsidRPr="00315FC8" w:rsidRDefault="005A0B9B" w:rsidP="00064889">
            <w:pPr>
              <w:ind w:left="35" w:right="0"/>
            </w:pPr>
            <w:r w:rsidRPr="00315FC8">
              <w:t>Status date</w:t>
            </w:r>
          </w:p>
        </w:tc>
        <w:tc>
          <w:tcPr>
            <w:tcW w:w="2180" w:type="dxa"/>
          </w:tcPr>
          <w:p w:rsidR="005A0B9B" w:rsidRPr="00315FC8" w:rsidRDefault="005A0B9B" w:rsidP="00064889">
            <w:pPr>
              <w:ind w:left="0" w:right="0"/>
            </w:pPr>
            <w:r w:rsidRPr="00315FC8">
              <w:t>Approved Indications</w:t>
            </w:r>
          </w:p>
        </w:tc>
      </w:tr>
      <w:tr w:rsidR="005A0B9B" w:rsidTr="005A0B9B">
        <w:tc>
          <w:tcPr>
            <w:tcW w:w="2180" w:type="dxa"/>
          </w:tcPr>
          <w:p w:rsidR="005A0B9B" w:rsidRPr="00315FC8" w:rsidRDefault="00315FC8" w:rsidP="00064889">
            <w:pPr>
              <w:ind w:left="0" w:right="0"/>
            </w:pPr>
            <w:r w:rsidRPr="00315FC8">
              <w:t>United States of America</w:t>
            </w:r>
          </w:p>
        </w:tc>
        <w:tc>
          <w:tcPr>
            <w:tcW w:w="2180" w:type="dxa"/>
          </w:tcPr>
          <w:p w:rsidR="005A0B9B" w:rsidRPr="00315FC8" w:rsidRDefault="00315FC8" w:rsidP="00064889">
            <w:pPr>
              <w:ind w:left="0" w:right="33"/>
            </w:pPr>
            <w:r w:rsidRPr="00315FC8">
              <w:t xml:space="preserve">Approved </w:t>
            </w:r>
          </w:p>
        </w:tc>
        <w:tc>
          <w:tcPr>
            <w:tcW w:w="2180" w:type="dxa"/>
          </w:tcPr>
          <w:p w:rsidR="00315FC8" w:rsidRPr="00315FC8" w:rsidRDefault="00315FC8" w:rsidP="00064889">
            <w:pPr>
              <w:ind w:left="35" w:right="0"/>
            </w:pPr>
            <w:r w:rsidRPr="00315FC8">
              <w:t>Submission:</w:t>
            </w:r>
          </w:p>
          <w:p w:rsidR="00315FC8" w:rsidRPr="00315FC8" w:rsidRDefault="00315FC8" w:rsidP="00064889">
            <w:pPr>
              <w:ind w:left="35" w:right="0"/>
            </w:pPr>
            <w:r w:rsidRPr="00315FC8">
              <w:t>30 Aug 2012</w:t>
            </w:r>
          </w:p>
          <w:p w:rsidR="00315FC8" w:rsidRPr="00315FC8" w:rsidRDefault="00315FC8" w:rsidP="00064889">
            <w:pPr>
              <w:ind w:left="35" w:right="0"/>
            </w:pPr>
            <w:r w:rsidRPr="00315FC8">
              <w:t>Approval:</w:t>
            </w:r>
          </w:p>
          <w:p w:rsidR="005A0B9B" w:rsidRPr="00315FC8" w:rsidRDefault="00315FC8" w:rsidP="00064889">
            <w:pPr>
              <w:ind w:left="35" w:right="0"/>
            </w:pPr>
            <w:r w:rsidRPr="00315FC8">
              <w:t>26 June 2013</w:t>
            </w:r>
          </w:p>
        </w:tc>
        <w:tc>
          <w:tcPr>
            <w:tcW w:w="2180" w:type="dxa"/>
          </w:tcPr>
          <w:p w:rsidR="00315FC8" w:rsidRDefault="00315FC8" w:rsidP="00064889">
            <w:pPr>
              <w:ind w:left="0" w:right="0"/>
            </w:pPr>
            <w:r w:rsidRPr="00315FC8">
              <w:t>R</w:t>
            </w:r>
            <w:r>
              <w:t>ixubis</w:t>
            </w:r>
            <w:r w:rsidRPr="00315FC8">
              <w:t xml:space="preserve"> (Coagulation Factor IX [Recombinant]) is an</w:t>
            </w:r>
            <w:r>
              <w:t xml:space="preserve"> </w:t>
            </w:r>
            <w:r w:rsidRPr="00315FC8">
              <w:t>anti</w:t>
            </w:r>
            <w:r w:rsidR="00B11252">
              <w:t>-</w:t>
            </w:r>
            <w:r w:rsidRPr="00315FC8">
              <w:t>h</w:t>
            </w:r>
            <w:r>
              <w:t>a</w:t>
            </w:r>
            <w:r w:rsidRPr="00315FC8">
              <w:t>emophilic factor indicated for:</w:t>
            </w:r>
          </w:p>
          <w:p w:rsidR="00315FC8" w:rsidRPr="00315FC8" w:rsidRDefault="00315FC8" w:rsidP="00064889">
            <w:pPr>
              <w:ind w:left="0" w:right="0"/>
            </w:pPr>
            <w:r w:rsidRPr="00315FC8">
              <w:t>Control and prevention of bleeding episodes in adults with haemophilia B.</w:t>
            </w:r>
          </w:p>
          <w:p w:rsidR="00315FC8" w:rsidRPr="00315FC8" w:rsidRDefault="00315FC8" w:rsidP="00064889">
            <w:pPr>
              <w:ind w:left="0" w:right="0"/>
            </w:pPr>
            <w:r w:rsidRPr="00315FC8">
              <w:t>Perioperative management in adults with haemophilia B.</w:t>
            </w:r>
          </w:p>
          <w:p w:rsidR="005A0B9B" w:rsidRPr="00315FC8" w:rsidRDefault="00315FC8" w:rsidP="00064889">
            <w:pPr>
              <w:ind w:left="0" w:right="0"/>
            </w:pPr>
            <w:r w:rsidRPr="00315FC8">
              <w:t>Routine prophylaxis to prevent or reduce the frequency of bleeding episodes in adults with haemophilia B.</w:t>
            </w:r>
          </w:p>
        </w:tc>
      </w:tr>
      <w:tr w:rsidR="005A0B9B" w:rsidTr="005A0B9B">
        <w:tc>
          <w:tcPr>
            <w:tcW w:w="2180" w:type="dxa"/>
          </w:tcPr>
          <w:p w:rsidR="005A0B9B" w:rsidRPr="00315FC8" w:rsidRDefault="00315FC8" w:rsidP="00064889">
            <w:pPr>
              <w:ind w:left="0" w:right="0"/>
            </w:pPr>
            <w:r w:rsidRPr="00315FC8">
              <w:t>European Union</w:t>
            </w:r>
          </w:p>
        </w:tc>
        <w:tc>
          <w:tcPr>
            <w:tcW w:w="2180" w:type="dxa"/>
          </w:tcPr>
          <w:p w:rsidR="005A0B9B" w:rsidRPr="00315FC8" w:rsidRDefault="00315FC8" w:rsidP="00064889">
            <w:pPr>
              <w:ind w:left="0" w:right="33"/>
            </w:pPr>
            <w:r w:rsidRPr="00315FC8">
              <w:t>Pending evaluation</w:t>
            </w:r>
          </w:p>
        </w:tc>
        <w:tc>
          <w:tcPr>
            <w:tcW w:w="2180" w:type="dxa"/>
          </w:tcPr>
          <w:p w:rsidR="00315FC8" w:rsidRPr="00315FC8" w:rsidRDefault="00315FC8" w:rsidP="00064889">
            <w:pPr>
              <w:ind w:left="35" w:right="0"/>
            </w:pPr>
            <w:r w:rsidRPr="00315FC8">
              <w:t>Submission:</w:t>
            </w:r>
          </w:p>
          <w:p w:rsidR="005A0B9B" w:rsidRPr="00315FC8" w:rsidRDefault="00315FC8" w:rsidP="00064889">
            <w:pPr>
              <w:ind w:left="35" w:right="0"/>
            </w:pPr>
            <w:r w:rsidRPr="00315FC8">
              <w:t>25 Oct 2013</w:t>
            </w:r>
          </w:p>
        </w:tc>
        <w:tc>
          <w:tcPr>
            <w:tcW w:w="2180" w:type="dxa"/>
          </w:tcPr>
          <w:p w:rsidR="005A0B9B" w:rsidRPr="00315FC8" w:rsidRDefault="00315FC8" w:rsidP="00064889">
            <w:pPr>
              <w:ind w:left="0" w:right="0"/>
            </w:pPr>
            <w:r w:rsidRPr="00315FC8">
              <w:t>NA</w:t>
            </w:r>
          </w:p>
        </w:tc>
      </w:tr>
      <w:tr w:rsidR="00315FC8" w:rsidTr="005A0B9B">
        <w:tc>
          <w:tcPr>
            <w:tcW w:w="2180" w:type="dxa"/>
          </w:tcPr>
          <w:p w:rsidR="00315FC8" w:rsidRPr="00315FC8" w:rsidRDefault="00064889" w:rsidP="00064889">
            <w:pPr>
              <w:ind w:left="0" w:right="0"/>
            </w:pPr>
            <w:r>
              <w:t>Switzerland</w:t>
            </w:r>
          </w:p>
        </w:tc>
        <w:tc>
          <w:tcPr>
            <w:tcW w:w="2180" w:type="dxa"/>
          </w:tcPr>
          <w:p w:rsidR="00315FC8" w:rsidRPr="00315FC8" w:rsidRDefault="00064889" w:rsidP="00064889">
            <w:pPr>
              <w:ind w:left="0" w:right="33"/>
            </w:pPr>
            <w:r>
              <w:t>Pending evaluation</w:t>
            </w:r>
          </w:p>
        </w:tc>
        <w:tc>
          <w:tcPr>
            <w:tcW w:w="2180" w:type="dxa"/>
          </w:tcPr>
          <w:p w:rsidR="00315FC8" w:rsidRDefault="00315FC8" w:rsidP="00064889">
            <w:pPr>
              <w:ind w:left="35" w:right="0"/>
            </w:pPr>
            <w:r w:rsidRPr="00315FC8">
              <w:t>Submission:</w:t>
            </w:r>
          </w:p>
          <w:p w:rsidR="00315FC8" w:rsidRPr="00315FC8" w:rsidRDefault="00315FC8" w:rsidP="00064889">
            <w:pPr>
              <w:ind w:left="35" w:right="0"/>
            </w:pPr>
            <w:r>
              <w:t>16 Jan 2013</w:t>
            </w:r>
          </w:p>
        </w:tc>
        <w:tc>
          <w:tcPr>
            <w:tcW w:w="2180" w:type="dxa"/>
          </w:tcPr>
          <w:p w:rsidR="00315FC8" w:rsidRPr="00315FC8" w:rsidRDefault="00315FC8" w:rsidP="00064889">
            <w:pPr>
              <w:ind w:left="0" w:right="0"/>
            </w:pPr>
            <w:r>
              <w:t>NA</w:t>
            </w:r>
          </w:p>
        </w:tc>
      </w:tr>
      <w:tr w:rsidR="00315FC8" w:rsidTr="005A0B9B">
        <w:tc>
          <w:tcPr>
            <w:tcW w:w="2180" w:type="dxa"/>
          </w:tcPr>
          <w:p w:rsidR="00315FC8" w:rsidRPr="00315FC8" w:rsidRDefault="00315FC8" w:rsidP="00064889">
            <w:pPr>
              <w:ind w:left="0" w:right="0"/>
            </w:pPr>
            <w:r w:rsidRPr="00315FC8">
              <w:t>Canada</w:t>
            </w:r>
          </w:p>
        </w:tc>
        <w:tc>
          <w:tcPr>
            <w:tcW w:w="2180" w:type="dxa"/>
          </w:tcPr>
          <w:p w:rsidR="00315FC8" w:rsidRPr="00315FC8" w:rsidRDefault="00315FC8" w:rsidP="00064889">
            <w:pPr>
              <w:ind w:left="0" w:right="33"/>
            </w:pPr>
            <w:r w:rsidRPr="00315FC8">
              <w:t>Pending evaluation</w:t>
            </w:r>
          </w:p>
        </w:tc>
        <w:tc>
          <w:tcPr>
            <w:tcW w:w="2180" w:type="dxa"/>
          </w:tcPr>
          <w:p w:rsidR="00315FC8" w:rsidRDefault="00315FC8" w:rsidP="00064889">
            <w:pPr>
              <w:ind w:left="35" w:right="0"/>
            </w:pPr>
            <w:r w:rsidRPr="00315FC8">
              <w:t>Submission:</w:t>
            </w:r>
          </w:p>
          <w:p w:rsidR="00315FC8" w:rsidRPr="00315FC8" w:rsidRDefault="00315FC8" w:rsidP="00064889">
            <w:pPr>
              <w:ind w:left="35" w:right="0"/>
            </w:pPr>
            <w:r>
              <w:t>27 June 2013</w:t>
            </w:r>
          </w:p>
        </w:tc>
        <w:tc>
          <w:tcPr>
            <w:tcW w:w="2180" w:type="dxa"/>
          </w:tcPr>
          <w:p w:rsidR="00315FC8" w:rsidRPr="00315FC8" w:rsidRDefault="00315FC8" w:rsidP="00064889">
            <w:pPr>
              <w:ind w:left="0" w:right="0"/>
            </w:pPr>
            <w:r>
              <w:t>NA</w:t>
            </w:r>
          </w:p>
        </w:tc>
      </w:tr>
    </w:tbl>
    <w:p w:rsidR="000A5BB5" w:rsidRPr="00064889" w:rsidRDefault="000A5BB5" w:rsidP="00064889">
      <w:pPr>
        <w:pStyle w:val="Heading3"/>
      </w:pPr>
      <w:bookmarkStart w:id="19" w:name="_Toc387924269"/>
      <w:r>
        <w:t>Product Information</w:t>
      </w:r>
      <w:bookmarkEnd w:id="19"/>
    </w:p>
    <w:p w:rsidR="000A5BB5" w:rsidRDefault="000A5BB5" w:rsidP="00064889">
      <w:r>
        <w:t xml:space="preserve">The approved </w:t>
      </w:r>
      <w:r w:rsidR="003E2FA2">
        <w:t>product information (</w:t>
      </w:r>
      <w:r>
        <w:t>PI</w:t>
      </w:r>
      <w:r w:rsidR="003E2FA2">
        <w:t>)</w:t>
      </w:r>
      <w:r>
        <w:t xml:space="preserve"> current at the time this </w:t>
      </w:r>
      <w:proofErr w:type="spellStart"/>
      <w:r>
        <w:t>AusPAR</w:t>
      </w:r>
      <w:proofErr w:type="spellEnd"/>
      <w:r>
        <w:t xml:space="preserve"> was prepared can be found as Attachment 1.</w:t>
      </w:r>
    </w:p>
    <w:p w:rsidR="000A5BB5" w:rsidRDefault="000A5BB5" w:rsidP="00064889">
      <w:pPr>
        <w:pStyle w:val="Heading2"/>
      </w:pPr>
      <w:bookmarkStart w:id="20" w:name="_Toc387924270"/>
      <w:r>
        <w:t xml:space="preserve">Quality </w:t>
      </w:r>
      <w:r w:rsidR="00064889" w:rsidRPr="00064889">
        <w:t>f</w:t>
      </w:r>
      <w:r w:rsidRPr="00064889">
        <w:t>indings</w:t>
      </w:r>
      <w:bookmarkEnd w:id="20"/>
    </w:p>
    <w:p w:rsidR="000A5BB5" w:rsidRPr="00855C4F" w:rsidRDefault="00855C4F" w:rsidP="00064889">
      <w:pPr>
        <w:pStyle w:val="Heading3"/>
      </w:pPr>
      <w:bookmarkStart w:id="21" w:name="_Toc387924271"/>
      <w:r w:rsidRPr="00855C4F">
        <w:t xml:space="preserve">Drug </w:t>
      </w:r>
      <w:r w:rsidRPr="00064889">
        <w:t>substance</w:t>
      </w:r>
      <w:bookmarkEnd w:id="21"/>
    </w:p>
    <w:p w:rsidR="00855C4F" w:rsidRPr="00855C4F" w:rsidRDefault="0051223A" w:rsidP="00064889">
      <w:proofErr w:type="spellStart"/>
      <w:r>
        <w:t>Rixubis</w:t>
      </w:r>
      <w:proofErr w:type="spellEnd"/>
      <w:r w:rsidR="00855C4F" w:rsidRPr="00855C4F">
        <w:t xml:space="preserve"> </w:t>
      </w:r>
      <w:proofErr w:type="spellStart"/>
      <w:r w:rsidR="003E2FA2">
        <w:t>r</w:t>
      </w:r>
      <w:r w:rsidR="00855C4F" w:rsidRPr="00855C4F">
        <w:t>FIX</w:t>
      </w:r>
      <w:proofErr w:type="spellEnd"/>
      <w:r w:rsidR="00855C4F" w:rsidRPr="00855C4F">
        <w:t xml:space="preserve"> is a purified protein that has 415 amino acids in</w:t>
      </w:r>
      <w:r w:rsidR="00855C4F">
        <w:t xml:space="preserve"> </w:t>
      </w:r>
      <w:r w:rsidR="00855C4F" w:rsidRPr="00855C4F">
        <w:t>a single polypeptide chain. It has a primary amino acid sequence comparable to the Ala148 allelic form of plasma–derived FIX, but some post-translational modifications of the recombinant molecule are different from those found in the plasma-derived molecule.</w:t>
      </w:r>
    </w:p>
    <w:p w:rsidR="00855C4F" w:rsidRPr="00855C4F" w:rsidRDefault="00855C4F" w:rsidP="00064889">
      <w:proofErr w:type="spellStart"/>
      <w:proofErr w:type="gramStart"/>
      <w:r>
        <w:lastRenderedPageBreak/>
        <w:t>r</w:t>
      </w:r>
      <w:r w:rsidRPr="00855C4F">
        <w:t>FIX</w:t>
      </w:r>
      <w:proofErr w:type="spellEnd"/>
      <w:proofErr w:type="gramEnd"/>
      <w:r w:rsidRPr="00855C4F">
        <w:t xml:space="preserve"> is a glycoprotein that is secreted by genetically engineered mammalian cells derived from a CHO cell line. </w:t>
      </w:r>
      <w:r w:rsidR="0051223A">
        <w:t>Rixubis</w:t>
      </w:r>
      <w:r>
        <w:t xml:space="preserve"> </w:t>
      </w:r>
      <w:r w:rsidRPr="00855C4F">
        <w:t>is synthesi</w:t>
      </w:r>
      <w:r>
        <w:t>s</w:t>
      </w:r>
      <w:r w:rsidRPr="00855C4F">
        <w:t>ed as a single chain polypeptide and secreted in its mature form.</w:t>
      </w:r>
      <w:r>
        <w:t xml:space="preserve"> </w:t>
      </w:r>
      <w:r w:rsidRPr="00855C4F">
        <w:t xml:space="preserve">The molecule consists of several discrete functional domains, including a </w:t>
      </w:r>
      <w:proofErr w:type="spellStart"/>
      <w:r w:rsidRPr="00855C4F">
        <w:t>Gla</w:t>
      </w:r>
      <w:proofErr w:type="spellEnd"/>
      <w:r w:rsidRPr="00855C4F">
        <w:t xml:space="preserve"> domain, two epidermal growth factor (EGF) domains, an activation peptide and the catalytic domain. As in other vitamin K-dependent proteins, </w:t>
      </w:r>
      <w:r w:rsidR="0051223A">
        <w:t>Rixubis</w:t>
      </w:r>
      <w:r>
        <w:t xml:space="preserve"> </w:t>
      </w:r>
      <w:r w:rsidRPr="00855C4F">
        <w:t>undergoes a number of post-translational maturation events prior to secretion.</w:t>
      </w:r>
    </w:p>
    <w:p w:rsidR="00855C4F" w:rsidRPr="00855C4F" w:rsidRDefault="00855C4F" w:rsidP="00855C4F">
      <w:r w:rsidRPr="00855C4F">
        <w:t xml:space="preserve">Drug Substance FIX belongs to the vitamin-K-dependent blood coagulation factors and is part of the intrinsic blood coagulation system. After FIX (54-57 </w:t>
      </w:r>
      <w:proofErr w:type="spellStart"/>
      <w:r w:rsidRPr="00855C4F">
        <w:t>kDa</w:t>
      </w:r>
      <w:proofErr w:type="spellEnd"/>
      <w:r w:rsidRPr="00855C4F">
        <w:t>) has been activated to activated FIX (</w:t>
      </w:r>
      <w:proofErr w:type="spellStart"/>
      <w:r w:rsidRPr="00855C4F">
        <w:t>FIXa</w:t>
      </w:r>
      <w:proofErr w:type="spellEnd"/>
      <w:r w:rsidRPr="00855C4F">
        <w:t xml:space="preserve">), it has a molecular weight of </w:t>
      </w:r>
      <w:r>
        <w:t>approximately</w:t>
      </w:r>
      <w:r w:rsidRPr="00855C4F">
        <w:t xml:space="preserve">47 </w:t>
      </w:r>
      <w:proofErr w:type="spellStart"/>
      <w:r w:rsidRPr="00855C4F">
        <w:t>kDa</w:t>
      </w:r>
      <w:proofErr w:type="spellEnd"/>
      <w:r w:rsidRPr="00855C4F">
        <w:t xml:space="preserve"> due to the release of the activation peptide (</w:t>
      </w:r>
      <w:r>
        <w:t>approximately</w:t>
      </w:r>
      <w:r w:rsidRPr="00855C4F">
        <w:t xml:space="preserve">11 </w:t>
      </w:r>
      <w:proofErr w:type="spellStart"/>
      <w:r w:rsidRPr="00855C4F">
        <w:t>kDa</w:t>
      </w:r>
      <w:proofErr w:type="spellEnd"/>
      <w:r w:rsidRPr="00855C4F">
        <w:t xml:space="preserve">). </w:t>
      </w:r>
      <w:proofErr w:type="spellStart"/>
      <w:r w:rsidRPr="00855C4F">
        <w:t>FIXa</w:t>
      </w:r>
      <w:proofErr w:type="spellEnd"/>
      <w:r w:rsidRPr="00855C4F">
        <w:t xml:space="preserve"> consists of a</w:t>
      </w:r>
      <w:r>
        <w:t>n approximately</w:t>
      </w:r>
      <w:r w:rsidR="003E2FA2">
        <w:t xml:space="preserve"> </w:t>
      </w:r>
      <w:r w:rsidRPr="00855C4F">
        <w:t xml:space="preserve">28 </w:t>
      </w:r>
      <w:proofErr w:type="spellStart"/>
      <w:r w:rsidRPr="00855C4F">
        <w:t>kDa</w:t>
      </w:r>
      <w:proofErr w:type="spellEnd"/>
      <w:r w:rsidRPr="00855C4F">
        <w:t xml:space="preserve"> heavy chain and a</w:t>
      </w:r>
      <w:r>
        <w:t>n approximately</w:t>
      </w:r>
      <w:r w:rsidRPr="00855C4F">
        <w:t xml:space="preserve">18 </w:t>
      </w:r>
      <w:proofErr w:type="spellStart"/>
      <w:r w:rsidRPr="00855C4F">
        <w:t>kDa</w:t>
      </w:r>
      <w:proofErr w:type="spellEnd"/>
      <w:r w:rsidRPr="00855C4F">
        <w:t xml:space="preserve"> light chain connected by a </w:t>
      </w:r>
      <w:proofErr w:type="spellStart"/>
      <w:r w:rsidRPr="00855C4F">
        <w:t>disulfide</w:t>
      </w:r>
      <w:proofErr w:type="spellEnd"/>
      <w:r w:rsidRPr="00855C4F">
        <w:t xml:space="preserve"> bond (Human Protein Data). </w:t>
      </w:r>
      <w:proofErr w:type="spellStart"/>
      <w:proofErr w:type="gramStart"/>
      <w:r>
        <w:t>r</w:t>
      </w:r>
      <w:r w:rsidRPr="00855C4F">
        <w:t>FIX</w:t>
      </w:r>
      <w:proofErr w:type="spellEnd"/>
      <w:proofErr w:type="gramEnd"/>
      <w:r w:rsidRPr="00855C4F">
        <w:t xml:space="preserve">, </w:t>
      </w:r>
      <w:proofErr w:type="spellStart"/>
      <w:r w:rsidR="0051223A">
        <w:t>Rixubis</w:t>
      </w:r>
      <w:proofErr w:type="spellEnd"/>
      <w:r w:rsidRPr="00855C4F">
        <w:t xml:space="preserve"> is expressed by a recombinant CHO cell line in a fermentation process, which is free from human or animal derived proteins.</w:t>
      </w:r>
    </w:p>
    <w:p w:rsidR="00855C4F" w:rsidRPr="00064889" w:rsidRDefault="00855C4F" w:rsidP="00064889">
      <w:pPr>
        <w:pStyle w:val="FigureTitle"/>
      </w:pPr>
      <w:r>
        <w:t xml:space="preserve">Figure 1: Structure of </w:t>
      </w:r>
      <w:proofErr w:type="spellStart"/>
      <w:r w:rsidR="0051223A">
        <w:t>Rixubis</w:t>
      </w:r>
      <w:proofErr w:type="spellEnd"/>
    </w:p>
    <w:p w:rsidR="000A5BB5" w:rsidRDefault="00855C4F" w:rsidP="00064889">
      <w:r>
        <w:rPr>
          <w:noProof/>
          <w:lang w:eastAsia="en-AU"/>
        </w:rPr>
        <w:drawing>
          <wp:inline distT="0" distB="0" distL="0" distR="0" wp14:anchorId="4382ED62" wp14:editId="10D99CD3">
            <wp:extent cx="5353050" cy="2838450"/>
            <wp:effectExtent l="0" t="0" r="0" b="0"/>
            <wp:docPr id="6" name="Picture 6" descr="Figure 1: Structure of Rixu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2838450"/>
                    </a:xfrm>
                    <a:prstGeom prst="rect">
                      <a:avLst/>
                    </a:prstGeom>
                    <a:noFill/>
                    <a:ln>
                      <a:noFill/>
                    </a:ln>
                  </pic:spPr>
                </pic:pic>
              </a:graphicData>
            </a:graphic>
          </wp:inline>
        </w:drawing>
      </w:r>
    </w:p>
    <w:p w:rsidR="00855C4F" w:rsidRPr="00855C4F" w:rsidRDefault="00541E5B" w:rsidP="00064889">
      <w:pPr>
        <w:pStyle w:val="Heading3"/>
      </w:pPr>
      <w:bookmarkStart w:id="22" w:name="_Toc387924272"/>
      <w:r>
        <w:t>D</w:t>
      </w:r>
      <w:r w:rsidR="00855C4F" w:rsidRPr="00855C4F">
        <w:t xml:space="preserve">rug </w:t>
      </w:r>
      <w:r w:rsidR="00064889" w:rsidRPr="00064889">
        <w:t>p</w:t>
      </w:r>
      <w:r w:rsidR="00855C4F" w:rsidRPr="00064889">
        <w:t>roduct</w:t>
      </w:r>
      <w:bookmarkEnd w:id="22"/>
    </w:p>
    <w:p w:rsidR="00855C4F" w:rsidRPr="00855C4F" w:rsidRDefault="00855C4F" w:rsidP="00064889">
      <w:r w:rsidRPr="00855C4F">
        <w:t xml:space="preserve">The </w:t>
      </w:r>
      <w:r w:rsidR="0051223A">
        <w:t>Rixubis</w:t>
      </w:r>
      <w:r w:rsidRPr="00855C4F">
        <w:t xml:space="preserve"> Final Drug Product (FDP) consists of a lyophili</w:t>
      </w:r>
      <w:r w:rsidR="00541E5B">
        <w:t>s</w:t>
      </w:r>
      <w:r w:rsidRPr="00855C4F">
        <w:t>ed powder for solution for</w:t>
      </w:r>
      <w:r w:rsidR="00541E5B">
        <w:t xml:space="preserve"> </w:t>
      </w:r>
      <w:r w:rsidRPr="00855C4F">
        <w:t xml:space="preserve">injection. The proposed nominal dosage strengths are 250, 500, 1000, 2000 and 3000 IU/vial. </w:t>
      </w:r>
      <w:proofErr w:type="gramStart"/>
      <w:r w:rsidRPr="00855C4F">
        <w:t>Each dosage strength</w:t>
      </w:r>
      <w:proofErr w:type="gramEnd"/>
      <w:r w:rsidRPr="00855C4F">
        <w:t xml:space="preserve"> is reconstituted using Sterile Water for Injection (</w:t>
      </w:r>
      <w:proofErr w:type="spellStart"/>
      <w:r w:rsidRPr="00855C4F">
        <w:t>sWFI</w:t>
      </w:r>
      <w:proofErr w:type="spellEnd"/>
      <w:r w:rsidRPr="00855C4F">
        <w:t>) and mixed prior to intravenous injection.</w:t>
      </w:r>
    </w:p>
    <w:p w:rsidR="000A5BB5" w:rsidRPr="00855C4F" w:rsidRDefault="00541E5B" w:rsidP="00064889">
      <w:proofErr w:type="spellStart"/>
      <w:proofErr w:type="gramStart"/>
      <w:r>
        <w:t>r</w:t>
      </w:r>
      <w:r w:rsidR="00855C4F" w:rsidRPr="00855C4F">
        <w:t>FIX</w:t>
      </w:r>
      <w:proofErr w:type="spellEnd"/>
      <w:proofErr w:type="gramEnd"/>
      <w:r w:rsidR="00855C4F" w:rsidRPr="00855C4F">
        <w:t xml:space="preserve"> FDP is formulated as a sterile, non-pyrogenic, white or off-white, lyophili</w:t>
      </w:r>
      <w:r>
        <w:t>s</w:t>
      </w:r>
      <w:r w:rsidR="00855C4F" w:rsidRPr="00855C4F">
        <w:t>ed powder preparation for intravenous injection and is stabili</w:t>
      </w:r>
      <w:r w:rsidR="003E2FA2">
        <w:t>s</w:t>
      </w:r>
      <w:r w:rsidR="00855C4F" w:rsidRPr="00855C4F">
        <w:t xml:space="preserve">ed with a mixture of sugars and salts. The </w:t>
      </w:r>
      <w:r w:rsidR="0051223A">
        <w:t>Rixubis</w:t>
      </w:r>
      <w:r w:rsidR="00855C4F" w:rsidRPr="00855C4F">
        <w:t xml:space="preserve"> FDP is supplied in single-dose glass vial.</w:t>
      </w:r>
    </w:p>
    <w:p w:rsidR="00541E5B" w:rsidRPr="00064889" w:rsidRDefault="00541E5B" w:rsidP="00064889">
      <w:pPr>
        <w:pStyle w:val="Heading3"/>
      </w:pPr>
      <w:bookmarkStart w:id="23" w:name="_Toc387924273"/>
      <w:r>
        <w:t>Quality summary and conclusions</w:t>
      </w:r>
      <w:bookmarkEnd w:id="23"/>
    </w:p>
    <w:p w:rsidR="00541E5B" w:rsidRPr="00541E5B" w:rsidRDefault="00541E5B" w:rsidP="00064889">
      <w:r w:rsidRPr="00541E5B">
        <w:t xml:space="preserve">It is recommended that approval for registration of </w:t>
      </w:r>
      <w:r w:rsidR="003E2FA2">
        <w:t>Rixubis</w:t>
      </w:r>
      <w:r w:rsidRPr="00541E5B">
        <w:t xml:space="preserve"> not be given until the sponsor has provided satisfactory answers to the questions below.</w:t>
      </w:r>
    </w:p>
    <w:p w:rsidR="00541E5B" w:rsidRPr="00541E5B" w:rsidRDefault="00541E5B" w:rsidP="00064889">
      <w:pPr>
        <w:pStyle w:val="Heading4"/>
      </w:pPr>
      <w:r w:rsidRPr="00541E5B">
        <w:t>Question 1</w:t>
      </w:r>
      <w:r>
        <w:t xml:space="preserve">: </w:t>
      </w:r>
      <w:r w:rsidR="003E2FA2">
        <w:t>ß</w:t>
      </w:r>
      <w:r w:rsidR="00064889">
        <w:t xml:space="preserve">-D </w:t>
      </w:r>
      <w:proofErr w:type="spellStart"/>
      <w:r w:rsidR="00064889">
        <w:t>Glucan</w:t>
      </w:r>
      <w:proofErr w:type="spellEnd"/>
    </w:p>
    <w:p w:rsidR="00541E5B" w:rsidRPr="00541E5B" w:rsidRDefault="00541E5B" w:rsidP="00064889">
      <w:r w:rsidRPr="00541E5B">
        <w:t xml:space="preserve">(1, 3)-ß-D </w:t>
      </w:r>
      <w:proofErr w:type="spellStart"/>
      <w:r w:rsidRPr="00541E5B">
        <w:t>Glucan</w:t>
      </w:r>
      <w:proofErr w:type="spellEnd"/>
      <w:r w:rsidRPr="00541E5B">
        <w:t xml:space="preserve"> molecules can be found in the cell walls of most yeasts and moulds and</w:t>
      </w:r>
      <w:r>
        <w:t xml:space="preserve"> </w:t>
      </w:r>
      <w:r w:rsidRPr="00541E5B">
        <w:t xml:space="preserve">can induce inflammatory responses. </w:t>
      </w:r>
      <w:proofErr w:type="spellStart"/>
      <w:r w:rsidRPr="00541E5B">
        <w:t>Glucans</w:t>
      </w:r>
      <w:proofErr w:type="spellEnd"/>
      <w:r w:rsidRPr="00541E5B">
        <w:t xml:space="preserve"> may contaminate cell culture raw materials, </w:t>
      </w:r>
      <w:r w:rsidRPr="00541E5B">
        <w:lastRenderedPageBreak/>
        <w:t xml:space="preserve">air quality samples, and cellulose filter preparations. </w:t>
      </w:r>
      <w:proofErr w:type="spellStart"/>
      <w:r w:rsidRPr="00541E5B">
        <w:t>Glucans</w:t>
      </w:r>
      <w:proofErr w:type="spellEnd"/>
      <w:r w:rsidRPr="00541E5B">
        <w:t xml:space="preserve"> are known to cause false positive results in endotoxin assays, trigger</w:t>
      </w:r>
      <w:r w:rsidR="00064889">
        <w:t>ing unnecessary investigations.</w:t>
      </w:r>
    </w:p>
    <w:p w:rsidR="00541E5B" w:rsidRPr="00541E5B" w:rsidRDefault="00541E5B" w:rsidP="00064889">
      <w:r w:rsidRPr="00541E5B">
        <w:t>ß-</w:t>
      </w:r>
      <w:proofErr w:type="spellStart"/>
      <w:r w:rsidRPr="00541E5B">
        <w:t>Glucan</w:t>
      </w:r>
      <w:proofErr w:type="spellEnd"/>
      <w:r w:rsidRPr="00541E5B">
        <w:t xml:space="preserve"> analysis was performed at a contract lab using the </w:t>
      </w:r>
      <w:proofErr w:type="spellStart"/>
      <w:r w:rsidRPr="00541E5B">
        <w:t>Endosafe</w:t>
      </w:r>
      <w:proofErr w:type="spellEnd"/>
      <w:r w:rsidRPr="00541E5B">
        <w:t xml:space="preserve">-PTS </w:t>
      </w:r>
      <w:proofErr w:type="spellStart"/>
      <w:r w:rsidRPr="00541E5B">
        <w:t>Glucan</w:t>
      </w:r>
      <w:proofErr w:type="spellEnd"/>
      <w:r w:rsidRPr="00541E5B">
        <w:t xml:space="preserve"> assay technology. In this analysis, sample sets from the downstream process starting with the load of the fermentation broth to the capture column (FLT-L) and ending with the final drug substance (CNN-E). The data indicate that a dramatic decrease of the ß-</w:t>
      </w:r>
      <w:proofErr w:type="spellStart"/>
      <w:r w:rsidRPr="00541E5B">
        <w:t>Glucan</w:t>
      </w:r>
      <w:proofErr w:type="spellEnd"/>
      <w:r w:rsidRPr="00541E5B">
        <w:t xml:space="preserve"> amount was obtained after the first downstream purification step. More than 99.99% (more than a three log</w:t>
      </w:r>
      <w:r w:rsidRPr="003E2FA2">
        <w:rPr>
          <w:vertAlign w:val="superscript"/>
        </w:rPr>
        <w:t>10</w:t>
      </w:r>
      <w:r w:rsidRPr="00541E5B">
        <w:t xml:space="preserve"> reductions) of the initial ß </w:t>
      </w:r>
      <w:proofErr w:type="spellStart"/>
      <w:r w:rsidRPr="00541E5B">
        <w:t>Glucan</w:t>
      </w:r>
      <w:proofErr w:type="spellEnd"/>
      <w:r w:rsidRPr="00541E5B">
        <w:t xml:space="preserve"> content was removed during the </w:t>
      </w:r>
      <w:proofErr w:type="spellStart"/>
      <w:r w:rsidRPr="00541E5B">
        <w:t>eluate</w:t>
      </w:r>
      <w:proofErr w:type="spellEnd"/>
      <w:r w:rsidRPr="00541E5B">
        <w:t xml:space="preserve"> capture chromatography (CPN) step. The ß-</w:t>
      </w:r>
      <w:proofErr w:type="spellStart"/>
      <w:r w:rsidRPr="00541E5B">
        <w:t>Glucan</w:t>
      </w:r>
      <w:proofErr w:type="spellEnd"/>
      <w:r w:rsidRPr="00541E5B">
        <w:t xml:space="preserve"> content of the drug substance samples was below the analytical range of the method. The </w:t>
      </w:r>
      <w:r w:rsidR="00A82B9D">
        <w:t>sponsor</w:t>
      </w:r>
      <w:r w:rsidRPr="00541E5B">
        <w:t xml:space="preserve"> should be asked if there was any evidence of false positi</w:t>
      </w:r>
      <w:r w:rsidR="00064889">
        <w:t>ve results in endotoxin assays.</w:t>
      </w:r>
    </w:p>
    <w:p w:rsidR="00541E5B" w:rsidRPr="00541E5B" w:rsidRDefault="00541E5B" w:rsidP="00064889">
      <w:pPr>
        <w:pStyle w:val="Heading4"/>
      </w:pPr>
      <w:r>
        <w:t>Question 2</w:t>
      </w:r>
    </w:p>
    <w:p w:rsidR="00541E5B" w:rsidRPr="00541E5B" w:rsidRDefault="00541E5B" w:rsidP="00064889">
      <w:r w:rsidRPr="00541E5B">
        <w:t>Quantitative monosaccharide determination showed comparable and consistent amounts</w:t>
      </w:r>
      <w:r>
        <w:t xml:space="preserve"> </w:t>
      </w:r>
      <w:r w:rsidRPr="00541E5B">
        <w:t xml:space="preserve">within the limits of the method. Quantitative </w:t>
      </w:r>
      <w:proofErr w:type="spellStart"/>
      <w:r w:rsidRPr="00541E5B">
        <w:t>sialic</w:t>
      </w:r>
      <w:proofErr w:type="spellEnd"/>
      <w:r w:rsidRPr="00541E5B">
        <w:t xml:space="preserve"> acid (N-acetyl-</w:t>
      </w:r>
      <w:proofErr w:type="spellStart"/>
      <w:r w:rsidRPr="00541E5B">
        <w:t>neuraminic</w:t>
      </w:r>
      <w:proofErr w:type="spellEnd"/>
      <w:r w:rsidRPr="00541E5B">
        <w:t xml:space="preserve"> acid) determination showed that the amounts of </w:t>
      </w:r>
      <w:proofErr w:type="spellStart"/>
      <w:r w:rsidRPr="00541E5B">
        <w:t>sialic</w:t>
      </w:r>
      <w:proofErr w:type="spellEnd"/>
      <w:r w:rsidRPr="00541E5B">
        <w:t xml:space="preserve"> acid on the terminal ends of the </w:t>
      </w:r>
      <w:proofErr w:type="spellStart"/>
      <w:r w:rsidRPr="00541E5B">
        <w:t>glycans</w:t>
      </w:r>
      <w:proofErr w:type="spellEnd"/>
      <w:r w:rsidRPr="00541E5B">
        <w:t xml:space="preserve"> are consistent within the limits of the method. Detected amounts of N-</w:t>
      </w:r>
      <w:proofErr w:type="spellStart"/>
      <w:r w:rsidRPr="00541E5B">
        <w:t>glycolyl</w:t>
      </w:r>
      <w:proofErr w:type="spellEnd"/>
      <w:r w:rsidRPr="00541E5B">
        <w:t>-</w:t>
      </w:r>
      <w:proofErr w:type="spellStart"/>
      <w:r w:rsidRPr="00541E5B">
        <w:t>neuraminic</w:t>
      </w:r>
      <w:proofErr w:type="spellEnd"/>
      <w:r w:rsidRPr="00541E5B">
        <w:t xml:space="preserve"> acid, a potentially immunogenic variant of </w:t>
      </w:r>
      <w:proofErr w:type="spellStart"/>
      <w:r w:rsidRPr="00541E5B">
        <w:t>sialic</w:t>
      </w:r>
      <w:proofErr w:type="spellEnd"/>
      <w:r w:rsidRPr="00541E5B">
        <w:t xml:space="preserve"> acid, were less than ≤ 0.2% of total </w:t>
      </w:r>
      <w:proofErr w:type="spellStart"/>
      <w:r w:rsidRPr="00541E5B">
        <w:t>sialic</w:t>
      </w:r>
      <w:proofErr w:type="spellEnd"/>
      <w:r w:rsidRPr="00541E5B">
        <w:t xml:space="preserve"> acids. In addition the presence of an O-acetylated variant Neu5.9Ac2 was determined to be present</w:t>
      </w:r>
      <w:r>
        <w:t xml:space="preserve"> </w:t>
      </w:r>
      <w:r w:rsidR="00064889">
        <w:t>(up to 2.5%).</w:t>
      </w:r>
    </w:p>
    <w:p w:rsidR="00541E5B" w:rsidRPr="00541E5B" w:rsidRDefault="00541E5B" w:rsidP="00064889">
      <w:r w:rsidRPr="00541E5B">
        <w:t xml:space="preserve">The </w:t>
      </w:r>
      <w:r>
        <w:t xml:space="preserve">sponsor </w:t>
      </w:r>
      <w:r w:rsidRPr="00541E5B">
        <w:t xml:space="preserve">states that because this variant was also found in licensed, marketed, recombinant, and plasma derived FIX drug products, this variant was not considered as critical. The evaluator feels that further comment should be sought </w:t>
      </w:r>
      <w:r w:rsidR="00064889">
        <w:t>from the sponsor on this point.</w:t>
      </w:r>
    </w:p>
    <w:p w:rsidR="00541E5B" w:rsidRPr="00541E5B" w:rsidRDefault="00541E5B" w:rsidP="00064889">
      <w:pPr>
        <w:pStyle w:val="Heading4"/>
      </w:pPr>
      <w:r w:rsidRPr="00541E5B">
        <w:t>Question 3</w:t>
      </w:r>
    </w:p>
    <w:p w:rsidR="000A5BB5" w:rsidRDefault="00541E5B" w:rsidP="00064889">
      <w:r w:rsidRPr="00541E5B">
        <w:t>Has final nomenclature and art work for packaging and labels been prepared for evaluation?</w:t>
      </w:r>
    </w:p>
    <w:p w:rsidR="00A82B9D" w:rsidRDefault="00A82B9D" w:rsidP="00064889">
      <w:pPr>
        <w:pStyle w:val="Heading3"/>
      </w:pPr>
      <w:bookmarkStart w:id="24" w:name="_Toc387924274"/>
      <w:r w:rsidRPr="00064889">
        <w:t>Evaluation</w:t>
      </w:r>
      <w:r>
        <w:t xml:space="preserve"> of sponsor’s responses to questions</w:t>
      </w:r>
      <w:bookmarkEnd w:id="24"/>
    </w:p>
    <w:p w:rsidR="00A82B9D" w:rsidRPr="00A82B9D" w:rsidRDefault="00A82B9D" w:rsidP="00064889">
      <w:pPr>
        <w:pStyle w:val="Heading4"/>
      </w:pPr>
      <w:r w:rsidRPr="00A82B9D">
        <w:t xml:space="preserve">Response to </w:t>
      </w:r>
      <w:r w:rsidR="00064889">
        <w:t>q</w:t>
      </w:r>
      <w:r w:rsidRPr="00A82B9D">
        <w:t>uestion 1</w:t>
      </w:r>
    </w:p>
    <w:p w:rsidR="00A82B9D" w:rsidRPr="00A82B9D" w:rsidRDefault="00A82B9D" w:rsidP="00064889">
      <w:r w:rsidRPr="00A82B9D">
        <w:t>Evidence of false positive results cannot be provided as the validation of the Endotoxin/LAL method has been performed using ß-</w:t>
      </w:r>
      <w:proofErr w:type="spellStart"/>
      <w:r w:rsidRPr="00A82B9D">
        <w:t>glucan</w:t>
      </w:r>
      <w:proofErr w:type="spellEnd"/>
      <w:r w:rsidRPr="00A82B9D">
        <w:t xml:space="preserve"> blocker. Therefore there are no false positive results.</w:t>
      </w:r>
    </w:p>
    <w:p w:rsidR="00A82B9D" w:rsidRPr="00A82B9D" w:rsidRDefault="00A82B9D" w:rsidP="00064889">
      <w:r w:rsidRPr="00A82B9D">
        <w:t>The response is self-explanatory and acceptable.</w:t>
      </w:r>
    </w:p>
    <w:p w:rsidR="00A82B9D" w:rsidRPr="00A82B9D" w:rsidRDefault="00064889" w:rsidP="00064889">
      <w:pPr>
        <w:pStyle w:val="Heading4"/>
      </w:pPr>
      <w:r>
        <w:t>Response to q</w:t>
      </w:r>
      <w:r w:rsidR="00A82B9D" w:rsidRPr="00A82B9D">
        <w:t>uestion 2</w:t>
      </w:r>
    </w:p>
    <w:p w:rsidR="00A82B9D" w:rsidRDefault="00A82B9D" w:rsidP="00064889">
      <w:r w:rsidRPr="00A82B9D">
        <w:t>Data on N-</w:t>
      </w:r>
      <w:proofErr w:type="spellStart"/>
      <w:r w:rsidRPr="00A82B9D">
        <w:t>glycolyneuraminc</w:t>
      </w:r>
      <w:proofErr w:type="spellEnd"/>
      <w:r w:rsidRPr="00A82B9D">
        <w:t xml:space="preserve"> acid (Neu5Gc, NGNA) was provided in the characteri</w:t>
      </w:r>
      <w:r>
        <w:t>s</w:t>
      </w:r>
      <w:r w:rsidRPr="00A82B9D">
        <w:t>ation</w:t>
      </w:r>
      <w:r>
        <w:t xml:space="preserve"> </w:t>
      </w:r>
      <w:r w:rsidRPr="00A82B9D">
        <w:t xml:space="preserve">section of the market application. Table </w:t>
      </w:r>
      <w:r>
        <w:t>2</w:t>
      </w:r>
      <w:r w:rsidRPr="00A82B9D">
        <w:t xml:space="preserve"> </w:t>
      </w:r>
      <w:r w:rsidR="003E2FA2">
        <w:t xml:space="preserve">was </w:t>
      </w:r>
      <w:r w:rsidRPr="00A82B9D">
        <w:t>provided below for reference.</w:t>
      </w:r>
    </w:p>
    <w:p w:rsidR="005B07BF" w:rsidRPr="00610315" w:rsidRDefault="005B07BF" w:rsidP="00064889">
      <w:r w:rsidRPr="00610315">
        <w:t xml:space="preserve">The data demonstrate that the Neu5Ac is clearly the most predominant species, with the Neu5Gc and Neu5.9Ac2 contributing less than 3% to the total </w:t>
      </w:r>
      <w:proofErr w:type="spellStart"/>
      <w:r w:rsidRPr="00610315">
        <w:t>sialic</w:t>
      </w:r>
      <w:proofErr w:type="spellEnd"/>
      <w:r w:rsidRPr="00610315">
        <w:t xml:space="preserve"> acid amount. This is considered to be adequate based on the following reasons:</w:t>
      </w:r>
    </w:p>
    <w:p w:rsidR="005B07BF" w:rsidRPr="00610315" w:rsidRDefault="005B07BF" w:rsidP="00064889">
      <w:pPr>
        <w:pStyle w:val="ListBullet"/>
      </w:pPr>
      <w:r w:rsidRPr="00610315">
        <w:t xml:space="preserve">CHO cell </w:t>
      </w:r>
      <w:r w:rsidRPr="00064889">
        <w:t>lines</w:t>
      </w:r>
      <w:r w:rsidRPr="00610315">
        <w:t xml:space="preserve"> are known to incorporate small amounts of the non-human </w:t>
      </w:r>
      <w:proofErr w:type="spellStart"/>
      <w:r w:rsidRPr="00610315">
        <w:t>sialic</w:t>
      </w:r>
      <w:proofErr w:type="spellEnd"/>
      <w:r w:rsidRPr="00610315">
        <w:t xml:space="preserve"> acid like N </w:t>
      </w:r>
      <w:proofErr w:type="spellStart"/>
      <w:r w:rsidRPr="00610315">
        <w:t>glycolylneuraminic</w:t>
      </w:r>
      <w:proofErr w:type="spellEnd"/>
      <w:r w:rsidRPr="00610315">
        <w:t xml:space="preserve"> acid</w:t>
      </w:r>
      <w:r>
        <w:t xml:space="preserve"> (NGNA)</w:t>
      </w:r>
      <w:r w:rsidRPr="00610315">
        <w:t>. The amount of NGNA incorporated is dependent on cell clone and culture conditions.</w:t>
      </w:r>
    </w:p>
    <w:p w:rsidR="005B07BF" w:rsidRDefault="005B07BF" w:rsidP="00064889">
      <w:pPr>
        <w:pStyle w:val="ListBullet"/>
      </w:pPr>
      <w:r w:rsidRPr="00610315">
        <w:lastRenderedPageBreak/>
        <w:t xml:space="preserve">There is </w:t>
      </w:r>
      <w:r w:rsidRPr="00064889">
        <w:t>evidence</w:t>
      </w:r>
      <w:r w:rsidRPr="00610315">
        <w:t xml:space="preserve"> that the presence of significant amounts of NGNA on a bio-therapeutic drug </w:t>
      </w:r>
      <w:proofErr w:type="gramStart"/>
      <w:r w:rsidRPr="00610315">
        <w:t xml:space="preserve">(1.84 </w:t>
      </w:r>
      <w:proofErr w:type="spellStart"/>
      <w:r w:rsidRPr="00610315">
        <w:t>mol</w:t>
      </w:r>
      <w:proofErr w:type="spellEnd"/>
      <w:r w:rsidRPr="00610315">
        <w:t xml:space="preserve"> SA/</w:t>
      </w:r>
      <w:proofErr w:type="spellStart"/>
      <w:r w:rsidRPr="00610315">
        <w:t>mol</w:t>
      </w:r>
      <w:proofErr w:type="spellEnd"/>
      <w:r w:rsidRPr="00610315">
        <w:t xml:space="preserve"> of product, nearly 100% NGNA)</w:t>
      </w:r>
      <w:proofErr w:type="gramEnd"/>
      <w:r w:rsidRPr="00610315">
        <w:t xml:space="preserve"> can impact product half-life and clearance </w:t>
      </w:r>
      <w:r>
        <w:t xml:space="preserve">(CL) </w:t>
      </w:r>
      <w:r w:rsidRPr="00610315">
        <w:t xml:space="preserve">whereas no NGNA specific immune response was seen with a product carrying a low NGNA content (0.1% NGNA of total SA content. These studies were both done with </w:t>
      </w:r>
      <w:proofErr w:type="spellStart"/>
      <w:r w:rsidRPr="00610315">
        <w:t>mAb</w:t>
      </w:r>
      <w:proofErr w:type="spellEnd"/>
      <w:r w:rsidRPr="00610315">
        <w:t xml:space="preserve"> drugs monoclonal (see </w:t>
      </w:r>
      <w:proofErr w:type="spellStart"/>
      <w:r w:rsidRPr="00610315">
        <w:t>Ghaderi</w:t>
      </w:r>
      <w:proofErr w:type="spellEnd"/>
      <w:r w:rsidRPr="00610315">
        <w:t xml:space="preserve"> D. et al, 2010</w:t>
      </w:r>
      <w:r>
        <w:rPr>
          <w:rStyle w:val="FootnoteReference"/>
        </w:rPr>
        <w:footnoteReference w:id="1"/>
      </w:r>
      <w:r w:rsidRPr="00610315">
        <w:t>). Similarly, administration of</w:t>
      </w:r>
      <w:r>
        <w:t xml:space="preserve"> </w:t>
      </w:r>
      <w:proofErr w:type="spellStart"/>
      <w:r w:rsidRPr="00610315">
        <w:t>rEPO</w:t>
      </w:r>
      <w:proofErr w:type="spellEnd"/>
      <w:r w:rsidRPr="00610315">
        <w:t xml:space="preserve"> containing about 1% NGNA of total </w:t>
      </w:r>
      <w:proofErr w:type="spellStart"/>
      <w:r w:rsidRPr="00610315">
        <w:t>sialic</w:t>
      </w:r>
      <w:proofErr w:type="spellEnd"/>
      <w:r w:rsidRPr="00610315">
        <w:t xml:space="preserve"> acids did not show any allergic side effects associated with the production of NGNA –specific antibodies (Noguchi A., et. al, 1996</w:t>
      </w:r>
      <w:r>
        <w:rPr>
          <w:rStyle w:val="FootnoteReference"/>
        </w:rPr>
        <w:footnoteReference w:id="2"/>
      </w:r>
      <w:r w:rsidRPr="00610315">
        <w:t xml:space="preserve">). In addition, the anticoagulant drug </w:t>
      </w:r>
      <w:proofErr w:type="spellStart"/>
      <w:r w:rsidRPr="00610315">
        <w:t>Atryn</w:t>
      </w:r>
      <w:proofErr w:type="spellEnd"/>
      <w:r w:rsidRPr="00610315">
        <w:t xml:space="preserve"> (made of goat milk) is a licensed product for human use containing a high content of NGNA.</w:t>
      </w:r>
    </w:p>
    <w:p w:rsidR="00A82B9D" w:rsidRPr="00A82B9D" w:rsidRDefault="00A82B9D" w:rsidP="00064889">
      <w:pPr>
        <w:pStyle w:val="TableTitle"/>
      </w:pPr>
      <w:r>
        <w:t xml:space="preserve">Table 2: Data on </w:t>
      </w:r>
      <w:proofErr w:type="spellStart"/>
      <w:r w:rsidRPr="00A82B9D">
        <w:t>glycolyneuraminc</w:t>
      </w:r>
      <w:proofErr w:type="spellEnd"/>
      <w:r w:rsidRPr="00A82B9D">
        <w:t xml:space="preserve"> acid (Neu5Gc, NGNA)</w:t>
      </w:r>
    </w:p>
    <w:tbl>
      <w:tblPr>
        <w:tblStyle w:val="TableTGAblue"/>
        <w:tblW w:w="0" w:type="auto"/>
        <w:tblLook w:val="04A0" w:firstRow="1" w:lastRow="0" w:firstColumn="1" w:lastColumn="0" w:noHBand="0" w:noVBand="1"/>
      </w:tblPr>
      <w:tblGrid>
        <w:gridCol w:w="2526"/>
        <w:gridCol w:w="2114"/>
        <w:gridCol w:w="1847"/>
        <w:gridCol w:w="1843"/>
      </w:tblGrid>
      <w:tr w:rsidR="00525C11" w:rsidTr="00525C11">
        <w:trPr>
          <w:cnfStyle w:val="100000000000" w:firstRow="1" w:lastRow="0" w:firstColumn="0" w:lastColumn="0" w:oddVBand="0" w:evenVBand="0" w:oddHBand="0" w:evenHBand="0" w:firstRowFirstColumn="0" w:firstRowLastColumn="0" w:lastRowFirstColumn="0" w:lastRowLastColumn="0"/>
        </w:trPr>
        <w:tc>
          <w:tcPr>
            <w:tcW w:w="2526" w:type="dxa"/>
          </w:tcPr>
          <w:p w:rsidR="00525C11" w:rsidRPr="00525C11" w:rsidRDefault="0051223A" w:rsidP="00064889">
            <w:pPr>
              <w:ind w:left="0" w:right="42"/>
              <w:rPr>
                <w:rFonts w:asciiTheme="minorHAnsi" w:hAnsiTheme="minorHAnsi"/>
                <w:sz w:val="18"/>
                <w:szCs w:val="18"/>
              </w:rPr>
            </w:pPr>
            <w:bookmarkStart w:id="25" w:name="_Toc247691505"/>
            <w:bookmarkStart w:id="26" w:name="_Toc314842486"/>
            <w:proofErr w:type="spellStart"/>
            <w:r>
              <w:t>Rixubis</w:t>
            </w:r>
            <w:bookmarkEnd w:id="25"/>
            <w:bookmarkEnd w:id="26"/>
            <w:bookmarkEnd w:id="2"/>
            <w:proofErr w:type="spellEnd"/>
          </w:p>
        </w:tc>
        <w:tc>
          <w:tcPr>
            <w:tcW w:w="2114" w:type="dxa"/>
          </w:tcPr>
          <w:p w:rsidR="00525C11" w:rsidRPr="00525C11" w:rsidRDefault="00525C11" w:rsidP="00064889">
            <w:pPr>
              <w:ind w:left="26" w:right="29"/>
            </w:pPr>
            <w:r w:rsidRPr="00525C11">
              <w:t>[</w:t>
            </w:r>
            <w:proofErr w:type="spellStart"/>
            <w:r w:rsidRPr="00525C11">
              <w:t>nmol</w:t>
            </w:r>
            <w:proofErr w:type="spellEnd"/>
            <w:r w:rsidRPr="00525C11">
              <w:t xml:space="preserve"> Neu5Ac/mg FIX</w:t>
            </w:r>
            <w:r w:rsidRPr="00525C11">
              <w:rPr>
                <w:vertAlign w:val="superscript"/>
              </w:rPr>
              <w:t>1</w:t>
            </w:r>
            <w:r w:rsidRPr="00525C11">
              <w:t>]</w:t>
            </w:r>
          </w:p>
        </w:tc>
        <w:tc>
          <w:tcPr>
            <w:tcW w:w="1847" w:type="dxa"/>
          </w:tcPr>
          <w:p w:rsidR="00525C11" w:rsidRPr="00525C11" w:rsidRDefault="00525C11" w:rsidP="00064889">
            <w:pPr>
              <w:ind w:left="38" w:right="34"/>
            </w:pPr>
            <w:r>
              <w:t xml:space="preserve">% </w:t>
            </w:r>
            <w:r w:rsidRPr="00525C11">
              <w:t>Neu5Gc</w:t>
            </w:r>
            <w:r>
              <w:t xml:space="preserve"> </w:t>
            </w:r>
            <w:r w:rsidRPr="00525C11">
              <w:t>[Area%]</w:t>
            </w:r>
          </w:p>
        </w:tc>
        <w:tc>
          <w:tcPr>
            <w:tcW w:w="1843" w:type="dxa"/>
          </w:tcPr>
          <w:p w:rsidR="00525C11" w:rsidRPr="00525C11" w:rsidRDefault="00525C11" w:rsidP="00064889">
            <w:pPr>
              <w:ind w:left="34" w:right="0"/>
            </w:pPr>
            <w:r w:rsidRPr="00525C11">
              <w:t>% Neu5.9Ac2 [Area%]</w:t>
            </w:r>
          </w:p>
        </w:tc>
      </w:tr>
      <w:tr w:rsidR="00525C11" w:rsidTr="00525C11">
        <w:tc>
          <w:tcPr>
            <w:tcW w:w="2526" w:type="dxa"/>
          </w:tcPr>
          <w:p w:rsidR="00525C11" w:rsidRPr="00525C11" w:rsidRDefault="00525C11" w:rsidP="00064889">
            <w:pPr>
              <w:ind w:left="0" w:right="42"/>
            </w:pPr>
            <w:r w:rsidRPr="00525C11">
              <w:t>ORRNCNN11001E01</w:t>
            </w:r>
          </w:p>
        </w:tc>
        <w:tc>
          <w:tcPr>
            <w:tcW w:w="2114" w:type="dxa"/>
          </w:tcPr>
          <w:p w:rsidR="00525C11" w:rsidRPr="00525C11" w:rsidRDefault="00525C11" w:rsidP="00064889">
            <w:pPr>
              <w:ind w:left="26" w:right="29"/>
            </w:pPr>
            <w:r w:rsidRPr="00525C11">
              <w:t>157</w:t>
            </w:r>
          </w:p>
        </w:tc>
        <w:tc>
          <w:tcPr>
            <w:tcW w:w="1847" w:type="dxa"/>
          </w:tcPr>
          <w:p w:rsidR="00525C11" w:rsidRPr="00525C11" w:rsidRDefault="00525C11" w:rsidP="00064889">
            <w:pPr>
              <w:ind w:left="38" w:right="34"/>
            </w:pPr>
            <w:r w:rsidRPr="00525C11">
              <w:t>0.05</w:t>
            </w:r>
          </w:p>
        </w:tc>
        <w:tc>
          <w:tcPr>
            <w:tcW w:w="1843" w:type="dxa"/>
          </w:tcPr>
          <w:p w:rsidR="00525C11" w:rsidRPr="00525C11" w:rsidRDefault="00525C11" w:rsidP="00064889">
            <w:pPr>
              <w:ind w:left="34" w:right="0"/>
            </w:pPr>
            <w:r w:rsidRPr="00525C11">
              <w:t>2.4</w:t>
            </w:r>
          </w:p>
        </w:tc>
      </w:tr>
      <w:tr w:rsidR="00525C11" w:rsidTr="00525C11">
        <w:tc>
          <w:tcPr>
            <w:tcW w:w="2526" w:type="dxa"/>
          </w:tcPr>
          <w:p w:rsidR="00525C11" w:rsidRPr="00525C11" w:rsidRDefault="00525C11" w:rsidP="00064889">
            <w:pPr>
              <w:ind w:left="0" w:right="42"/>
            </w:pPr>
            <w:r w:rsidRPr="00525C11">
              <w:t>ORRNCNN11001E07</w:t>
            </w:r>
          </w:p>
        </w:tc>
        <w:tc>
          <w:tcPr>
            <w:tcW w:w="2114" w:type="dxa"/>
          </w:tcPr>
          <w:p w:rsidR="00525C11" w:rsidRPr="00525C11" w:rsidRDefault="00525C11" w:rsidP="00064889">
            <w:pPr>
              <w:ind w:left="26" w:right="29"/>
            </w:pPr>
            <w:r w:rsidRPr="00525C11">
              <w:t>165</w:t>
            </w:r>
          </w:p>
        </w:tc>
        <w:tc>
          <w:tcPr>
            <w:tcW w:w="1847" w:type="dxa"/>
          </w:tcPr>
          <w:p w:rsidR="00525C11" w:rsidRPr="00525C11" w:rsidRDefault="00525C11" w:rsidP="00064889">
            <w:pPr>
              <w:ind w:left="38" w:right="34"/>
            </w:pPr>
            <w:r w:rsidRPr="00525C11">
              <w:t>0.11</w:t>
            </w:r>
          </w:p>
        </w:tc>
        <w:tc>
          <w:tcPr>
            <w:tcW w:w="1843" w:type="dxa"/>
          </w:tcPr>
          <w:p w:rsidR="00525C11" w:rsidRPr="00525C11" w:rsidRDefault="00525C11" w:rsidP="00064889">
            <w:pPr>
              <w:ind w:left="34" w:right="0"/>
            </w:pPr>
            <w:r w:rsidRPr="00525C11">
              <w:t>2.4</w:t>
            </w:r>
          </w:p>
        </w:tc>
      </w:tr>
      <w:tr w:rsidR="00525C11" w:rsidTr="00525C11">
        <w:tc>
          <w:tcPr>
            <w:tcW w:w="2526" w:type="dxa"/>
          </w:tcPr>
          <w:p w:rsidR="00525C11" w:rsidRPr="00525C11" w:rsidRDefault="00525C11" w:rsidP="00064889">
            <w:pPr>
              <w:ind w:left="0" w:right="42"/>
            </w:pPr>
            <w:r w:rsidRPr="00525C11">
              <w:t>ORRNCNN11001E14</w:t>
            </w:r>
          </w:p>
        </w:tc>
        <w:tc>
          <w:tcPr>
            <w:tcW w:w="2114" w:type="dxa"/>
          </w:tcPr>
          <w:p w:rsidR="00525C11" w:rsidRPr="00525C11" w:rsidRDefault="00525C11" w:rsidP="00064889">
            <w:pPr>
              <w:ind w:left="26" w:right="29"/>
            </w:pPr>
            <w:r w:rsidRPr="00525C11">
              <w:t>174</w:t>
            </w:r>
          </w:p>
        </w:tc>
        <w:tc>
          <w:tcPr>
            <w:tcW w:w="1847" w:type="dxa"/>
          </w:tcPr>
          <w:p w:rsidR="00525C11" w:rsidRPr="00525C11" w:rsidRDefault="00525C11" w:rsidP="00064889">
            <w:pPr>
              <w:ind w:left="38" w:right="34"/>
            </w:pPr>
            <w:r w:rsidRPr="00525C11">
              <w:t>0.15</w:t>
            </w:r>
          </w:p>
        </w:tc>
        <w:tc>
          <w:tcPr>
            <w:tcW w:w="1843" w:type="dxa"/>
          </w:tcPr>
          <w:p w:rsidR="00525C11" w:rsidRPr="00525C11" w:rsidRDefault="00525C11" w:rsidP="00064889">
            <w:pPr>
              <w:ind w:left="34" w:right="0"/>
            </w:pPr>
            <w:r w:rsidRPr="00525C11">
              <w:t>2.2</w:t>
            </w:r>
          </w:p>
        </w:tc>
      </w:tr>
      <w:tr w:rsidR="00525C11" w:rsidTr="00525C11">
        <w:tc>
          <w:tcPr>
            <w:tcW w:w="2526" w:type="dxa"/>
          </w:tcPr>
          <w:p w:rsidR="00525C11" w:rsidRPr="00525C11" w:rsidRDefault="00525C11" w:rsidP="00064889">
            <w:pPr>
              <w:ind w:left="0" w:right="42"/>
            </w:pPr>
            <w:r w:rsidRPr="00525C11">
              <w:t>ORRNCNN11019E01</w:t>
            </w:r>
          </w:p>
        </w:tc>
        <w:tc>
          <w:tcPr>
            <w:tcW w:w="2114" w:type="dxa"/>
          </w:tcPr>
          <w:p w:rsidR="00525C11" w:rsidRPr="00525C11" w:rsidRDefault="00525C11" w:rsidP="00064889">
            <w:pPr>
              <w:ind w:left="26" w:right="29"/>
            </w:pPr>
            <w:r w:rsidRPr="00525C11">
              <w:t>128</w:t>
            </w:r>
          </w:p>
        </w:tc>
        <w:tc>
          <w:tcPr>
            <w:tcW w:w="1847" w:type="dxa"/>
          </w:tcPr>
          <w:p w:rsidR="00525C11" w:rsidRPr="00525C11" w:rsidRDefault="00525C11" w:rsidP="00064889">
            <w:pPr>
              <w:ind w:left="38" w:right="34"/>
            </w:pPr>
            <w:r w:rsidRPr="00525C11">
              <w:t>0.09</w:t>
            </w:r>
          </w:p>
        </w:tc>
        <w:tc>
          <w:tcPr>
            <w:tcW w:w="1843" w:type="dxa"/>
          </w:tcPr>
          <w:p w:rsidR="00525C11" w:rsidRPr="00525C11" w:rsidRDefault="00525C11" w:rsidP="00064889">
            <w:pPr>
              <w:ind w:left="34" w:right="0"/>
            </w:pPr>
            <w:r w:rsidRPr="00525C11">
              <w:t>2.5</w:t>
            </w:r>
          </w:p>
        </w:tc>
      </w:tr>
      <w:tr w:rsidR="00525C11" w:rsidTr="00525C11">
        <w:tc>
          <w:tcPr>
            <w:tcW w:w="2526" w:type="dxa"/>
          </w:tcPr>
          <w:p w:rsidR="00525C11" w:rsidRPr="00525C11" w:rsidRDefault="00525C11" w:rsidP="00064889">
            <w:pPr>
              <w:ind w:left="0" w:right="42"/>
            </w:pPr>
            <w:r w:rsidRPr="00525C11">
              <w:t>ORRNCNN11119E04</w:t>
            </w:r>
          </w:p>
        </w:tc>
        <w:tc>
          <w:tcPr>
            <w:tcW w:w="2114" w:type="dxa"/>
          </w:tcPr>
          <w:p w:rsidR="00525C11" w:rsidRPr="00525C11" w:rsidRDefault="00525C11" w:rsidP="00064889">
            <w:pPr>
              <w:ind w:left="26" w:right="29"/>
            </w:pPr>
            <w:r w:rsidRPr="00525C11">
              <w:t>152</w:t>
            </w:r>
          </w:p>
        </w:tc>
        <w:tc>
          <w:tcPr>
            <w:tcW w:w="1847" w:type="dxa"/>
          </w:tcPr>
          <w:p w:rsidR="00525C11" w:rsidRPr="00525C11" w:rsidRDefault="00525C11" w:rsidP="00064889">
            <w:pPr>
              <w:ind w:left="38" w:right="34"/>
            </w:pPr>
            <w:r w:rsidRPr="00525C11">
              <w:t>0.12</w:t>
            </w:r>
          </w:p>
        </w:tc>
        <w:tc>
          <w:tcPr>
            <w:tcW w:w="1843" w:type="dxa"/>
          </w:tcPr>
          <w:p w:rsidR="00525C11" w:rsidRPr="00525C11" w:rsidRDefault="00525C11" w:rsidP="00064889">
            <w:pPr>
              <w:ind w:left="34" w:right="0"/>
            </w:pPr>
            <w:r w:rsidRPr="00525C11">
              <w:t>2.5</w:t>
            </w:r>
          </w:p>
        </w:tc>
      </w:tr>
      <w:tr w:rsidR="00525C11" w:rsidTr="00525C11">
        <w:tc>
          <w:tcPr>
            <w:tcW w:w="2526" w:type="dxa"/>
          </w:tcPr>
          <w:p w:rsidR="00525C11" w:rsidRPr="00525C11" w:rsidRDefault="00525C11" w:rsidP="00064889">
            <w:pPr>
              <w:ind w:left="0" w:right="42"/>
            </w:pPr>
            <w:r w:rsidRPr="00525C11">
              <w:t>ORRNCNN11038E02</w:t>
            </w:r>
          </w:p>
        </w:tc>
        <w:tc>
          <w:tcPr>
            <w:tcW w:w="2114" w:type="dxa"/>
          </w:tcPr>
          <w:p w:rsidR="00525C11" w:rsidRPr="00525C11" w:rsidRDefault="00525C11" w:rsidP="00064889">
            <w:pPr>
              <w:ind w:left="26" w:right="29"/>
            </w:pPr>
            <w:r w:rsidRPr="00525C11">
              <w:t>134</w:t>
            </w:r>
          </w:p>
        </w:tc>
        <w:tc>
          <w:tcPr>
            <w:tcW w:w="1847" w:type="dxa"/>
          </w:tcPr>
          <w:p w:rsidR="00525C11" w:rsidRPr="00525C11" w:rsidRDefault="00525C11" w:rsidP="00064889">
            <w:pPr>
              <w:ind w:left="38" w:right="34"/>
            </w:pPr>
            <w:r w:rsidRPr="00525C11">
              <w:t>0.07</w:t>
            </w:r>
          </w:p>
        </w:tc>
        <w:tc>
          <w:tcPr>
            <w:tcW w:w="1843" w:type="dxa"/>
          </w:tcPr>
          <w:p w:rsidR="00525C11" w:rsidRPr="00525C11" w:rsidRDefault="00525C11" w:rsidP="00064889">
            <w:pPr>
              <w:ind w:left="34" w:right="0"/>
            </w:pPr>
            <w:r w:rsidRPr="00525C11">
              <w:t>2.5</w:t>
            </w:r>
          </w:p>
        </w:tc>
      </w:tr>
      <w:tr w:rsidR="00525C11" w:rsidTr="00525C11">
        <w:tc>
          <w:tcPr>
            <w:tcW w:w="2526" w:type="dxa"/>
          </w:tcPr>
          <w:p w:rsidR="00525C11" w:rsidRPr="00525C11" w:rsidRDefault="00525C11" w:rsidP="00064889">
            <w:pPr>
              <w:ind w:left="0" w:right="42"/>
            </w:pPr>
            <w:r w:rsidRPr="00525C11">
              <w:t>ORRNCNN11038E14</w:t>
            </w:r>
          </w:p>
        </w:tc>
        <w:tc>
          <w:tcPr>
            <w:tcW w:w="2114" w:type="dxa"/>
          </w:tcPr>
          <w:p w:rsidR="00525C11" w:rsidRPr="00525C11" w:rsidRDefault="00525C11" w:rsidP="00064889">
            <w:pPr>
              <w:ind w:left="26" w:right="29"/>
            </w:pPr>
            <w:r w:rsidRPr="00525C11">
              <w:t>138</w:t>
            </w:r>
          </w:p>
        </w:tc>
        <w:tc>
          <w:tcPr>
            <w:tcW w:w="1847" w:type="dxa"/>
          </w:tcPr>
          <w:p w:rsidR="00525C11" w:rsidRPr="00525C11" w:rsidRDefault="00525C11" w:rsidP="00064889">
            <w:pPr>
              <w:ind w:left="38" w:right="34"/>
            </w:pPr>
            <w:r w:rsidRPr="00525C11">
              <w:t>0.12</w:t>
            </w:r>
          </w:p>
        </w:tc>
        <w:tc>
          <w:tcPr>
            <w:tcW w:w="1843" w:type="dxa"/>
          </w:tcPr>
          <w:p w:rsidR="00525C11" w:rsidRPr="00525C11" w:rsidRDefault="00525C11" w:rsidP="00064889">
            <w:pPr>
              <w:ind w:left="34" w:right="0"/>
            </w:pPr>
            <w:r w:rsidRPr="00525C11">
              <w:t>2.2</w:t>
            </w:r>
          </w:p>
        </w:tc>
      </w:tr>
      <w:tr w:rsidR="00525C11" w:rsidTr="00525C11">
        <w:tc>
          <w:tcPr>
            <w:tcW w:w="2526" w:type="dxa"/>
          </w:tcPr>
          <w:p w:rsidR="00525C11" w:rsidRPr="00525C11" w:rsidRDefault="00525C11" w:rsidP="00064889">
            <w:pPr>
              <w:ind w:left="0" w:right="42"/>
            </w:pPr>
            <w:r w:rsidRPr="00525C11">
              <w:t>ORRNCNN11038E27</w:t>
            </w:r>
          </w:p>
        </w:tc>
        <w:tc>
          <w:tcPr>
            <w:tcW w:w="2114" w:type="dxa"/>
          </w:tcPr>
          <w:p w:rsidR="00525C11" w:rsidRPr="00525C11" w:rsidRDefault="00525C11" w:rsidP="00064889">
            <w:pPr>
              <w:ind w:left="26" w:right="29"/>
            </w:pPr>
            <w:r w:rsidRPr="00525C11">
              <w:t>151</w:t>
            </w:r>
          </w:p>
        </w:tc>
        <w:tc>
          <w:tcPr>
            <w:tcW w:w="1847" w:type="dxa"/>
          </w:tcPr>
          <w:p w:rsidR="00525C11" w:rsidRPr="00525C11" w:rsidRDefault="00525C11" w:rsidP="00064889">
            <w:pPr>
              <w:ind w:left="38" w:right="34"/>
            </w:pPr>
            <w:r w:rsidRPr="00525C11">
              <w:t>0.16</w:t>
            </w:r>
          </w:p>
        </w:tc>
        <w:tc>
          <w:tcPr>
            <w:tcW w:w="1843" w:type="dxa"/>
          </w:tcPr>
          <w:p w:rsidR="00525C11" w:rsidRPr="00525C11" w:rsidRDefault="00525C11" w:rsidP="00064889">
            <w:pPr>
              <w:ind w:left="34" w:right="0"/>
            </w:pPr>
            <w:r w:rsidRPr="00525C11">
              <w:t>2.2</w:t>
            </w:r>
          </w:p>
        </w:tc>
      </w:tr>
      <w:tr w:rsidR="00525C11" w:rsidTr="00525C11">
        <w:tc>
          <w:tcPr>
            <w:tcW w:w="2526" w:type="dxa"/>
          </w:tcPr>
          <w:p w:rsidR="00525C11" w:rsidRPr="00525C11" w:rsidRDefault="00525C11" w:rsidP="00064889">
            <w:pPr>
              <w:ind w:left="0" w:right="42"/>
            </w:pPr>
            <w:r w:rsidRPr="00525C11">
              <w:t>ORRNCNN11038E28</w:t>
            </w:r>
          </w:p>
        </w:tc>
        <w:tc>
          <w:tcPr>
            <w:tcW w:w="2114" w:type="dxa"/>
          </w:tcPr>
          <w:p w:rsidR="00525C11" w:rsidRPr="00525C11" w:rsidRDefault="00525C11" w:rsidP="00064889">
            <w:pPr>
              <w:ind w:left="26" w:right="29"/>
            </w:pPr>
            <w:r w:rsidRPr="00525C11">
              <w:t>156</w:t>
            </w:r>
          </w:p>
        </w:tc>
        <w:tc>
          <w:tcPr>
            <w:tcW w:w="1847" w:type="dxa"/>
          </w:tcPr>
          <w:p w:rsidR="00525C11" w:rsidRPr="00525C11" w:rsidRDefault="00525C11" w:rsidP="00064889">
            <w:pPr>
              <w:ind w:left="38" w:right="34"/>
            </w:pPr>
            <w:r w:rsidRPr="00525C11">
              <w:t>0.17</w:t>
            </w:r>
          </w:p>
        </w:tc>
        <w:tc>
          <w:tcPr>
            <w:tcW w:w="1843" w:type="dxa"/>
          </w:tcPr>
          <w:p w:rsidR="00525C11" w:rsidRPr="00525C11" w:rsidRDefault="00525C11" w:rsidP="00064889">
            <w:pPr>
              <w:ind w:left="34" w:right="0"/>
            </w:pPr>
            <w:r w:rsidRPr="00525C11">
              <w:t>2.2</w:t>
            </w:r>
          </w:p>
        </w:tc>
      </w:tr>
      <w:tr w:rsidR="00525C11" w:rsidTr="00525C11">
        <w:tc>
          <w:tcPr>
            <w:tcW w:w="2526" w:type="dxa"/>
          </w:tcPr>
          <w:p w:rsidR="00525C11" w:rsidRPr="00525C11" w:rsidRDefault="00525C11" w:rsidP="00064889">
            <w:pPr>
              <w:ind w:left="0" w:right="42"/>
            </w:pPr>
            <w:r w:rsidRPr="00525C11">
              <w:t>Comparator FDP 500IU</w:t>
            </w:r>
          </w:p>
        </w:tc>
        <w:tc>
          <w:tcPr>
            <w:tcW w:w="2114" w:type="dxa"/>
          </w:tcPr>
          <w:p w:rsidR="00525C11" w:rsidRPr="00525C11" w:rsidRDefault="00525C11" w:rsidP="00064889">
            <w:pPr>
              <w:ind w:left="26" w:right="29"/>
            </w:pPr>
            <w:r w:rsidRPr="00525C11">
              <w:t>n.a.2</w:t>
            </w:r>
          </w:p>
        </w:tc>
        <w:tc>
          <w:tcPr>
            <w:tcW w:w="1847" w:type="dxa"/>
          </w:tcPr>
          <w:p w:rsidR="00525C11" w:rsidRPr="00525C11" w:rsidRDefault="00525C11" w:rsidP="00064889">
            <w:pPr>
              <w:ind w:left="38" w:right="34"/>
            </w:pPr>
            <w:r w:rsidRPr="00525C11">
              <w:t>0.02</w:t>
            </w:r>
          </w:p>
        </w:tc>
        <w:tc>
          <w:tcPr>
            <w:tcW w:w="1843" w:type="dxa"/>
          </w:tcPr>
          <w:p w:rsidR="00525C11" w:rsidRPr="00525C11" w:rsidRDefault="00525C11" w:rsidP="00064889">
            <w:pPr>
              <w:ind w:left="34" w:right="0"/>
            </w:pPr>
            <w:r w:rsidRPr="00525C11">
              <w:t>0.8</w:t>
            </w:r>
          </w:p>
        </w:tc>
      </w:tr>
      <w:tr w:rsidR="00525C11" w:rsidTr="00525C11">
        <w:tc>
          <w:tcPr>
            <w:tcW w:w="2526" w:type="dxa"/>
          </w:tcPr>
          <w:p w:rsidR="00525C11" w:rsidRPr="00525C11" w:rsidRDefault="00525C11" w:rsidP="00064889">
            <w:pPr>
              <w:ind w:left="0" w:right="42"/>
            </w:pPr>
            <w:r w:rsidRPr="00525C11">
              <w:t>Comparator FDP 1000IU</w:t>
            </w:r>
          </w:p>
        </w:tc>
        <w:tc>
          <w:tcPr>
            <w:tcW w:w="2114" w:type="dxa"/>
          </w:tcPr>
          <w:p w:rsidR="00525C11" w:rsidRPr="00525C11" w:rsidRDefault="00525C11" w:rsidP="00064889">
            <w:pPr>
              <w:ind w:left="26" w:right="29"/>
            </w:pPr>
            <w:proofErr w:type="spellStart"/>
            <w:r w:rsidRPr="00525C11">
              <w:t>n.a</w:t>
            </w:r>
            <w:proofErr w:type="spellEnd"/>
            <w:r w:rsidRPr="00525C11">
              <w:t>. 2</w:t>
            </w:r>
          </w:p>
        </w:tc>
        <w:tc>
          <w:tcPr>
            <w:tcW w:w="1847" w:type="dxa"/>
          </w:tcPr>
          <w:p w:rsidR="00525C11" w:rsidRPr="00525C11" w:rsidRDefault="00525C11" w:rsidP="00064889">
            <w:pPr>
              <w:ind w:left="38" w:right="34"/>
            </w:pPr>
            <w:r w:rsidRPr="00525C11">
              <w:t>0.03</w:t>
            </w:r>
          </w:p>
        </w:tc>
        <w:tc>
          <w:tcPr>
            <w:tcW w:w="1843" w:type="dxa"/>
          </w:tcPr>
          <w:p w:rsidR="00525C11" w:rsidRPr="00525C11" w:rsidRDefault="00525C11" w:rsidP="00064889">
            <w:pPr>
              <w:ind w:left="34" w:right="0"/>
            </w:pPr>
            <w:r w:rsidRPr="00525C11">
              <w:t>0.8</w:t>
            </w:r>
          </w:p>
        </w:tc>
      </w:tr>
      <w:tr w:rsidR="00525C11" w:rsidTr="00525C11">
        <w:tc>
          <w:tcPr>
            <w:tcW w:w="2526" w:type="dxa"/>
          </w:tcPr>
          <w:p w:rsidR="00525C11" w:rsidRPr="00525C11" w:rsidRDefault="00525C11" w:rsidP="00064889">
            <w:pPr>
              <w:ind w:left="0" w:right="42"/>
            </w:pPr>
            <w:r w:rsidRPr="00525C11">
              <w:t>Comparator FDP 2000IU</w:t>
            </w:r>
          </w:p>
        </w:tc>
        <w:tc>
          <w:tcPr>
            <w:tcW w:w="2114" w:type="dxa"/>
          </w:tcPr>
          <w:p w:rsidR="00525C11" w:rsidRPr="00525C11" w:rsidRDefault="00525C11" w:rsidP="00064889">
            <w:pPr>
              <w:ind w:left="26" w:right="29"/>
            </w:pPr>
            <w:proofErr w:type="spellStart"/>
            <w:r w:rsidRPr="00525C11">
              <w:t>n.a</w:t>
            </w:r>
            <w:proofErr w:type="spellEnd"/>
            <w:r w:rsidRPr="00525C11">
              <w:t>. 2</w:t>
            </w:r>
          </w:p>
        </w:tc>
        <w:tc>
          <w:tcPr>
            <w:tcW w:w="1847" w:type="dxa"/>
          </w:tcPr>
          <w:p w:rsidR="00525C11" w:rsidRPr="00525C11" w:rsidRDefault="00525C11" w:rsidP="00064889">
            <w:pPr>
              <w:ind w:left="38" w:right="34"/>
            </w:pPr>
            <w:r w:rsidRPr="00525C11">
              <w:t>0.01</w:t>
            </w:r>
          </w:p>
        </w:tc>
        <w:tc>
          <w:tcPr>
            <w:tcW w:w="1843" w:type="dxa"/>
          </w:tcPr>
          <w:p w:rsidR="00525C11" w:rsidRPr="00525C11" w:rsidRDefault="00525C11" w:rsidP="00064889">
            <w:pPr>
              <w:ind w:left="34" w:right="0"/>
            </w:pPr>
            <w:r w:rsidRPr="00525C11">
              <w:t>1.1</w:t>
            </w:r>
          </w:p>
        </w:tc>
      </w:tr>
      <w:tr w:rsidR="00525C11" w:rsidTr="00525C11">
        <w:tc>
          <w:tcPr>
            <w:tcW w:w="2526" w:type="dxa"/>
          </w:tcPr>
          <w:p w:rsidR="00525C11" w:rsidRPr="00525C11" w:rsidRDefault="00525C11" w:rsidP="00064889">
            <w:pPr>
              <w:ind w:left="0" w:right="42"/>
            </w:pPr>
            <w:r w:rsidRPr="00525C11">
              <w:t>Comparator FDP 500IU</w:t>
            </w:r>
          </w:p>
        </w:tc>
        <w:tc>
          <w:tcPr>
            <w:tcW w:w="2114" w:type="dxa"/>
          </w:tcPr>
          <w:p w:rsidR="00525C11" w:rsidRPr="00525C11" w:rsidRDefault="00525C11" w:rsidP="00064889">
            <w:pPr>
              <w:ind w:left="26" w:right="29"/>
            </w:pPr>
            <w:r w:rsidRPr="00525C11">
              <w:t>170.9 3</w:t>
            </w:r>
          </w:p>
        </w:tc>
        <w:tc>
          <w:tcPr>
            <w:tcW w:w="1847" w:type="dxa"/>
          </w:tcPr>
          <w:p w:rsidR="00525C11" w:rsidRPr="00525C11" w:rsidRDefault="00525C11" w:rsidP="00064889">
            <w:pPr>
              <w:ind w:left="38" w:right="34"/>
            </w:pPr>
            <w:r w:rsidRPr="00525C11">
              <w:t>0.07</w:t>
            </w:r>
          </w:p>
        </w:tc>
        <w:tc>
          <w:tcPr>
            <w:tcW w:w="1843" w:type="dxa"/>
          </w:tcPr>
          <w:p w:rsidR="00525C11" w:rsidRPr="00525C11" w:rsidRDefault="00525C11" w:rsidP="00064889">
            <w:pPr>
              <w:ind w:left="34" w:right="0"/>
            </w:pPr>
            <w:r w:rsidRPr="00525C11">
              <w:t>1.6</w:t>
            </w:r>
          </w:p>
        </w:tc>
      </w:tr>
      <w:tr w:rsidR="00525C11" w:rsidTr="00525C11">
        <w:tc>
          <w:tcPr>
            <w:tcW w:w="2526" w:type="dxa"/>
          </w:tcPr>
          <w:p w:rsidR="00525C11" w:rsidRPr="00525C11" w:rsidRDefault="00525C11" w:rsidP="00064889">
            <w:pPr>
              <w:ind w:left="0" w:right="42"/>
            </w:pPr>
            <w:r w:rsidRPr="00525C11">
              <w:t xml:space="preserve">Plasma </w:t>
            </w:r>
            <w:proofErr w:type="spellStart"/>
            <w:r w:rsidRPr="00525C11">
              <w:t>drived</w:t>
            </w:r>
            <w:proofErr w:type="spellEnd"/>
            <w:r w:rsidRPr="00525C11">
              <w:t xml:space="preserve"> FIX H19708E</w:t>
            </w:r>
          </w:p>
        </w:tc>
        <w:tc>
          <w:tcPr>
            <w:tcW w:w="2114" w:type="dxa"/>
          </w:tcPr>
          <w:p w:rsidR="00525C11" w:rsidRPr="00525C11" w:rsidRDefault="00525C11" w:rsidP="00064889">
            <w:pPr>
              <w:ind w:left="26" w:right="29"/>
            </w:pPr>
            <w:r w:rsidRPr="00525C11">
              <w:t>152.53</w:t>
            </w:r>
          </w:p>
        </w:tc>
        <w:tc>
          <w:tcPr>
            <w:tcW w:w="1847" w:type="dxa"/>
          </w:tcPr>
          <w:p w:rsidR="00525C11" w:rsidRPr="00525C11" w:rsidRDefault="00525C11" w:rsidP="00064889">
            <w:pPr>
              <w:ind w:left="38" w:right="34"/>
            </w:pPr>
            <w:r w:rsidRPr="00525C11">
              <w:t>0.0</w:t>
            </w:r>
          </w:p>
        </w:tc>
        <w:tc>
          <w:tcPr>
            <w:tcW w:w="1843" w:type="dxa"/>
          </w:tcPr>
          <w:p w:rsidR="00525C11" w:rsidRPr="00525C11" w:rsidRDefault="00525C11" w:rsidP="00064889">
            <w:pPr>
              <w:ind w:left="34" w:right="0"/>
            </w:pPr>
            <w:r w:rsidRPr="00525C11">
              <w:t>1.4</w:t>
            </w:r>
          </w:p>
        </w:tc>
      </w:tr>
    </w:tbl>
    <w:p w:rsidR="00525C11" w:rsidRPr="00610315" w:rsidRDefault="00525C11" w:rsidP="00064889">
      <w:pPr>
        <w:pStyle w:val="TableDescription"/>
      </w:pPr>
      <w:r w:rsidRPr="00610315">
        <w:t>1</w:t>
      </w:r>
      <w:r w:rsidR="00610315" w:rsidRPr="00610315">
        <w:t>:</w:t>
      </w:r>
      <w:r w:rsidRPr="00610315">
        <w:t xml:space="preserve"> Values are release values and the complete data set for all BDS samples can be found in the batch analysis data.</w:t>
      </w:r>
    </w:p>
    <w:p w:rsidR="00525C11" w:rsidRPr="00610315" w:rsidRDefault="00525C11" w:rsidP="00064889">
      <w:pPr>
        <w:pStyle w:val="TableDescription"/>
      </w:pPr>
      <w:r w:rsidRPr="00610315">
        <w:t>2</w:t>
      </w:r>
      <w:r w:rsidR="00610315" w:rsidRPr="00610315">
        <w:t>:</w:t>
      </w:r>
      <w:r w:rsidRPr="00610315">
        <w:t xml:space="preserve"> Quantitative determination of Neu5Ac in the licensed, marketed, </w:t>
      </w:r>
      <w:proofErr w:type="spellStart"/>
      <w:r w:rsidRPr="00610315">
        <w:t>rFIX</w:t>
      </w:r>
      <w:proofErr w:type="spellEnd"/>
      <w:r w:rsidRPr="00610315">
        <w:t xml:space="preserve"> product samples is not</w:t>
      </w:r>
      <w:r w:rsidR="00610315" w:rsidRPr="00610315">
        <w:t xml:space="preserve"> </w:t>
      </w:r>
      <w:r w:rsidRPr="00610315">
        <w:t xml:space="preserve">possible due to matrix components interfering with recovery of </w:t>
      </w:r>
      <w:proofErr w:type="spellStart"/>
      <w:r w:rsidRPr="00610315">
        <w:t>sialic</w:t>
      </w:r>
      <w:proofErr w:type="spellEnd"/>
      <w:r w:rsidRPr="00610315">
        <w:t xml:space="preserve"> acids. Calculation of relative peak areas is</w:t>
      </w:r>
      <w:r w:rsidR="00610315" w:rsidRPr="00610315">
        <w:t xml:space="preserve"> </w:t>
      </w:r>
      <w:r w:rsidRPr="00610315">
        <w:lastRenderedPageBreak/>
        <w:t xml:space="preserve">valid under the assumption that the influence of the matrix components is the same for all </w:t>
      </w:r>
      <w:proofErr w:type="spellStart"/>
      <w:r w:rsidRPr="00610315">
        <w:t>sialic</w:t>
      </w:r>
      <w:proofErr w:type="spellEnd"/>
      <w:r w:rsidRPr="00610315">
        <w:t xml:space="preserve"> acid variants.</w:t>
      </w:r>
    </w:p>
    <w:p w:rsidR="00F6600C" w:rsidRPr="00610315" w:rsidRDefault="00525C11" w:rsidP="00064889">
      <w:pPr>
        <w:pStyle w:val="TableDescription"/>
      </w:pPr>
      <w:r w:rsidRPr="00610315">
        <w:t>3</w:t>
      </w:r>
      <w:r w:rsidR="00610315" w:rsidRPr="00610315">
        <w:t>:</w:t>
      </w:r>
      <w:r w:rsidRPr="00610315">
        <w:t xml:space="preserve"> For these samples a buffer exchange was done before analysis.</w:t>
      </w:r>
    </w:p>
    <w:p w:rsidR="00610315" w:rsidRDefault="00610315" w:rsidP="00064889">
      <w:bookmarkStart w:id="27" w:name="_Toc196046439"/>
      <w:bookmarkStart w:id="28" w:name="_Toc247691510"/>
      <w:bookmarkStart w:id="29" w:name="_Toc314842494"/>
      <w:r>
        <w:t xml:space="preserve">The </w:t>
      </w:r>
      <w:proofErr w:type="spellStart"/>
      <w:r>
        <w:t>sialic</w:t>
      </w:r>
      <w:proofErr w:type="spellEnd"/>
      <w:r>
        <w:t xml:space="preserve"> acid species identified and quantified from the characterisation of representative process validation batches (three different cell culture production runs as well as the beginning middle and end of one campaign) demonstrate that the </w:t>
      </w:r>
      <w:proofErr w:type="spellStart"/>
      <w:r>
        <w:t>sialic</w:t>
      </w:r>
      <w:proofErr w:type="spellEnd"/>
      <w:r>
        <w:t xml:space="preserve"> acid species concentrations are consistent inter and intra campaign and those other than the Neu5Ac species are low. Consequently the NGNA amount in </w:t>
      </w:r>
      <w:r w:rsidR="0051223A">
        <w:t>Rixubis</w:t>
      </w:r>
      <w:r>
        <w:t xml:space="preserve"> is considered not to impact safety and efficacy of the </w:t>
      </w:r>
      <w:r w:rsidR="0051223A">
        <w:t>Rixubis</w:t>
      </w:r>
      <w:r>
        <w:t xml:space="preserve"> product.</w:t>
      </w:r>
    </w:p>
    <w:p w:rsidR="00610315" w:rsidRDefault="00610315" w:rsidP="00064889">
      <w:r>
        <w:t xml:space="preserve">The presence of the O-acetylated variant Neu5.9Ac2 is not considered as critical as it is also found in a licensed, marketed, </w:t>
      </w:r>
      <w:proofErr w:type="spellStart"/>
      <w:r>
        <w:t>rFIX</w:t>
      </w:r>
      <w:proofErr w:type="spellEnd"/>
      <w:r>
        <w:t xml:space="preserve"> product and plasma derived FIX. Furthermore, it was confirmed to be an acetylated variant and no O-</w:t>
      </w:r>
      <w:proofErr w:type="spellStart"/>
      <w:r>
        <w:t>glycosyl</w:t>
      </w:r>
      <w:proofErr w:type="spellEnd"/>
      <w:r>
        <w:t xml:space="preserve"> variants were found. O-Acetylated </w:t>
      </w:r>
      <w:proofErr w:type="spellStart"/>
      <w:r>
        <w:t>sialic</w:t>
      </w:r>
      <w:proofErr w:type="spellEnd"/>
      <w:r>
        <w:t xml:space="preserve"> acids are also found in human proteins and are thus considered as not critical</w:t>
      </w:r>
      <w:r>
        <w:rPr>
          <w:rStyle w:val="FootnoteReference"/>
        </w:rPr>
        <w:footnoteReference w:id="3"/>
      </w:r>
      <w:r>
        <w:t>.</w:t>
      </w:r>
    </w:p>
    <w:p w:rsidR="005B07BF" w:rsidRDefault="005B07BF" w:rsidP="00610315">
      <w:r>
        <w:t>Despite the incorrect reference list the evaluator accepted the explanation put by the sponsor.</w:t>
      </w:r>
    </w:p>
    <w:p w:rsidR="00610315" w:rsidRPr="00610315" w:rsidRDefault="00610315" w:rsidP="00064889">
      <w:pPr>
        <w:pStyle w:val="Heading4"/>
      </w:pPr>
      <w:r w:rsidRPr="00610315">
        <w:t xml:space="preserve">Response to </w:t>
      </w:r>
      <w:r w:rsidR="00064889">
        <w:t>q</w:t>
      </w:r>
      <w:r w:rsidRPr="00610315">
        <w:t>uestion 3</w:t>
      </w:r>
    </w:p>
    <w:p w:rsidR="00610315" w:rsidRDefault="00610315" w:rsidP="00064889">
      <w:r w:rsidRPr="00610315">
        <w:t xml:space="preserve">The PI, </w:t>
      </w:r>
      <w:r>
        <w:t>Consumer Medicine Information (CMI) document</w:t>
      </w:r>
      <w:r w:rsidRPr="00610315">
        <w:t xml:space="preserve"> and artworks with the </w:t>
      </w:r>
      <w:r w:rsidR="0051223A">
        <w:t>Rixubis</w:t>
      </w:r>
      <w:r>
        <w:t xml:space="preserve"> </w:t>
      </w:r>
      <w:r w:rsidRPr="00610315">
        <w:t xml:space="preserve">trade name </w:t>
      </w:r>
      <w:r w:rsidR="00064889">
        <w:t>have been prepared.</w:t>
      </w:r>
    </w:p>
    <w:p w:rsidR="00B151C3" w:rsidRDefault="00B151C3" w:rsidP="00064889">
      <w:r>
        <w:t xml:space="preserve">The evaluator considered that the documents </w:t>
      </w:r>
      <w:r w:rsidRPr="00B151C3">
        <w:t>appear to be satisfactory</w:t>
      </w:r>
      <w:r w:rsidR="0031032E">
        <w:t>.</w:t>
      </w:r>
    </w:p>
    <w:p w:rsidR="008E7846" w:rsidRDefault="008E7846" w:rsidP="00064889">
      <w:pPr>
        <w:pStyle w:val="Heading2"/>
      </w:pPr>
      <w:bookmarkStart w:id="30" w:name="_Toc387924275"/>
      <w:r>
        <w:t>III. Nonclinical</w:t>
      </w:r>
      <w:bookmarkEnd w:id="27"/>
      <w:r>
        <w:t xml:space="preserve"> </w:t>
      </w:r>
      <w:r w:rsidRPr="00064889">
        <w:t>findings</w:t>
      </w:r>
      <w:bookmarkEnd w:id="28"/>
      <w:bookmarkEnd w:id="29"/>
      <w:bookmarkEnd w:id="30"/>
    </w:p>
    <w:p w:rsidR="008E7846" w:rsidRPr="006A5FD4" w:rsidRDefault="008E7846" w:rsidP="006A5FD4">
      <w:pPr>
        <w:pStyle w:val="Heading3"/>
      </w:pPr>
      <w:bookmarkStart w:id="31" w:name="_Toc247691511"/>
      <w:bookmarkStart w:id="32" w:name="_Toc314842495"/>
      <w:bookmarkStart w:id="33" w:name="_Toc387924276"/>
      <w:r>
        <w:t>Introduction</w:t>
      </w:r>
      <w:bookmarkEnd w:id="31"/>
      <w:bookmarkEnd w:id="32"/>
      <w:bookmarkEnd w:id="33"/>
    </w:p>
    <w:p w:rsidR="00C6334D" w:rsidRPr="00C6334D" w:rsidRDefault="00C6334D" w:rsidP="006A5FD4">
      <w:r w:rsidRPr="00C6334D">
        <w:t xml:space="preserve">Baxter Healthcare Pty Ltd has applied to register </w:t>
      </w:r>
      <w:proofErr w:type="spellStart"/>
      <w:r w:rsidR="0051223A">
        <w:t>Rixubis</w:t>
      </w:r>
      <w:proofErr w:type="spellEnd"/>
      <w:r w:rsidRPr="00C6334D">
        <w:t xml:space="preserve"> containing </w:t>
      </w:r>
      <w:proofErr w:type="spellStart"/>
      <w:r w:rsidRPr="00C6334D">
        <w:t>nonacog</w:t>
      </w:r>
      <w:proofErr w:type="spellEnd"/>
      <w:r w:rsidRPr="00C6334D">
        <w:t xml:space="preserve"> </w:t>
      </w:r>
      <w:r>
        <w:t>gamma</w:t>
      </w:r>
      <w:r w:rsidRPr="00C6334D">
        <w:t>, a recombinant human Factor IX (</w:t>
      </w:r>
      <w:proofErr w:type="spellStart"/>
      <w:r w:rsidRPr="00C6334D">
        <w:t>rhFIX</w:t>
      </w:r>
      <w:proofErr w:type="spellEnd"/>
      <w:r w:rsidRPr="00C6334D">
        <w:t>). Orphan drug designation was granted on 3 October 2012.</w:t>
      </w:r>
    </w:p>
    <w:p w:rsidR="00C6334D" w:rsidRPr="006A5FD4" w:rsidRDefault="00C6334D" w:rsidP="006A5FD4">
      <w:pPr>
        <w:pStyle w:val="Heading4"/>
      </w:pPr>
      <w:bookmarkStart w:id="34" w:name="_Toc124921697"/>
      <w:bookmarkStart w:id="35" w:name="_Toc294861484"/>
      <w:bookmarkStart w:id="36" w:name="_Toc294861739"/>
      <w:bookmarkStart w:id="37" w:name="_Toc295290874"/>
      <w:bookmarkStart w:id="38" w:name="_Toc365383445"/>
      <w:r w:rsidRPr="006F34B1">
        <w:t xml:space="preserve">Proposed </w:t>
      </w:r>
      <w:bookmarkEnd w:id="34"/>
      <w:r w:rsidRPr="006F34B1">
        <w:t>clinical use</w:t>
      </w:r>
      <w:bookmarkEnd w:id="35"/>
      <w:bookmarkEnd w:id="36"/>
      <w:bookmarkEnd w:id="37"/>
      <w:bookmarkEnd w:id="38"/>
    </w:p>
    <w:p w:rsidR="00C6334D" w:rsidRPr="00C6334D" w:rsidRDefault="00C6334D" w:rsidP="006A5FD4">
      <w:r w:rsidRPr="00C6334D">
        <w:t xml:space="preserve">The proposed indications for </w:t>
      </w:r>
      <w:r w:rsidR="0051223A">
        <w:t>Rixubis</w:t>
      </w:r>
      <w:r w:rsidRPr="00C6334D">
        <w:t>:</w:t>
      </w:r>
    </w:p>
    <w:p w:rsidR="00C6334D" w:rsidRPr="006A5FD4" w:rsidRDefault="00C6334D" w:rsidP="006A5FD4">
      <w:pPr>
        <w:ind w:left="720"/>
        <w:rPr>
          <w:i/>
        </w:rPr>
      </w:pPr>
      <w:r w:rsidRPr="006A5FD4">
        <w:rPr>
          <w:i/>
        </w:rPr>
        <w:t>Routine prophylaxis of bleeding episodes in patients 12 years and older with haemophilia B;</w:t>
      </w:r>
    </w:p>
    <w:p w:rsidR="00C6334D" w:rsidRPr="006A5FD4" w:rsidRDefault="00C6334D" w:rsidP="006A5FD4">
      <w:pPr>
        <w:ind w:left="720"/>
        <w:rPr>
          <w:i/>
        </w:rPr>
      </w:pPr>
      <w:r w:rsidRPr="006A5FD4">
        <w:rPr>
          <w:i/>
        </w:rPr>
        <w:t>Treatment and prevention of bleeding episodes in patients 12 years and older with haemophilia B (congenital factor IX deficiency);</w:t>
      </w:r>
    </w:p>
    <w:p w:rsidR="00C6334D" w:rsidRPr="006A5FD4" w:rsidRDefault="00C6334D" w:rsidP="006A5FD4">
      <w:pPr>
        <w:ind w:left="720"/>
        <w:rPr>
          <w:i/>
        </w:rPr>
      </w:pPr>
      <w:proofErr w:type="gramStart"/>
      <w:r w:rsidRPr="006A5FD4">
        <w:rPr>
          <w:i/>
        </w:rPr>
        <w:t>Peri-operative management in patients 12 years and older with haemophilia B.</w:t>
      </w:r>
      <w:proofErr w:type="gramEnd"/>
    </w:p>
    <w:p w:rsidR="00C6334D" w:rsidRDefault="00C6334D" w:rsidP="006A5FD4">
      <w:r w:rsidRPr="00C6334D">
        <w:t xml:space="preserve">The dosage and duration of the substitution therapy depend on the severity of the </w:t>
      </w:r>
      <w:r>
        <w:t xml:space="preserve">FIX </w:t>
      </w:r>
      <w:r w:rsidRPr="00C6334D">
        <w:t xml:space="preserve">deficiency, the location and extent of bleeding, and the patient's clinical condition, age and pharmacokinetic </w:t>
      </w:r>
      <w:r>
        <w:t xml:space="preserve">(PK) </w:t>
      </w:r>
      <w:r w:rsidRPr="00C6334D">
        <w:t xml:space="preserve">parameters of </w:t>
      </w:r>
      <w:r>
        <w:t>F</w:t>
      </w:r>
      <w:r w:rsidRPr="00C6334D">
        <w:t xml:space="preserve">IX, such as incremental recovery </w:t>
      </w:r>
      <w:r w:rsidR="005B2F41">
        <w:t xml:space="preserve">(IR) </w:t>
      </w:r>
      <w:r w:rsidRPr="00C6334D">
        <w:t>a</w:t>
      </w:r>
      <w:r w:rsidR="006A5FD4">
        <w:t>nd half-life.</w:t>
      </w:r>
    </w:p>
    <w:p w:rsidR="003B3187" w:rsidRDefault="00C6334D" w:rsidP="00304513">
      <w:pPr>
        <w:keepNext/>
      </w:pPr>
      <w:r w:rsidRPr="00BC0DCC">
        <w:t>A guide for calculating the dose for the treatment of bleeding episodes is provided below:</w:t>
      </w:r>
    </w:p>
    <w:p w:rsidR="00304513" w:rsidRPr="00BC0DCC" w:rsidRDefault="00304513" w:rsidP="00304513">
      <w:r>
        <w:t>Number of FIX IU required = Body weight (kg) x Desired FIX x Reciprocal of observed recovery (</w:t>
      </w:r>
      <w:proofErr w:type="spellStart"/>
      <w:r>
        <w:t>dL</w:t>
      </w:r>
      <w:proofErr w:type="spellEnd"/>
      <w:r>
        <w:t>/kg)</w:t>
      </w:r>
    </w:p>
    <w:p w:rsidR="00C6334D" w:rsidRDefault="00BC0DCC" w:rsidP="00304513">
      <w:r w:rsidRPr="004706A9">
        <w:lastRenderedPageBreak/>
        <w:t xml:space="preserve">In the case of the following haemorrhagic events, the </w:t>
      </w:r>
      <w:r>
        <w:t>F</w:t>
      </w:r>
      <w:r w:rsidRPr="004706A9">
        <w:t xml:space="preserve">IX activity should not fall below the </w:t>
      </w:r>
      <w:r w:rsidR="00C6334D" w:rsidRPr="004706A9">
        <w:t>given plasma activity level (in % of normal in IU/dL) in the corresponding period. The following table can be used to guide dosing in bleeding episodes and surgery:</w:t>
      </w:r>
    </w:p>
    <w:p w:rsidR="004706A9" w:rsidRPr="00304513" w:rsidRDefault="004706A9" w:rsidP="00304513">
      <w:pPr>
        <w:pStyle w:val="TableTitle"/>
      </w:pPr>
      <w:r>
        <w:t xml:space="preserve">Table </w:t>
      </w:r>
      <w:r w:rsidR="003E2FA2">
        <w:t>3</w:t>
      </w:r>
      <w:r>
        <w:t>: Guide to dosing in bleeding episodes and surgery</w:t>
      </w:r>
    </w:p>
    <w:p w:rsidR="00C6334D" w:rsidRDefault="00C6334D" w:rsidP="00304513">
      <w:r>
        <w:rPr>
          <w:noProof/>
          <w:lang w:eastAsia="en-AU"/>
        </w:rPr>
        <w:drawing>
          <wp:inline distT="0" distB="0" distL="0" distR="0" wp14:anchorId="4A829DAF" wp14:editId="0FE83298">
            <wp:extent cx="5105400" cy="2867025"/>
            <wp:effectExtent l="0" t="0" r="0" b="0"/>
            <wp:docPr id="9" name="Picture 9" descr="Table 3: Guide to dosing in bleeding episodes and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112107" cy="2870791"/>
                    </a:xfrm>
                    <a:prstGeom prst="rect">
                      <a:avLst/>
                    </a:prstGeom>
                    <a:noFill/>
                    <a:ln w="9525">
                      <a:noFill/>
                      <a:miter lim="800000"/>
                      <a:headEnd/>
                      <a:tailEnd/>
                    </a:ln>
                  </pic:spPr>
                </pic:pic>
              </a:graphicData>
            </a:graphic>
          </wp:inline>
        </w:drawing>
      </w:r>
    </w:p>
    <w:p w:rsidR="00C6334D" w:rsidRPr="004706A9" w:rsidRDefault="00C6334D" w:rsidP="00304513">
      <w:r w:rsidRPr="004706A9">
        <w:t xml:space="preserve">The </w:t>
      </w:r>
      <w:r w:rsidR="004706A9">
        <w:t xml:space="preserve">PI </w:t>
      </w:r>
      <w:r w:rsidRPr="004706A9">
        <w:t xml:space="preserve">document states that </w:t>
      </w:r>
      <w:r w:rsidR="0051223A">
        <w:t>Rixubis</w:t>
      </w:r>
      <w:r w:rsidRPr="004706A9">
        <w:t xml:space="preserve"> can be administered for long-term prophylaxis against bleeding in patients with severe and moderately severe haemophilia B. The recommended dose for previously treated patients (PTPs) is 40 to 60 IU/kg twice weekly. A maximum of 75 IU/kg for prophylactic treatment was used in the clinical trials (Clinical Overview). The maximum human dose of </w:t>
      </w:r>
      <w:r w:rsidR="0051223A">
        <w:t>Rixubis</w:t>
      </w:r>
      <w:r w:rsidRPr="004706A9">
        <w:t xml:space="preserve"> for bleeding episodes or surgical prophylaxis is anticipated to be 150 IU/kg (stated in </w:t>
      </w:r>
      <w:r w:rsidR="00D5460C">
        <w:t>c</w:t>
      </w:r>
      <w:r w:rsidRPr="004706A9">
        <w:t>linical Study 250901).</w:t>
      </w:r>
    </w:p>
    <w:p w:rsidR="00C6334D" w:rsidRPr="00304513" w:rsidRDefault="00C6334D" w:rsidP="00304513">
      <w:pPr>
        <w:pStyle w:val="Heading4"/>
      </w:pPr>
      <w:bookmarkStart w:id="39" w:name="_Toc124921698"/>
      <w:bookmarkStart w:id="40" w:name="_Toc294861485"/>
      <w:bookmarkStart w:id="41" w:name="_Toc294861740"/>
      <w:bookmarkStart w:id="42" w:name="_Toc295290876"/>
      <w:bookmarkStart w:id="43" w:name="_Toc365383446"/>
      <w:r w:rsidRPr="0099635B">
        <w:t>Chemistry and formulation</w:t>
      </w:r>
      <w:bookmarkEnd w:id="39"/>
      <w:bookmarkEnd w:id="40"/>
      <w:bookmarkEnd w:id="41"/>
      <w:bookmarkEnd w:id="42"/>
      <w:bookmarkEnd w:id="43"/>
    </w:p>
    <w:p w:rsidR="00C6334D" w:rsidRPr="004706A9" w:rsidRDefault="0051223A" w:rsidP="00304513">
      <w:proofErr w:type="spellStart"/>
      <w:r>
        <w:t>Rixubis</w:t>
      </w:r>
      <w:proofErr w:type="spellEnd"/>
      <w:r w:rsidR="004706A9">
        <w:t xml:space="preserve">, </w:t>
      </w:r>
      <w:proofErr w:type="spellStart"/>
      <w:r w:rsidR="00C6334D" w:rsidRPr="004706A9">
        <w:t>nonacog</w:t>
      </w:r>
      <w:proofErr w:type="spellEnd"/>
      <w:r w:rsidR="00C6334D" w:rsidRPr="004706A9">
        <w:t xml:space="preserve"> </w:t>
      </w:r>
      <w:r w:rsidR="004706A9">
        <w:t>gamma</w:t>
      </w:r>
      <w:r w:rsidR="00C6334D" w:rsidRPr="004706A9">
        <w:t xml:space="preserve">, is a glycoprotein consisting of 415 amino acids in a single polypeptide chain, with an approximate molecular mass of 55,000 Da. The primary amino acid sequence of </w:t>
      </w:r>
      <w:r>
        <w:t>Rixubis</w:t>
      </w:r>
      <w:r w:rsidR="00C6334D" w:rsidRPr="004706A9">
        <w:t xml:space="preserve"> is identical to the Ala-148 allelic form of plasma-derived </w:t>
      </w:r>
      <w:r w:rsidR="006978CD">
        <w:t>F</w:t>
      </w:r>
      <w:r w:rsidR="00C6334D" w:rsidRPr="004706A9">
        <w:t>IX, and is intended to have structural and functional characteristics similar to those of end</w:t>
      </w:r>
      <w:r w:rsidR="006978CD">
        <w:t>ogenous F</w:t>
      </w:r>
      <w:r w:rsidR="00304513">
        <w:t>IX.</w:t>
      </w:r>
    </w:p>
    <w:p w:rsidR="00C6334D" w:rsidRPr="004706A9" w:rsidRDefault="0051223A" w:rsidP="00304513">
      <w:r>
        <w:t>Rixubis</w:t>
      </w:r>
      <w:r w:rsidR="00C6334D" w:rsidRPr="004706A9">
        <w:t xml:space="preserve"> is expressed in, synthesised and secreted by genetically engineered mammalian cells derived from CHO cell line. Some post-translational modifications of </w:t>
      </w:r>
      <w:r>
        <w:t>Rixubis</w:t>
      </w:r>
      <w:r w:rsidR="00C6334D" w:rsidRPr="004706A9">
        <w:t xml:space="preserve"> are different from those of the plasma-derived F</w:t>
      </w:r>
      <w:r w:rsidR="004706A9">
        <w:t>I</w:t>
      </w:r>
      <w:r w:rsidR="00C6334D" w:rsidRPr="004706A9">
        <w:t>X molecule, but the physicochemical properties are intended to be comparable to that of a currently re</w:t>
      </w:r>
      <w:r w:rsidR="00304513">
        <w:t xml:space="preserve">gistered </w:t>
      </w:r>
      <w:proofErr w:type="spellStart"/>
      <w:r w:rsidR="00304513">
        <w:t>rFIX</w:t>
      </w:r>
      <w:proofErr w:type="spellEnd"/>
      <w:r w:rsidR="00304513">
        <w:t xml:space="preserve"> product, </w:t>
      </w:r>
      <w:proofErr w:type="spellStart"/>
      <w:r w:rsidR="00304513">
        <w:t>BeneFIX</w:t>
      </w:r>
      <w:proofErr w:type="spellEnd"/>
      <w:r w:rsidR="00304513">
        <w:t>.</w:t>
      </w:r>
    </w:p>
    <w:p w:rsidR="00C6334D" w:rsidRPr="004706A9" w:rsidRDefault="00C6334D" w:rsidP="00304513">
      <w:r w:rsidRPr="004706A9">
        <w:t xml:space="preserve">The manufacture of </w:t>
      </w:r>
      <w:r w:rsidR="0051223A">
        <w:t>Rixubis</w:t>
      </w:r>
      <w:r w:rsidRPr="004706A9">
        <w:t xml:space="preserve"> is differentiated from the manufacture of the </w:t>
      </w:r>
      <w:proofErr w:type="spellStart"/>
      <w:r w:rsidRPr="004706A9">
        <w:t>rFIX</w:t>
      </w:r>
      <w:proofErr w:type="spellEnd"/>
      <w:r w:rsidRPr="004706A9">
        <w:t xml:space="preserve"> in </w:t>
      </w:r>
      <w:proofErr w:type="spellStart"/>
      <w:r w:rsidRPr="004706A9">
        <w:t>BeneFIX</w:t>
      </w:r>
      <w:proofErr w:type="spellEnd"/>
      <w:r w:rsidRPr="004706A9">
        <w:t xml:space="preserve"> by the inclusion of two independent viral inactivation/reduction steps, </w:t>
      </w:r>
      <w:r w:rsidR="004706A9">
        <w:t xml:space="preserve">that is, </w:t>
      </w:r>
      <w:r w:rsidRPr="004706A9">
        <w:t xml:space="preserve">solvent/detergent (S/D) treatment and </w:t>
      </w:r>
      <w:proofErr w:type="spellStart"/>
      <w:r w:rsidRPr="004706A9">
        <w:t>nanofiltration</w:t>
      </w:r>
      <w:proofErr w:type="spellEnd"/>
      <w:r w:rsidRPr="004706A9">
        <w:t>.</w:t>
      </w:r>
    </w:p>
    <w:p w:rsidR="00C6334D" w:rsidRPr="004706A9" w:rsidRDefault="0051223A" w:rsidP="00304513">
      <w:r>
        <w:t>Rixubis</w:t>
      </w:r>
      <w:r w:rsidR="00C6334D" w:rsidRPr="004706A9">
        <w:t xml:space="preserve"> is formulated as a sterile, </w:t>
      </w:r>
      <w:proofErr w:type="spellStart"/>
      <w:r w:rsidR="00C6334D" w:rsidRPr="004706A9">
        <w:t>nonpyrogenic</w:t>
      </w:r>
      <w:proofErr w:type="spellEnd"/>
      <w:r w:rsidR="00C6334D" w:rsidRPr="004706A9">
        <w:t>, lyophili</w:t>
      </w:r>
      <w:r w:rsidR="004706A9">
        <w:t>s</w:t>
      </w:r>
      <w:r w:rsidR="00C6334D" w:rsidRPr="004706A9">
        <w:t xml:space="preserve">ed powder preparation. </w:t>
      </w:r>
      <w:r>
        <w:t>Rixubis</w:t>
      </w:r>
      <w:r w:rsidR="00C6334D" w:rsidRPr="004706A9">
        <w:t xml:space="preserve"> is intended for intravenous </w:t>
      </w:r>
      <w:r w:rsidR="004706A9">
        <w:t xml:space="preserve">(IV) </w:t>
      </w:r>
      <w:r w:rsidR="00C6334D" w:rsidRPr="004706A9">
        <w:t xml:space="preserve">injection, and is available in single-use vials containing the labelled amount of FIX activity, expressed in International Units (IU). Each vial contains nominally 250, 500, 1000, 2000, or 3000 IU of coagulation </w:t>
      </w:r>
      <w:r w:rsidR="00830A83">
        <w:t>F</w:t>
      </w:r>
      <w:r w:rsidR="00C6334D" w:rsidRPr="004706A9">
        <w:t xml:space="preserve">IX (recombinant). The data submitted are intended to support all five potencies of </w:t>
      </w:r>
      <w:r>
        <w:t>Rixubis</w:t>
      </w:r>
      <w:r w:rsidR="00C6334D" w:rsidRPr="004706A9">
        <w:t>. There are no novel excipients.</w:t>
      </w:r>
    </w:p>
    <w:p w:rsidR="00C6334D" w:rsidRPr="005B07BF" w:rsidRDefault="00C6334D" w:rsidP="00304513">
      <w:r w:rsidRPr="005B07BF">
        <w:t xml:space="preserve">Each kit contains 5mL of Sterile Water for Injection in a Type I glass vial and </w:t>
      </w:r>
      <w:proofErr w:type="spellStart"/>
      <w:r w:rsidRPr="005B07BF">
        <w:t>B</w:t>
      </w:r>
      <w:r w:rsidR="00D5460C" w:rsidRPr="005B07BF">
        <w:t>axject</w:t>
      </w:r>
      <w:proofErr w:type="spellEnd"/>
      <w:r w:rsidR="00D5460C" w:rsidRPr="005B07BF">
        <w:t xml:space="preserve"> </w:t>
      </w:r>
      <w:r w:rsidRPr="005B07BF">
        <w:t>II Transfer device.</w:t>
      </w:r>
    </w:p>
    <w:p w:rsidR="00830A83" w:rsidRDefault="00830A83" w:rsidP="00304513">
      <w:pPr>
        <w:pStyle w:val="Heading4"/>
      </w:pPr>
      <w:bookmarkStart w:id="44" w:name="_Toc365383448"/>
      <w:r>
        <w:lastRenderedPageBreak/>
        <w:t xml:space="preserve">Relationship to other </w:t>
      </w:r>
      <w:r w:rsidRPr="00304513">
        <w:t>drugs</w:t>
      </w:r>
      <w:bookmarkEnd w:id="44"/>
    </w:p>
    <w:p w:rsidR="00830A83" w:rsidRPr="00830A83" w:rsidRDefault="00830A83" w:rsidP="00304513">
      <w:r w:rsidRPr="00830A83">
        <w:t xml:space="preserve">A plasma-derived human FIX is currently registered under the trade name </w:t>
      </w:r>
      <w:proofErr w:type="spellStart"/>
      <w:r w:rsidRPr="00830A83">
        <w:t>MonoFIX</w:t>
      </w:r>
      <w:proofErr w:type="spellEnd"/>
      <w:r w:rsidRPr="00830A83">
        <w:t>-VF and a recombinant human FIX product (</w:t>
      </w:r>
      <w:proofErr w:type="spellStart"/>
      <w:r w:rsidRPr="00830A83">
        <w:t>nonacog</w:t>
      </w:r>
      <w:proofErr w:type="spellEnd"/>
      <w:r w:rsidRPr="00830A83">
        <w:t xml:space="preserve"> </w:t>
      </w:r>
      <w:proofErr w:type="spellStart"/>
      <w:r w:rsidRPr="00830A83">
        <w:t>alfa</w:t>
      </w:r>
      <w:proofErr w:type="spellEnd"/>
      <w:r w:rsidRPr="00830A83">
        <w:t xml:space="preserve"> [</w:t>
      </w:r>
      <w:proofErr w:type="spellStart"/>
      <w:r w:rsidRPr="00830A83">
        <w:t>rch</w:t>
      </w:r>
      <w:proofErr w:type="spellEnd"/>
      <w:r w:rsidRPr="00830A83">
        <w:t xml:space="preserve">]) is also registered under the name </w:t>
      </w:r>
      <w:proofErr w:type="spellStart"/>
      <w:r w:rsidRPr="00830A83">
        <w:t>BeneFIX</w:t>
      </w:r>
      <w:proofErr w:type="spellEnd"/>
      <w:r w:rsidRPr="00830A83">
        <w:t xml:space="preserve">. Both </w:t>
      </w:r>
      <w:proofErr w:type="spellStart"/>
      <w:r w:rsidRPr="00830A83">
        <w:t>MonoFIX</w:t>
      </w:r>
      <w:proofErr w:type="spellEnd"/>
      <w:r w:rsidRPr="00830A83">
        <w:t xml:space="preserve"> and </w:t>
      </w:r>
      <w:proofErr w:type="spellStart"/>
      <w:r w:rsidRPr="00830A83">
        <w:t>BeneFIX</w:t>
      </w:r>
      <w:proofErr w:type="spellEnd"/>
      <w:r w:rsidRPr="00830A83">
        <w:t xml:space="preserve"> are indicated for the treatment and prevention of haemorrhagic episodes in patients with haemophilia B. </w:t>
      </w:r>
      <w:r w:rsidR="0051223A">
        <w:t>Rixubis</w:t>
      </w:r>
      <w:r w:rsidRPr="00830A83">
        <w:t xml:space="preserve"> has the same polypeptide sequence to </w:t>
      </w:r>
      <w:proofErr w:type="spellStart"/>
      <w:r w:rsidRPr="00830A83">
        <w:t>nonacog</w:t>
      </w:r>
      <w:proofErr w:type="spellEnd"/>
      <w:r w:rsidRPr="00830A83">
        <w:t xml:space="preserve"> </w:t>
      </w:r>
      <w:proofErr w:type="spellStart"/>
      <w:r w:rsidRPr="00830A83">
        <w:t>alfa</w:t>
      </w:r>
      <w:proofErr w:type="spellEnd"/>
      <w:r w:rsidRPr="00830A83">
        <w:t xml:space="preserve"> in </w:t>
      </w:r>
      <w:proofErr w:type="spellStart"/>
      <w:r w:rsidRPr="00830A83">
        <w:t>BeneFIX</w:t>
      </w:r>
      <w:proofErr w:type="spellEnd"/>
      <w:r w:rsidRPr="00830A83">
        <w:t xml:space="preserve">, and is intended to be sufficiently similar in physicochemical properties such that the safety and efficacy of the products are considered to be comparable. The manufacture of </w:t>
      </w:r>
      <w:r w:rsidR="0051223A">
        <w:t>Rixubis</w:t>
      </w:r>
      <w:r w:rsidRPr="00830A83">
        <w:t xml:space="preserve"> is differentiated from the manufacture of the </w:t>
      </w:r>
      <w:proofErr w:type="spellStart"/>
      <w:r w:rsidRPr="00830A83">
        <w:t>rFIX</w:t>
      </w:r>
      <w:proofErr w:type="spellEnd"/>
      <w:r w:rsidRPr="00830A83">
        <w:t xml:space="preserve"> in </w:t>
      </w:r>
      <w:proofErr w:type="spellStart"/>
      <w:r w:rsidRPr="00830A83">
        <w:t>BeneFIX</w:t>
      </w:r>
      <w:proofErr w:type="spellEnd"/>
      <w:r w:rsidRPr="00830A83">
        <w:t xml:space="preserve"> by the inclusion of two independent viral inactivation/reduction steps, </w:t>
      </w:r>
      <w:r>
        <w:t xml:space="preserve">that is, </w:t>
      </w:r>
      <w:r w:rsidRPr="00830A83">
        <w:t xml:space="preserve">solvent/detergent (S/D) treatment and </w:t>
      </w:r>
      <w:proofErr w:type="spellStart"/>
      <w:r w:rsidRPr="00830A83">
        <w:t>nanofiltration</w:t>
      </w:r>
      <w:proofErr w:type="spellEnd"/>
      <w:r w:rsidRPr="00830A83">
        <w:t>.</w:t>
      </w:r>
    </w:p>
    <w:p w:rsidR="00830A83" w:rsidRPr="00830A83" w:rsidRDefault="00830A83" w:rsidP="00304513">
      <w:r w:rsidRPr="00830A83">
        <w:t xml:space="preserve">According to the Nonclinical Overview, the </w:t>
      </w:r>
      <w:r w:rsidR="00CB4566">
        <w:t>s</w:t>
      </w:r>
      <w:r w:rsidRPr="00830A83">
        <w:t xml:space="preserve">ponsor’s nonclinical testing strategy is based on the assumption that </w:t>
      </w:r>
      <w:r w:rsidR="0051223A">
        <w:t>Rixubis</w:t>
      </w:r>
      <w:r w:rsidRPr="00830A83">
        <w:t xml:space="preserve"> will not differ significantly from the licensed, </w:t>
      </w:r>
      <w:proofErr w:type="spellStart"/>
      <w:r w:rsidRPr="00830A83">
        <w:t>rFIX</w:t>
      </w:r>
      <w:proofErr w:type="spellEnd"/>
      <w:r w:rsidRPr="00830A83">
        <w:t xml:space="preserve"> drug product </w:t>
      </w:r>
      <w:proofErr w:type="spellStart"/>
      <w:r w:rsidRPr="00830A83">
        <w:t>BeneFIX</w:t>
      </w:r>
      <w:proofErr w:type="spellEnd"/>
      <w:r w:rsidRPr="00830A83">
        <w:t xml:space="preserve"> regarding safety and efficacy. This is based on the comparative safety pharmacology, </w:t>
      </w:r>
      <w:r w:rsidR="00F710E5">
        <w:t>PK</w:t>
      </w:r>
      <w:r w:rsidRPr="00830A83">
        <w:t>, immunogenicity and toxicology studies submitted, and in the following information from the Nonclinical Overview:</w:t>
      </w:r>
    </w:p>
    <w:p w:rsidR="00830A83" w:rsidRPr="00830A83" w:rsidRDefault="00830A83" w:rsidP="00304513">
      <w:pPr>
        <w:pStyle w:val="ListBullet"/>
      </w:pPr>
      <w:r>
        <w:t>Physicochemical characteris</w:t>
      </w:r>
      <w:r w:rsidRPr="00830A83">
        <w:t xml:space="preserve">ation </w:t>
      </w:r>
      <w:r w:rsidRPr="00304513">
        <w:t>studies</w:t>
      </w:r>
      <w:r w:rsidRPr="00830A83">
        <w:t xml:space="preserve"> demonstrate that the structure, identity, purity, potency, and functional integrity of Baxter</w:t>
      </w:r>
      <w:r>
        <w:t>’</w:t>
      </w:r>
      <w:r w:rsidRPr="00830A83">
        <w:t xml:space="preserve">s </w:t>
      </w:r>
      <w:proofErr w:type="spellStart"/>
      <w:r w:rsidRPr="00830A83">
        <w:t>rFIX</w:t>
      </w:r>
      <w:proofErr w:type="spellEnd"/>
      <w:r w:rsidRPr="00830A83">
        <w:t xml:space="preserve"> are comparable to those of a licensed, </w:t>
      </w:r>
      <w:proofErr w:type="spellStart"/>
      <w:r w:rsidRPr="00830A83">
        <w:t>rFIX</w:t>
      </w:r>
      <w:proofErr w:type="spellEnd"/>
      <w:r w:rsidRPr="00830A83">
        <w:t xml:space="preserve"> product.</w:t>
      </w:r>
    </w:p>
    <w:p w:rsidR="00830A83" w:rsidRPr="00830A83" w:rsidRDefault="00830A83" w:rsidP="00304513">
      <w:pPr>
        <w:pStyle w:val="ListBullet"/>
      </w:pPr>
      <w:r w:rsidRPr="00830A83">
        <w:t>The polypeptide sequence of Baxter</w:t>
      </w:r>
      <w:r>
        <w:t>’</w:t>
      </w:r>
      <w:r w:rsidRPr="00830A83">
        <w:t xml:space="preserve">s </w:t>
      </w:r>
      <w:proofErr w:type="spellStart"/>
      <w:r w:rsidRPr="00304513">
        <w:t>rFIX</w:t>
      </w:r>
      <w:proofErr w:type="spellEnd"/>
      <w:r w:rsidRPr="00830A83">
        <w:t xml:space="preserve"> is identical to that of a licensed, </w:t>
      </w:r>
      <w:proofErr w:type="spellStart"/>
      <w:r w:rsidRPr="00830A83">
        <w:t>rFIX</w:t>
      </w:r>
      <w:proofErr w:type="spellEnd"/>
      <w:r w:rsidRPr="00830A83">
        <w:t xml:space="preserve"> product and the post</w:t>
      </w:r>
      <w:r w:rsidRPr="00830A83">
        <w:rPr>
          <w:rFonts w:hint="eastAsia"/>
        </w:rPr>
        <w:t>–</w:t>
      </w:r>
      <w:r w:rsidRPr="00830A83">
        <w:t>translational modifications are comparable.</w:t>
      </w:r>
    </w:p>
    <w:p w:rsidR="00830A83" w:rsidRPr="00830A83" w:rsidRDefault="00830A83" w:rsidP="00304513">
      <w:pPr>
        <w:pStyle w:val="ListBullet"/>
      </w:pPr>
      <w:r w:rsidRPr="00830A83">
        <w:t>The purity and specific activity (in units of clotting activity per mg of total protein) of Baxter</w:t>
      </w:r>
      <w:r>
        <w:t>’</w:t>
      </w:r>
      <w:r w:rsidRPr="00830A83">
        <w:t xml:space="preserve">s </w:t>
      </w:r>
      <w:proofErr w:type="spellStart"/>
      <w:r w:rsidRPr="00830A83">
        <w:t>rFIX</w:t>
      </w:r>
      <w:proofErr w:type="spellEnd"/>
      <w:r w:rsidRPr="00830A83">
        <w:t xml:space="preserve"> are within the same range as found for a licensed, </w:t>
      </w:r>
      <w:proofErr w:type="spellStart"/>
      <w:r w:rsidRPr="00830A83">
        <w:t>r</w:t>
      </w:r>
      <w:r w:rsidR="009E49DD">
        <w:t>F</w:t>
      </w:r>
      <w:r w:rsidRPr="00830A83">
        <w:t>IX</w:t>
      </w:r>
      <w:proofErr w:type="spellEnd"/>
      <w:r w:rsidRPr="00830A83">
        <w:t xml:space="preserve"> product.</w:t>
      </w:r>
    </w:p>
    <w:p w:rsidR="00830A83" w:rsidRPr="00304513" w:rsidRDefault="00830A83" w:rsidP="00304513">
      <w:pPr>
        <w:pStyle w:val="Heading4"/>
      </w:pPr>
      <w:bookmarkStart w:id="45" w:name="_Toc294861487"/>
      <w:bookmarkStart w:id="46" w:name="_Toc294861742"/>
      <w:bookmarkStart w:id="47" w:name="_Toc295290879"/>
      <w:bookmarkStart w:id="48" w:name="_Toc365383449"/>
      <w:r w:rsidRPr="006F34B1">
        <w:t>Scope of nonclinical data</w:t>
      </w:r>
      <w:bookmarkEnd w:id="45"/>
      <w:bookmarkEnd w:id="46"/>
      <w:bookmarkEnd w:id="47"/>
      <w:bookmarkEnd w:id="48"/>
    </w:p>
    <w:p w:rsidR="00830A83" w:rsidRPr="00830A83" w:rsidRDefault="00830A83" w:rsidP="00304513">
      <w:r>
        <w:t xml:space="preserve">The data </w:t>
      </w:r>
      <w:r w:rsidRPr="00830A83">
        <w:t>comprised studies on the pharmacodynamics</w:t>
      </w:r>
      <w:r>
        <w:t xml:space="preserve"> (PD)</w:t>
      </w:r>
      <w:r w:rsidRPr="00830A83">
        <w:t xml:space="preserve">, </w:t>
      </w:r>
      <w:r>
        <w:t>PK</w:t>
      </w:r>
      <w:r w:rsidRPr="00830A83">
        <w:t xml:space="preserve">, safety pharmacology, single and repeat-dose toxicity, local tolerance and immunogenicity of </w:t>
      </w:r>
      <w:r w:rsidR="0051223A">
        <w:t>Rixubis</w:t>
      </w:r>
      <w:r w:rsidRPr="00830A83">
        <w:t xml:space="preserve">. All studies used </w:t>
      </w:r>
      <w:proofErr w:type="spellStart"/>
      <w:r w:rsidRPr="00830A83">
        <w:t>BeneFIX</w:t>
      </w:r>
      <w:proofErr w:type="spellEnd"/>
      <w:r w:rsidRPr="00830A83">
        <w:t xml:space="preserve"> as a comparator.</w:t>
      </w:r>
    </w:p>
    <w:p w:rsidR="008E7846" w:rsidRPr="00304513" w:rsidRDefault="00830A83" w:rsidP="00304513">
      <w:pPr>
        <w:pStyle w:val="Heading3"/>
      </w:pPr>
      <w:bookmarkStart w:id="49" w:name="_Toc387924277"/>
      <w:r>
        <w:t>Pharmacology</w:t>
      </w:r>
      <w:bookmarkEnd w:id="49"/>
    </w:p>
    <w:p w:rsidR="00CF70A4" w:rsidRPr="00304513" w:rsidRDefault="00CF70A4" w:rsidP="00304513">
      <w:pPr>
        <w:pStyle w:val="Heading4"/>
      </w:pPr>
      <w:r>
        <w:t>Primary pharmacology</w:t>
      </w:r>
    </w:p>
    <w:p w:rsidR="00CF70A4" w:rsidRPr="00CF70A4" w:rsidRDefault="0051223A" w:rsidP="00304513">
      <w:bookmarkStart w:id="50" w:name="_Toc295290884"/>
      <w:bookmarkStart w:id="51" w:name="_Toc365383454"/>
      <w:proofErr w:type="spellStart"/>
      <w:r>
        <w:t>Rixubis</w:t>
      </w:r>
      <w:proofErr w:type="spellEnd"/>
      <w:r w:rsidR="00CF70A4" w:rsidRPr="00CF70A4">
        <w:t xml:space="preserve"> dose-dependently shortened the activated partial </w:t>
      </w:r>
      <w:proofErr w:type="spellStart"/>
      <w:r w:rsidR="00CF70A4" w:rsidRPr="00CF70A4">
        <w:t>prothrombin</w:t>
      </w:r>
      <w:proofErr w:type="spellEnd"/>
      <w:r w:rsidR="00CF70A4" w:rsidRPr="00CF70A4">
        <w:t xml:space="preserve"> time (APTT) of human, </w:t>
      </w:r>
      <w:proofErr w:type="spellStart"/>
      <w:r w:rsidR="00CF70A4" w:rsidRPr="00CF70A4">
        <w:t>cynomolgus</w:t>
      </w:r>
      <w:proofErr w:type="spellEnd"/>
      <w:r w:rsidR="00CF70A4" w:rsidRPr="00CF70A4">
        <w:t xml:space="preserve"> monkey and rat plasma, at concentrat</w:t>
      </w:r>
      <w:r w:rsidR="00304513">
        <w:t>ions of between 1 and 10 IU/</w:t>
      </w:r>
      <w:proofErr w:type="spellStart"/>
      <w:r w:rsidR="00304513">
        <w:t>mL.</w:t>
      </w:r>
      <w:proofErr w:type="spellEnd"/>
    </w:p>
    <w:p w:rsidR="00CF70A4" w:rsidRPr="00CF70A4" w:rsidRDefault="00CF70A4" w:rsidP="00304513">
      <w:r w:rsidRPr="00CF70A4">
        <w:t xml:space="preserve">Administration of </w:t>
      </w:r>
      <w:r w:rsidR="0051223A">
        <w:t>Rixubis</w:t>
      </w:r>
      <w:r w:rsidRPr="00CF70A4">
        <w:t xml:space="preserve"> before the onset of bleeding caused effective haemostasis in three FIX knockout mouse models. Dose-dependent haemostatic effect was demonstrated with doses of </w:t>
      </w:r>
      <w:r>
        <w:t xml:space="preserve">≥ </w:t>
      </w:r>
      <w:r w:rsidRPr="00CF70A4">
        <w:t xml:space="preserve">10 IU/kg in the </w:t>
      </w:r>
      <w:proofErr w:type="spellStart"/>
      <w:r w:rsidRPr="00CF70A4">
        <w:t>thrombelastography</w:t>
      </w:r>
      <w:proofErr w:type="spellEnd"/>
      <w:r w:rsidRPr="00CF70A4">
        <w:t xml:space="preserve"> model (decreased clotting time), </w:t>
      </w:r>
      <w:r>
        <w:t xml:space="preserve">≥ </w:t>
      </w:r>
      <w:r w:rsidRPr="00CF70A4">
        <w:t xml:space="preserve">25 IU/kg in the tail-tip bleeding, and </w:t>
      </w:r>
      <w:r>
        <w:t xml:space="preserve">≥ </w:t>
      </w:r>
      <w:r w:rsidRPr="00CF70A4">
        <w:t xml:space="preserve">75 IU/kg in the carotid occlusion model. The primary </w:t>
      </w:r>
      <w:r>
        <w:t xml:space="preserve">PD </w:t>
      </w:r>
      <w:r w:rsidRPr="00CF70A4">
        <w:t xml:space="preserve">effects of </w:t>
      </w:r>
      <w:r w:rsidR="0051223A">
        <w:t>Rixubis</w:t>
      </w:r>
      <w:r w:rsidRPr="00CF70A4">
        <w:t xml:space="preserve"> in these studies were similar to those of </w:t>
      </w:r>
      <w:proofErr w:type="spellStart"/>
      <w:r w:rsidRPr="00CF70A4">
        <w:t>BeneFIX</w:t>
      </w:r>
      <w:proofErr w:type="spellEnd"/>
      <w:r>
        <w:t xml:space="preserve"> </w:t>
      </w:r>
      <w:r w:rsidRPr="00CF70A4">
        <w:t xml:space="preserve">(approved </w:t>
      </w:r>
      <w:proofErr w:type="spellStart"/>
      <w:r w:rsidRPr="00CF70A4">
        <w:t>rFIX</w:t>
      </w:r>
      <w:proofErr w:type="spellEnd"/>
      <w:r w:rsidRPr="00CF70A4">
        <w:t xml:space="preserve">) and </w:t>
      </w:r>
      <w:proofErr w:type="spellStart"/>
      <w:r w:rsidRPr="00CF70A4">
        <w:t>Mononine</w:t>
      </w:r>
      <w:proofErr w:type="spellEnd"/>
      <w:r w:rsidRPr="00CF70A4">
        <w:t xml:space="preserve"> (plasma derived FIX).</w:t>
      </w:r>
    </w:p>
    <w:p w:rsidR="00CF70A4" w:rsidRPr="00CF70A4" w:rsidRDefault="00CF70A4" w:rsidP="00304513">
      <w:r w:rsidRPr="00CF70A4">
        <w:t xml:space="preserve">No primary pharmacology studies in which </w:t>
      </w:r>
      <w:r w:rsidR="0051223A">
        <w:t>Rixubis</w:t>
      </w:r>
      <w:r w:rsidRPr="00CF70A4">
        <w:t xml:space="preserve"> was administered after the beginning of a bleeding episode were submitted. Therefore, only part of the clinical indications (</w:t>
      </w:r>
      <w:r>
        <w:t xml:space="preserve">that is, </w:t>
      </w:r>
      <w:r w:rsidRPr="00CF70A4">
        <w:t>prophylaxis) is supported by the nonclinical data.</w:t>
      </w:r>
    </w:p>
    <w:p w:rsidR="00CF70A4" w:rsidRPr="00304513" w:rsidRDefault="00304513" w:rsidP="00304513">
      <w:pPr>
        <w:pStyle w:val="Heading4"/>
      </w:pPr>
      <w:r>
        <w:lastRenderedPageBreak/>
        <w:t>Safety pharmacology</w:t>
      </w:r>
    </w:p>
    <w:p w:rsidR="00CF70A4" w:rsidRPr="00CF70A4" w:rsidRDefault="00CF70A4" w:rsidP="00304513">
      <w:r w:rsidRPr="00CF70A4">
        <w:t>No studies were submitted relating to the assessment of coagulation, agglutination or h</w:t>
      </w:r>
      <w:r w:rsidR="00304513">
        <w:t>aemolysis in human whole blood.</w:t>
      </w:r>
    </w:p>
    <w:p w:rsidR="005B07BF" w:rsidRPr="00CF70A4" w:rsidRDefault="005B07BF" w:rsidP="00304513">
      <w:proofErr w:type="spellStart"/>
      <w:r>
        <w:t>Rixubis</w:t>
      </w:r>
      <w:proofErr w:type="spellEnd"/>
      <w:r w:rsidRPr="00CF70A4">
        <w:t xml:space="preserve"> was not </w:t>
      </w:r>
      <w:proofErr w:type="spellStart"/>
      <w:r w:rsidRPr="00CF70A4">
        <w:t>thrombogenic</w:t>
      </w:r>
      <w:proofErr w:type="spellEnd"/>
      <w:r w:rsidRPr="00CF70A4">
        <w:t xml:space="preserve"> in the rabbit stasis model at a dose of 750 IU/kg (</w:t>
      </w:r>
      <w:r>
        <w:t>ten</w:t>
      </w:r>
      <w:r w:rsidRPr="00CF70A4">
        <w:t xml:space="preserve"> times the maximum dose of 75 IU/kg used in Clinical trials described in the </w:t>
      </w:r>
      <w:r>
        <w:t xml:space="preserve">PI </w:t>
      </w:r>
      <w:r w:rsidRPr="00CF70A4">
        <w:t xml:space="preserve">document). </w:t>
      </w:r>
      <w:r>
        <w:t xml:space="preserve">The </w:t>
      </w:r>
      <w:proofErr w:type="spellStart"/>
      <w:r w:rsidRPr="00CF70A4">
        <w:t>Wessler</w:t>
      </w:r>
      <w:proofErr w:type="spellEnd"/>
      <w:r w:rsidRPr="00CF70A4">
        <w:t xml:space="preserve"> scores for </w:t>
      </w:r>
      <w:proofErr w:type="spellStart"/>
      <w:r>
        <w:t>Rixubis</w:t>
      </w:r>
      <w:proofErr w:type="spellEnd"/>
      <w:r w:rsidRPr="00CF70A4">
        <w:t xml:space="preserve"> were similar to those </w:t>
      </w:r>
      <w:r>
        <w:t>obtained for</w:t>
      </w:r>
      <w:r w:rsidRPr="00CF70A4">
        <w:t xml:space="preserve"> </w:t>
      </w:r>
      <w:proofErr w:type="spellStart"/>
      <w:r w:rsidRPr="00CF70A4">
        <w:t>Mononine</w:t>
      </w:r>
      <w:proofErr w:type="spellEnd"/>
      <w:r w:rsidRPr="00CF70A4">
        <w:t xml:space="preserve"> (licensed, plasma derived FIX product) </w:t>
      </w:r>
      <w:r>
        <w:t>but</w:t>
      </w:r>
      <w:r w:rsidRPr="00CF70A4">
        <w:t xml:space="preserve"> lower than those of </w:t>
      </w:r>
      <w:proofErr w:type="spellStart"/>
      <w:r w:rsidRPr="00CF70A4">
        <w:t>BeneFIX</w:t>
      </w:r>
      <w:proofErr w:type="spellEnd"/>
      <w:r w:rsidRPr="00CF70A4">
        <w:t xml:space="preserve"> (licensed, </w:t>
      </w:r>
      <w:proofErr w:type="spellStart"/>
      <w:r w:rsidRPr="00CF70A4">
        <w:t>rFIX</w:t>
      </w:r>
      <w:proofErr w:type="spellEnd"/>
      <w:r w:rsidRPr="00CF70A4">
        <w:t xml:space="preserve"> product). Spiking of </w:t>
      </w:r>
      <w:proofErr w:type="spellStart"/>
      <w:r w:rsidRPr="00CF70A4">
        <w:t>FIXa</w:t>
      </w:r>
      <w:proofErr w:type="spellEnd"/>
      <w:r w:rsidRPr="00CF70A4">
        <w:t xml:space="preserve"> into </w:t>
      </w:r>
      <w:proofErr w:type="spellStart"/>
      <w:r>
        <w:t>Rixubis</w:t>
      </w:r>
      <w:proofErr w:type="spellEnd"/>
      <w:r w:rsidRPr="00CF70A4">
        <w:t xml:space="preserve"> in the amounts present in </w:t>
      </w:r>
      <w:proofErr w:type="spellStart"/>
      <w:r w:rsidRPr="00CF70A4">
        <w:t>BeneFIX</w:t>
      </w:r>
      <w:proofErr w:type="spellEnd"/>
      <w:r w:rsidRPr="00CF70A4">
        <w:t xml:space="preserve"> resulted in </w:t>
      </w:r>
      <w:proofErr w:type="spellStart"/>
      <w:r w:rsidRPr="00CF70A4">
        <w:t>Wessler</w:t>
      </w:r>
      <w:proofErr w:type="spellEnd"/>
      <w:r w:rsidRPr="00CF70A4">
        <w:t xml:space="preserve"> scores similar to those obtained with </w:t>
      </w:r>
      <w:proofErr w:type="spellStart"/>
      <w:r>
        <w:t>Rixubis</w:t>
      </w:r>
      <w:proofErr w:type="spellEnd"/>
      <w:r w:rsidRPr="00CF70A4">
        <w:t xml:space="preserve">, demonstrating a correlation between the </w:t>
      </w:r>
      <w:proofErr w:type="spellStart"/>
      <w:r w:rsidRPr="00CF70A4">
        <w:t>FIXa</w:t>
      </w:r>
      <w:proofErr w:type="spellEnd"/>
      <w:r w:rsidRPr="00CF70A4">
        <w:t xml:space="preserve"> content of the products a</w:t>
      </w:r>
      <w:r w:rsidR="00304513">
        <w:t xml:space="preserve">nd the </w:t>
      </w:r>
      <w:proofErr w:type="spellStart"/>
      <w:r w:rsidR="00304513">
        <w:t>Wessler</w:t>
      </w:r>
      <w:proofErr w:type="spellEnd"/>
      <w:r w:rsidR="00304513">
        <w:t xml:space="preserve"> scores obtained.</w:t>
      </w:r>
    </w:p>
    <w:p w:rsidR="00CF70A4" w:rsidRPr="00CF70A4" w:rsidRDefault="00CF70A4" w:rsidP="00304513">
      <w:proofErr w:type="spellStart"/>
      <w:r w:rsidRPr="00CF70A4">
        <w:t>FIXa</w:t>
      </w:r>
      <w:proofErr w:type="spellEnd"/>
      <w:r w:rsidRPr="00CF70A4">
        <w:t xml:space="preserve"> is an impurity in the drug product and has been associated with </w:t>
      </w:r>
      <w:proofErr w:type="spellStart"/>
      <w:r w:rsidRPr="00CF70A4">
        <w:t>thrombogenicity</w:t>
      </w:r>
      <w:proofErr w:type="spellEnd"/>
      <w:r w:rsidRPr="00CF70A4">
        <w:rPr>
          <w:vertAlign w:val="superscript"/>
        </w:rPr>
        <w:footnoteReference w:id="4"/>
      </w:r>
      <w:r w:rsidRPr="00CF70A4">
        <w:t xml:space="preserve">. The pharmacological action of </w:t>
      </w:r>
      <w:r w:rsidR="0051223A">
        <w:t>Rixubis</w:t>
      </w:r>
      <w:r w:rsidRPr="00CF70A4">
        <w:t xml:space="preserve"> does not seem to be affected by the lower amount of </w:t>
      </w:r>
      <w:proofErr w:type="spellStart"/>
      <w:r w:rsidRPr="00CF70A4">
        <w:t>FIXa</w:t>
      </w:r>
      <w:proofErr w:type="spellEnd"/>
      <w:r w:rsidRPr="00CF70A4">
        <w:t xml:space="preserve">, since the </w:t>
      </w:r>
      <w:r>
        <w:t>PD</w:t>
      </w:r>
      <w:r w:rsidR="001F5A20">
        <w:t xml:space="preserve"> </w:t>
      </w:r>
      <w:r w:rsidRPr="00CF70A4">
        <w:t xml:space="preserve">studies in transgenic mice showed no significant differences between </w:t>
      </w:r>
      <w:proofErr w:type="spellStart"/>
      <w:r w:rsidR="0051223A">
        <w:t>Rixubis</w:t>
      </w:r>
      <w:proofErr w:type="spellEnd"/>
      <w:r w:rsidR="00304513">
        <w:t xml:space="preserve"> and </w:t>
      </w:r>
      <w:proofErr w:type="spellStart"/>
      <w:r w:rsidR="00304513">
        <w:t>BeneFIX</w:t>
      </w:r>
      <w:proofErr w:type="spellEnd"/>
      <w:r w:rsidR="00304513">
        <w:t>.</w:t>
      </w:r>
    </w:p>
    <w:p w:rsidR="00CF70A4" w:rsidRPr="00CF70A4" w:rsidRDefault="00CF70A4" w:rsidP="00304513">
      <w:r w:rsidRPr="00CF70A4">
        <w:t xml:space="preserve">Since presumably lower amounts of </w:t>
      </w:r>
      <w:proofErr w:type="spellStart"/>
      <w:r w:rsidRPr="00CF70A4">
        <w:t>FIXa</w:t>
      </w:r>
      <w:proofErr w:type="spellEnd"/>
      <w:r w:rsidRPr="00CF70A4">
        <w:t xml:space="preserve"> did not cause significant differences in </w:t>
      </w:r>
      <w:r>
        <w:t>PD</w:t>
      </w:r>
      <w:r w:rsidRPr="00CF70A4">
        <w:t xml:space="preserve"> parameters in transgenic mice (efficacy) and did not cause an increase in toxicity in repeat dose toxicity studies in rats and monkeys at </w:t>
      </w:r>
      <w:r>
        <w:t>approximately</w:t>
      </w:r>
      <w:r w:rsidRPr="00CF70A4">
        <w:t xml:space="preserve"> </w:t>
      </w:r>
      <w:r>
        <w:t>three an</w:t>
      </w:r>
      <w:r w:rsidRPr="00CF70A4">
        <w:t xml:space="preserve">d </w:t>
      </w:r>
      <w:r>
        <w:t>approximately 1</w:t>
      </w:r>
      <w:r w:rsidRPr="00CF70A4">
        <w:t xml:space="preserve">5 times the exposure in humans respectively (safety), the lower amount of </w:t>
      </w:r>
      <w:proofErr w:type="spellStart"/>
      <w:r w:rsidRPr="00CF70A4">
        <w:t>FIXa</w:t>
      </w:r>
      <w:proofErr w:type="spellEnd"/>
      <w:r w:rsidRPr="00CF70A4">
        <w:t xml:space="preserve"> in </w:t>
      </w:r>
      <w:proofErr w:type="spellStart"/>
      <w:r w:rsidR="0051223A">
        <w:t>Rixubis</w:t>
      </w:r>
      <w:proofErr w:type="spellEnd"/>
      <w:r w:rsidRPr="00CF70A4">
        <w:t xml:space="preserve"> compared with </w:t>
      </w:r>
      <w:proofErr w:type="spellStart"/>
      <w:r w:rsidRPr="00CF70A4">
        <w:t>BeneFIX</w:t>
      </w:r>
      <w:proofErr w:type="spellEnd"/>
      <w:r w:rsidRPr="00CF70A4">
        <w:t xml:space="preserve"> is not expected to impact on the comparability of </w:t>
      </w:r>
      <w:proofErr w:type="spellStart"/>
      <w:r w:rsidR="0051223A">
        <w:t>Rixubis</w:t>
      </w:r>
      <w:proofErr w:type="spellEnd"/>
      <w:r w:rsidR="00304513">
        <w:t xml:space="preserve"> and </w:t>
      </w:r>
      <w:proofErr w:type="spellStart"/>
      <w:r w:rsidR="00304513">
        <w:t>BeneFIX</w:t>
      </w:r>
      <w:proofErr w:type="spellEnd"/>
      <w:r w:rsidR="00304513">
        <w:t>.</w:t>
      </w:r>
    </w:p>
    <w:p w:rsidR="00CF70A4" w:rsidRPr="00CF70A4" w:rsidRDefault="00CF70A4" w:rsidP="00304513">
      <w:r w:rsidRPr="00CF70A4">
        <w:t xml:space="preserve">In monkeys, no adverse effects on the respiratory and cardiovascular systems were observed with doses up to 450 IU/kg, </w:t>
      </w:r>
      <w:r>
        <w:t>six</w:t>
      </w:r>
      <w:r w:rsidRPr="00CF70A4">
        <w:t xml:space="preserve"> times the maximum anticipated human prophylactic dose of 75 IU/kg.</w:t>
      </w:r>
    </w:p>
    <w:p w:rsidR="00CF70A4" w:rsidRPr="00CF70A4" w:rsidRDefault="00CF70A4" w:rsidP="00304513">
      <w:r w:rsidRPr="00CF70A4">
        <w:t xml:space="preserve">Thrombus formation, cardiovascular, or respiratory effects are not expected to be a safety concern for the clinical use of </w:t>
      </w:r>
      <w:r w:rsidR="0051223A">
        <w:t>Rixubis</w:t>
      </w:r>
      <w:r w:rsidRPr="00CF70A4">
        <w:t xml:space="preserve"> in patients treated at the maximum anticipated human prophylactic dose of 75 IU/kg.</w:t>
      </w:r>
    </w:p>
    <w:p w:rsidR="008E7846" w:rsidRPr="00304513" w:rsidRDefault="008E7846" w:rsidP="00304513">
      <w:pPr>
        <w:pStyle w:val="Heading3"/>
      </w:pPr>
      <w:bookmarkStart w:id="52" w:name="_Toc247691513"/>
      <w:bookmarkStart w:id="53" w:name="_Toc314842497"/>
      <w:bookmarkStart w:id="54" w:name="_Toc387924278"/>
      <w:bookmarkEnd w:id="50"/>
      <w:bookmarkEnd w:id="51"/>
      <w:r>
        <w:t>Pharmacokinetics</w:t>
      </w:r>
      <w:bookmarkEnd w:id="52"/>
      <w:bookmarkEnd w:id="53"/>
      <w:bookmarkEnd w:id="54"/>
    </w:p>
    <w:p w:rsidR="00662086" w:rsidRPr="00662086" w:rsidRDefault="00662086" w:rsidP="00304513">
      <w:bookmarkStart w:id="55" w:name="_Toc247691514"/>
      <w:bookmarkStart w:id="56" w:name="_Toc314842498"/>
      <w:r w:rsidRPr="00662086">
        <w:t xml:space="preserve">In FIX deficient mice, the FIX activity assays and the </w:t>
      </w:r>
      <w:r w:rsidR="00CB4566" w:rsidRPr="00685261">
        <w:t xml:space="preserve">Enzyme-linked </w:t>
      </w:r>
      <w:proofErr w:type="spellStart"/>
      <w:r w:rsidR="00CB4566" w:rsidRPr="00685261">
        <w:t>immunosorbent</w:t>
      </w:r>
      <w:proofErr w:type="spellEnd"/>
      <w:r w:rsidR="00CB4566" w:rsidRPr="00685261">
        <w:t xml:space="preserve"> assay</w:t>
      </w:r>
      <w:r w:rsidR="00CB4566" w:rsidRPr="00662086">
        <w:t xml:space="preserve"> </w:t>
      </w:r>
      <w:r w:rsidR="00CB4566">
        <w:t>(</w:t>
      </w:r>
      <w:r w:rsidRPr="00662086">
        <w:t>ELISA</w:t>
      </w:r>
      <w:r w:rsidR="00CB4566">
        <w:t>)</w:t>
      </w:r>
      <w:r w:rsidRPr="00662086">
        <w:t xml:space="preserve"> specifically measured human FIX. In rat plasma the FIX ELISA also specifically measured the human protein whereas in </w:t>
      </w:r>
      <w:proofErr w:type="spellStart"/>
      <w:r w:rsidRPr="00662086">
        <w:t>cynomolgus</w:t>
      </w:r>
      <w:proofErr w:type="spellEnd"/>
      <w:r w:rsidRPr="00662086">
        <w:t xml:space="preserve"> monkey plasma both assays (activity and antigen) measured the sum of endogenous FIX and human FIX.</w:t>
      </w:r>
    </w:p>
    <w:p w:rsidR="00662086" w:rsidRPr="00662086" w:rsidRDefault="00662086" w:rsidP="00304513">
      <w:r w:rsidRPr="00662086">
        <w:t xml:space="preserve">Following a single intravenous bolus injection of </w:t>
      </w:r>
      <w:r w:rsidR="0051223A">
        <w:t>Rixubis</w:t>
      </w:r>
      <w:r w:rsidRPr="00662086">
        <w:t xml:space="preserve"> in FIX knockout mice, normal rats and </w:t>
      </w:r>
      <w:proofErr w:type="spellStart"/>
      <w:r w:rsidRPr="00662086">
        <w:t>cynomolgus</w:t>
      </w:r>
      <w:proofErr w:type="spellEnd"/>
      <w:r w:rsidRPr="00662086">
        <w:t xml:space="preserve"> monkeys, the </w:t>
      </w:r>
      <w:r w:rsidR="00F710E5">
        <w:t>PK</w:t>
      </w:r>
      <w:r w:rsidRPr="00662086">
        <w:t xml:space="preserve"> profiles of FIX protein and activity were assessed, and compared with recombinant (</w:t>
      </w:r>
      <w:proofErr w:type="spellStart"/>
      <w:r w:rsidRPr="00662086">
        <w:t>BeneFIX</w:t>
      </w:r>
      <w:proofErr w:type="spellEnd"/>
      <w:r w:rsidRPr="00662086">
        <w:t>) and plasma derived (</w:t>
      </w:r>
      <w:proofErr w:type="spellStart"/>
      <w:r w:rsidRPr="00662086">
        <w:t>Mononine</w:t>
      </w:r>
      <w:proofErr w:type="spellEnd"/>
      <w:r w:rsidRPr="00662086">
        <w:t xml:space="preserve">) FIX drug products (in the monkey comparison, only the recombinant product was used). The formulation used in the </w:t>
      </w:r>
      <w:r w:rsidR="00F710E5">
        <w:t>PK</w:t>
      </w:r>
      <w:r w:rsidRPr="00662086">
        <w:t xml:space="preserve"> studies submitted was identical with the formulation used in all pharmacology and toxicology studies.</w:t>
      </w:r>
    </w:p>
    <w:p w:rsidR="00662086" w:rsidRPr="00662086" w:rsidRDefault="00662086" w:rsidP="00304513">
      <w:r w:rsidRPr="00662086">
        <w:t xml:space="preserve">The </w:t>
      </w:r>
      <w:proofErr w:type="spellStart"/>
      <w:r w:rsidRPr="00662086">
        <w:t>toxicokinetic</w:t>
      </w:r>
      <w:proofErr w:type="spellEnd"/>
      <w:r w:rsidRPr="00662086">
        <w:t xml:space="preserve"> parameters of </w:t>
      </w:r>
      <w:proofErr w:type="spellStart"/>
      <w:r w:rsidR="0051223A">
        <w:t>Rixubis</w:t>
      </w:r>
      <w:proofErr w:type="spellEnd"/>
      <w:r w:rsidRPr="00662086">
        <w:t xml:space="preserve"> and </w:t>
      </w:r>
      <w:proofErr w:type="spellStart"/>
      <w:r w:rsidRPr="00662086">
        <w:t>BeneFIX</w:t>
      </w:r>
      <w:proofErr w:type="spellEnd"/>
      <w:r w:rsidRPr="00662086">
        <w:t xml:space="preserve"> following IV administration were compared in single-dose studies in rats, monkeys and haemophilic mice, and in four-week studies in rats and monkeys. AUC values for </w:t>
      </w:r>
      <w:proofErr w:type="spellStart"/>
      <w:r w:rsidR="0051223A">
        <w:t>Rixubis</w:t>
      </w:r>
      <w:proofErr w:type="spellEnd"/>
      <w:r w:rsidRPr="00662086">
        <w:t xml:space="preserve"> and </w:t>
      </w:r>
      <w:proofErr w:type="spellStart"/>
      <w:r w:rsidRPr="00662086">
        <w:t>BeneFIX</w:t>
      </w:r>
      <w:proofErr w:type="spellEnd"/>
      <w:r w:rsidRPr="00662086">
        <w:t xml:space="preserve"> were generally dose-proportional in all the species analysed. Terminal half-lives were longer in monkeys (10</w:t>
      </w:r>
      <w:r w:rsidR="00605489">
        <w:t xml:space="preserve"> to </w:t>
      </w:r>
      <w:r w:rsidRPr="00662086">
        <w:t>12</w:t>
      </w:r>
      <w:r w:rsidR="00605489">
        <w:t xml:space="preserve"> </w:t>
      </w:r>
      <w:r w:rsidRPr="00662086">
        <w:t>h</w:t>
      </w:r>
      <w:r w:rsidR="00605489">
        <w:t>ours</w:t>
      </w:r>
      <w:r w:rsidRPr="00662086">
        <w:t>) than in rats (</w:t>
      </w:r>
      <w:r w:rsidR="00605489">
        <w:t xml:space="preserve">three to four </w:t>
      </w:r>
      <w:r w:rsidRPr="00662086">
        <w:t>h</w:t>
      </w:r>
      <w:r w:rsidR="00605489">
        <w:t>ours</w:t>
      </w:r>
      <w:r w:rsidRPr="00662086">
        <w:t>) and haemophilic mice (</w:t>
      </w:r>
      <w:r w:rsidR="00605489">
        <w:t xml:space="preserve">four to </w:t>
      </w:r>
      <w:r w:rsidRPr="00662086">
        <w:t>11</w:t>
      </w:r>
      <w:r w:rsidR="00605489">
        <w:t xml:space="preserve"> </w:t>
      </w:r>
      <w:r w:rsidRPr="00662086">
        <w:t>h</w:t>
      </w:r>
      <w:r w:rsidR="00605489">
        <w:t>ours</w:t>
      </w:r>
      <w:r w:rsidRPr="00662086">
        <w:t xml:space="preserve">), for </w:t>
      </w:r>
      <w:proofErr w:type="spellStart"/>
      <w:r w:rsidR="0051223A">
        <w:t>Rixubis</w:t>
      </w:r>
      <w:proofErr w:type="spellEnd"/>
      <w:r w:rsidRPr="00662086">
        <w:t xml:space="preserve">, </w:t>
      </w:r>
      <w:proofErr w:type="spellStart"/>
      <w:r w:rsidRPr="00662086">
        <w:t>BeneFIX</w:t>
      </w:r>
      <w:proofErr w:type="spellEnd"/>
      <w:r w:rsidR="00605489">
        <w:t xml:space="preserve"> </w:t>
      </w:r>
      <w:r w:rsidRPr="00662086">
        <w:t xml:space="preserve">and </w:t>
      </w:r>
      <w:proofErr w:type="spellStart"/>
      <w:r w:rsidRPr="00662086">
        <w:t>Mononine</w:t>
      </w:r>
      <w:proofErr w:type="spellEnd"/>
      <w:r w:rsidRPr="00662086">
        <w:t>. The half-life was longer in humans (27 h</w:t>
      </w:r>
      <w:r w:rsidR="00605489">
        <w:t>ours</w:t>
      </w:r>
      <w:r w:rsidRPr="00662086">
        <w:t xml:space="preserve">), for both </w:t>
      </w:r>
      <w:proofErr w:type="spellStart"/>
      <w:r w:rsidR="0051223A">
        <w:t>Rixubis</w:t>
      </w:r>
      <w:proofErr w:type="spellEnd"/>
      <w:r w:rsidRPr="00662086">
        <w:t xml:space="preserve"> and </w:t>
      </w:r>
      <w:proofErr w:type="spellStart"/>
      <w:r w:rsidRPr="00662086">
        <w:t>BeneFIX</w:t>
      </w:r>
      <w:proofErr w:type="spellEnd"/>
      <w:r w:rsidRPr="00662086">
        <w:t>.</w:t>
      </w:r>
    </w:p>
    <w:p w:rsidR="00662086" w:rsidRPr="00662086" w:rsidRDefault="00662086" w:rsidP="00304513">
      <w:r w:rsidRPr="00662086">
        <w:lastRenderedPageBreak/>
        <w:t>The submitted studies were adequate for the characterisation of</w:t>
      </w:r>
      <w:r w:rsidR="00605489">
        <w:t xml:space="preserve"> </w:t>
      </w:r>
      <w:r w:rsidR="0051223A">
        <w:t>Rixubis</w:t>
      </w:r>
      <w:r w:rsidR="00605489">
        <w:t xml:space="preserve"> PK</w:t>
      </w:r>
      <w:r w:rsidRPr="00662086">
        <w:t xml:space="preserve"> parameters. A similar </w:t>
      </w:r>
      <w:r w:rsidR="00F710E5">
        <w:t>PK</w:t>
      </w:r>
      <w:r w:rsidRPr="00662086">
        <w:t xml:space="preserve"> profile was observed for </w:t>
      </w:r>
      <w:proofErr w:type="spellStart"/>
      <w:r w:rsidR="0051223A">
        <w:t>Rixubis</w:t>
      </w:r>
      <w:proofErr w:type="spellEnd"/>
      <w:r w:rsidRPr="00662086">
        <w:t xml:space="preserve"> and </w:t>
      </w:r>
      <w:proofErr w:type="spellStart"/>
      <w:r w:rsidRPr="00662086">
        <w:t>BeneFIX</w:t>
      </w:r>
      <w:proofErr w:type="spellEnd"/>
      <w:r w:rsidRPr="00662086">
        <w:t xml:space="preserve"> in the species tested with no differences b</w:t>
      </w:r>
      <w:r w:rsidR="00304513">
        <w:t>etween sexes in either species.</w:t>
      </w:r>
    </w:p>
    <w:p w:rsidR="001B5C90" w:rsidRPr="00304513" w:rsidRDefault="008E7846" w:rsidP="00304513">
      <w:pPr>
        <w:pStyle w:val="Heading3"/>
      </w:pPr>
      <w:bookmarkStart w:id="57" w:name="_Toc387924279"/>
      <w:r>
        <w:t>Toxicology</w:t>
      </w:r>
      <w:bookmarkEnd w:id="55"/>
      <w:bookmarkEnd w:id="56"/>
      <w:bookmarkEnd w:id="57"/>
    </w:p>
    <w:p w:rsidR="00605489" w:rsidRPr="00304513" w:rsidRDefault="00605489" w:rsidP="00304513">
      <w:pPr>
        <w:pStyle w:val="Heading4"/>
      </w:pPr>
      <w:bookmarkStart w:id="58" w:name="_Toc294861727"/>
      <w:r w:rsidRPr="00605489">
        <w:t>Acute toxicity</w:t>
      </w:r>
      <w:bookmarkEnd w:id="58"/>
    </w:p>
    <w:p w:rsidR="00605489" w:rsidRPr="00605489" w:rsidRDefault="00605489" w:rsidP="00276C87">
      <w:r w:rsidRPr="00605489">
        <w:t xml:space="preserve">In single-dose toxicity studies, mice and </w:t>
      </w:r>
      <w:proofErr w:type="spellStart"/>
      <w:r w:rsidRPr="00605489">
        <w:t>cynomolgus</w:t>
      </w:r>
      <w:proofErr w:type="spellEnd"/>
      <w:r w:rsidRPr="00605489">
        <w:t xml:space="preserve"> monkeys showed no signs of toxicity at the highest single intravenous dose tested (</w:t>
      </w:r>
      <w:r w:rsidR="00CB4566">
        <w:t>n</w:t>
      </w:r>
      <w:r w:rsidR="00CB4566" w:rsidRPr="00685261">
        <w:rPr>
          <w:lang w:val="en-US"/>
        </w:rPr>
        <w:t>o observable adverse event level</w:t>
      </w:r>
      <w:r w:rsidR="00CB4566" w:rsidRPr="00605489">
        <w:t xml:space="preserve"> </w:t>
      </w:r>
      <w:r w:rsidR="00CB4566">
        <w:t>(</w:t>
      </w:r>
      <w:r w:rsidRPr="00605489">
        <w:t>NOAEL</w:t>
      </w:r>
      <w:r w:rsidR="00CB4566">
        <w:t>)</w:t>
      </w:r>
      <w:r w:rsidRPr="00605489">
        <w:t xml:space="preserve"> of 7500 IU/kg for mice and 750 IU/kg for monkeys). The single-dose </w:t>
      </w:r>
      <w:r>
        <w:t>‘</w:t>
      </w:r>
      <w:r w:rsidRPr="00605489">
        <w:t>safety margin</w:t>
      </w:r>
      <w:r>
        <w:t>’</w:t>
      </w:r>
      <w:r w:rsidRPr="00605489">
        <w:t xml:space="preserve"> at the NOAEL is therefore 100 and 10 for mice and monkeys, respectively, compared with the recommended prophylactic single dose for humans (75 IU/kg). Although the observation period in the monkey study was short (</w:t>
      </w:r>
      <w:r>
        <w:t>six</w:t>
      </w:r>
      <w:r w:rsidRPr="00605489">
        <w:t xml:space="preserve"> days), this is not expected to affect the ability to assess the toxicity of </w:t>
      </w:r>
      <w:r w:rsidR="0051223A">
        <w:t>Rixubis</w:t>
      </w:r>
      <w:r w:rsidRPr="00605489">
        <w:t xml:space="preserve"> (ICH </w:t>
      </w:r>
      <w:proofErr w:type="gramStart"/>
      <w:r w:rsidRPr="00605489">
        <w:t>M3(</w:t>
      </w:r>
      <w:proofErr w:type="gramEnd"/>
      <w:r w:rsidRPr="00605489">
        <w:t>R2)).</w:t>
      </w:r>
    </w:p>
    <w:p w:rsidR="00605489" w:rsidRPr="00605489" w:rsidRDefault="00605489" w:rsidP="00276C87">
      <w:pPr>
        <w:pStyle w:val="Heading4"/>
      </w:pPr>
      <w:bookmarkStart w:id="59" w:name="_Toc294861728"/>
      <w:r w:rsidRPr="00605489">
        <w:t xml:space="preserve">Repeat-dose </w:t>
      </w:r>
      <w:r w:rsidRPr="00276C87">
        <w:t>toxicity</w:t>
      </w:r>
      <w:bookmarkEnd w:id="59"/>
    </w:p>
    <w:p w:rsidR="00605489" w:rsidRPr="00605489" w:rsidRDefault="00605489" w:rsidP="00276C87">
      <w:r w:rsidRPr="00605489">
        <w:t>Three</w:t>
      </w:r>
      <w:r>
        <w:t xml:space="preserve"> 4</w:t>
      </w:r>
      <w:r w:rsidRPr="00605489">
        <w:t>-week repeat dose IV studies in rats and monkeys were conducted. These studies were GLP compliant, and used the proposed clinical route (IV). The animals used in these st</w:t>
      </w:r>
      <w:r w:rsidR="00276C87">
        <w:t>udies contained endogenous FIX.</w:t>
      </w:r>
    </w:p>
    <w:p w:rsidR="00605489" w:rsidRPr="00605489" w:rsidRDefault="00605489" w:rsidP="00276C87">
      <w:r w:rsidRPr="00605489">
        <w:t>The doses chosen were not high enough to reveal a minimum lethal dose. Since 7500 IU/kg had not caused drug-related mortalities in the single dose toxicity study in mice, and 750 IU/kg had not caused adverse reactions in monkeys, higher doses could have been used in th</w:t>
      </w:r>
      <w:r>
        <w:t>e repeat dose toxicity studies.</w:t>
      </w:r>
      <w:r w:rsidRPr="00605489">
        <w:t xml:space="preserve"> The doses did not provide direct evidence of pharmacological action (increased coagulation), or any toxic effect. The </w:t>
      </w:r>
      <w:r>
        <w:t xml:space="preserve">PD </w:t>
      </w:r>
      <w:r w:rsidRPr="00605489">
        <w:t xml:space="preserve">effects of </w:t>
      </w:r>
      <w:r w:rsidR="0051223A">
        <w:t>Rixubis</w:t>
      </w:r>
      <w:r w:rsidRPr="00605489">
        <w:t xml:space="preserve"> could be observed indirectly by the increase in coagulation times in animals which had developed neutralising antibodies against FIX, suggesting that </w:t>
      </w:r>
      <w:r w:rsidR="0051223A">
        <w:t>Rixubis</w:t>
      </w:r>
      <w:r w:rsidRPr="00605489">
        <w:t xml:space="preserve"> in fact is homologous enough to endogenous FIX to cause antibody </w:t>
      </w:r>
      <w:r w:rsidR="00276C87">
        <w:t>cross-neutralisation.</w:t>
      </w:r>
    </w:p>
    <w:p w:rsidR="00605489" w:rsidRPr="00605489" w:rsidRDefault="00605489" w:rsidP="00276C87">
      <w:r w:rsidRPr="00605489">
        <w:t>Dosing in all the animal studies was every other day (</w:t>
      </w:r>
      <w:r>
        <w:t>approximately</w:t>
      </w:r>
      <w:r w:rsidR="00CB4566">
        <w:t xml:space="preserve"> </w:t>
      </w:r>
      <w:r w:rsidRPr="00605489">
        <w:t xml:space="preserve">3.5 times a week), whereas the proposed clinical dosing regimen is </w:t>
      </w:r>
      <w:r>
        <w:t>two</w:t>
      </w:r>
      <w:r w:rsidRPr="00605489">
        <w:t xml:space="preserve"> times per week. The duration of dosing in patients will depend on a number of factors, such as the severity of the </w:t>
      </w:r>
      <w:r>
        <w:t>FI</w:t>
      </w:r>
      <w:r w:rsidRPr="00605489">
        <w:t>X deficiency, the location and extent of bleeding, the patient's clinical condition, and age. The duration of the animal studies was short but was limited by the development of antibodies.</w:t>
      </w:r>
    </w:p>
    <w:p w:rsidR="00605489" w:rsidRPr="00605489" w:rsidRDefault="00605489" w:rsidP="00276C87">
      <w:r w:rsidRPr="00605489">
        <w:t xml:space="preserve">Small findings observed in repeat-dose toxicity studies in rats and monkeys were not considered to be of toxicological relevance (including the coagulation system), as they appeared in single animals only, did not correlate with clinical pathology or pathology findings, were not consistent between species or over time, were within the range of absolute values of control treated animals, or were not dose dependent. A comparable safety profile to the licensed, </w:t>
      </w:r>
      <w:proofErr w:type="spellStart"/>
      <w:r w:rsidRPr="00605489">
        <w:t>rFIX</w:t>
      </w:r>
      <w:proofErr w:type="spellEnd"/>
      <w:r w:rsidRPr="00605489">
        <w:t xml:space="preserve"> product was observed for </w:t>
      </w:r>
      <w:r w:rsidR="0051223A">
        <w:t>Rixubis</w:t>
      </w:r>
      <w:r w:rsidRPr="00605489">
        <w:t xml:space="preserve"> at similar doses in the single dose toxicity studies in mice and </w:t>
      </w:r>
      <w:proofErr w:type="spellStart"/>
      <w:r w:rsidRPr="00605489">
        <w:t>cynomolgus</w:t>
      </w:r>
      <w:proofErr w:type="spellEnd"/>
      <w:r w:rsidRPr="00605489">
        <w:t xml:space="preserve"> monkeys, and in repeated dose toxicity studies </w:t>
      </w:r>
      <w:r w:rsidR="00276C87">
        <w:t xml:space="preserve">in rats and </w:t>
      </w:r>
      <w:proofErr w:type="spellStart"/>
      <w:r w:rsidR="00276C87">
        <w:t>cynomolgus</w:t>
      </w:r>
      <w:proofErr w:type="spellEnd"/>
      <w:r w:rsidR="00276C87">
        <w:t xml:space="preserve"> monkeys.</w:t>
      </w:r>
    </w:p>
    <w:p w:rsidR="00605489" w:rsidRPr="00605489" w:rsidRDefault="00605489" w:rsidP="00276C87">
      <w:r w:rsidRPr="00605489">
        <w:t xml:space="preserve">When the animals were given repeated doses (every other day) of </w:t>
      </w:r>
      <w:proofErr w:type="spellStart"/>
      <w:r w:rsidR="0051223A">
        <w:t>Rixubis</w:t>
      </w:r>
      <w:proofErr w:type="spellEnd"/>
      <w:r w:rsidRPr="00605489">
        <w:t xml:space="preserve"> and </w:t>
      </w:r>
      <w:proofErr w:type="spellStart"/>
      <w:r w:rsidRPr="00605489">
        <w:t>BeneFIX</w:t>
      </w:r>
      <w:proofErr w:type="spellEnd"/>
      <w:r w:rsidRPr="00605489">
        <w:t xml:space="preserve"> IV, no toxic effects were observed in rats or monkeys at exposures </w:t>
      </w:r>
      <w:r>
        <w:t xml:space="preserve">three to </w:t>
      </w:r>
      <w:r w:rsidRPr="00605489">
        <w:t>16 times higher than those observed in humans at the maximum prophylactic clinical dose (75 IU/kg). Higher doses are possible (</w:t>
      </w:r>
      <w:r>
        <w:t xml:space="preserve">for example, </w:t>
      </w:r>
      <w:r w:rsidRPr="00605489">
        <w:t>for bleeding episodes or surgical prophylaxis), therefore for this situation, the relative exposure would be ex</w:t>
      </w:r>
      <w:r w:rsidR="00276C87">
        <w:t>pected to be lower.</w:t>
      </w:r>
    </w:p>
    <w:p w:rsidR="00605489" w:rsidRPr="00605489" w:rsidRDefault="00605489" w:rsidP="00276C87">
      <w:r w:rsidRPr="00605489">
        <w:t xml:space="preserve">Given that the results from the rat and monkey repeated dose toxicity studies suggest some margin of safety, and given that the only observed toxicities were presumably due to the development of neutralising antibodies, and that exposures and antibody development </w:t>
      </w:r>
      <w:r w:rsidRPr="00605489">
        <w:lastRenderedPageBreak/>
        <w:t xml:space="preserve">were comparable between </w:t>
      </w:r>
      <w:proofErr w:type="spellStart"/>
      <w:r w:rsidR="0051223A">
        <w:t>Rixubis</w:t>
      </w:r>
      <w:proofErr w:type="spellEnd"/>
      <w:r w:rsidRPr="00605489">
        <w:t xml:space="preserve"> and </w:t>
      </w:r>
      <w:proofErr w:type="spellStart"/>
      <w:r w:rsidRPr="00605489">
        <w:t>BeneFIX</w:t>
      </w:r>
      <w:proofErr w:type="spellEnd"/>
      <w:r w:rsidRPr="00605489">
        <w:t xml:space="preserve">, it seems reasonable to conclude that the toxicity profile of </w:t>
      </w:r>
      <w:r w:rsidR="0051223A">
        <w:t>Rixubis</w:t>
      </w:r>
      <w:r w:rsidRPr="00605489">
        <w:t xml:space="preserve"> after repeated dose administration is comparable to </w:t>
      </w:r>
      <w:proofErr w:type="spellStart"/>
      <w:r w:rsidRPr="00605489">
        <w:t>BeneFIX</w:t>
      </w:r>
      <w:proofErr w:type="spellEnd"/>
      <w:r w:rsidRPr="00605489">
        <w:t>.</w:t>
      </w:r>
    </w:p>
    <w:p w:rsidR="00605489" w:rsidRPr="00276C87" w:rsidRDefault="00605489" w:rsidP="00276C87">
      <w:pPr>
        <w:pStyle w:val="Heading4"/>
      </w:pPr>
      <w:r w:rsidRPr="00605489">
        <w:t>Relative exposure</w:t>
      </w:r>
    </w:p>
    <w:p w:rsidR="00605489" w:rsidRPr="00605489" w:rsidRDefault="00605489" w:rsidP="00276C87">
      <w:r w:rsidRPr="00605489">
        <w:t xml:space="preserve">Exposure levels (AUC-based) of </w:t>
      </w:r>
      <w:proofErr w:type="spellStart"/>
      <w:r w:rsidR="0051223A">
        <w:t>Rixubis</w:t>
      </w:r>
      <w:proofErr w:type="spellEnd"/>
      <w:r w:rsidRPr="00605489">
        <w:t xml:space="preserve"> and </w:t>
      </w:r>
      <w:proofErr w:type="spellStart"/>
      <w:r w:rsidRPr="00605489">
        <w:t>BeneFIX</w:t>
      </w:r>
      <w:proofErr w:type="spellEnd"/>
      <w:r w:rsidRPr="00605489">
        <w:t xml:space="preserve"> in the submitted repeat dose toxicity studies were compared with exposure data for both products in patients with haemophilia B in comparative clinical trials at 75 IU/kg IV. Obviously, relative exposure ratios would be lower for higher clinical doses of </w:t>
      </w:r>
      <w:r w:rsidR="0051223A">
        <w:t>Rixubis</w:t>
      </w:r>
      <w:r w:rsidRPr="00605489">
        <w:t>.</w:t>
      </w:r>
    </w:p>
    <w:p w:rsidR="00605489" w:rsidRPr="00605489" w:rsidRDefault="00605489" w:rsidP="00276C87">
      <w:r w:rsidRPr="00605489">
        <w:t xml:space="preserve">Exposure ratios have been calculated based on </w:t>
      </w:r>
      <w:proofErr w:type="spellStart"/>
      <w:r w:rsidRPr="00605489">
        <w:t>animal</w:t>
      </w:r>
      <w:proofErr w:type="gramStart"/>
      <w:r w:rsidRPr="00605489">
        <w:t>:human</w:t>
      </w:r>
      <w:proofErr w:type="spellEnd"/>
      <w:proofErr w:type="gramEnd"/>
      <w:r w:rsidRPr="00605489">
        <w:t xml:space="preserve"> weekly exposure (this value was obtained by extrapolation from AUC</w:t>
      </w:r>
      <w:r w:rsidRPr="00FB54A6">
        <w:rPr>
          <w:vertAlign w:val="subscript"/>
        </w:rPr>
        <w:t xml:space="preserve">0-48h </w:t>
      </w:r>
      <w:r w:rsidRPr="00605489">
        <w:t>in rats and monkeys, and AUC</w:t>
      </w:r>
      <w:r w:rsidRPr="00FB54A6">
        <w:rPr>
          <w:vertAlign w:val="subscript"/>
        </w:rPr>
        <w:t xml:space="preserve">0-72h </w:t>
      </w:r>
      <w:r w:rsidRPr="00605489">
        <w:t>in humans). The level of exposure in the repeat-dose toxicity studies was moderate to high (</w:t>
      </w:r>
      <w:r w:rsidR="00FB54A6">
        <w:t>three to 1</w:t>
      </w:r>
      <w:r w:rsidRPr="00605489">
        <w:t>6</w:t>
      </w:r>
      <w:r w:rsidRPr="00605489">
        <w:noBreakHyphen/>
        <w:t>fold).</w:t>
      </w:r>
    </w:p>
    <w:p w:rsidR="00605489" w:rsidRPr="00276C87" w:rsidRDefault="00FB54A6" w:rsidP="00276C87">
      <w:pPr>
        <w:pStyle w:val="TableTitle"/>
      </w:pPr>
      <w:r>
        <w:t xml:space="preserve">Table </w:t>
      </w:r>
      <w:r w:rsidR="00CB4566">
        <w:t>4</w:t>
      </w:r>
      <w:r>
        <w:t xml:space="preserve">: </w:t>
      </w:r>
      <w:r w:rsidR="00605489" w:rsidRPr="00605489">
        <w:t>Relative exposure in repeat-dose toxicity studies</w:t>
      </w:r>
    </w:p>
    <w:tbl>
      <w:tblPr>
        <w:tblStyle w:val="TableTGAblue"/>
        <w:tblW w:w="8747" w:type="dxa"/>
        <w:tblLayout w:type="fixed"/>
        <w:tblLook w:val="01E0" w:firstRow="1" w:lastRow="1" w:firstColumn="1" w:lastColumn="1" w:noHBand="0" w:noVBand="0"/>
      </w:tblPr>
      <w:tblGrid>
        <w:gridCol w:w="1809"/>
        <w:gridCol w:w="1418"/>
        <w:gridCol w:w="1417"/>
        <w:gridCol w:w="910"/>
        <w:gridCol w:w="1133"/>
        <w:gridCol w:w="924"/>
        <w:gridCol w:w="1136"/>
      </w:tblGrid>
      <w:tr w:rsidR="00FB54A6" w:rsidRPr="00605489" w:rsidTr="009701E8">
        <w:trPr>
          <w:cnfStyle w:val="100000000000" w:firstRow="1" w:lastRow="0" w:firstColumn="0" w:lastColumn="0" w:oddVBand="0" w:evenVBand="0" w:oddHBand="0" w:evenHBand="0" w:firstRowFirstColumn="0" w:firstRowLastColumn="0" w:lastRowFirstColumn="0" w:lastRowLastColumn="0"/>
          <w:trHeight w:val="786"/>
        </w:trPr>
        <w:tc>
          <w:tcPr>
            <w:tcW w:w="1809" w:type="dxa"/>
            <w:vMerge w:val="restart"/>
          </w:tcPr>
          <w:p w:rsidR="00605489" w:rsidRPr="00FB54A6" w:rsidRDefault="00605489" w:rsidP="00276C87">
            <w:pPr>
              <w:ind w:left="0" w:right="33"/>
            </w:pPr>
            <w:r w:rsidRPr="00FB54A6">
              <w:t>Species</w:t>
            </w:r>
          </w:p>
        </w:tc>
        <w:tc>
          <w:tcPr>
            <w:tcW w:w="1418" w:type="dxa"/>
            <w:vMerge w:val="restart"/>
          </w:tcPr>
          <w:p w:rsidR="00605489" w:rsidRPr="00FB54A6" w:rsidRDefault="00605489" w:rsidP="00276C87">
            <w:pPr>
              <w:ind w:left="34" w:right="34"/>
            </w:pPr>
            <w:r w:rsidRPr="00FB54A6">
              <w:t>Study duration</w:t>
            </w:r>
          </w:p>
        </w:tc>
        <w:tc>
          <w:tcPr>
            <w:tcW w:w="1417" w:type="dxa"/>
            <w:vMerge w:val="restart"/>
          </w:tcPr>
          <w:p w:rsidR="00605489" w:rsidRPr="00FB54A6" w:rsidRDefault="00605489" w:rsidP="00276C87">
            <w:pPr>
              <w:ind w:left="34" w:right="33"/>
            </w:pPr>
            <w:r w:rsidRPr="00FB54A6">
              <w:t>Dose (IU/kg) IV</w:t>
            </w:r>
          </w:p>
        </w:tc>
        <w:tc>
          <w:tcPr>
            <w:tcW w:w="2043" w:type="dxa"/>
            <w:gridSpan w:val="2"/>
          </w:tcPr>
          <w:p w:rsidR="00605489" w:rsidRPr="00FB54A6" w:rsidRDefault="00605489" w:rsidP="00276C87">
            <w:pPr>
              <w:ind w:left="34" w:right="34"/>
            </w:pPr>
            <w:r w:rsidRPr="00FB54A6">
              <w:t>AUC (weekly)a (</w:t>
            </w:r>
            <w:proofErr w:type="spellStart"/>
            <w:r w:rsidRPr="00FB54A6">
              <w:t>IU.h</w:t>
            </w:r>
            <w:proofErr w:type="spellEnd"/>
            <w:r w:rsidRPr="00FB54A6">
              <w:t>/mL)</w:t>
            </w:r>
          </w:p>
        </w:tc>
        <w:tc>
          <w:tcPr>
            <w:tcW w:w="2060" w:type="dxa"/>
            <w:gridSpan w:val="2"/>
          </w:tcPr>
          <w:p w:rsidR="00605489" w:rsidRPr="00FB54A6" w:rsidRDefault="00605489" w:rsidP="00276C87">
            <w:pPr>
              <w:ind w:left="34" w:right="26"/>
            </w:pPr>
            <w:r w:rsidRPr="00FB54A6">
              <w:t>Exposure ratio#</w:t>
            </w:r>
          </w:p>
        </w:tc>
      </w:tr>
      <w:tr w:rsidR="00FB54A6" w:rsidRPr="00605489" w:rsidTr="009701E8">
        <w:trPr>
          <w:trHeight w:val="143"/>
        </w:trPr>
        <w:tc>
          <w:tcPr>
            <w:tcW w:w="1809" w:type="dxa"/>
            <w:vMerge/>
          </w:tcPr>
          <w:p w:rsidR="00605489" w:rsidRPr="00FB54A6" w:rsidRDefault="00605489" w:rsidP="00276C87">
            <w:pPr>
              <w:ind w:left="0" w:right="33"/>
            </w:pPr>
          </w:p>
        </w:tc>
        <w:tc>
          <w:tcPr>
            <w:tcW w:w="1418" w:type="dxa"/>
            <w:vMerge/>
          </w:tcPr>
          <w:p w:rsidR="00605489" w:rsidRPr="00FB54A6" w:rsidRDefault="00605489" w:rsidP="00276C87">
            <w:pPr>
              <w:ind w:left="34" w:right="34"/>
            </w:pPr>
          </w:p>
        </w:tc>
        <w:tc>
          <w:tcPr>
            <w:tcW w:w="1417" w:type="dxa"/>
            <w:vMerge/>
          </w:tcPr>
          <w:p w:rsidR="00605489" w:rsidRPr="00FB54A6" w:rsidRDefault="00605489" w:rsidP="00276C87">
            <w:pPr>
              <w:ind w:left="34" w:right="33"/>
            </w:pPr>
          </w:p>
        </w:tc>
        <w:tc>
          <w:tcPr>
            <w:tcW w:w="910" w:type="dxa"/>
          </w:tcPr>
          <w:p w:rsidR="00605489" w:rsidRPr="00FB54A6" w:rsidRDefault="00605489" w:rsidP="00276C87">
            <w:pPr>
              <w:ind w:left="34" w:right="34"/>
            </w:pPr>
            <w:r w:rsidRPr="00FB54A6">
              <w:t>Males</w:t>
            </w:r>
          </w:p>
        </w:tc>
        <w:tc>
          <w:tcPr>
            <w:tcW w:w="1133" w:type="dxa"/>
          </w:tcPr>
          <w:p w:rsidR="00605489" w:rsidRPr="00FB54A6" w:rsidRDefault="00605489" w:rsidP="00276C87">
            <w:pPr>
              <w:ind w:left="34" w:right="34"/>
            </w:pPr>
            <w:r w:rsidRPr="00FB54A6">
              <w:t>Females</w:t>
            </w:r>
          </w:p>
        </w:tc>
        <w:tc>
          <w:tcPr>
            <w:tcW w:w="924" w:type="dxa"/>
          </w:tcPr>
          <w:p w:rsidR="00605489" w:rsidRPr="00FB54A6" w:rsidRDefault="00605489" w:rsidP="00276C87">
            <w:pPr>
              <w:ind w:left="34" w:right="26"/>
            </w:pPr>
            <w:r w:rsidRPr="00FB54A6">
              <w:t>Males</w:t>
            </w:r>
          </w:p>
        </w:tc>
        <w:tc>
          <w:tcPr>
            <w:tcW w:w="1136" w:type="dxa"/>
          </w:tcPr>
          <w:p w:rsidR="00605489" w:rsidRPr="00FB54A6" w:rsidRDefault="00605489" w:rsidP="00276C87">
            <w:pPr>
              <w:ind w:left="34" w:right="26"/>
            </w:pPr>
            <w:r w:rsidRPr="00FB54A6">
              <w:t>Females</w:t>
            </w:r>
          </w:p>
        </w:tc>
      </w:tr>
      <w:tr w:rsidR="00FB54A6" w:rsidRPr="00605489" w:rsidTr="009701E8">
        <w:trPr>
          <w:trHeight w:val="225"/>
        </w:trPr>
        <w:tc>
          <w:tcPr>
            <w:tcW w:w="1809" w:type="dxa"/>
            <w:vMerge w:val="restart"/>
          </w:tcPr>
          <w:p w:rsidR="00605489" w:rsidRPr="00FB54A6" w:rsidRDefault="00605489" w:rsidP="00276C87">
            <w:pPr>
              <w:ind w:left="0" w:right="33"/>
            </w:pPr>
            <w:r w:rsidRPr="00FB54A6">
              <w:t>Rat</w:t>
            </w:r>
            <w:r w:rsidRPr="00FB54A6">
              <w:br/>
              <w:t>(SD)</w:t>
            </w:r>
          </w:p>
        </w:tc>
        <w:tc>
          <w:tcPr>
            <w:tcW w:w="1418" w:type="dxa"/>
            <w:vMerge w:val="restart"/>
          </w:tcPr>
          <w:p w:rsidR="00605489" w:rsidRPr="00FB54A6" w:rsidRDefault="00605489" w:rsidP="00276C87">
            <w:pPr>
              <w:ind w:left="34" w:right="34"/>
            </w:pPr>
            <w:r w:rsidRPr="00FB54A6">
              <w:t>1 month</w:t>
            </w:r>
          </w:p>
        </w:tc>
        <w:tc>
          <w:tcPr>
            <w:tcW w:w="1417" w:type="dxa"/>
          </w:tcPr>
          <w:p w:rsidR="00605489" w:rsidRPr="00FB54A6" w:rsidRDefault="00605489" w:rsidP="00276C87">
            <w:pPr>
              <w:ind w:left="34" w:right="33"/>
            </w:pPr>
            <w:r w:rsidRPr="00FB54A6">
              <w:t>200 (</w:t>
            </w:r>
            <w:proofErr w:type="spellStart"/>
            <w:r w:rsidRPr="00FB54A6">
              <w:t>rFIX</w:t>
            </w:r>
            <w:proofErr w:type="spellEnd"/>
            <w:r w:rsidRPr="00FB54A6">
              <w:t>)</w:t>
            </w:r>
          </w:p>
        </w:tc>
        <w:tc>
          <w:tcPr>
            <w:tcW w:w="910" w:type="dxa"/>
          </w:tcPr>
          <w:p w:rsidR="00605489" w:rsidRPr="00FB54A6" w:rsidRDefault="00605489" w:rsidP="00276C87">
            <w:pPr>
              <w:ind w:left="34" w:right="34"/>
            </w:pPr>
            <w:r w:rsidRPr="00FB54A6">
              <w:t>29</w:t>
            </w:r>
          </w:p>
        </w:tc>
        <w:tc>
          <w:tcPr>
            <w:tcW w:w="1133" w:type="dxa"/>
          </w:tcPr>
          <w:p w:rsidR="00605489" w:rsidRPr="00FB54A6" w:rsidRDefault="00605489" w:rsidP="00276C87">
            <w:pPr>
              <w:ind w:left="34" w:right="34"/>
            </w:pPr>
            <w:r w:rsidRPr="00FB54A6">
              <w:t>25</w:t>
            </w:r>
          </w:p>
        </w:tc>
        <w:tc>
          <w:tcPr>
            <w:tcW w:w="924" w:type="dxa"/>
          </w:tcPr>
          <w:p w:rsidR="00605489" w:rsidRPr="00FB54A6" w:rsidRDefault="00605489" w:rsidP="00276C87">
            <w:pPr>
              <w:ind w:left="34" w:right="26"/>
            </w:pPr>
            <w:r w:rsidRPr="00FB54A6">
              <w:t>1.5</w:t>
            </w:r>
          </w:p>
        </w:tc>
        <w:tc>
          <w:tcPr>
            <w:tcW w:w="1136" w:type="dxa"/>
          </w:tcPr>
          <w:p w:rsidR="00605489" w:rsidRPr="00FB54A6" w:rsidRDefault="00605489" w:rsidP="00276C87">
            <w:pPr>
              <w:ind w:left="34" w:right="26"/>
            </w:pPr>
            <w:r w:rsidRPr="00FB54A6">
              <w:t>1.2</w:t>
            </w:r>
          </w:p>
        </w:tc>
      </w:tr>
      <w:tr w:rsidR="00FB54A6" w:rsidRPr="00605489" w:rsidTr="009701E8">
        <w:trPr>
          <w:trHeight w:val="225"/>
        </w:trPr>
        <w:tc>
          <w:tcPr>
            <w:tcW w:w="1809" w:type="dxa"/>
            <w:vMerge/>
          </w:tcPr>
          <w:p w:rsidR="00605489" w:rsidRPr="00FB54A6" w:rsidRDefault="00605489" w:rsidP="00276C87">
            <w:pPr>
              <w:ind w:left="0" w:right="33"/>
            </w:pPr>
          </w:p>
        </w:tc>
        <w:tc>
          <w:tcPr>
            <w:tcW w:w="1418" w:type="dxa"/>
            <w:vMerge/>
          </w:tcPr>
          <w:p w:rsidR="00605489" w:rsidRPr="00FB54A6" w:rsidRDefault="00605489" w:rsidP="00276C87">
            <w:pPr>
              <w:ind w:left="34" w:right="34"/>
            </w:pPr>
          </w:p>
        </w:tc>
        <w:tc>
          <w:tcPr>
            <w:tcW w:w="1417" w:type="dxa"/>
          </w:tcPr>
          <w:p w:rsidR="00605489" w:rsidRPr="00FB54A6" w:rsidRDefault="00605489" w:rsidP="00276C87">
            <w:pPr>
              <w:ind w:left="34" w:right="33"/>
            </w:pPr>
            <w:r w:rsidRPr="00FB54A6">
              <w:t>200</w:t>
            </w:r>
          </w:p>
        </w:tc>
        <w:tc>
          <w:tcPr>
            <w:tcW w:w="910" w:type="dxa"/>
          </w:tcPr>
          <w:p w:rsidR="00605489" w:rsidRPr="00FB54A6" w:rsidRDefault="00605489" w:rsidP="00276C87">
            <w:pPr>
              <w:ind w:left="34" w:right="34"/>
            </w:pPr>
            <w:r w:rsidRPr="00FB54A6">
              <w:t>22</w:t>
            </w:r>
          </w:p>
        </w:tc>
        <w:tc>
          <w:tcPr>
            <w:tcW w:w="1133" w:type="dxa"/>
          </w:tcPr>
          <w:p w:rsidR="00605489" w:rsidRPr="00FB54A6" w:rsidRDefault="00605489" w:rsidP="00276C87">
            <w:pPr>
              <w:ind w:left="34" w:right="34"/>
            </w:pPr>
            <w:r w:rsidRPr="00FB54A6">
              <w:t>22</w:t>
            </w:r>
          </w:p>
        </w:tc>
        <w:tc>
          <w:tcPr>
            <w:tcW w:w="924" w:type="dxa"/>
          </w:tcPr>
          <w:p w:rsidR="00605489" w:rsidRPr="00FB54A6" w:rsidRDefault="00605489" w:rsidP="00276C87">
            <w:pPr>
              <w:ind w:left="34" w:right="26"/>
            </w:pPr>
            <w:r w:rsidRPr="00FB54A6">
              <w:t>1.0</w:t>
            </w:r>
          </w:p>
        </w:tc>
        <w:tc>
          <w:tcPr>
            <w:tcW w:w="1136" w:type="dxa"/>
          </w:tcPr>
          <w:p w:rsidR="00605489" w:rsidRPr="00FB54A6" w:rsidRDefault="00605489" w:rsidP="00276C87">
            <w:pPr>
              <w:ind w:left="34" w:right="26"/>
            </w:pPr>
            <w:r w:rsidRPr="00FB54A6">
              <w:t>1.0</w:t>
            </w:r>
          </w:p>
        </w:tc>
      </w:tr>
      <w:tr w:rsidR="00FB54A6" w:rsidRPr="00605489" w:rsidTr="009701E8">
        <w:trPr>
          <w:trHeight w:val="225"/>
        </w:trPr>
        <w:tc>
          <w:tcPr>
            <w:tcW w:w="1809" w:type="dxa"/>
            <w:vMerge/>
          </w:tcPr>
          <w:p w:rsidR="00605489" w:rsidRPr="00FB54A6" w:rsidRDefault="00605489" w:rsidP="00276C87">
            <w:pPr>
              <w:ind w:left="0" w:right="33"/>
            </w:pPr>
          </w:p>
        </w:tc>
        <w:tc>
          <w:tcPr>
            <w:tcW w:w="1418" w:type="dxa"/>
            <w:vMerge/>
          </w:tcPr>
          <w:p w:rsidR="00605489" w:rsidRPr="00FB54A6" w:rsidRDefault="00605489" w:rsidP="00276C87">
            <w:pPr>
              <w:ind w:left="34" w:right="34"/>
            </w:pPr>
          </w:p>
        </w:tc>
        <w:tc>
          <w:tcPr>
            <w:tcW w:w="1417" w:type="dxa"/>
          </w:tcPr>
          <w:p w:rsidR="00605489" w:rsidRPr="00FB54A6" w:rsidRDefault="00605489" w:rsidP="00276C87">
            <w:pPr>
              <w:ind w:left="34" w:right="33"/>
            </w:pPr>
            <w:r w:rsidRPr="00FB54A6">
              <w:t>750</w:t>
            </w:r>
          </w:p>
        </w:tc>
        <w:tc>
          <w:tcPr>
            <w:tcW w:w="910" w:type="dxa"/>
          </w:tcPr>
          <w:p w:rsidR="00605489" w:rsidRPr="00FB54A6" w:rsidRDefault="00605489" w:rsidP="00276C87">
            <w:pPr>
              <w:ind w:left="34" w:right="34"/>
            </w:pPr>
            <w:r w:rsidRPr="00FB54A6">
              <w:t>77</w:t>
            </w:r>
          </w:p>
        </w:tc>
        <w:tc>
          <w:tcPr>
            <w:tcW w:w="1133" w:type="dxa"/>
          </w:tcPr>
          <w:p w:rsidR="00605489" w:rsidRPr="00FB54A6" w:rsidRDefault="00605489" w:rsidP="00276C87">
            <w:pPr>
              <w:ind w:left="34" w:right="34"/>
            </w:pPr>
            <w:r w:rsidRPr="00FB54A6">
              <w:t>58</w:t>
            </w:r>
          </w:p>
        </w:tc>
        <w:tc>
          <w:tcPr>
            <w:tcW w:w="924" w:type="dxa"/>
          </w:tcPr>
          <w:p w:rsidR="00605489" w:rsidRPr="00FB54A6" w:rsidRDefault="00605489" w:rsidP="00276C87">
            <w:pPr>
              <w:ind w:left="34" w:right="26"/>
            </w:pPr>
            <w:r w:rsidRPr="00FB54A6">
              <w:t>3.6</w:t>
            </w:r>
          </w:p>
        </w:tc>
        <w:tc>
          <w:tcPr>
            <w:tcW w:w="1136" w:type="dxa"/>
          </w:tcPr>
          <w:p w:rsidR="00605489" w:rsidRPr="00FB54A6" w:rsidRDefault="00605489" w:rsidP="00276C87">
            <w:pPr>
              <w:ind w:left="34" w:right="26"/>
            </w:pPr>
            <w:r w:rsidRPr="00FB54A6">
              <w:t>2.7</w:t>
            </w:r>
          </w:p>
        </w:tc>
      </w:tr>
      <w:tr w:rsidR="00FB54A6" w:rsidRPr="00605489" w:rsidTr="009701E8">
        <w:trPr>
          <w:trHeight w:val="225"/>
        </w:trPr>
        <w:tc>
          <w:tcPr>
            <w:tcW w:w="1809" w:type="dxa"/>
            <w:vMerge w:val="restart"/>
          </w:tcPr>
          <w:p w:rsidR="00605489" w:rsidRPr="00FB54A6" w:rsidRDefault="00605489" w:rsidP="00276C87">
            <w:pPr>
              <w:ind w:left="0" w:right="33"/>
            </w:pPr>
            <w:r w:rsidRPr="00FB54A6">
              <w:t>Monkey</w:t>
            </w:r>
            <w:r w:rsidRPr="00FB54A6">
              <w:br/>
              <w:t>(</w:t>
            </w:r>
            <w:proofErr w:type="spellStart"/>
            <w:r w:rsidRPr="00FB54A6">
              <w:t>Cynomolgus</w:t>
            </w:r>
            <w:proofErr w:type="spellEnd"/>
            <w:r w:rsidRPr="00FB54A6">
              <w:t>)</w:t>
            </w:r>
          </w:p>
        </w:tc>
        <w:tc>
          <w:tcPr>
            <w:tcW w:w="1418" w:type="dxa"/>
            <w:vMerge w:val="restart"/>
          </w:tcPr>
          <w:p w:rsidR="00605489" w:rsidRPr="00FB54A6" w:rsidRDefault="00605489" w:rsidP="00276C87">
            <w:pPr>
              <w:ind w:left="34" w:right="34"/>
            </w:pPr>
            <w:r w:rsidRPr="00FB54A6">
              <w:t>1 month</w:t>
            </w:r>
          </w:p>
        </w:tc>
        <w:tc>
          <w:tcPr>
            <w:tcW w:w="1417" w:type="dxa"/>
          </w:tcPr>
          <w:p w:rsidR="00605489" w:rsidRPr="00FB54A6" w:rsidRDefault="00605489" w:rsidP="00276C87">
            <w:pPr>
              <w:ind w:left="34" w:right="33"/>
            </w:pPr>
            <w:r w:rsidRPr="00FB54A6">
              <w:t>200 (</w:t>
            </w:r>
            <w:proofErr w:type="spellStart"/>
            <w:r w:rsidRPr="00FB54A6">
              <w:t>rFIX</w:t>
            </w:r>
            <w:proofErr w:type="spellEnd"/>
            <w:r w:rsidRPr="00FB54A6">
              <w:t>)</w:t>
            </w:r>
          </w:p>
        </w:tc>
        <w:tc>
          <w:tcPr>
            <w:tcW w:w="910" w:type="dxa"/>
          </w:tcPr>
          <w:p w:rsidR="00605489" w:rsidRPr="00FB54A6" w:rsidRDefault="00605489" w:rsidP="00276C87">
            <w:pPr>
              <w:ind w:left="34" w:right="34"/>
            </w:pPr>
            <w:r w:rsidRPr="00FB54A6">
              <w:t>63</w:t>
            </w:r>
          </w:p>
        </w:tc>
        <w:tc>
          <w:tcPr>
            <w:tcW w:w="1133" w:type="dxa"/>
          </w:tcPr>
          <w:p w:rsidR="00605489" w:rsidRPr="00FB54A6" w:rsidRDefault="00605489" w:rsidP="00276C87">
            <w:pPr>
              <w:ind w:left="34" w:right="34"/>
            </w:pPr>
            <w:r w:rsidRPr="00FB54A6">
              <w:t>69</w:t>
            </w:r>
          </w:p>
        </w:tc>
        <w:tc>
          <w:tcPr>
            <w:tcW w:w="924" w:type="dxa"/>
          </w:tcPr>
          <w:p w:rsidR="00605489" w:rsidRPr="00FB54A6" w:rsidRDefault="00605489" w:rsidP="00276C87">
            <w:pPr>
              <w:ind w:left="34" w:right="26"/>
            </w:pPr>
            <w:r w:rsidRPr="00FB54A6">
              <w:t>3.1</w:t>
            </w:r>
          </w:p>
        </w:tc>
        <w:tc>
          <w:tcPr>
            <w:tcW w:w="1136" w:type="dxa"/>
          </w:tcPr>
          <w:p w:rsidR="00605489" w:rsidRPr="00FB54A6" w:rsidRDefault="00605489" w:rsidP="00276C87">
            <w:pPr>
              <w:ind w:left="34" w:right="26"/>
            </w:pPr>
            <w:r w:rsidRPr="00FB54A6">
              <w:t>3.4</w:t>
            </w:r>
          </w:p>
        </w:tc>
      </w:tr>
      <w:tr w:rsidR="00FB54A6" w:rsidRPr="00605489" w:rsidTr="009701E8">
        <w:trPr>
          <w:trHeight w:val="225"/>
        </w:trPr>
        <w:tc>
          <w:tcPr>
            <w:tcW w:w="1809" w:type="dxa"/>
            <w:vMerge/>
          </w:tcPr>
          <w:p w:rsidR="00605489" w:rsidRPr="00FB54A6" w:rsidRDefault="00605489" w:rsidP="00276C87">
            <w:pPr>
              <w:ind w:left="0" w:right="33"/>
            </w:pPr>
          </w:p>
        </w:tc>
        <w:tc>
          <w:tcPr>
            <w:tcW w:w="1418" w:type="dxa"/>
            <w:vMerge/>
          </w:tcPr>
          <w:p w:rsidR="00605489" w:rsidRPr="00FB54A6" w:rsidRDefault="00605489" w:rsidP="00276C87">
            <w:pPr>
              <w:ind w:left="34" w:right="34"/>
            </w:pPr>
          </w:p>
        </w:tc>
        <w:tc>
          <w:tcPr>
            <w:tcW w:w="1417" w:type="dxa"/>
          </w:tcPr>
          <w:p w:rsidR="00605489" w:rsidRPr="00FB54A6" w:rsidRDefault="00605489" w:rsidP="00276C87">
            <w:pPr>
              <w:ind w:left="34" w:right="33"/>
            </w:pPr>
            <w:r w:rsidRPr="00FB54A6">
              <w:t>200</w:t>
            </w:r>
          </w:p>
        </w:tc>
        <w:tc>
          <w:tcPr>
            <w:tcW w:w="910" w:type="dxa"/>
          </w:tcPr>
          <w:p w:rsidR="00605489" w:rsidRPr="00FB54A6" w:rsidRDefault="00605489" w:rsidP="00276C87">
            <w:pPr>
              <w:ind w:left="34" w:right="34"/>
            </w:pPr>
            <w:r w:rsidRPr="00FB54A6">
              <w:t>107</w:t>
            </w:r>
          </w:p>
        </w:tc>
        <w:tc>
          <w:tcPr>
            <w:tcW w:w="1133" w:type="dxa"/>
          </w:tcPr>
          <w:p w:rsidR="00605489" w:rsidRPr="00FB54A6" w:rsidRDefault="00605489" w:rsidP="00276C87">
            <w:pPr>
              <w:ind w:left="34" w:right="34"/>
            </w:pPr>
            <w:r w:rsidRPr="00FB54A6">
              <w:t>63</w:t>
            </w:r>
          </w:p>
        </w:tc>
        <w:tc>
          <w:tcPr>
            <w:tcW w:w="924" w:type="dxa"/>
          </w:tcPr>
          <w:p w:rsidR="00605489" w:rsidRPr="00FB54A6" w:rsidRDefault="00605489" w:rsidP="00276C87">
            <w:pPr>
              <w:ind w:left="34" w:right="26"/>
            </w:pPr>
            <w:r w:rsidRPr="00FB54A6">
              <w:t>5.0</w:t>
            </w:r>
          </w:p>
        </w:tc>
        <w:tc>
          <w:tcPr>
            <w:tcW w:w="1136" w:type="dxa"/>
          </w:tcPr>
          <w:p w:rsidR="00605489" w:rsidRPr="00FB54A6" w:rsidRDefault="00605489" w:rsidP="00276C87">
            <w:pPr>
              <w:ind w:left="34" w:right="26"/>
            </w:pPr>
            <w:r w:rsidRPr="00FB54A6">
              <w:t>3.0</w:t>
            </w:r>
          </w:p>
        </w:tc>
      </w:tr>
      <w:tr w:rsidR="00FB54A6" w:rsidRPr="00605489" w:rsidTr="009701E8">
        <w:trPr>
          <w:trHeight w:val="225"/>
        </w:trPr>
        <w:tc>
          <w:tcPr>
            <w:tcW w:w="1809" w:type="dxa"/>
            <w:vMerge/>
          </w:tcPr>
          <w:p w:rsidR="00605489" w:rsidRPr="00FB54A6" w:rsidRDefault="00605489" w:rsidP="00276C87">
            <w:pPr>
              <w:ind w:left="0" w:right="33"/>
            </w:pPr>
          </w:p>
        </w:tc>
        <w:tc>
          <w:tcPr>
            <w:tcW w:w="1418" w:type="dxa"/>
            <w:vMerge/>
          </w:tcPr>
          <w:p w:rsidR="00605489" w:rsidRPr="00FB54A6" w:rsidRDefault="00605489" w:rsidP="00276C87">
            <w:pPr>
              <w:ind w:left="34" w:right="34"/>
            </w:pPr>
          </w:p>
        </w:tc>
        <w:tc>
          <w:tcPr>
            <w:tcW w:w="1417" w:type="dxa"/>
          </w:tcPr>
          <w:p w:rsidR="00605489" w:rsidRPr="00FB54A6" w:rsidRDefault="00605489" w:rsidP="00276C87">
            <w:pPr>
              <w:ind w:left="34" w:right="33"/>
            </w:pPr>
            <w:r w:rsidRPr="00FB54A6">
              <w:t>750</w:t>
            </w:r>
          </w:p>
        </w:tc>
        <w:tc>
          <w:tcPr>
            <w:tcW w:w="910" w:type="dxa"/>
          </w:tcPr>
          <w:p w:rsidR="00605489" w:rsidRPr="00FB54A6" w:rsidRDefault="00605489" w:rsidP="00276C87">
            <w:pPr>
              <w:ind w:left="34" w:right="34"/>
            </w:pPr>
            <w:r w:rsidRPr="00FB54A6">
              <w:t>340</w:t>
            </w:r>
          </w:p>
        </w:tc>
        <w:tc>
          <w:tcPr>
            <w:tcW w:w="1133" w:type="dxa"/>
          </w:tcPr>
          <w:p w:rsidR="00605489" w:rsidRPr="00FB54A6" w:rsidRDefault="00605489" w:rsidP="00276C87">
            <w:pPr>
              <w:ind w:left="34" w:right="34"/>
            </w:pPr>
            <w:r w:rsidRPr="00FB54A6">
              <w:t>280</w:t>
            </w:r>
          </w:p>
        </w:tc>
        <w:tc>
          <w:tcPr>
            <w:tcW w:w="924" w:type="dxa"/>
          </w:tcPr>
          <w:p w:rsidR="00605489" w:rsidRPr="00FB54A6" w:rsidRDefault="00605489" w:rsidP="00276C87">
            <w:pPr>
              <w:ind w:left="34" w:right="26"/>
            </w:pPr>
            <w:r w:rsidRPr="00FB54A6">
              <w:t>15.9</w:t>
            </w:r>
          </w:p>
        </w:tc>
        <w:tc>
          <w:tcPr>
            <w:tcW w:w="1136" w:type="dxa"/>
          </w:tcPr>
          <w:p w:rsidR="00605489" w:rsidRPr="00FB54A6" w:rsidRDefault="00605489" w:rsidP="00276C87">
            <w:pPr>
              <w:ind w:left="34" w:right="26"/>
            </w:pPr>
            <w:r w:rsidRPr="00FB54A6">
              <w:t>13.1</w:t>
            </w:r>
          </w:p>
        </w:tc>
      </w:tr>
      <w:tr w:rsidR="00FB54A6" w:rsidRPr="00605489" w:rsidTr="009701E8">
        <w:trPr>
          <w:trHeight w:val="225"/>
        </w:trPr>
        <w:tc>
          <w:tcPr>
            <w:tcW w:w="1809" w:type="dxa"/>
            <w:vMerge w:val="restart"/>
          </w:tcPr>
          <w:p w:rsidR="00605489" w:rsidRPr="00FB54A6" w:rsidRDefault="00605489" w:rsidP="00276C87">
            <w:pPr>
              <w:ind w:left="0" w:right="33"/>
            </w:pPr>
            <w:r w:rsidRPr="00FB54A6">
              <w:t>Human</w:t>
            </w:r>
            <w:r w:rsidRPr="00FB54A6">
              <w:br/>
              <w:t>(</w:t>
            </w:r>
            <w:proofErr w:type="spellStart"/>
            <w:r w:rsidRPr="00FB54A6">
              <w:t>non bleeding</w:t>
            </w:r>
            <w:proofErr w:type="spellEnd"/>
            <w:r w:rsidRPr="00FB54A6">
              <w:t xml:space="preserve"> male patients with Haemophilia B)</w:t>
            </w:r>
          </w:p>
        </w:tc>
        <w:tc>
          <w:tcPr>
            <w:tcW w:w="1418" w:type="dxa"/>
          </w:tcPr>
          <w:p w:rsidR="00605489" w:rsidRPr="00FB54A6" w:rsidRDefault="00605489" w:rsidP="00276C87">
            <w:pPr>
              <w:ind w:left="34" w:right="34"/>
            </w:pPr>
            <w:r w:rsidRPr="00FB54A6">
              <w:t xml:space="preserve">Single infusion of </w:t>
            </w:r>
            <w:r w:rsidR="0051223A">
              <w:t>Rixubis</w:t>
            </w:r>
          </w:p>
        </w:tc>
        <w:tc>
          <w:tcPr>
            <w:tcW w:w="1417" w:type="dxa"/>
          </w:tcPr>
          <w:p w:rsidR="00605489" w:rsidRPr="00FB54A6" w:rsidRDefault="00605489" w:rsidP="00276C87">
            <w:pPr>
              <w:ind w:left="34" w:right="33"/>
            </w:pPr>
            <w:r w:rsidRPr="00FB54A6">
              <w:t>75 IU/kg</w:t>
            </w:r>
          </w:p>
        </w:tc>
        <w:tc>
          <w:tcPr>
            <w:tcW w:w="2043" w:type="dxa"/>
            <w:gridSpan w:val="2"/>
          </w:tcPr>
          <w:p w:rsidR="00605489" w:rsidRPr="00FB54A6" w:rsidRDefault="00605489" w:rsidP="00276C87">
            <w:pPr>
              <w:ind w:left="34" w:right="34"/>
            </w:pPr>
            <w:r w:rsidRPr="00FB54A6">
              <w:t>21</w:t>
            </w:r>
          </w:p>
        </w:tc>
        <w:tc>
          <w:tcPr>
            <w:tcW w:w="2060" w:type="dxa"/>
            <w:gridSpan w:val="2"/>
          </w:tcPr>
          <w:p w:rsidR="00605489" w:rsidRPr="00FB54A6" w:rsidRDefault="00605489" w:rsidP="00276C87">
            <w:pPr>
              <w:ind w:left="34" w:right="26"/>
            </w:pPr>
            <w:r w:rsidRPr="00FB54A6">
              <w:t>–</w:t>
            </w:r>
          </w:p>
        </w:tc>
      </w:tr>
      <w:tr w:rsidR="00FB54A6" w:rsidRPr="00605489" w:rsidTr="009701E8">
        <w:trPr>
          <w:trHeight w:val="225"/>
        </w:trPr>
        <w:tc>
          <w:tcPr>
            <w:tcW w:w="1809" w:type="dxa"/>
            <w:vMerge/>
          </w:tcPr>
          <w:p w:rsidR="00605489" w:rsidRPr="00FB54A6" w:rsidRDefault="00605489" w:rsidP="00276C87">
            <w:pPr>
              <w:ind w:left="0" w:right="33"/>
            </w:pPr>
          </w:p>
        </w:tc>
        <w:tc>
          <w:tcPr>
            <w:tcW w:w="1418" w:type="dxa"/>
          </w:tcPr>
          <w:p w:rsidR="00605489" w:rsidRPr="00FB54A6" w:rsidRDefault="00605489" w:rsidP="00276C87">
            <w:pPr>
              <w:ind w:left="34" w:right="34"/>
            </w:pPr>
            <w:r w:rsidRPr="00FB54A6">
              <w:t xml:space="preserve">Single infusion of </w:t>
            </w:r>
            <w:proofErr w:type="spellStart"/>
            <w:r w:rsidRPr="00FB54A6">
              <w:t>BeneFIX</w:t>
            </w:r>
            <w:proofErr w:type="spellEnd"/>
          </w:p>
        </w:tc>
        <w:tc>
          <w:tcPr>
            <w:tcW w:w="1417" w:type="dxa"/>
          </w:tcPr>
          <w:p w:rsidR="00605489" w:rsidRPr="00FB54A6" w:rsidRDefault="00605489" w:rsidP="00276C87">
            <w:pPr>
              <w:ind w:left="34" w:right="33"/>
            </w:pPr>
            <w:r w:rsidRPr="00FB54A6">
              <w:t>75 IU/kg</w:t>
            </w:r>
          </w:p>
        </w:tc>
        <w:tc>
          <w:tcPr>
            <w:tcW w:w="2043" w:type="dxa"/>
            <w:gridSpan w:val="2"/>
          </w:tcPr>
          <w:p w:rsidR="00605489" w:rsidRPr="00FB54A6" w:rsidRDefault="00605489" w:rsidP="00276C87">
            <w:pPr>
              <w:ind w:left="34" w:right="34"/>
            </w:pPr>
            <w:r w:rsidRPr="00FB54A6">
              <w:t>20</w:t>
            </w:r>
          </w:p>
        </w:tc>
        <w:tc>
          <w:tcPr>
            <w:tcW w:w="2060" w:type="dxa"/>
            <w:gridSpan w:val="2"/>
          </w:tcPr>
          <w:p w:rsidR="00605489" w:rsidRPr="00FB54A6" w:rsidRDefault="00605489" w:rsidP="00276C87">
            <w:pPr>
              <w:ind w:left="34" w:right="26"/>
            </w:pPr>
            <w:r w:rsidRPr="00FB54A6">
              <w:t>–</w:t>
            </w:r>
          </w:p>
        </w:tc>
      </w:tr>
    </w:tbl>
    <w:p w:rsidR="00605489" w:rsidRPr="00FB54A6" w:rsidRDefault="00605489" w:rsidP="00294D18">
      <w:pPr>
        <w:pStyle w:val="TableDescription"/>
      </w:pPr>
      <w:r w:rsidRPr="00FB54A6">
        <w:t xml:space="preserve"># = </w:t>
      </w:r>
      <w:proofErr w:type="spellStart"/>
      <w:r w:rsidRPr="00FB54A6">
        <w:t>animal:human</w:t>
      </w:r>
      <w:proofErr w:type="spellEnd"/>
      <w:r w:rsidRPr="00FB54A6">
        <w:t xml:space="preserve"> plasma AUC; a = since rats and monkeys were dosed every 2 days, and clinical dosing regime is twice weekly, </w:t>
      </w:r>
      <w:proofErr w:type="spellStart"/>
      <w:r w:rsidRPr="00FB54A6">
        <w:t>AUCt</w:t>
      </w:r>
      <w:proofErr w:type="spellEnd"/>
      <w:r w:rsidRPr="00FB54A6">
        <w:t>-last in animals was converted to AUC(weekly) by multiplying the value by 3.5, and AUC0-72h in humans was converted to AUC(weekly) by multiplying the value by 2.</w:t>
      </w:r>
    </w:p>
    <w:p w:rsidR="00605489" w:rsidRPr="00294D18" w:rsidRDefault="00605489" w:rsidP="00294D18">
      <w:pPr>
        <w:pStyle w:val="Heading4"/>
      </w:pPr>
      <w:bookmarkStart w:id="60" w:name="_Toc294861729"/>
      <w:proofErr w:type="spellStart"/>
      <w:r w:rsidRPr="00605489">
        <w:t>Genotoxicity</w:t>
      </w:r>
      <w:bookmarkEnd w:id="60"/>
      <w:proofErr w:type="spellEnd"/>
    </w:p>
    <w:p w:rsidR="00605489" w:rsidRPr="00605489" w:rsidRDefault="00605489" w:rsidP="00294D18">
      <w:r w:rsidRPr="00605489">
        <w:t xml:space="preserve">No </w:t>
      </w:r>
      <w:proofErr w:type="spellStart"/>
      <w:r w:rsidRPr="00605489">
        <w:t>genotoxicity</w:t>
      </w:r>
      <w:proofErr w:type="spellEnd"/>
      <w:r w:rsidRPr="00605489">
        <w:t xml:space="preserve"> studies were conducted. This is considered acceptable and in accordance with the relevant EMA/ICH guideline (CHMP/ICH/299/95; ICH S6 (R1)), which states that the range and type of </w:t>
      </w:r>
      <w:proofErr w:type="spellStart"/>
      <w:r w:rsidRPr="00605489">
        <w:t>genotoxicity</w:t>
      </w:r>
      <w:proofErr w:type="spellEnd"/>
      <w:r w:rsidRPr="00605489">
        <w:t xml:space="preserve"> studies routinely conducted for pharmaceuticals are not applicable to biotechnology-derived pharmaceuticals and therefore are not needed. Nevertheless, recombinant coagulation FIX has been shown to be </w:t>
      </w:r>
      <w:proofErr w:type="spellStart"/>
      <w:r w:rsidRPr="00605489">
        <w:t>nonmutagenic</w:t>
      </w:r>
      <w:proofErr w:type="spellEnd"/>
      <w:r w:rsidRPr="00605489">
        <w:t xml:space="preserve"> in the Ames assay and </w:t>
      </w:r>
      <w:proofErr w:type="spellStart"/>
      <w:r w:rsidRPr="00605489">
        <w:t>nonclastogenic</w:t>
      </w:r>
      <w:proofErr w:type="spellEnd"/>
      <w:r w:rsidRPr="00605489">
        <w:t xml:space="preserve"> in a chromosomal aberrations a</w:t>
      </w:r>
      <w:r w:rsidR="00294D18">
        <w:t xml:space="preserve">ssay (PI document for </w:t>
      </w:r>
      <w:proofErr w:type="spellStart"/>
      <w:r w:rsidR="00294D18">
        <w:t>BeneFIX</w:t>
      </w:r>
      <w:proofErr w:type="spellEnd"/>
      <w:r w:rsidR="00294D18">
        <w:t>).</w:t>
      </w:r>
    </w:p>
    <w:p w:rsidR="00FB54A6" w:rsidRPr="00294D18" w:rsidRDefault="00FB54A6" w:rsidP="00294D18">
      <w:pPr>
        <w:pStyle w:val="Heading4"/>
      </w:pPr>
      <w:bookmarkStart w:id="61" w:name="_Toc294861730"/>
      <w:r w:rsidRPr="00FB54A6">
        <w:lastRenderedPageBreak/>
        <w:t>Carcinogenicity</w:t>
      </w:r>
      <w:bookmarkEnd w:id="61"/>
    </w:p>
    <w:p w:rsidR="00FB54A6" w:rsidRPr="00FB54A6" w:rsidRDefault="00FB54A6" w:rsidP="00294D18">
      <w:r w:rsidRPr="00FB54A6">
        <w:t>No carcinogenicity studies were conducted. This is considered acceptable and in accordance with the relevant EMA/ICH guideline (CHMP/ICH/299/95; ICH S6 (R1)), which states that standard carcinogenicity bioassays are generally inappropriate for biotechnology-derived pharmaceuticals.</w:t>
      </w:r>
    </w:p>
    <w:p w:rsidR="00FB54A6" w:rsidRPr="00FB54A6" w:rsidRDefault="00FB54A6" w:rsidP="00294D18">
      <w:pPr>
        <w:pStyle w:val="Heading4"/>
      </w:pPr>
      <w:r w:rsidRPr="00FB54A6">
        <w:t xml:space="preserve">Reproductive </w:t>
      </w:r>
      <w:r w:rsidRPr="00294D18">
        <w:t>toxicity</w:t>
      </w:r>
    </w:p>
    <w:p w:rsidR="00FB54A6" w:rsidRPr="00FB54A6" w:rsidRDefault="00FB54A6" w:rsidP="00294D18">
      <w:r w:rsidRPr="00FB54A6">
        <w:t xml:space="preserve">The absence of reproductive and developmental toxicity studies is acceptable given that </w:t>
      </w:r>
      <w:r w:rsidR="0051223A">
        <w:t>Rixubis</w:t>
      </w:r>
      <w:r w:rsidRPr="00FB54A6">
        <w:t xml:space="preserve"> is only intended for physiological replacement of normal FIX activity and that haemophilia B is an X chromosome-linked recessive disorder that occurs almost exclusively in males. Changes have been suggested in the P</w:t>
      </w:r>
      <w:r>
        <w:t>I</w:t>
      </w:r>
      <w:r w:rsidRPr="00FB54A6">
        <w:t xml:space="preserve"> document to acknowledge the lack of animal reproductive toxicity studies.</w:t>
      </w:r>
    </w:p>
    <w:p w:rsidR="00FB54A6" w:rsidRPr="00FB54A6" w:rsidRDefault="00FB54A6" w:rsidP="00294D18">
      <w:pPr>
        <w:pStyle w:val="Heading4"/>
      </w:pPr>
      <w:r w:rsidRPr="00FB54A6">
        <w:t xml:space="preserve">Pregnancy </w:t>
      </w:r>
      <w:r w:rsidRPr="00294D18">
        <w:t>classification</w:t>
      </w:r>
    </w:p>
    <w:p w:rsidR="00FB54A6" w:rsidRPr="00FB54A6" w:rsidRDefault="00FB54A6" w:rsidP="00294D18">
      <w:r w:rsidRPr="00FB54A6">
        <w:t xml:space="preserve">Animal reproduction studies have not been conducted with </w:t>
      </w:r>
      <w:r w:rsidR="0051223A">
        <w:t>Rixubis</w:t>
      </w:r>
      <w:r w:rsidRPr="00FB54A6">
        <w:t>. Coagulation factors derived from human plasma are exempt from pregnancy categori</w:t>
      </w:r>
      <w:r>
        <w:t>s</w:t>
      </w:r>
      <w:r w:rsidRPr="00FB54A6">
        <w:t xml:space="preserve">ation. However, </w:t>
      </w:r>
      <w:proofErr w:type="spellStart"/>
      <w:r w:rsidRPr="00FB54A6">
        <w:t>rFIX</w:t>
      </w:r>
      <w:proofErr w:type="spellEnd"/>
      <w:r w:rsidRPr="00FB54A6">
        <w:t xml:space="preserve"> </w:t>
      </w:r>
      <w:r>
        <w:t>is</w:t>
      </w:r>
      <w:r w:rsidRPr="00FB54A6">
        <w:t xml:space="preserve"> classified as pregnancy </w:t>
      </w:r>
      <w:r w:rsidR="00CB4566">
        <w:t>c</w:t>
      </w:r>
      <w:r w:rsidRPr="00FB54A6">
        <w:t>ategory B2 drugs. The proposed B2 category is acceptable.</w:t>
      </w:r>
    </w:p>
    <w:p w:rsidR="00FB54A6" w:rsidRPr="00294D18" w:rsidRDefault="00294D18" w:rsidP="00294D18">
      <w:pPr>
        <w:pStyle w:val="Heading4"/>
      </w:pPr>
      <w:r>
        <w:t>Local tolerance</w:t>
      </w:r>
    </w:p>
    <w:p w:rsidR="00FB54A6" w:rsidRPr="00FB54A6" w:rsidRDefault="00FB54A6" w:rsidP="00294D18">
      <w:r w:rsidRPr="00FB54A6">
        <w:t>There were no injection site reactions following IV injection in the repeat-dose toxicity studies in monkeys (at 363.5 IU/mL) and rats (at 40</w:t>
      </w:r>
      <w:r>
        <w:t xml:space="preserve"> to </w:t>
      </w:r>
      <w:r w:rsidRPr="00FB54A6">
        <w:t>150 IU/mL), or in a specialised local tolerance study in rabbits (at 730 IU/mL</w:t>
      </w:r>
      <w:r>
        <w:t xml:space="preserve"> compared with </w:t>
      </w:r>
      <w:r w:rsidRPr="00FB54A6">
        <w:t>the maximum clinical concentration of 600 IU/mL).</w:t>
      </w:r>
    </w:p>
    <w:p w:rsidR="00FB54A6" w:rsidRPr="00FB54A6" w:rsidRDefault="00FB54A6" w:rsidP="00294D18">
      <w:r w:rsidRPr="00FB54A6">
        <w:t xml:space="preserve">The local toxicity of </w:t>
      </w:r>
      <w:r w:rsidR="0051223A">
        <w:t>Rixubis</w:t>
      </w:r>
      <w:r w:rsidRPr="00FB54A6">
        <w:t xml:space="preserve"> was examined following administration of a single </w:t>
      </w:r>
      <w:proofErr w:type="spellStart"/>
      <w:r w:rsidRPr="00FB54A6">
        <w:t>paravenous</w:t>
      </w:r>
      <w:proofErr w:type="spellEnd"/>
      <w:r w:rsidRPr="00FB54A6">
        <w:t xml:space="preserve"> (PV) or intra-arterial (IA) dose to rabbits, in order to investigate </w:t>
      </w:r>
      <w:proofErr w:type="spellStart"/>
      <w:r w:rsidRPr="00FB54A6">
        <w:t>misdosing</w:t>
      </w:r>
      <w:proofErr w:type="spellEnd"/>
      <w:r w:rsidRPr="00FB54A6">
        <w:t xml:space="preserve"> scenarios. IA administration </w:t>
      </w:r>
      <w:proofErr w:type="gramStart"/>
      <w:r w:rsidRPr="00FB54A6">
        <w:t>of 5 mL/animal of either</w:t>
      </w:r>
      <w:proofErr w:type="gramEnd"/>
      <w:r w:rsidRPr="00FB54A6">
        <w:t xml:space="preserve"> control buffer (0 IU), or </w:t>
      </w:r>
      <w:r w:rsidR="0051223A">
        <w:t>Rixubis</w:t>
      </w:r>
      <w:r w:rsidRPr="00FB54A6">
        <w:t xml:space="preserve"> (3650 IU/animal; 730 IU/mL) was well-tolerated in rabbits, with no irritation for 72 h</w:t>
      </w:r>
      <w:r>
        <w:t>ours</w:t>
      </w:r>
      <w:r w:rsidR="00294D18">
        <w:t xml:space="preserve"> post-dose.</w:t>
      </w:r>
    </w:p>
    <w:p w:rsidR="00FB54A6" w:rsidRPr="00FB54A6" w:rsidRDefault="00FB54A6" w:rsidP="00294D18">
      <w:r w:rsidRPr="00FB54A6">
        <w:t xml:space="preserve">Incidences of histopathology findings (inflammatory reaction and livid discoloration) were observed in rabbits treated with 0.5 mL/animal of </w:t>
      </w:r>
      <w:proofErr w:type="spellStart"/>
      <w:r w:rsidR="0051223A">
        <w:t>Rixubis</w:t>
      </w:r>
      <w:proofErr w:type="spellEnd"/>
      <w:r w:rsidRPr="00FB54A6">
        <w:t xml:space="preserve"> or </w:t>
      </w:r>
      <w:proofErr w:type="spellStart"/>
      <w:r w:rsidRPr="00FB54A6">
        <w:t>BeneFIX</w:t>
      </w:r>
      <w:proofErr w:type="spellEnd"/>
      <w:r w:rsidRPr="00FB54A6">
        <w:t xml:space="preserve"> (and not in buffer-treated animals) by the PV route. The incidence of findings was similar for </w:t>
      </w:r>
      <w:proofErr w:type="spellStart"/>
      <w:r w:rsidR="0051223A">
        <w:t>Rixubis</w:t>
      </w:r>
      <w:proofErr w:type="spellEnd"/>
      <w:r w:rsidRPr="00FB54A6">
        <w:t xml:space="preserve"> and </w:t>
      </w:r>
      <w:proofErr w:type="spellStart"/>
      <w:r w:rsidRPr="00FB54A6">
        <w:t>BeneFIX</w:t>
      </w:r>
      <w:proofErr w:type="spellEnd"/>
      <w:r w:rsidRPr="00FB54A6">
        <w:t xml:space="preserve">. Thus, the local tolerance profile of </w:t>
      </w:r>
      <w:r w:rsidR="0051223A">
        <w:t>Rixubis</w:t>
      </w:r>
      <w:r w:rsidRPr="00FB54A6">
        <w:t xml:space="preserve"> was similar to </w:t>
      </w:r>
      <w:proofErr w:type="spellStart"/>
      <w:r w:rsidRPr="00FB54A6">
        <w:t>BeneFIX</w:t>
      </w:r>
      <w:proofErr w:type="spellEnd"/>
      <w:r w:rsidRPr="00FB54A6">
        <w:t xml:space="preserve"> following IV or PV dosing, and local reactions following IV dosing are expected to be minimal. </w:t>
      </w:r>
      <w:proofErr w:type="spellStart"/>
      <w:r w:rsidRPr="00FB54A6">
        <w:t>Paravenous</w:t>
      </w:r>
      <w:proofErr w:type="spellEnd"/>
      <w:r w:rsidRPr="00FB54A6">
        <w:t xml:space="preserve"> administration should be avoided.</w:t>
      </w:r>
    </w:p>
    <w:p w:rsidR="00FB54A6" w:rsidRPr="00294D18" w:rsidRDefault="00FB54A6" w:rsidP="00294D18">
      <w:pPr>
        <w:pStyle w:val="Heading4"/>
      </w:pPr>
      <w:r w:rsidRPr="00FB54A6">
        <w:t>Development of antibodies</w:t>
      </w:r>
    </w:p>
    <w:p w:rsidR="00FB54A6" w:rsidRPr="00FB54A6" w:rsidRDefault="00FB54A6" w:rsidP="00294D18">
      <w:r w:rsidRPr="00FB54A6">
        <w:t xml:space="preserve">Immunogenicity was evaluated as part of the general toxicity studies in rats and monkeys and in a dedicated immunogenicity study in mice. </w:t>
      </w:r>
      <w:proofErr w:type="spellStart"/>
      <w:r w:rsidR="0051223A">
        <w:t>Rixubis</w:t>
      </w:r>
      <w:proofErr w:type="spellEnd"/>
      <w:r w:rsidRPr="00FB54A6">
        <w:t xml:space="preserve"> and </w:t>
      </w:r>
      <w:proofErr w:type="spellStart"/>
      <w:r w:rsidRPr="00FB54A6">
        <w:t>BeneFIX</w:t>
      </w:r>
      <w:proofErr w:type="spellEnd"/>
      <w:r w:rsidRPr="00FB54A6">
        <w:t xml:space="preserve"> were immunogenic with binding antibodies found in mice, rats, and monkeys, after repeated administration. Neutralising antibodies were observed in </w:t>
      </w:r>
      <w:r>
        <w:t>one</w:t>
      </w:r>
      <w:r w:rsidRPr="00FB54A6">
        <w:t xml:space="preserve"> monkey in </w:t>
      </w:r>
      <w:r>
        <w:t>one</w:t>
      </w:r>
      <w:r w:rsidRPr="00FB54A6">
        <w:t xml:space="preserve"> study (Study 1933-012), and this resulted in a transient increase of APTT and fibrinogen. Neutralising antibodies were not found in rats and were not evaluated in mice. In mice, no antibodies were detected against host cell (CHO) proteins. The serum concentration of FIX was not decreased after repeated administration of </w:t>
      </w:r>
      <w:proofErr w:type="spellStart"/>
      <w:r w:rsidR="0051223A">
        <w:t>Rixubis</w:t>
      </w:r>
      <w:proofErr w:type="spellEnd"/>
      <w:r w:rsidR="00294D18">
        <w:t xml:space="preserve"> or </w:t>
      </w:r>
      <w:proofErr w:type="spellStart"/>
      <w:r w:rsidR="00294D18">
        <w:t>BeneFIX</w:t>
      </w:r>
      <w:proofErr w:type="spellEnd"/>
      <w:r w:rsidR="00294D18">
        <w:t xml:space="preserve"> in rats or monkeys.</w:t>
      </w:r>
    </w:p>
    <w:p w:rsidR="00FB54A6" w:rsidRPr="00FB54A6" w:rsidRDefault="00FB54A6" w:rsidP="00294D18">
      <w:r w:rsidRPr="00FB54A6">
        <w:t xml:space="preserve">The development of antibodies in the nonclinical species was not different between </w:t>
      </w:r>
      <w:proofErr w:type="spellStart"/>
      <w:r w:rsidR="0051223A">
        <w:t>Rixubis</w:t>
      </w:r>
      <w:proofErr w:type="spellEnd"/>
      <w:r w:rsidRPr="00FB54A6">
        <w:t xml:space="preserve"> and </w:t>
      </w:r>
      <w:proofErr w:type="spellStart"/>
      <w:r w:rsidRPr="00FB54A6">
        <w:t>BeneFIX</w:t>
      </w:r>
      <w:proofErr w:type="spellEnd"/>
      <w:r w:rsidRPr="00FB54A6">
        <w:t xml:space="preserve">, did not give rise to any observable immunological reactions or effects, and is not expected to compromise the safety assessment of </w:t>
      </w:r>
      <w:r w:rsidR="0051223A">
        <w:t>Rixubis</w:t>
      </w:r>
      <w:r w:rsidRPr="00FB54A6">
        <w:t>.</w:t>
      </w:r>
    </w:p>
    <w:p w:rsidR="00FB54A6" w:rsidRPr="00FB54A6" w:rsidRDefault="00FB54A6" w:rsidP="00294D18">
      <w:r w:rsidRPr="00FB54A6">
        <w:t>Antibody development may occur in humans, but the frequency with which this might happen can only be ascertained from clinical studies.</w:t>
      </w:r>
    </w:p>
    <w:p w:rsidR="00FB54A6" w:rsidRPr="00294D18" w:rsidRDefault="00FB54A6" w:rsidP="00294D18">
      <w:pPr>
        <w:pStyle w:val="Heading4"/>
      </w:pPr>
      <w:r w:rsidRPr="00FB54A6">
        <w:lastRenderedPageBreak/>
        <w:t>Excipients</w:t>
      </w:r>
    </w:p>
    <w:p w:rsidR="00FB54A6" w:rsidRPr="00FB54A6" w:rsidRDefault="00FB54A6" w:rsidP="00294D18">
      <w:r w:rsidRPr="00FB54A6">
        <w:t>No signs of toxicity which can be attributed to the excipients were observed in any of the studies at the maximum doses tested.</w:t>
      </w:r>
    </w:p>
    <w:p w:rsidR="00FB54A6" w:rsidRPr="00FB54A6" w:rsidRDefault="00FB54A6" w:rsidP="00294D18">
      <w:pPr>
        <w:pStyle w:val="Heading4"/>
      </w:pPr>
      <w:bookmarkStart w:id="62" w:name="_Toc295290868"/>
      <w:bookmarkStart w:id="63" w:name="_Toc365383441"/>
      <w:r w:rsidRPr="00FB54A6">
        <w:t xml:space="preserve">Comments on the </w:t>
      </w:r>
      <w:r w:rsidR="00294D18">
        <w:t>s</w:t>
      </w:r>
      <w:r w:rsidRPr="00FB54A6">
        <w:t xml:space="preserve">afety </w:t>
      </w:r>
      <w:r w:rsidR="00294D18">
        <w:t>s</w:t>
      </w:r>
      <w:r w:rsidRPr="00FB54A6">
        <w:t xml:space="preserve">pecification of the </w:t>
      </w:r>
      <w:r w:rsidR="00294D18">
        <w:t>r</w:t>
      </w:r>
      <w:r w:rsidRPr="00FB54A6">
        <w:t xml:space="preserve">isk </w:t>
      </w:r>
      <w:r w:rsidR="00294D18">
        <w:t>m</w:t>
      </w:r>
      <w:r w:rsidRPr="00294D18">
        <w:t>anagement</w:t>
      </w:r>
      <w:r w:rsidRPr="00FB54A6">
        <w:t xml:space="preserve"> </w:t>
      </w:r>
      <w:r w:rsidR="00294D18" w:rsidRPr="00294D18">
        <w:t>p</w:t>
      </w:r>
      <w:r w:rsidRPr="00294D18">
        <w:t>lan</w:t>
      </w:r>
      <w:bookmarkEnd w:id="62"/>
      <w:bookmarkEnd w:id="63"/>
    </w:p>
    <w:p w:rsidR="00FB54A6" w:rsidRPr="00FB54A6" w:rsidRDefault="00FB54A6" w:rsidP="00294D18">
      <w:r w:rsidRPr="00FB54A6">
        <w:t xml:space="preserve">Results and conclusions drawn from the nonclinical program for </w:t>
      </w:r>
      <w:r w:rsidR="0051223A">
        <w:t>Rixubis</w:t>
      </w:r>
      <w:r w:rsidRPr="00FB54A6">
        <w:t xml:space="preserve"> detailed in the sponsor’s draft Risk Management Plan (</w:t>
      </w:r>
      <w:r w:rsidR="009C232F">
        <w:t>RMP)</w:t>
      </w:r>
      <w:r w:rsidRPr="00FB54A6">
        <w:t xml:space="preserve"> are in general concordance with those of the </w:t>
      </w:r>
      <w:r w:rsidR="009C232F">
        <w:t>n</w:t>
      </w:r>
      <w:r w:rsidRPr="00FB54A6">
        <w:t>onclinical</w:t>
      </w:r>
      <w:r w:rsidR="002C3B77">
        <w:t xml:space="preserve"> </w:t>
      </w:r>
      <w:r w:rsidR="009C232F">
        <w:t>e</w:t>
      </w:r>
      <w:r w:rsidRPr="00FB54A6">
        <w:t>valuator.</w:t>
      </w:r>
    </w:p>
    <w:p w:rsidR="008E7846" w:rsidRPr="00294D18" w:rsidRDefault="008E7846" w:rsidP="00294D18">
      <w:pPr>
        <w:pStyle w:val="Heading3"/>
      </w:pPr>
      <w:bookmarkStart w:id="64" w:name="_Toc247691515"/>
      <w:bookmarkStart w:id="65" w:name="_Toc314842499"/>
      <w:bookmarkStart w:id="66" w:name="_Toc387924280"/>
      <w:r>
        <w:t>Nonclinical summary and conclusions</w:t>
      </w:r>
      <w:bookmarkEnd w:id="64"/>
      <w:bookmarkEnd w:id="65"/>
      <w:bookmarkEnd w:id="66"/>
    </w:p>
    <w:p w:rsidR="002C3B77" w:rsidRPr="002C3B77" w:rsidRDefault="002C3B77" w:rsidP="00294D18">
      <w:pPr>
        <w:pStyle w:val="ListBullet"/>
      </w:pPr>
      <w:r w:rsidRPr="002C3B77">
        <w:t>Baxter Healthcare Pty Ltd has applied to registe</w:t>
      </w:r>
      <w:r w:rsidR="00C215EC">
        <w:t xml:space="preserve">r a new </w:t>
      </w:r>
      <w:proofErr w:type="spellStart"/>
      <w:r w:rsidR="00C215EC">
        <w:t>biosimilar</w:t>
      </w:r>
      <w:proofErr w:type="spellEnd"/>
      <w:r w:rsidR="00C215EC">
        <w:t xml:space="preserve"> product, </w:t>
      </w:r>
      <w:proofErr w:type="spellStart"/>
      <w:r w:rsidR="0051223A">
        <w:t>Rixubis</w:t>
      </w:r>
      <w:proofErr w:type="spellEnd"/>
      <w:r w:rsidRPr="002C3B77">
        <w:t xml:space="preserve">, containing </w:t>
      </w:r>
      <w:proofErr w:type="spellStart"/>
      <w:r w:rsidRPr="002C3B77">
        <w:t>nonacog</w:t>
      </w:r>
      <w:proofErr w:type="spellEnd"/>
      <w:r w:rsidRPr="002C3B77">
        <w:t xml:space="preserve"> </w:t>
      </w:r>
      <w:r w:rsidR="00C215EC">
        <w:t>gamma</w:t>
      </w:r>
      <w:r w:rsidRPr="002C3B77">
        <w:t xml:space="preserve"> (a recombinant human FIX (</w:t>
      </w:r>
      <w:proofErr w:type="spellStart"/>
      <w:r w:rsidRPr="002C3B77">
        <w:t>rhFIX</w:t>
      </w:r>
      <w:proofErr w:type="spellEnd"/>
      <w:r w:rsidRPr="002C3B77">
        <w:t xml:space="preserve">) glycoprotein) as the active substance. The product is indicated for routine prophylaxis of bleeding episodes in patients 12 years and older with haemophilia B, treatment and prevention of bleeding episodes in patients 12 years and older </w:t>
      </w:r>
      <w:r w:rsidR="00C215EC">
        <w:t>with haemophilia B (congenital F</w:t>
      </w:r>
      <w:r w:rsidRPr="002C3B77">
        <w:t xml:space="preserve">IX deficiency), and peri-operative management in patients 12 years and older with haemophilia B. The indications are similar to those of </w:t>
      </w:r>
      <w:proofErr w:type="spellStart"/>
      <w:r w:rsidRPr="002C3B77">
        <w:t>BeneFIX</w:t>
      </w:r>
      <w:proofErr w:type="spellEnd"/>
      <w:r w:rsidRPr="002C3B77">
        <w:t>, the reference product.</w:t>
      </w:r>
    </w:p>
    <w:p w:rsidR="002C3B77" w:rsidRPr="002C3B77" w:rsidRDefault="002C3B77" w:rsidP="00294D18">
      <w:pPr>
        <w:pStyle w:val="ListBullet"/>
      </w:pPr>
      <w:r w:rsidRPr="002C3B77">
        <w:t xml:space="preserve">The Sponsor has conducted generally adequate studies on the pharmacology, </w:t>
      </w:r>
      <w:r w:rsidR="00F710E5">
        <w:t>PK</w:t>
      </w:r>
      <w:r w:rsidRPr="002C3B77">
        <w:t xml:space="preserve"> and toxicity of </w:t>
      </w:r>
      <w:r w:rsidR="0051223A">
        <w:t>Rixubis</w:t>
      </w:r>
      <w:r w:rsidRPr="002C3B77">
        <w:t xml:space="preserve">, according to the </w:t>
      </w:r>
      <w:r w:rsidRPr="00294D18">
        <w:t>relevant</w:t>
      </w:r>
      <w:r w:rsidR="00294D18">
        <w:t xml:space="preserve"> guidelines.</w:t>
      </w:r>
    </w:p>
    <w:p w:rsidR="002C3B77" w:rsidRPr="002C3B77" w:rsidRDefault="002C3B77" w:rsidP="00294D18">
      <w:pPr>
        <w:pStyle w:val="ListBullet"/>
      </w:pPr>
      <w:r w:rsidRPr="002C3B77">
        <w:t xml:space="preserve">The </w:t>
      </w:r>
      <w:r w:rsidR="00C215EC">
        <w:t>PD</w:t>
      </w:r>
      <w:r w:rsidRPr="002C3B77">
        <w:t xml:space="preserve"> properties of </w:t>
      </w:r>
      <w:proofErr w:type="spellStart"/>
      <w:r w:rsidR="0051223A">
        <w:t>Rixubis</w:t>
      </w:r>
      <w:proofErr w:type="spellEnd"/>
      <w:r w:rsidRPr="002C3B77">
        <w:t xml:space="preserve"> and </w:t>
      </w:r>
      <w:proofErr w:type="spellStart"/>
      <w:r w:rsidRPr="002C3B77">
        <w:t>BeneFIX</w:t>
      </w:r>
      <w:proofErr w:type="spellEnd"/>
      <w:r w:rsidRPr="002C3B77">
        <w:t xml:space="preserve"> were similar in mouse models of haemophilia B, treated with the agents prophylactically, at doses between 10 and 75 IU/kg. There were no significant differences in the reduction of bleeding times, time to artery occlusion and blood loss between the two products. No nonclinical studies in which </w:t>
      </w:r>
      <w:r w:rsidR="0051223A">
        <w:t>Rixubis</w:t>
      </w:r>
      <w:r w:rsidRPr="002C3B77">
        <w:t xml:space="preserve"> was administered after the beginning of a bleeding episode were submitted. Therefore, only part of the clinical indications (</w:t>
      </w:r>
      <w:r w:rsidR="00C215EC">
        <w:t xml:space="preserve">that is, </w:t>
      </w:r>
      <w:r w:rsidRPr="002C3B77">
        <w:t>prophylaxis) is supported by nonclinical data.</w:t>
      </w:r>
    </w:p>
    <w:p w:rsidR="002C3B77" w:rsidRPr="002C3B77" w:rsidRDefault="002C3B77" w:rsidP="00294D18">
      <w:pPr>
        <w:pStyle w:val="ListBullet"/>
      </w:pPr>
      <w:r w:rsidRPr="002C3B77">
        <w:t xml:space="preserve">The sponsor used three animal models to investigate </w:t>
      </w:r>
      <w:r w:rsidRPr="00294D18">
        <w:t>the</w:t>
      </w:r>
      <w:r w:rsidRPr="002C3B77">
        <w:t xml:space="preserve"> kinetics and toxicity of </w:t>
      </w:r>
      <w:proofErr w:type="spellStart"/>
      <w:r w:rsidR="0051223A">
        <w:t>Rixubis</w:t>
      </w:r>
      <w:proofErr w:type="spellEnd"/>
      <w:r w:rsidRPr="002C3B77">
        <w:t xml:space="preserve">: mice, </w:t>
      </w:r>
      <w:proofErr w:type="spellStart"/>
      <w:r w:rsidRPr="002C3B77">
        <w:t>cynomolgus</w:t>
      </w:r>
      <w:proofErr w:type="spellEnd"/>
      <w:r w:rsidRPr="002C3B77">
        <w:t xml:space="preserve"> monkeys and rats. There were no significant differences in the plasma kinetics between </w:t>
      </w:r>
      <w:r w:rsidR="0051223A">
        <w:t>Rixubis</w:t>
      </w:r>
      <w:r w:rsidRPr="002C3B77">
        <w:t xml:space="preserve"> and the approved </w:t>
      </w:r>
      <w:proofErr w:type="spellStart"/>
      <w:r w:rsidRPr="002C3B77">
        <w:t>rFIX</w:t>
      </w:r>
      <w:proofErr w:type="spellEnd"/>
      <w:r w:rsidRPr="002C3B77">
        <w:t xml:space="preserve">, </w:t>
      </w:r>
      <w:proofErr w:type="spellStart"/>
      <w:r w:rsidRPr="002C3B77">
        <w:t>BeneFIX</w:t>
      </w:r>
      <w:proofErr w:type="spellEnd"/>
      <w:r w:rsidRPr="002C3B77">
        <w:t>.</w:t>
      </w:r>
    </w:p>
    <w:p w:rsidR="002C3B77" w:rsidRPr="00C215EC" w:rsidRDefault="002C3B77" w:rsidP="00294D18">
      <w:pPr>
        <w:pStyle w:val="ListBullet"/>
      </w:pPr>
      <w:r w:rsidRPr="00C215EC">
        <w:t xml:space="preserve">In rabbits, </w:t>
      </w:r>
      <w:proofErr w:type="spellStart"/>
      <w:r w:rsidR="0051223A">
        <w:t>Rixubis</w:t>
      </w:r>
      <w:proofErr w:type="spellEnd"/>
      <w:r w:rsidRPr="00C215EC">
        <w:t xml:space="preserve"> showed lower </w:t>
      </w:r>
      <w:proofErr w:type="spellStart"/>
      <w:r w:rsidRPr="00C215EC">
        <w:t>thrombogenic</w:t>
      </w:r>
      <w:proofErr w:type="spellEnd"/>
      <w:r w:rsidRPr="00C215EC">
        <w:t xml:space="preserve"> activity than </w:t>
      </w:r>
      <w:proofErr w:type="spellStart"/>
      <w:r w:rsidRPr="00C215EC">
        <w:t>BeneFIX</w:t>
      </w:r>
      <w:proofErr w:type="spellEnd"/>
      <w:r w:rsidRPr="00C215EC">
        <w:t xml:space="preserve">, with no evidence of thrombi development. No adverse effects of </w:t>
      </w:r>
      <w:r w:rsidR="0051223A">
        <w:t>Rixubis</w:t>
      </w:r>
      <w:r w:rsidRPr="00C215EC">
        <w:t xml:space="preserve"> in behaviour, body temperature, cardiovascular or respiratory parameters were observed in safety p</w:t>
      </w:r>
      <w:r w:rsidR="00294D18">
        <w:t>harmacology studies in monkeys.</w:t>
      </w:r>
    </w:p>
    <w:p w:rsidR="002C3B77" w:rsidRPr="00C215EC" w:rsidRDefault="002C3B77" w:rsidP="00294D18">
      <w:pPr>
        <w:pStyle w:val="ListBullet"/>
      </w:pPr>
      <w:r w:rsidRPr="00C215EC">
        <w:t xml:space="preserve">In acute toxicity studies by the IV </w:t>
      </w:r>
      <w:r w:rsidRPr="00294D18">
        <w:t>route</w:t>
      </w:r>
      <w:r w:rsidRPr="00C215EC">
        <w:t xml:space="preserve">, no drug-related mortality was observed at up to 7500 IU/kg in mice and 750 IU/kg in monkeys. One </w:t>
      </w:r>
      <w:r w:rsidR="00C215EC">
        <w:t>four</w:t>
      </w:r>
      <w:r w:rsidRPr="00C215EC">
        <w:t xml:space="preserve">-week repeat dose IV study in rats and two in monkeys revealed no remarkable findings and no mortalities, at similar exposures of either </w:t>
      </w:r>
      <w:proofErr w:type="spellStart"/>
      <w:r w:rsidR="0051223A">
        <w:t>Rixubis</w:t>
      </w:r>
      <w:proofErr w:type="spellEnd"/>
      <w:r w:rsidRPr="00C215EC">
        <w:t xml:space="preserve"> or </w:t>
      </w:r>
      <w:proofErr w:type="spellStart"/>
      <w:r w:rsidRPr="00C215EC">
        <w:t>BeneFIX</w:t>
      </w:r>
      <w:proofErr w:type="spellEnd"/>
      <w:r w:rsidRPr="00C215EC">
        <w:t>. Overall, no clinically-relevant toxicities were seen.</w:t>
      </w:r>
    </w:p>
    <w:p w:rsidR="002C3B77" w:rsidRPr="00C215EC" w:rsidRDefault="002C3B77" w:rsidP="00294D18">
      <w:pPr>
        <w:pStyle w:val="ListBullet"/>
      </w:pPr>
      <w:r w:rsidRPr="00C215EC">
        <w:t xml:space="preserve">There was no difference in the </w:t>
      </w:r>
      <w:r w:rsidRPr="00294D18">
        <w:t>immunogenicity</w:t>
      </w:r>
      <w:r w:rsidRPr="00C215EC">
        <w:t xml:space="preserve"> of the two products, based on formation of anti-FIX antibodies in mice, rats and monkeys. No antibodies were detected against host cell (CHO) proteins in mice.</w:t>
      </w:r>
    </w:p>
    <w:p w:rsidR="002C3B77" w:rsidRPr="00C215EC" w:rsidRDefault="0051223A" w:rsidP="00294D18">
      <w:pPr>
        <w:pStyle w:val="ListBullet"/>
      </w:pPr>
      <w:proofErr w:type="spellStart"/>
      <w:r>
        <w:t>Rixubis</w:t>
      </w:r>
      <w:proofErr w:type="spellEnd"/>
      <w:r w:rsidR="002C3B77" w:rsidRPr="00C215EC">
        <w:t xml:space="preserve"> and </w:t>
      </w:r>
      <w:proofErr w:type="spellStart"/>
      <w:r w:rsidR="002C3B77" w:rsidRPr="00C215EC">
        <w:t>BeneFIX</w:t>
      </w:r>
      <w:proofErr w:type="spellEnd"/>
      <w:r w:rsidR="002C3B77" w:rsidRPr="00C215EC">
        <w:t xml:space="preserve"> treatment by the IV, PV, and IA routes resulted in simila</w:t>
      </w:r>
      <w:r w:rsidR="00294D18">
        <w:t>r toxicity profiles in rabbits.</w:t>
      </w:r>
    </w:p>
    <w:p w:rsidR="002C3B77" w:rsidRPr="00C215EC" w:rsidRDefault="002C3B77" w:rsidP="00294D18">
      <w:pPr>
        <w:pStyle w:val="ListBullet"/>
      </w:pPr>
      <w:r w:rsidRPr="00C215EC">
        <w:t xml:space="preserve">Secondary </w:t>
      </w:r>
      <w:r w:rsidRPr="00294D18">
        <w:t>pharmacology</w:t>
      </w:r>
      <w:r w:rsidRPr="00C215EC">
        <w:t xml:space="preserve">, </w:t>
      </w:r>
      <w:proofErr w:type="spellStart"/>
      <w:r w:rsidRPr="00C215EC">
        <w:t>genotoxicity</w:t>
      </w:r>
      <w:proofErr w:type="spellEnd"/>
      <w:r w:rsidRPr="00C215EC">
        <w:t>, carcinogenicity and reproductive toxicity studies were not conducted, which was considered acceptab</w:t>
      </w:r>
      <w:r w:rsidR="00294D18">
        <w:t xml:space="preserve">le for this </w:t>
      </w:r>
      <w:proofErr w:type="spellStart"/>
      <w:r w:rsidR="00294D18">
        <w:t>biosimilar</w:t>
      </w:r>
      <w:proofErr w:type="spellEnd"/>
      <w:r w:rsidR="00294D18">
        <w:t xml:space="preserve"> product.</w:t>
      </w:r>
    </w:p>
    <w:p w:rsidR="002C3B77" w:rsidRPr="00C215EC" w:rsidRDefault="002C3B77" w:rsidP="00294D18">
      <w:pPr>
        <w:pStyle w:val="ListBullet"/>
      </w:pPr>
      <w:r w:rsidRPr="00C215EC">
        <w:lastRenderedPageBreak/>
        <w:t xml:space="preserve">The </w:t>
      </w:r>
      <w:r w:rsidRPr="00294D18">
        <w:t>similarity</w:t>
      </w:r>
      <w:r w:rsidRPr="00C215EC">
        <w:t xml:space="preserve"> of</w:t>
      </w:r>
      <w:r w:rsidR="00C215EC">
        <w:t xml:space="preserve"> </w:t>
      </w:r>
      <w:proofErr w:type="spellStart"/>
      <w:r w:rsidR="0051223A">
        <w:t>Rixubis</w:t>
      </w:r>
      <w:proofErr w:type="spellEnd"/>
      <w:r w:rsidRPr="00C215EC">
        <w:t xml:space="preserve"> or </w:t>
      </w:r>
      <w:proofErr w:type="spellStart"/>
      <w:r w:rsidRPr="00C215EC">
        <w:t>BeneFIX</w:t>
      </w:r>
      <w:proofErr w:type="spellEnd"/>
      <w:r w:rsidRPr="00C215EC">
        <w:t xml:space="preserve"> has been adequately demonstrated in nonclinical studies, and there are, therefore, no nonclinical objections to the registration of </w:t>
      </w:r>
      <w:r w:rsidR="0051223A">
        <w:t>Rixubis</w:t>
      </w:r>
      <w:r w:rsidRPr="00C215EC">
        <w:t>. The P</w:t>
      </w:r>
      <w:r w:rsidR="003E2FA2">
        <w:t xml:space="preserve">I </w:t>
      </w:r>
      <w:r w:rsidRPr="00C215EC">
        <w:t>should be amended.</w:t>
      </w:r>
    </w:p>
    <w:p w:rsidR="008E7846" w:rsidRPr="00254787" w:rsidRDefault="008E7846" w:rsidP="00294D18">
      <w:pPr>
        <w:pStyle w:val="Heading2"/>
      </w:pPr>
      <w:bookmarkStart w:id="67" w:name="_Toc196046462"/>
      <w:bookmarkStart w:id="68" w:name="_Toc247691516"/>
      <w:bookmarkStart w:id="69" w:name="_Toc314842500"/>
      <w:bookmarkStart w:id="70" w:name="_Toc387924281"/>
      <w:bookmarkStart w:id="71" w:name="_Toc163441353"/>
      <w:bookmarkStart w:id="72" w:name="_Toc163441348"/>
      <w:r>
        <w:t xml:space="preserve">IV. </w:t>
      </w:r>
      <w:r w:rsidRPr="00294D18">
        <w:t>Clinical</w:t>
      </w:r>
      <w:bookmarkEnd w:id="67"/>
      <w:r>
        <w:t xml:space="preserve"> </w:t>
      </w:r>
      <w:r w:rsidR="003A7F6C">
        <w:t>f</w:t>
      </w:r>
      <w:r>
        <w:t>indings</w:t>
      </w:r>
      <w:bookmarkEnd w:id="68"/>
      <w:bookmarkEnd w:id="69"/>
      <w:bookmarkEnd w:id="70"/>
    </w:p>
    <w:p w:rsidR="00C80137" w:rsidRPr="00CB4566" w:rsidRDefault="00C80137" w:rsidP="007E1D40">
      <w:bookmarkStart w:id="73" w:name="_Toc196046463"/>
      <w:r w:rsidRPr="00CB4566">
        <w:t>A summary of the clinical findings is presented in this section. Further details of these clinical findings can be found in Attachment 2.</w:t>
      </w:r>
    </w:p>
    <w:p w:rsidR="00EA07AA" w:rsidRPr="00EA07AA" w:rsidRDefault="00EA07AA" w:rsidP="007E1D40">
      <w:pPr>
        <w:pStyle w:val="Heading3"/>
      </w:pPr>
      <w:bookmarkStart w:id="74" w:name="_Toc387924282"/>
      <w:bookmarkEnd w:id="73"/>
      <w:r w:rsidRPr="00EA07AA">
        <w:t xml:space="preserve">Clinical </w:t>
      </w:r>
      <w:r w:rsidR="007E1D40" w:rsidRPr="007E1D40">
        <w:t>r</w:t>
      </w:r>
      <w:r w:rsidRPr="007E1D40">
        <w:t>ationale</w:t>
      </w:r>
      <w:bookmarkEnd w:id="74"/>
    </w:p>
    <w:p w:rsidR="00EA07AA" w:rsidRDefault="00EA07AA" w:rsidP="007E1D40">
      <w:bookmarkStart w:id="75" w:name="_Toc196046464"/>
      <w:bookmarkStart w:id="76" w:name="_Toc247691518"/>
      <w:bookmarkStart w:id="77" w:name="_Toc314842502"/>
      <w:r w:rsidRPr="00EA07AA">
        <w:t>The</w:t>
      </w:r>
      <w:r w:rsidR="006276D6">
        <w:t xml:space="preserve"> submission to </w:t>
      </w:r>
      <w:r w:rsidRPr="00EA07AA">
        <w:t xml:space="preserve">develop a safer and effective replacement product to treat </w:t>
      </w:r>
      <w:r w:rsidR="00CB4566">
        <w:t>h</w:t>
      </w:r>
      <w:r w:rsidRPr="00EA07AA">
        <w:t>aemophili</w:t>
      </w:r>
      <w:r w:rsidR="007E1D40">
        <w:t>a B is an acceptable rationale.</w:t>
      </w:r>
    </w:p>
    <w:p w:rsidR="00EA07AA" w:rsidRPr="00EA07AA" w:rsidRDefault="00EA07AA" w:rsidP="007E1D40">
      <w:pPr>
        <w:pStyle w:val="Heading3"/>
      </w:pPr>
      <w:bookmarkStart w:id="78" w:name="_Toc382554205"/>
      <w:bookmarkStart w:id="79" w:name="_Toc387924283"/>
      <w:r>
        <w:t xml:space="preserve">Contents of </w:t>
      </w:r>
      <w:r w:rsidRPr="00EA07AA">
        <w:t xml:space="preserve">the clinical </w:t>
      </w:r>
      <w:r w:rsidRPr="007E1D40">
        <w:t>dossier</w:t>
      </w:r>
      <w:bookmarkEnd w:id="78"/>
      <w:bookmarkEnd w:id="79"/>
    </w:p>
    <w:p w:rsidR="00EA07AA" w:rsidRPr="00EA07AA" w:rsidRDefault="00EA07AA" w:rsidP="007E1D40">
      <w:r w:rsidRPr="00EA07AA">
        <w:t>The clinical dosser documented a full clinical development program of pharmacology, efficacy and safety studies except for biopharmaceutical studies that were modified.</w:t>
      </w:r>
    </w:p>
    <w:p w:rsidR="00EA07AA" w:rsidRPr="00EA07AA" w:rsidRDefault="00EA07AA" w:rsidP="007E1D40">
      <w:r w:rsidRPr="00EA07AA">
        <w:t>The submission contained the following clinical information:</w:t>
      </w:r>
    </w:p>
    <w:p w:rsidR="00EA07AA" w:rsidRPr="00EA07AA" w:rsidRDefault="00EA07AA" w:rsidP="007E1D40">
      <w:pPr>
        <w:pStyle w:val="ListBullet"/>
      </w:pPr>
      <w:r w:rsidRPr="00EA07AA">
        <w:t xml:space="preserve">The PK of Factor VIII (FVIII) and FIX concentrates are generally accepted as a surrogate for haemostatic efficacy. Kinetics of </w:t>
      </w:r>
      <w:r w:rsidR="0051223A">
        <w:t>Rixubis</w:t>
      </w:r>
      <w:r w:rsidRPr="00EA07AA">
        <w:t xml:space="preserve"> after a single dose, and after at least 30 EDs were evaluated in the completed pivotal Phase I/III Study 250901. In the ongoing Phase III surgery Study 251002, pre-surgical PK parameters were assessed only in subjects undergoing major elective surgery who did not undergo</w:t>
      </w:r>
      <w:r w:rsidR="007E1D40">
        <w:t xml:space="preserve"> PK assessment in Study 250901.</w:t>
      </w:r>
    </w:p>
    <w:p w:rsidR="00EA07AA" w:rsidRPr="00EA07AA" w:rsidRDefault="00EA07AA" w:rsidP="007E1D40">
      <w:pPr>
        <w:pStyle w:val="ListBullet"/>
      </w:pPr>
      <w:r w:rsidRPr="00EA07AA">
        <w:t xml:space="preserve">No population </w:t>
      </w:r>
      <w:r w:rsidR="005B2F41">
        <w:t>PK</w:t>
      </w:r>
      <w:r w:rsidRPr="00EA07AA">
        <w:t xml:space="preserve"> (</w:t>
      </w:r>
      <w:proofErr w:type="spellStart"/>
      <w:r w:rsidRPr="00EA07AA">
        <w:t>PopPK</w:t>
      </w:r>
      <w:proofErr w:type="spellEnd"/>
      <w:r w:rsidRPr="00EA07AA">
        <w:t xml:space="preserve">) </w:t>
      </w:r>
      <w:r w:rsidRPr="007E1D40">
        <w:t>analyses</w:t>
      </w:r>
      <w:r w:rsidRPr="00EA07AA">
        <w:t xml:space="preserve"> were submitted.</w:t>
      </w:r>
    </w:p>
    <w:p w:rsidR="00EA07AA" w:rsidRPr="00EA07AA" w:rsidRDefault="00EA07AA" w:rsidP="007E1D40">
      <w:pPr>
        <w:pStyle w:val="ListBullet"/>
      </w:pPr>
      <w:r w:rsidRPr="00EA07AA">
        <w:t xml:space="preserve">The pivotal study was Study 250901, a Phase I/III prospective, controlled, multicentre study evaluating </w:t>
      </w:r>
      <w:r w:rsidR="007A5E2D">
        <w:t>PK</w:t>
      </w:r>
      <w:r w:rsidRPr="00EA07AA">
        <w:t xml:space="preserve">, efficacy, safety, and immunogenicity in </w:t>
      </w:r>
      <w:r w:rsidR="00CB4566">
        <w:t>PTPs</w:t>
      </w:r>
      <w:r w:rsidRPr="00EA07AA">
        <w:t xml:space="preserve"> with severe (FIX level &lt; 1%) or moderately severe (FIX level 1</w:t>
      </w:r>
      <w:r w:rsidR="00CB4566">
        <w:t xml:space="preserve"> to </w:t>
      </w:r>
      <w:r w:rsidRPr="00EA07AA">
        <w:t>2%) Haemophilia B</w:t>
      </w:r>
      <w:r w:rsidR="007E1D40">
        <w:t>.</w:t>
      </w:r>
    </w:p>
    <w:p w:rsidR="00EA07AA" w:rsidRPr="00EA07AA" w:rsidRDefault="00EA07AA" w:rsidP="008B5B04">
      <w:pPr>
        <w:pStyle w:val="ListBullet"/>
      </w:pPr>
      <w:r w:rsidRPr="00EA07AA">
        <w:t>Dose-finding studies were not done. The dose was determined</w:t>
      </w:r>
      <w:r w:rsidR="00CB4566">
        <w:t>.</w:t>
      </w:r>
      <w:r w:rsidRPr="00EA07AA">
        <w:t xml:space="preserve"> The selection of dose regimens in this study is based on pre-clinical PK, PD, single and repeated dose </w:t>
      </w:r>
      <w:r w:rsidRPr="007A5E2D">
        <w:t>in vivo</w:t>
      </w:r>
      <w:r w:rsidRPr="00EA07AA">
        <w:t xml:space="preserve"> toxicity studies, as well as the standard human clinical dose for </w:t>
      </w:r>
      <w:proofErr w:type="spellStart"/>
      <w:r w:rsidRPr="00EA07AA">
        <w:t>BeneFIX</w:t>
      </w:r>
      <w:proofErr w:type="spellEnd"/>
      <w:r w:rsidRPr="00EA07AA">
        <w:t xml:space="preserve">, the only other </w:t>
      </w:r>
      <w:proofErr w:type="spellStart"/>
      <w:r w:rsidR="007A5E2D">
        <w:t>r</w:t>
      </w:r>
      <w:r w:rsidRPr="00EA07AA">
        <w:t>FIX</w:t>
      </w:r>
      <w:proofErr w:type="spellEnd"/>
      <w:r w:rsidRPr="00EA07AA">
        <w:t xml:space="preserve"> in clinical use, and on regulatory agency guidelines.</w:t>
      </w:r>
    </w:p>
    <w:p w:rsidR="00EA07AA" w:rsidRPr="00EA07AA" w:rsidRDefault="00EA07AA" w:rsidP="007E1D40">
      <w:pPr>
        <w:pStyle w:val="ListBullet"/>
      </w:pPr>
      <w:r w:rsidRPr="00EA07AA">
        <w:t xml:space="preserve">Study 251002 was a Phase III, prospective, multicentre study </w:t>
      </w:r>
      <w:r w:rsidRPr="007E1D40">
        <w:t>evaluating</w:t>
      </w:r>
      <w:r w:rsidRPr="00EA07AA">
        <w:t xml:space="preserve"> efficacy and safety in </w:t>
      </w:r>
      <w:r w:rsidR="00CB4566">
        <w:t>PTP</w:t>
      </w:r>
      <w:r w:rsidRPr="00EA07AA">
        <w:t>s with severe (FIX level &lt; 1%) or moderately severe (FIX level 1-2%) haemophilia B undergoing surgical or other invasive procedures</w:t>
      </w:r>
      <w:r w:rsidR="007E1D40">
        <w:t>.</w:t>
      </w:r>
    </w:p>
    <w:p w:rsidR="00EA07AA" w:rsidRPr="00EA07AA" w:rsidRDefault="00EA07AA" w:rsidP="007E1D40">
      <w:pPr>
        <w:pStyle w:val="ListBullet"/>
      </w:pPr>
      <w:r w:rsidRPr="00EA07AA">
        <w:t xml:space="preserve">An Integrated Analysis of Safety (ISS) for </w:t>
      </w:r>
      <w:r w:rsidR="0051223A">
        <w:t>Rixubis</w:t>
      </w:r>
      <w:r w:rsidRPr="00EA07AA">
        <w:t xml:space="preserve"> was provided in which the safety of </w:t>
      </w:r>
      <w:r w:rsidR="0051223A">
        <w:t>Rixubis</w:t>
      </w:r>
      <w:r w:rsidRPr="00EA07AA">
        <w:t xml:space="preserve"> was integrated across the complete and ongoing studies in terms of adverse events (AEs), and the risk of developing FIX inhibitors in PTPs assessed.</w:t>
      </w:r>
    </w:p>
    <w:p w:rsidR="00EA07AA" w:rsidRPr="007E1D40" w:rsidRDefault="00EA07AA" w:rsidP="007E1D40">
      <w:pPr>
        <w:pStyle w:val="Heading3"/>
      </w:pPr>
      <w:bookmarkStart w:id="80" w:name="_Toc382554206"/>
      <w:bookmarkStart w:id="81" w:name="_Toc387924284"/>
      <w:r w:rsidRPr="00EA07AA">
        <w:t>Paediatric data</w:t>
      </w:r>
      <w:bookmarkEnd w:id="80"/>
      <w:bookmarkEnd w:id="81"/>
    </w:p>
    <w:p w:rsidR="00EA07AA" w:rsidRPr="00EA07AA" w:rsidRDefault="00EA07AA" w:rsidP="007E1D40">
      <w:r w:rsidRPr="00EA07AA">
        <w:t>The submission did not include paediatric data. The proposed indications exclude children under 12 years of age. A trial in chil</w:t>
      </w:r>
      <w:r w:rsidR="007E1D40">
        <w:t>dren (Study 251101) is ongoing.</w:t>
      </w:r>
    </w:p>
    <w:p w:rsidR="00EA07AA" w:rsidRPr="007E1D40" w:rsidRDefault="00EA07AA" w:rsidP="007E1D40">
      <w:pPr>
        <w:pStyle w:val="Heading3"/>
      </w:pPr>
      <w:bookmarkStart w:id="82" w:name="_Toc382554207"/>
      <w:bookmarkStart w:id="83" w:name="_Toc387924285"/>
      <w:r w:rsidRPr="00EA07AA">
        <w:t>Good clinical practice</w:t>
      </w:r>
      <w:bookmarkEnd w:id="82"/>
      <w:bookmarkEnd w:id="83"/>
    </w:p>
    <w:p w:rsidR="00EA07AA" w:rsidRPr="00EA07AA" w:rsidRDefault="00EA07AA" w:rsidP="007E1D40">
      <w:bookmarkStart w:id="84" w:name="_Toc241374282"/>
      <w:r w:rsidRPr="00EA07AA">
        <w:t xml:space="preserve">In both studies, the study protocol, informed consent form, and all amendments were reviewed and approved by the Independent Ethics Committee (IEC) of each participating </w:t>
      </w:r>
      <w:r w:rsidRPr="00EA07AA">
        <w:lastRenderedPageBreak/>
        <w:t>institution. The study was conducted in accordance with the Study Protocol, the International Conference on Harmonisation Guideline for Good Clinical Practice E6 (ICH GCP, April 1996), Title 21 of the US Code of Federal Regulations (US CFR), the European Clinical Trial Directive (2001/20/EC and 2005/28/EC), and applicable national and local regulatory requirements. Written informed consent was obtained from each patient and/or their legally authorised representative before entering into the study according to applicable regulatory requirements and ICH GCP.</w:t>
      </w:r>
    </w:p>
    <w:p w:rsidR="008E7846" w:rsidRPr="007E1D40" w:rsidRDefault="008E7846" w:rsidP="007E1D40">
      <w:pPr>
        <w:pStyle w:val="Heading3"/>
      </w:pPr>
      <w:bookmarkStart w:id="85" w:name="_Toc387924286"/>
      <w:bookmarkEnd w:id="84"/>
      <w:r w:rsidRPr="00EA07AA">
        <w:t>Pharmacokinetics</w:t>
      </w:r>
      <w:bookmarkEnd w:id="71"/>
      <w:bookmarkEnd w:id="75"/>
      <w:bookmarkEnd w:id="76"/>
      <w:bookmarkEnd w:id="77"/>
      <w:bookmarkEnd w:id="85"/>
    </w:p>
    <w:p w:rsidR="00AD5282" w:rsidRPr="00AD5282" w:rsidRDefault="00AD5282" w:rsidP="007E1D40">
      <w:pPr>
        <w:pStyle w:val="Heading4"/>
      </w:pPr>
      <w:bookmarkStart w:id="86" w:name="_Ref271017296"/>
      <w:bookmarkStart w:id="87" w:name="_Ref271018924"/>
      <w:bookmarkStart w:id="88" w:name="_Ref271018934"/>
      <w:bookmarkStart w:id="89" w:name="_Toc272414614"/>
      <w:bookmarkStart w:id="90" w:name="_Toc290846238"/>
      <w:bookmarkStart w:id="91" w:name="_Toc290888775"/>
      <w:bookmarkStart w:id="92" w:name="_Toc355607956"/>
      <w:bookmarkStart w:id="93" w:name="_Toc382554209"/>
      <w:r w:rsidRPr="00AD5282">
        <w:t>Studies</w:t>
      </w:r>
      <w:bookmarkEnd w:id="86"/>
      <w:bookmarkEnd w:id="87"/>
      <w:bookmarkEnd w:id="88"/>
      <w:r w:rsidRPr="00AD5282">
        <w:t xml:space="preserve"> providing pharmacokinetic data</w:t>
      </w:r>
      <w:bookmarkEnd w:id="89"/>
      <w:bookmarkEnd w:id="90"/>
      <w:bookmarkEnd w:id="91"/>
      <w:bookmarkEnd w:id="92"/>
      <w:bookmarkEnd w:id="93"/>
    </w:p>
    <w:p w:rsidR="00AD5282" w:rsidRPr="00AD5282" w:rsidRDefault="00AD5282" w:rsidP="007E1D40">
      <w:r w:rsidRPr="00AD5282">
        <w:t xml:space="preserve">Table </w:t>
      </w:r>
      <w:r w:rsidR="005B2F41">
        <w:t>5</w:t>
      </w:r>
      <w:r w:rsidRPr="00AD5282">
        <w:t xml:space="preserve"> shows the studies relating to each </w:t>
      </w:r>
      <w:r w:rsidR="007A5E2D">
        <w:t>PK</w:t>
      </w:r>
      <w:r w:rsidRPr="00AD5282">
        <w:t xml:space="preserve"> topic.</w:t>
      </w:r>
    </w:p>
    <w:p w:rsidR="00AD5282" w:rsidRDefault="00AD5282" w:rsidP="007E1D40">
      <w:pPr>
        <w:pStyle w:val="TableTitle"/>
      </w:pPr>
      <w:bookmarkStart w:id="94" w:name="_Toc353358904"/>
      <w:bookmarkStart w:id="95" w:name="_Ref272426277"/>
      <w:bookmarkStart w:id="96" w:name="_Toc290888900"/>
      <w:r w:rsidRPr="00AD5282">
        <w:t xml:space="preserve">Table </w:t>
      </w:r>
      <w:r w:rsidR="005B2F41">
        <w:t>5:</w:t>
      </w:r>
      <w:r w:rsidRPr="00AD5282">
        <w:t xml:space="preserve"> Submitted PK studies</w:t>
      </w:r>
      <w:bookmarkEnd w:id="94"/>
      <w:bookmarkEnd w:id="95"/>
      <w:bookmarkEnd w:id="96"/>
    </w:p>
    <w:tbl>
      <w:tblPr>
        <w:tblStyle w:val="TableTGAblue"/>
        <w:tblW w:w="0" w:type="auto"/>
        <w:tblLook w:val="04A0" w:firstRow="1" w:lastRow="0" w:firstColumn="1" w:lastColumn="0" w:noHBand="0" w:noVBand="1"/>
      </w:tblPr>
      <w:tblGrid>
        <w:gridCol w:w="2217"/>
        <w:gridCol w:w="3085"/>
        <w:gridCol w:w="1670"/>
        <w:gridCol w:w="1748"/>
      </w:tblGrid>
      <w:tr w:rsidR="00AD5282" w:rsidTr="00E7458B">
        <w:trPr>
          <w:cnfStyle w:val="100000000000" w:firstRow="1" w:lastRow="0" w:firstColumn="0" w:lastColumn="0" w:oddVBand="0" w:evenVBand="0" w:oddHBand="0" w:evenHBand="0" w:firstRowFirstColumn="0" w:firstRowLastColumn="0" w:lastRowFirstColumn="0" w:lastRowLastColumn="0"/>
        </w:trPr>
        <w:tc>
          <w:tcPr>
            <w:tcW w:w="2217" w:type="dxa"/>
          </w:tcPr>
          <w:p w:rsidR="00AD5282" w:rsidRPr="00E7458B" w:rsidRDefault="00AD5282" w:rsidP="007436B2">
            <w:pPr>
              <w:tabs>
                <w:tab w:val="left" w:pos="1985"/>
              </w:tabs>
              <w:ind w:left="0" w:right="16"/>
            </w:pPr>
            <w:r w:rsidRPr="00E7458B">
              <w:t>PK topic</w:t>
            </w:r>
          </w:p>
        </w:tc>
        <w:tc>
          <w:tcPr>
            <w:tcW w:w="3085" w:type="dxa"/>
          </w:tcPr>
          <w:p w:rsidR="00AD5282" w:rsidRPr="00E7458B" w:rsidRDefault="00AD5282" w:rsidP="007436B2">
            <w:pPr>
              <w:ind w:left="51" w:right="0"/>
            </w:pPr>
            <w:r w:rsidRPr="00E7458B">
              <w:t>Subtopic</w:t>
            </w:r>
          </w:p>
        </w:tc>
        <w:tc>
          <w:tcPr>
            <w:tcW w:w="1670" w:type="dxa"/>
          </w:tcPr>
          <w:p w:rsidR="00AD5282" w:rsidRPr="00E7458B" w:rsidRDefault="00AD5282" w:rsidP="007436B2">
            <w:pPr>
              <w:ind w:left="85" w:right="0"/>
            </w:pPr>
          </w:p>
        </w:tc>
        <w:tc>
          <w:tcPr>
            <w:tcW w:w="1748" w:type="dxa"/>
          </w:tcPr>
          <w:p w:rsidR="00AD5282" w:rsidRPr="00E7458B" w:rsidRDefault="00AD5282" w:rsidP="007436B2">
            <w:pPr>
              <w:ind w:left="0" w:right="0"/>
            </w:pPr>
            <w:r w:rsidRPr="00E7458B">
              <w:t>St</w:t>
            </w:r>
            <w:r w:rsidR="007436B2">
              <w:t>udy ID</w:t>
            </w:r>
          </w:p>
        </w:tc>
      </w:tr>
      <w:tr w:rsidR="00E7458B" w:rsidTr="00E7458B">
        <w:tc>
          <w:tcPr>
            <w:tcW w:w="2217" w:type="dxa"/>
            <w:vMerge w:val="restart"/>
          </w:tcPr>
          <w:p w:rsidR="00E7458B" w:rsidRPr="00E7458B" w:rsidRDefault="00E7458B" w:rsidP="007436B2">
            <w:pPr>
              <w:tabs>
                <w:tab w:val="left" w:pos="1985"/>
              </w:tabs>
              <w:ind w:left="0" w:right="16"/>
            </w:pPr>
            <w:r w:rsidRPr="00E7458B">
              <w:t>PK in healthy adults</w:t>
            </w:r>
          </w:p>
        </w:tc>
        <w:tc>
          <w:tcPr>
            <w:tcW w:w="3085" w:type="dxa"/>
            <w:vMerge w:val="restart"/>
          </w:tcPr>
          <w:p w:rsidR="00E7458B" w:rsidRPr="00E7458B" w:rsidRDefault="00E7458B" w:rsidP="007436B2">
            <w:pPr>
              <w:ind w:left="51" w:right="0"/>
            </w:pPr>
            <w:r w:rsidRPr="00E7458B">
              <w:t>General PK</w:t>
            </w:r>
          </w:p>
        </w:tc>
        <w:tc>
          <w:tcPr>
            <w:tcW w:w="1670" w:type="dxa"/>
          </w:tcPr>
          <w:p w:rsidR="00E7458B" w:rsidRPr="00E7458B" w:rsidRDefault="00E7458B" w:rsidP="007436B2">
            <w:pPr>
              <w:ind w:left="85" w:right="0"/>
            </w:pPr>
            <w:r w:rsidRPr="00E7458B">
              <w:t>Single dose</w:t>
            </w: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vMerge/>
          </w:tcPr>
          <w:p w:rsidR="00E7458B" w:rsidRPr="00E7458B" w:rsidRDefault="00E7458B" w:rsidP="007436B2">
            <w:pPr>
              <w:ind w:left="51" w:right="0"/>
            </w:pPr>
          </w:p>
        </w:tc>
        <w:tc>
          <w:tcPr>
            <w:tcW w:w="1670" w:type="dxa"/>
          </w:tcPr>
          <w:p w:rsidR="00E7458B" w:rsidRPr="00E7458B" w:rsidRDefault="00E7458B" w:rsidP="007436B2">
            <w:pPr>
              <w:ind w:left="85" w:right="0"/>
            </w:pPr>
            <w:r w:rsidRPr="00E7458B">
              <w:t>Multi dose</w:t>
            </w: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vMerge w:val="restart"/>
          </w:tcPr>
          <w:p w:rsidR="00E7458B" w:rsidRPr="00E7458B" w:rsidRDefault="00E7458B" w:rsidP="007436B2">
            <w:pPr>
              <w:ind w:left="51" w:right="0"/>
            </w:pPr>
            <w:r w:rsidRPr="00E7458B">
              <w:t xml:space="preserve">Bioequivalence† </w:t>
            </w:r>
          </w:p>
        </w:tc>
        <w:tc>
          <w:tcPr>
            <w:tcW w:w="1670" w:type="dxa"/>
          </w:tcPr>
          <w:p w:rsidR="00E7458B" w:rsidRPr="00E7458B" w:rsidRDefault="00E7458B" w:rsidP="007436B2">
            <w:pPr>
              <w:ind w:left="85" w:right="0"/>
            </w:pPr>
            <w:r w:rsidRPr="00E7458B">
              <w:t>Single dose</w:t>
            </w: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vMerge/>
          </w:tcPr>
          <w:p w:rsidR="00E7458B" w:rsidRPr="00E7458B" w:rsidRDefault="00E7458B" w:rsidP="007436B2">
            <w:pPr>
              <w:ind w:left="51" w:right="0"/>
            </w:pPr>
          </w:p>
        </w:tc>
        <w:tc>
          <w:tcPr>
            <w:tcW w:w="1670" w:type="dxa"/>
          </w:tcPr>
          <w:p w:rsidR="00E7458B" w:rsidRPr="00E7458B" w:rsidRDefault="00E7458B" w:rsidP="007436B2">
            <w:pPr>
              <w:ind w:left="85" w:right="0"/>
            </w:pPr>
            <w:r w:rsidRPr="00E7458B">
              <w:t>Multi-dose</w:t>
            </w: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Food effect</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vMerge w:val="restart"/>
          </w:tcPr>
          <w:p w:rsidR="00E7458B" w:rsidRPr="00E7458B" w:rsidRDefault="00E7458B" w:rsidP="007436B2">
            <w:pPr>
              <w:tabs>
                <w:tab w:val="left" w:pos="1985"/>
              </w:tabs>
              <w:ind w:left="0" w:right="16"/>
            </w:pPr>
            <w:r w:rsidRPr="00E7458B">
              <w:t>PK in special populations</w:t>
            </w:r>
          </w:p>
        </w:tc>
        <w:tc>
          <w:tcPr>
            <w:tcW w:w="3085" w:type="dxa"/>
            <w:vMerge w:val="restart"/>
          </w:tcPr>
          <w:p w:rsidR="00E7458B" w:rsidRPr="00E7458B" w:rsidRDefault="00E7458B" w:rsidP="007436B2">
            <w:pPr>
              <w:ind w:left="51" w:right="0"/>
            </w:pPr>
            <w:r w:rsidRPr="00E7458B">
              <w:t>Target population §</w:t>
            </w:r>
          </w:p>
        </w:tc>
        <w:tc>
          <w:tcPr>
            <w:tcW w:w="1670" w:type="dxa"/>
          </w:tcPr>
          <w:p w:rsidR="00E7458B" w:rsidRPr="00E7458B" w:rsidRDefault="00E7458B" w:rsidP="007436B2">
            <w:pPr>
              <w:ind w:left="85" w:right="0"/>
            </w:pPr>
            <w:r w:rsidRPr="00E7458B">
              <w:t>Single dose</w:t>
            </w:r>
          </w:p>
        </w:tc>
        <w:tc>
          <w:tcPr>
            <w:tcW w:w="1748" w:type="dxa"/>
          </w:tcPr>
          <w:p w:rsidR="00E7458B" w:rsidRPr="00E7458B" w:rsidRDefault="00E7458B" w:rsidP="007436B2">
            <w:pPr>
              <w:ind w:left="0" w:right="0"/>
            </w:pPr>
            <w:r w:rsidRPr="00E7458B">
              <w:t>Study 250901</w:t>
            </w:r>
          </w:p>
        </w:tc>
      </w:tr>
      <w:tr w:rsidR="00E7458B" w:rsidTr="00E7458B">
        <w:tc>
          <w:tcPr>
            <w:tcW w:w="2217" w:type="dxa"/>
            <w:vMerge/>
          </w:tcPr>
          <w:p w:rsidR="00E7458B" w:rsidRPr="00E7458B" w:rsidRDefault="00E7458B" w:rsidP="007436B2">
            <w:pPr>
              <w:tabs>
                <w:tab w:val="left" w:pos="1985"/>
              </w:tabs>
              <w:ind w:left="0" w:right="16"/>
            </w:pPr>
          </w:p>
        </w:tc>
        <w:tc>
          <w:tcPr>
            <w:tcW w:w="3085" w:type="dxa"/>
            <w:vMerge/>
          </w:tcPr>
          <w:p w:rsidR="00E7458B" w:rsidRPr="00E7458B" w:rsidRDefault="00E7458B" w:rsidP="007436B2">
            <w:pPr>
              <w:ind w:left="51" w:right="0"/>
            </w:pPr>
          </w:p>
        </w:tc>
        <w:tc>
          <w:tcPr>
            <w:tcW w:w="1670" w:type="dxa"/>
          </w:tcPr>
          <w:p w:rsidR="00E7458B" w:rsidRPr="00E7458B" w:rsidRDefault="00E7458B" w:rsidP="007436B2">
            <w:pPr>
              <w:ind w:left="85" w:right="0"/>
            </w:pPr>
            <w:r w:rsidRPr="00E7458B">
              <w:t>Single dose</w:t>
            </w:r>
          </w:p>
        </w:tc>
        <w:tc>
          <w:tcPr>
            <w:tcW w:w="1748" w:type="dxa"/>
          </w:tcPr>
          <w:p w:rsidR="00E7458B" w:rsidRPr="00E7458B" w:rsidRDefault="00E7458B" w:rsidP="007436B2">
            <w:pPr>
              <w:ind w:left="0" w:right="0"/>
            </w:pPr>
            <w:r w:rsidRPr="00E7458B">
              <w:t>Study 251002</w:t>
            </w: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Hepatic impairment</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Renal impairment</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Neonates/infants/children &lt; 12 years</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Elderly</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tcPr>
          <w:p w:rsidR="00E7458B" w:rsidRPr="00E7458B" w:rsidRDefault="00E7458B" w:rsidP="007436B2">
            <w:pPr>
              <w:tabs>
                <w:tab w:val="left" w:pos="1985"/>
              </w:tabs>
              <w:ind w:left="0" w:right="16"/>
            </w:pPr>
            <w:r w:rsidRPr="00E7458B">
              <w:t>Genetic/gender-related PK</w:t>
            </w:r>
          </w:p>
        </w:tc>
        <w:tc>
          <w:tcPr>
            <w:tcW w:w="3085" w:type="dxa"/>
          </w:tcPr>
          <w:p w:rsidR="00E7458B" w:rsidRPr="00E7458B" w:rsidRDefault="00E7458B" w:rsidP="007436B2">
            <w:pPr>
              <w:ind w:left="51" w:right="0"/>
            </w:pPr>
            <w:r w:rsidRPr="00E7458B">
              <w:t>Males versus females</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tcPr>
          <w:p w:rsidR="00E7458B" w:rsidRPr="00E7458B" w:rsidRDefault="00E7458B" w:rsidP="007436B2">
            <w:pPr>
              <w:tabs>
                <w:tab w:val="left" w:pos="1985"/>
              </w:tabs>
              <w:ind w:left="0" w:right="16"/>
            </w:pPr>
            <w:r w:rsidRPr="00E7458B">
              <w:t>PK interactions</w:t>
            </w:r>
          </w:p>
        </w:tc>
        <w:tc>
          <w:tcPr>
            <w:tcW w:w="3085" w:type="dxa"/>
          </w:tcPr>
          <w:p w:rsidR="00E7458B" w:rsidRPr="00E7458B" w:rsidRDefault="00E7458B" w:rsidP="007436B2">
            <w:pPr>
              <w:ind w:left="51" w:right="0"/>
            </w:pP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r w:rsidRPr="00E7458B">
              <w:t>NA</w:t>
            </w:r>
          </w:p>
        </w:tc>
      </w:tr>
      <w:tr w:rsidR="00E7458B" w:rsidTr="00E7458B">
        <w:tc>
          <w:tcPr>
            <w:tcW w:w="2217" w:type="dxa"/>
            <w:vMerge w:val="restart"/>
          </w:tcPr>
          <w:p w:rsidR="00E7458B" w:rsidRPr="00E7458B" w:rsidRDefault="00E7458B" w:rsidP="007436B2">
            <w:pPr>
              <w:tabs>
                <w:tab w:val="left" w:pos="1985"/>
              </w:tabs>
              <w:ind w:left="0" w:right="16"/>
            </w:pPr>
            <w:r w:rsidRPr="00E7458B">
              <w:t>Population PK analyses</w:t>
            </w:r>
          </w:p>
        </w:tc>
        <w:tc>
          <w:tcPr>
            <w:tcW w:w="3085" w:type="dxa"/>
          </w:tcPr>
          <w:p w:rsidR="00E7458B" w:rsidRPr="00E7458B" w:rsidRDefault="00E7458B" w:rsidP="007436B2">
            <w:pPr>
              <w:ind w:left="51" w:right="0"/>
            </w:pPr>
            <w:r w:rsidRPr="00E7458B">
              <w:t>Healthy subjects</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Target population</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p>
        </w:tc>
      </w:tr>
      <w:tr w:rsidR="00E7458B" w:rsidTr="00E7458B">
        <w:tc>
          <w:tcPr>
            <w:tcW w:w="2217" w:type="dxa"/>
            <w:vMerge/>
          </w:tcPr>
          <w:p w:rsidR="00E7458B" w:rsidRPr="00E7458B" w:rsidRDefault="00E7458B" w:rsidP="007436B2">
            <w:pPr>
              <w:tabs>
                <w:tab w:val="left" w:pos="1985"/>
              </w:tabs>
              <w:ind w:left="0" w:right="16"/>
            </w:pPr>
          </w:p>
        </w:tc>
        <w:tc>
          <w:tcPr>
            <w:tcW w:w="3085" w:type="dxa"/>
          </w:tcPr>
          <w:p w:rsidR="00E7458B" w:rsidRPr="00E7458B" w:rsidRDefault="00E7458B" w:rsidP="007436B2">
            <w:pPr>
              <w:ind w:left="51" w:right="0"/>
            </w:pPr>
            <w:r w:rsidRPr="00E7458B">
              <w:t>Other</w:t>
            </w:r>
          </w:p>
        </w:tc>
        <w:tc>
          <w:tcPr>
            <w:tcW w:w="1670" w:type="dxa"/>
          </w:tcPr>
          <w:p w:rsidR="00E7458B" w:rsidRPr="00E7458B" w:rsidRDefault="00E7458B" w:rsidP="007436B2">
            <w:pPr>
              <w:ind w:left="85" w:right="0"/>
            </w:pPr>
          </w:p>
        </w:tc>
        <w:tc>
          <w:tcPr>
            <w:tcW w:w="1748" w:type="dxa"/>
          </w:tcPr>
          <w:p w:rsidR="00E7458B" w:rsidRPr="00E7458B" w:rsidRDefault="00E7458B" w:rsidP="007436B2">
            <w:pPr>
              <w:ind w:left="0" w:right="0"/>
            </w:pPr>
          </w:p>
        </w:tc>
      </w:tr>
    </w:tbl>
    <w:p w:rsidR="00AD5282" w:rsidRPr="00E7458B" w:rsidRDefault="00AD5282" w:rsidP="007436B2">
      <w:pPr>
        <w:pStyle w:val="TableDescription"/>
      </w:pPr>
      <w:r w:rsidRPr="00E7458B">
        <w:t>* Indicates the primary aim of the study.</w:t>
      </w:r>
    </w:p>
    <w:p w:rsidR="00AD5282" w:rsidRPr="00E7458B" w:rsidRDefault="00AD5282" w:rsidP="007436B2">
      <w:pPr>
        <w:pStyle w:val="TableDescription"/>
      </w:pPr>
      <w:r w:rsidRPr="00E7458B">
        <w:t>† Bioequivalence of different formulations.</w:t>
      </w:r>
    </w:p>
    <w:p w:rsidR="00AD5282" w:rsidRPr="00E7458B" w:rsidRDefault="00AD5282" w:rsidP="007436B2">
      <w:pPr>
        <w:pStyle w:val="TableDescription"/>
      </w:pPr>
      <w:r w:rsidRPr="00E7458B">
        <w:t>§ Subjects who would be eligible to receive the drug if approved for the proposed indication.</w:t>
      </w:r>
    </w:p>
    <w:p w:rsidR="00AD5282" w:rsidRPr="00AD5282" w:rsidRDefault="00AD5282" w:rsidP="007436B2">
      <w:r w:rsidRPr="00AD5282">
        <w:lastRenderedPageBreak/>
        <w:t>None of the PK studies had deficiencies that excluded their results from consideration.</w:t>
      </w:r>
    </w:p>
    <w:p w:rsidR="00E7458B" w:rsidRPr="00E7458B" w:rsidRDefault="00E7458B" w:rsidP="007436B2">
      <w:pPr>
        <w:pStyle w:val="Heading4"/>
      </w:pPr>
      <w:bookmarkStart w:id="97" w:name="_Toc241374296"/>
      <w:bookmarkStart w:id="98" w:name="_Ref269982040"/>
      <w:bookmarkStart w:id="99" w:name="_Ref271018704"/>
      <w:bookmarkStart w:id="100" w:name="_Ref271018755"/>
      <w:bookmarkStart w:id="101" w:name="_Toc272414635"/>
      <w:bookmarkStart w:id="102" w:name="_Toc290846258"/>
      <w:bookmarkStart w:id="103" w:name="_Toc290888795"/>
      <w:bookmarkStart w:id="104" w:name="_Ref353271262"/>
      <w:bookmarkStart w:id="105" w:name="_Ref353271309"/>
      <w:bookmarkStart w:id="106" w:name="_Toc355607971"/>
      <w:bookmarkStart w:id="107" w:name="_Toc382554211"/>
      <w:r w:rsidRPr="007436B2">
        <w:t>Evaluator’s</w:t>
      </w:r>
      <w:r w:rsidRPr="00E7458B">
        <w:t xml:space="preserve"> overall conclusions on pharmacokinetics</w:t>
      </w:r>
      <w:bookmarkEnd w:id="97"/>
      <w:bookmarkEnd w:id="98"/>
      <w:bookmarkEnd w:id="99"/>
      <w:bookmarkEnd w:id="100"/>
      <w:bookmarkEnd w:id="101"/>
      <w:bookmarkEnd w:id="102"/>
      <w:bookmarkEnd w:id="103"/>
      <w:bookmarkEnd w:id="104"/>
      <w:bookmarkEnd w:id="105"/>
      <w:bookmarkEnd w:id="106"/>
      <w:bookmarkEnd w:id="107"/>
    </w:p>
    <w:p w:rsidR="00E7458B" w:rsidRPr="00E7458B" w:rsidRDefault="00E7458B" w:rsidP="007436B2">
      <w:r>
        <w:t xml:space="preserve">The clinical evaluator’s </w:t>
      </w:r>
      <w:r w:rsidRPr="00E7458B">
        <w:t>conclusions are that in the pivotal Study 250901</w:t>
      </w:r>
      <w:r>
        <w:t>:</w:t>
      </w:r>
    </w:p>
    <w:p w:rsidR="00E7458B" w:rsidRPr="00E7458B" w:rsidRDefault="00E7458B" w:rsidP="007436B2">
      <w:pPr>
        <w:pStyle w:val="ListBullet"/>
      </w:pPr>
      <w:r w:rsidRPr="00E7458B">
        <w:t xml:space="preserve">PK equivalence of </w:t>
      </w:r>
      <w:r w:rsidR="0051223A">
        <w:t>Rixubis</w:t>
      </w:r>
      <w:r w:rsidRPr="00E7458B">
        <w:t xml:space="preserve"> and the commercially available </w:t>
      </w:r>
      <w:proofErr w:type="spellStart"/>
      <w:r w:rsidRPr="00E7458B">
        <w:t>rFIX</w:t>
      </w:r>
      <w:proofErr w:type="spellEnd"/>
      <w:r w:rsidRPr="00E7458B">
        <w:t xml:space="preserve"> was confirmed</w:t>
      </w:r>
      <w:r w:rsidR="005B2F41">
        <w:t>.</w:t>
      </w:r>
    </w:p>
    <w:p w:rsidR="00E7458B" w:rsidRPr="00E7458B" w:rsidRDefault="00E7458B" w:rsidP="007436B2">
      <w:pPr>
        <w:pStyle w:val="ListBullet"/>
      </w:pPr>
      <w:r w:rsidRPr="007436B2">
        <w:t>The</w:t>
      </w:r>
      <w:r w:rsidRPr="00E7458B">
        <w:t xml:space="preserve"> PK parameters analysed for </w:t>
      </w:r>
      <w:proofErr w:type="spellStart"/>
      <w:r w:rsidR="0051223A">
        <w:t>Rixubis</w:t>
      </w:r>
      <w:proofErr w:type="spellEnd"/>
      <w:r w:rsidRPr="00E7458B">
        <w:t xml:space="preserve"> and the commercial </w:t>
      </w:r>
      <w:proofErr w:type="spellStart"/>
      <w:r w:rsidRPr="00E7458B">
        <w:t>rFIX</w:t>
      </w:r>
      <w:proofErr w:type="spellEnd"/>
      <w:r w:rsidRPr="00E7458B">
        <w:t xml:space="preserve"> (IR, </w:t>
      </w:r>
      <w:proofErr w:type="spellStart"/>
      <w:r w:rsidRPr="00E7458B">
        <w:t>C</w:t>
      </w:r>
      <w:r w:rsidRPr="00E7458B">
        <w:rPr>
          <w:vertAlign w:val="subscript"/>
        </w:rPr>
        <w:t>max</w:t>
      </w:r>
      <w:proofErr w:type="spellEnd"/>
      <w:r w:rsidRPr="00E7458B">
        <w:t xml:space="preserve">, half-life, </w:t>
      </w:r>
      <w:r w:rsidR="005B2F41">
        <w:t>m</w:t>
      </w:r>
      <w:proofErr w:type="spellStart"/>
      <w:r w:rsidR="005B2F41" w:rsidRPr="00685261">
        <w:rPr>
          <w:lang w:val="en-US"/>
        </w:rPr>
        <w:t>ean</w:t>
      </w:r>
      <w:proofErr w:type="spellEnd"/>
      <w:r w:rsidR="005B2F41" w:rsidRPr="00685261">
        <w:rPr>
          <w:lang w:val="en-US"/>
        </w:rPr>
        <w:t xml:space="preserve"> residence time</w:t>
      </w:r>
      <w:r w:rsidR="005B2F41" w:rsidRPr="00E7458B">
        <w:t xml:space="preserve"> </w:t>
      </w:r>
      <w:r w:rsidR="005B2F41">
        <w:t>(</w:t>
      </w:r>
      <w:r w:rsidRPr="00E7458B">
        <w:t>MRT</w:t>
      </w:r>
      <w:r w:rsidR="005B2F41">
        <w:t>)</w:t>
      </w:r>
      <w:r w:rsidRPr="00E7458B">
        <w:t>, CL and</w:t>
      </w:r>
      <w:r w:rsidR="009B53CC">
        <w:t xml:space="preserve"> v</w:t>
      </w:r>
      <w:proofErr w:type="spellStart"/>
      <w:r w:rsidR="009B53CC" w:rsidRPr="00685261">
        <w:rPr>
          <w:lang w:val="en-US"/>
        </w:rPr>
        <w:t>olume</w:t>
      </w:r>
      <w:proofErr w:type="spellEnd"/>
      <w:r w:rsidR="009B53CC" w:rsidRPr="00685261">
        <w:rPr>
          <w:lang w:val="en-US"/>
        </w:rPr>
        <w:t xml:space="preserve"> of distribution at steady state</w:t>
      </w:r>
      <w:r w:rsidR="009B53CC">
        <w:rPr>
          <w:lang w:val="en-US"/>
        </w:rPr>
        <w:t xml:space="preserve"> (</w:t>
      </w:r>
      <w:proofErr w:type="spellStart"/>
      <w:r w:rsidRPr="00E7458B">
        <w:t>Vss</w:t>
      </w:r>
      <w:proofErr w:type="spellEnd"/>
      <w:r w:rsidR="009B53CC">
        <w:t>)</w:t>
      </w:r>
      <w:r w:rsidRPr="00E7458B">
        <w:t>) were comparable</w:t>
      </w:r>
      <w:r w:rsidR="005B2F41">
        <w:t>.</w:t>
      </w:r>
    </w:p>
    <w:p w:rsidR="00E7458B" w:rsidRPr="00E7458B" w:rsidRDefault="00E7458B" w:rsidP="007436B2">
      <w:pPr>
        <w:pStyle w:val="ListBullet"/>
      </w:pPr>
      <w:r w:rsidRPr="007436B2">
        <w:t>Repeated</w:t>
      </w:r>
      <w:r w:rsidRPr="00E7458B">
        <w:t xml:space="preserve"> in vivo recovery testing for up to 26 weeks demonstrated that the mean incremental FIX recovery was consistent over time.</w:t>
      </w:r>
    </w:p>
    <w:p w:rsidR="00E7458B" w:rsidRPr="00E7458B" w:rsidRDefault="0051223A" w:rsidP="007436B2">
      <w:pPr>
        <w:pStyle w:val="ListBullet"/>
      </w:pPr>
      <w:proofErr w:type="spellStart"/>
      <w:r w:rsidRPr="007436B2">
        <w:t>Rixubis</w:t>
      </w:r>
      <w:proofErr w:type="spellEnd"/>
      <w:r w:rsidR="00E7458B" w:rsidRPr="00E7458B">
        <w:t xml:space="preserve"> half-li</w:t>
      </w:r>
      <w:r w:rsidR="007436B2">
        <w:t>fe remained constant in Part 3.</w:t>
      </w:r>
    </w:p>
    <w:p w:rsidR="00E7458B" w:rsidRPr="00E7458B" w:rsidRDefault="00E7458B" w:rsidP="007436B2">
      <w:pPr>
        <w:pStyle w:val="ListBullet"/>
      </w:pPr>
      <w:r w:rsidRPr="00E7458B">
        <w:t xml:space="preserve">The comparison of </w:t>
      </w:r>
      <w:r w:rsidR="0051223A">
        <w:t>Rixubis</w:t>
      </w:r>
      <w:r w:rsidRPr="00E7458B">
        <w:t xml:space="preserve"> pilot product </w:t>
      </w:r>
      <w:r w:rsidRPr="007436B2">
        <w:t>used</w:t>
      </w:r>
      <w:r w:rsidRPr="00E7458B">
        <w:t xml:space="preserve"> in Part 1 and </w:t>
      </w:r>
      <w:r w:rsidR="0051223A">
        <w:t>Rixubis</w:t>
      </w:r>
      <w:r w:rsidRPr="00E7458B">
        <w:t xml:space="preserve"> commercial product used in Part 3 (Part 1/Part 3</w:t>
      </w:r>
      <w:r w:rsidR="009B53CC">
        <w:t xml:space="preserve"> </w:t>
      </w:r>
      <w:r w:rsidRPr="00E7458B">
        <w:t xml:space="preserve">ratio ) showed that higher AUC, IR and </w:t>
      </w:r>
      <w:proofErr w:type="spellStart"/>
      <w:r w:rsidRPr="00E7458B">
        <w:t>C</w:t>
      </w:r>
      <w:r w:rsidRPr="00E7458B">
        <w:rPr>
          <w:vertAlign w:val="subscript"/>
        </w:rPr>
        <w:t>max</w:t>
      </w:r>
      <w:proofErr w:type="spellEnd"/>
      <w:r w:rsidRPr="00E7458B">
        <w:t xml:space="preserve"> values were observed with the commercial product. The Part 1/Part 3-ratio of MRT, half-life and CL demonstrates very similar values for both pilot and commercial products.</w:t>
      </w:r>
    </w:p>
    <w:p w:rsidR="00E7458B" w:rsidRPr="00E7458B" w:rsidRDefault="00E7458B" w:rsidP="007436B2">
      <w:r w:rsidRPr="00E7458B">
        <w:t xml:space="preserve">For </w:t>
      </w:r>
      <w:r>
        <w:t>S</w:t>
      </w:r>
      <w:r w:rsidRPr="00E7458B">
        <w:t>urgery Study 251002</w:t>
      </w:r>
      <w:r>
        <w:t>:</w:t>
      </w:r>
    </w:p>
    <w:p w:rsidR="00E7458B" w:rsidRPr="00E7458B" w:rsidRDefault="00E7458B" w:rsidP="007436B2">
      <w:pPr>
        <w:pStyle w:val="ListBullet"/>
      </w:pPr>
      <w:r w:rsidRPr="00E7458B">
        <w:t>Pre-surgical PK parameters (AUC</w:t>
      </w:r>
      <w:r w:rsidRPr="00E7458B">
        <w:rPr>
          <w:vertAlign w:val="subscript"/>
        </w:rPr>
        <w:t>0-72 h</w:t>
      </w:r>
      <w:r w:rsidRPr="00E7458B">
        <w:t>/dose, AUC</w:t>
      </w:r>
      <w:r w:rsidRPr="00E7458B">
        <w:rPr>
          <w:vertAlign w:val="subscript"/>
        </w:rPr>
        <w:t>0-inf</w:t>
      </w:r>
      <w:r w:rsidRPr="00E7458B">
        <w:t xml:space="preserve">/dose, </w:t>
      </w:r>
      <w:proofErr w:type="spellStart"/>
      <w:r w:rsidRPr="00E7458B">
        <w:t>C</w:t>
      </w:r>
      <w:r w:rsidRPr="00E7458B">
        <w:rPr>
          <w:vertAlign w:val="subscript"/>
        </w:rPr>
        <w:t>max</w:t>
      </w:r>
      <w:proofErr w:type="spellEnd"/>
      <w:r w:rsidRPr="00E7458B">
        <w:t>, and IR at 30 minutes) calculated for seven subjects in the</w:t>
      </w:r>
      <w:r w:rsidR="009E49DD">
        <w:t xml:space="preserve"> full analysis set (</w:t>
      </w:r>
      <w:r w:rsidRPr="00E7458B">
        <w:t>FAS</w:t>
      </w:r>
      <w:r w:rsidR="009E49DD">
        <w:t>)</w:t>
      </w:r>
      <w:r w:rsidRPr="00E7458B">
        <w:t xml:space="preserve">, were higher than those in the pivotal study, while the values for MRT, CL, T½and </w:t>
      </w:r>
      <w:proofErr w:type="spellStart"/>
      <w:r w:rsidRPr="00E7458B">
        <w:t>Vss</w:t>
      </w:r>
      <w:proofErr w:type="spellEnd"/>
      <w:r w:rsidRPr="00E7458B">
        <w:t xml:space="preserve"> were lower</w:t>
      </w:r>
      <w:r w:rsidR="007436B2">
        <w:t>.</w:t>
      </w:r>
    </w:p>
    <w:p w:rsidR="00E7458B" w:rsidRPr="00E7458B" w:rsidRDefault="00E7458B" w:rsidP="00E7458B">
      <w:pPr>
        <w:pStyle w:val="ListBullet"/>
      </w:pPr>
      <w:r w:rsidRPr="00E7458B">
        <w:t>Although a comparative study that was properly powered may have shown these differences to be statistically significant, they are unlikely to be clinically significant.</w:t>
      </w:r>
    </w:p>
    <w:p w:rsidR="008E7846" w:rsidRPr="007436B2" w:rsidRDefault="008E7846" w:rsidP="007436B2">
      <w:pPr>
        <w:pStyle w:val="Heading3"/>
      </w:pPr>
      <w:bookmarkStart w:id="108" w:name="_Toc196046481"/>
      <w:bookmarkStart w:id="109" w:name="_Toc247691520"/>
      <w:bookmarkStart w:id="110" w:name="_Toc314842503"/>
      <w:bookmarkStart w:id="111" w:name="_Toc387924287"/>
      <w:r w:rsidRPr="00254787">
        <w:t>Pharmacodynamics</w:t>
      </w:r>
      <w:bookmarkEnd w:id="72"/>
      <w:bookmarkEnd w:id="108"/>
      <w:bookmarkEnd w:id="109"/>
      <w:bookmarkEnd w:id="110"/>
      <w:bookmarkEnd w:id="111"/>
    </w:p>
    <w:p w:rsidR="00E7458B" w:rsidRPr="00E7458B" w:rsidRDefault="00E7458B" w:rsidP="00E0354F">
      <w:bookmarkStart w:id="112" w:name="_Toc163441372"/>
      <w:bookmarkStart w:id="113" w:name="_Toc196046485"/>
      <w:bookmarkStart w:id="114" w:name="_Toc247691521"/>
      <w:bookmarkStart w:id="115" w:name="_Toc314842504"/>
      <w:r w:rsidRPr="00E7458B">
        <w:t xml:space="preserve">The PD characteristics of </w:t>
      </w:r>
      <w:proofErr w:type="spellStart"/>
      <w:r w:rsidRPr="00E7458B">
        <w:t>rFIX</w:t>
      </w:r>
      <w:proofErr w:type="spellEnd"/>
      <w:r w:rsidRPr="00E7458B">
        <w:t xml:space="preserve"> are intrinsic to its therapeutic action and are measured by the FIX activity after administration. These measurements also form the PK and </w:t>
      </w:r>
      <w:r w:rsidR="009B53CC">
        <w:t>e</w:t>
      </w:r>
      <w:r w:rsidRPr="00E7458B">
        <w:t>fficacy proper</w:t>
      </w:r>
      <w:r w:rsidR="00E0354F">
        <w:t>ties of the compound.</w:t>
      </w:r>
    </w:p>
    <w:p w:rsidR="008E7846" w:rsidRPr="00E0354F" w:rsidRDefault="008E7846" w:rsidP="00E0354F">
      <w:pPr>
        <w:pStyle w:val="Heading3"/>
      </w:pPr>
      <w:bookmarkStart w:id="116" w:name="_Toc387924288"/>
      <w:r w:rsidRPr="00254787">
        <w:t>Efficacy</w:t>
      </w:r>
      <w:bookmarkEnd w:id="112"/>
      <w:bookmarkEnd w:id="113"/>
      <w:bookmarkEnd w:id="114"/>
      <w:bookmarkEnd w:id="115"/>
      <w:bookmarkEnd w:id="116"/>
    </w:p>
    <w:p w:rsidR="00E7458B" w:rsidRPr="00E7458B" w:rsidRDefault="00E7458B" w:rsidP="00E0354F">
      <w:pPr>
        <w:pStyle w:val="Heading4"/>
      </w:pPr>
      <w:bookmarkStart w:id="117" w:name="_Toc355607980"/>
      <w:bookmarkStart w:id="118" w:name="_Toc382554215"/>
      <w:bookmarkStart w:id="119" w:name="_Ref271199564"/>
      <w:bookmarkStart w:id="120" w:name="_Toc272414651"/>
      <w:bookmarkStart w:id="121" w:name="_Toc290846273"/>
      <w:bookmarkStart w:id="122" w:name="_Toc290888810"/>
      <w:bookmarkStart w:id="123" w:name="_Toc184439992"/>
      <w:bookmarkStart w:id="124" w:name="_Toc184440279"/>
      <w:bookmarkStart w:id="125" w:name="_Toc184444657"/>
      <w:bookmarkStart w:id="126" w:name="_Toc196046487"/>
      <w:proofErr w:type="gramStart"/>
      <w:r w:rsidRPr="00E7458B">
        <w:t xml:space="preserve">Prophylaxis, treatment </w:t>
      </w:r>
      <w:r w:rsidRPr="00E0354F">
        <w:t>and</w:t>
      </w:r>
      <w:r w:rsidRPr="00E7458B">
        <w:t xml:space="preserve"> prevention of bleeding episodes in</w:t>
      </w:r>
      <w:r w:rsidR="00113A01">
        <w:t xml:space="preserve"> </w:t>
      </w:r>
      <w:r w:rsidRPr="00E7458B">
        <w:t>patients 12 years and older with haemophilia B.</w:t>
      </w:r>
      <w:bookmarkStart w:id="127" w:name="_Ref271037274"/>
      <w:bookmarkStart w:id="128" w:name="_Toc272414652"/>
      <w:bookmarkStart w:id="129" w:name="_Toc290846274"/>
      <w:bookmarkStart w:id="130" w:name="_Toc290888811"/>
      <w:bookmarkEnd w:id="117"/>
      <w:bookmarkEnd w:id="118"/>
      <w:bookmarkEnd w:id="119"/>
      <w:bookmarkEnd w:id="120"/>
      <w:bookmarkEnd w:id="121"/>
      <w:bookmarkEnd w:id="122"/>
      <w:proofErr w:type="gramEnd"/>
    </w:p>
    <w:p w:rsidR="00E7458B" w:rsidRPr="00E7458B" w:rsidRDefault="00E7458B" w:rsidP="00E0354F">
      <w:pPr>
        <w:pStyle w:val="Heading5"/>
      </w:pPr>
      <w:bookmarkStart w:id="131" w:name="_Toc355607981"/>
      <w:r w:rsidRPr="00E7458B">
        <w:t>Pivotal efficacy study</w:t>
      </w:r>
      <w:bookmarkEnd w:id="127"/>
      <w:bookmarkEnd w:id="128"/>
      <w:bookmarkEnd w:id="129"/>
      <w:bookmarkEnd w:id="130"/>
      <w:bookmarkEnd w:id="131"/>
      <w:r>
        <w:t xml:space="preserve"> -</w:t>
      </w:r>
      <w:bookmarkStart w:id="132" w:name="_Ref243301615"/>
      <w:bookmarkStart w:id="133" w:name="_Ref271040927"/>
      <w:bookmarkStart w:id="134" w:name="_Ref271040932"/>
      <w:bookmarkStart w:id="135" w:name="_Toc272414653"/>
      <w:bookmarkStart w:id="136" w:name="_Toc290846275"/>
      <w:bookmarkStart w:id="137" w:name="_Toc290888812"/>
      <w:bookmarkStart w:id="138" w:name="_Toc355607982"/>
      <w:r>
        <w:t xml:space="preserve"> </w:t>
      </w:r>
      <w:r w:rsidRPr="00E7458B">
        <w:t xml:space="preserve">Study </w:t>
      </w:r>
      <w:bookmarkEnd w:id="132"/>
      <w:bookmarkEnd w:id="133"/>
      <w:bookmarkEnd w:id="134"/>
      <w:bookmarkEnd w:id="135"/>
      <w:bookmarkEnd w:id="136"/>
      <w:bookmarkEnd w:id="137"/>
      <w:r w:rsidRPr="00E0354F">
        <w:t>250901</w:t>
      </w:r>
      <w:bookmarkEnd w:id="138"/>
    </w:p>
    <w:p w:rsidR="00E7458B" w:rsidRPr="00E7458B" w:rsidRDefault="00E7458B" w:rsidP="00E0354F">
      <w:r>
        <w:t>Study 250901 was a P</w:t>
      </w:r>
      <w:r w:rsidRPr="00E7458B">
        <w:t xml:space="preserve">hase I/III prospective, controlled, multicentre study evaluating the PK, efficacy, safety, and immunogenicity of </w:t>
      </w:r>
      <w:proofErr w:type="spellStart"/>
      <w:r w:rsidRPr="00E7458B">
        <w:t>rFIX</w:t>
      </w:r>
      <w:proofErr w:type="spellEnd"/>
      <w:r w:rsidRPr="00E7458B">
        <w:t xml:space="preserve"> (</w:t>
      </w:r>
      <w:proofErr w:type="spellStart"/>
      <w:r w:rsidR="0051223A">
        <w:t>Rixubis</w:t>
      </w:r>
      <w:proofErr w:type="spellEnd"/>
      <w:r w:rsidRPr="00E7458B">
        <w:t>) in PTPs with severe or moderately severe haemophilia B. The study began on 29 July 2</w:t>
      </w:r>
      <w:r w:rsidR="00E0354F">
        <w:t>011 and finished on 3 May 2012.</w:t>
      </w:r>
    </w:p>
    <w:p w:rsidR="00E7458B" w:rsidRPr="00E7458B" w:rsidRDefault="00E7458B" w:rsidP="00E0354F">
      <w:r w:rsidRPr="00E7458B">
        <w:t>Subjects were enrolled at investigative sites in</w:t>
      </w:r>
      <w:r w:rsidR="00494FB7">
        <w:t xml:space="preserve"> 14 countries. </w:t>
      </w:r>
      <w:r w:rsidRPr="00E7458B">
        <w:t>No adjustments for race or ethnic factors have been planned as there is no evidence that the effect of FIX products is affected by differences in race or ethnicity.</w:t>
      </w:r>
    </w:p>
    <w:p w:rsidR="00494FB7" w:rsidRDefault="00E7458B" w:rsidP="00E0354F">
      <w:r w:rsidRPr="00E7458B">
        <w:t>The study was in three parts each o</w:t>
      </w:r>
      <w:r w:rsidR="00494FB7">
        <w:t>f which had a different design.</w:t>
      </w:r>
    </w:p>
    <w:p w:rsidR="00E7458B" w:rsidRPr="00E7458B" w:rsidRDefault="00E7458B" w:rsidP="00E0354F">
      <w:pPr>
        <w:pStyle w:val="ListBullet"/>
      </w:pPr>
      <w:r w:rsidRPr="00E0354F">
        <w:t>Part</w:t>
      </w:r>
      <w:r w:rsidR="00E0354F">
        <w:t xml:space="preserve"> 1 was a PK study.</w:t>
      </w:r>
    </w:p>
    <w:p w:rsidR="00E7458B" w:rsidRPr="00E7458B" w:rsidRDefault="00E7458B" w:rsidP="00E0354F">
      <w:pPr>
        <w:pStyle w:val="ListBullet"/>
      </w:pPr>
      <w:r w:rsidRPr="00E7458B">
        <w:t>Part 2 was an open-</w:t>
      </w:r>
      <w:r w:rsidRPr="00E0354F">
        <w:t>label</w:t>
      </w:r>
      <w:r w:rsidRPr="00E7458B">
        <w:t xml:space="preserve">, uncontrolled study of the haemostatic efficacy, safety, immunogenicity and Health Related Quality of Life (HR </w:t>
      </w:r>
      <w:proofErr w:type="spellStart"/>
      <w:r w:rsidRPr="00E7458B">
        <w:t>QoL</w:t>
      </w:r>
      <w:proofErr w:type="spellEnd"/>
      <w:r w:rsidRPr="00E7458B">
        <w:t xml:space="preserve">) of </w:t>
      </w:r>
      <w:proofErr w:type="spellStart"/>
      <w:r w:rsidR="0051223A">
        <w:t>Rixubis</w:t>
      </w:r>
      <w:proofErr w:type="spellEnd"/>
      <w:r w:rsidRPr="00E7458B">
        <w:t xml:space="preserve"> over six </w:t>
      </w:r>
      <w:r w:rsidRPr="00E7458B">
        <w:lastRenderedPageBreak/>
        <w:t xml:space="preserve">months with twice weekly prophylactic infusions with </w:t>
      </w:r>
      <w:r w:rsidR="0051223A">
        <w:t>Rixubis</w:t>
      </w:r>
      <w:r w:rsidRPr="00E7458B">
        <w:t xml:space="preserve"> </w:t>
      </w:r>
      <w:r w:rsidR="009B53CC">
        <w:t>or at least 50 e</w:t>
      </w:r>
      <w:r w:rsidR="007A5E2D">
        <w:t xml:space="preserve">xposure </w:t>
      </w:r>
      <w:r w:rsidR="009B53CC">
        <w:t>d</w:t>
      </w:r>
      <w:r w:rsidR="007A5E2D">
        <w:t>ays (ED</w:t>
      </w:r>
      <w:r w:rsidRPr="00E7458B">
        <w:t xml:space="preserve">s) to </w:t>
      </w:r>
      <w:r w:rsidR="0051223A">
        <w:t>Rixubis</w:t>
      </w:r>
      <w:r w:rsidRPr="00E7458B">
        <w:t>, whichever occurred last, in 60 subjects in order to have 50 evaluable subjects (prophylactic cohort).</w:t>
      </w:r>
    </w:p>
    <w:p w:rsidR="00E7458B" w:rsidRDefault="00E7458B" w:rsidP="00E0354F">
      <w:pPr>
        <w:pStyle w:val="ListBullet"/>
      </w:pPr>
      <w:r w:rsidRPr="00E7458B">
        <w:t>Part 3 was an open-</w:t>
      </w:r>
      <w:r w:rsidRPr="00E0354F">
        <w:t>label</w:t>
      </w:r>
      <w:r w:rsidRPr="00E7458B">
        <w:t xml:space="preserve">, uncontrolled repeat PK study with </w:t>
      </w:r>
      <w:r w:rsidR="0051223A">
        <w:t>Rixubis</w:t>
      </w:r>
      <w:r w:rsidRPr="00E7458B">
        <w:t xml:space="preserve"> (single dose of 75 ± 5 IU/kg) in the subjects who participated in Part 1 and had been treated for 26 ± </w:t>
      </w:r>
      <w:r w:rsidR="00783830">
        <w:t>one</w:t>
      </w:r>
      <w:r w:rsidRPr="00E7458B">
        <w:t xml:space="preserve"> weeks in Part 2, having accumulated at least 30 EDs to </w:t>
      </w:r>
      <w:r w:rsidR="0051223A">
        <w:t>Rixubis</w:t>
      </w:r>
      <w:r w:rsidRPr="00E7458B">
        <w:t>. Thrombotic markers were also assessed at specified time points.</w:t>
      </w:r>
    </w:p>
    <w:p w:rsidR="00494FB7" w:rsidRDefault="00494FB7" w:rsidP="00E0354F">
      <w:r w:rsidRPr="00494FB7">
        <w:t xml:space="preserve">The three parts are, however, connected as shown in Figure </w:t>
      </w:r>
      <w:r w:rsidR="00783830">
        <w:t>2</w:t>
      </w:r>
      <w:r w:rsidRPr="00494FB7">
        <w:t>.</w:t>
      </w:r>
    </w:p>
    <w:p w:rsidR="00494FB7" w:rsidRPr="00494FB7" w:rsidRDefault="00494FB7" w:rsidP="00E0354F">
      <w:pPr>
        <w:pStyle w:val="FigureTitle"/>
        <w:rPr>
          <w:lang w:val="en-US"/>
        </w:rPr>
      </w:pPr>
      <w:bookmarkStart w:id="139" w:name="_Toc353358913"/>
      <w:bookmarkStart w:id="140" w:name="_Toc355606262"/>
      <w:bookmarkStart w:id="141" w:name="_Ref351565303"/>
      <w:r w:rsidRPr="00494FB7">
        <w:t xml:space="preserve">Figure </w:t>
      </w:r>
      <w:r w:rsidR="00783830">
        <w:t>2</w:t>
      </w:r>
      <w:r w:rsidRPr="00494FB7">
        <w:t>: Design of Pivotal Study 250901</w:t>
      </w:r>
      <w:bookmarkEnd w:id="139"/>
      <w:bookmarkEnd w:id="140"/>
      <w:bookmarkEnd w:id="141"/>
    </w:p>
    <w:p w:rsidR="00494FB7" w:rsidRDefault="00494FB7" w:rsidP="00E0354F">
      <w:r>
        <w:rPr>
          <w:noProof/>
          <w:lang w:eastAsia="en-AU"/>
        </w:rPr>
        <w:drawing>
          <wp:inline distT="0" distB="0" distL="0" distR="0" wp14:anchorId="13088459" wp14:editId="48C9FABC">
            <wp:extent cx="5400040" cy="6219069"/>
            <wp:effectExtent l="0" t="0" r="0" b="0"/>
            <wp:docPr id="2" name="Picture 1" descr="Figure 2: Design of Pivotal Study 2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400040" cy="6219069"/>
                    </a:xfrm>
                    <a:prstGeom prst="rect">
                      <a:avLst/>
                    </a:prstGeom>
                    <a:noFill/>
                    <a:ln w="9525">
                      <a:noFill/>
                      <a:miter lim="800000"/>
                      <a:headEnd/>
                      <a:tailEnd/>
                    </a:ln>
                  </pic:spPr>
                </pic:pic>
              </a:graphicData>
            </a:graphic>
          </wp:inline>
        </w:drawing>
      </w:r>
    </w:p>
    <w:p w:rsidR="00494FB7" w:rsidRPr="00E0354F" w:rsidRDefault="00E0354F" w:rsidP="00E0354F">
      <w:pPr>
        <w:pStyle w:val="Heading5"/>
      </w:pPr>
      <w:bookmarkStart w:id="142" w:name="_Toc290846276"/>
      <w:bookmarkStart w:id="143" w:name="_Toc290888813"/>
      <w:bookmarkStart w:id="144" w:name="_Toc355607996"/>
      <w:r>
        <w:t>Surgery s</w:t>
      </w:r>
      <w:r w:rsidR="00494FB7" w:rsidRPr="00494FB7">
        <w:t>tudy 251002</w:t>
      </w:r>
      <w:bookmarkEnd w:id="142"/>
      <w:bookmarkEnd w:id="143"/>
      <w:bookmarkEnd w:id="144"/>
    </w:p>
    <w:p w:rsidR="00494FB7" w:rsidRPr="00494FB7" w:rsidRDefault="00494FB7" w:rsidP="0008066F">
      <w:r w:rsidRPr="00494FB7">
        <w:t xml:space="preserve">Study 251002 was a Phase III, prospective, open-label, uncontrolled, multicentre study designed to evaluate the haemostatic efficacy and safety of </w:t>
      </w:r>
      <w:r w:rsidR="0051223A">
        <w:t>Rixubis</w:t>
      </w:r>
      <w:r w:rsidRPr="00494FB7">
        <w:t xml:space="preserve"> in approximately 30 subjects with severe or moderately severe haemophilia B undergoing major and minor </w:t>
      </w:r>
      <w:r w:rsidRPr="00494FB7">
        <w:lastRenderedPageBreak/>
        <w:t xml:space="preserve">surgical, dental or other invasive procedures. The overall study design is illustrated in Figure </w:t>
      </w:r>
      <w:r w:rsidR="00783830">
        <w:t>3</w:t>
      </w:r>
      <w:r w:rsidR="0008066F">
        <w:t>.</w:t>
      </w:r>
    </w:p>
    <w:p w:rsidR="00494FB7" w:rsidRPr="00494FB7" w:rsidRDefault="00494FB7" w:rsidP="0008066F">
      <w:r w:rsidRPr="00494FB7">
        <w:t xml:space="preserve">The objectives of the study were to evaluate the haemostatic efficacy and safety of </w:t>
      </w:r>
      <w:r w:rsidR="0051223A">
        <w:t>Rixubis</w:t>
      </w:r>
      <w:r w:rsidRPr="00494FB7">
        <w:t xml:space="preserve"> in the peri- and postoperative setting. The study was carried out at five centres</w:t>
      </w:r>
      <w:r>
        <w:t xml:space="preserve">, </w:t>
      </w:r>
      <w:r w:rsidRPr="00494FB7">
        <w:t>began on 19 December, 2011 and is ongoing (anticipated duration three years). This interim analysis was based on the complete data of 14 subjects. Data cut-off was performed after 13 surgeries, of which ten were major surgeries, had been completed per protocol.</w:t>
      </w:r>
    </w:p>
    <w:p w:rsidR="00494FB7" w:rsidRDefault="00494FB7" w:rsidP="0008066F">
      <w:pPr>
        <w:pStyle w:val="FigureTitle"/>
      </w:pPr>
      <w:r>
        <w:t xml:space="preserve">Figure </w:t>
      </w:r>
      <w:r w:rsidR="00783830">
        <w:t>3</w:t>
      </w:r>
      <w:r>
        <w:t xml:space="preserve">: Design of Study </w:t>
      </w:r>
      <w:r w:rsidRPr="0008066F">
        <w:t>251002</w:t>
      </w:r>
    </w:p>
    <w:p w:rsidR="00494FB7" w:rsidRDefault="00494FB7" w:rsidP="0008066F">
      <w:r>
        <w:rPr>
          <w:noProof/>
          <w:lang w:eastAsia="en-AU"/>
        </w:rPr>
        <w:drawing>
          <wp:inline distT="0" distB="0" distL="0" distR="0" wp14:anchorId="07A4E52D" wp14:editId="5BF8B1E2">
            <wp:extent cx="3857625" cy="4501742"/>
            <wp:effectExtent l="0" t="0" r="0" b="0"/>
            <wp:docPr id="3" name="Picture 2" descr="Figure 3: Design of Study 25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863209" cy="4508258"/>
                    </a:xfrm>
                    <a:prstGeom prst="rect">
                      <a:avLst/>
                    </a:prstGeom>
                    <a:noFill/>
                    <a:ln w="9525">
                      <a:noFill/>
                      <a:miter lim="800000"/>
                      <a:headEnd/>
                      <a:tailEnd/>
                    </a:ln>
                  </pic:spPr>
                </pic:pic>
              </a:graphicData>
            </a:graphic>
          </wp:inline>
        </w:drawing>
      </w:r>
    </w:p>
    <w:p w:rsidR="001A290F" w:rsidRDefault="00494FB7" w:rsidP="0008066F">
      <w:pPr>
        <w:pStyle w:val="Heading4"/>
      </w:pPr>
      <w:bookmarkStart w:id="145" w:name="_Ref271126605"/>
      <w:bookmarkStart w:id="146" w:name="_Toc272414657"/>
      <w:bookmarkStart w:id="147" w:name="_Toc290846282"/>
      <w:bookmarkStart w:id="148" w:name="_Toc290888819"/>
      <w:bookmarkStart w:id="149" w:name="_Toc355608012"/>
      <w:r w:rsidRPr="00494FB7">
        <w:t xml:space="preserve">Evaluator’s </w:t>
      </w:r>
      <w:r w:rsidR="001A290F">
        <w:t xml:space="preserve">summary and </w:t>
      </w:r>
      <w:r w:rsidR="001A290F" w:rsidRPr="0008066F">
        <w:t>overall</w:t>
      </w:r>
      <w:r w:rsidR="001A290F">
        <w:t xml:space="preserve"> </w:t>
      </w:r>
      <w:r w:rsidRPr="00494FB7">
        <w:t>conclusions on efficacy</w:t>
      </w:r>
      <w:bookmarkEnd w:id="145"/>
      <w:bookmarkEnd w:id="146"/>
      <w:bookmarkEnd w:id="147"/>
      <w:bookmarkEnd w:id="148"/>
      <w:bookmarkEnd w:id="149"/>
    </w:p>
    <w:p w:rsidR="001A290F" w:rsidRPr="0008066F" w:rsidRDefault="001A290F" w:rsidP="0008066F">
      <w:pPr>
        <w:pStyle w:val="Heading5"/>
      </w:pPr>
      <w:r>
        <w:t>P</w:t>
      </w:r>
      <w:r w:rsidR="00494FB7" w:rsidRPr="00494FB7">
        <w:t xml:space="preserve">ivotal </w:t>
      </w:r>
      <w:r w:rsidR="0008066F">
        <w:t>s</w:t>
      </w:r>
      <w:r w:rsidR="00494FB7" w:rsidRPr="00494FB7">
        <w:t>tudy 250901</w:t>
      </w:r>
    </w:p>
    <w:p w:rsidR="00494FB7" w:rsidRPr="00494FB7" w:rsidRDefault="00494FB7" w:rsidP="0008066F">
      <w:r w:rsidRPr="00494FB7">
        <w:t xml:space="preserve">The pivotal study of prophylactic and on-demand treatment with </w:t>
      </w:r>
      <w:r w:rsidR="0051223A">
        <w:t>Rixubis</w:t>
      </w:r>
      <w:r w:rsidRPr="00494FB7">
        <w:t xml:space="preserve"> showed the median </w:t>
      </w:r>
      <w:r w:rsidR="00783830">
        <w:t>a</w:t>
      </w:r>
      <w:r w:rsidRPr="00494FB7">
        <w:t xml:space="preserve">nnualised </w:t>
      </w:r>
      <w:r w:rsidR="00783830">
        <w:t>b</w:t>
      </w:r>
      <w:r w:rsidRPr="00494FB7">
        <w:t xml:space="preserve">leeding </w:t>
      </w:r>
      <w:r w:rsidR="00783830">
        <w:t>r</w:t>
      </w:r>
      <w:r w:rsidRPr="00494FB7">
        <w:t>ate (ABR) per patient was 27 in the on-demand group, and two in the prophylactic group, although no direct comparison could be made. Nevertheless the efficacy of prophylactic treatment in reducing the ABR compared to treatment on-demand was demonstrated. The efficacy was similar to that reported in the PI of a commercially availab</w:t>
      </w:r>
      <w:r w:rsidR="0008066F">
        <w:t xml:space="preserve">le </w:t>
      </w:r>
      <w:proofErr w:type="spellStart"/>
      <w:r w:rsidR="0008066F">
        <w:t>rFIX</w:t>
      </w:r>
      <w:proofErr w:type="spellEnd"/>
      <w:r w:rsidR="0008066F">
        <w:t xml:space="preserve"> (</w:t>
      </w:r>
      <w:proofErr w:type="spellStart"/>
      <w:r w:rsidR="0008066F">
        <w:t>BeneFIX</w:t>
      </w:r>
      <w:proofErr w:type="spellEnd"/>
      <w:r w:rsidR="0008066F">
        <w:t>) in Australia.</w:t>
      </w:r>
    </w:p>
    <w:p w:rsidR="00494FB7" w:rsidRPr="00494FB7" w:rsidRDefault="00494FB7" w:rsidP="0008066F">
      <w:r w:rsidRPr="00494FB7">
        <w:t xml:space="preserve">In the prophylaxis group, 30% of bleeding events (BEs) required more than three infusions, compared to only 1.5% of BEs in the on-demand group. The </w:t>
      </w:r>
      <w:r w:rsidR="001A290F">
        <w:t xml:space="preserve">data </w:t>
      </w:r>
      <w:r w:rsidRPr="00494FB7">
        <w:t xml:space="preserve">showed the total dose per bleed in the prophylaxis group was twice that in the on-demand group. This was also shown for the total consumption of </w:t>
      </w:r>
      <w:r w:rsidR="0051223A">
        <w:t>Rixubis</w:t>
      </w:r>
      <w:r w:rsidRPr="00494FB7">
        <w:t>/kg/month. Higher doses than the overall mean were needed for non-joint bleeds and for bleeds caused by injury. Dosage of FIX was increased more for majo</w:t>
      </w:r>
      <w:r w:rsidR="0008066F">
        <w:t>r bleeds than for minor bleeds.</w:t>
      </w:r>
    </w:p>
    <w:p w:rsidR="00494FB7" w:rsidRPr="00494FB7" w:rsidRDefault="00494FB7" w:rsidP="0008066F">
      <w:r w:rsidRPr="00494FB7">
        <w:lastRenderedPageBreak/>
        <w:t xml:space="preserve">It follows that </w:t>
      </w:r>
      <w:r w:rsidR="0051223A">
        <w:t>Rixubis</w:t>
      </w:r>
      <w:r w:rsidRPr="00494FB7">
        <w:t xml:space="preserve"> is effective as prophylactic treatm</w:t>
      </w:r>
      <w:r w:rsidR="00D33934">
        <w:t xml:space="preserve">ent to reduce the frequency of </w:t>
      </w:r>
      <w:r w:rsidRPr="00494FB7">
        <w:t xml:space="preserve">BEs, and to treat them when they occur. Prophylactic treatment required twice the amount of </w:t>
      </w:r>
      <w:r w:rsidR="0051223A">
        <w:t>Rixubis</w:t>
      </w:r>
      <w:r w:rsidRPr="00494FB7">
        <w:t xml:space="preserve"> to achieve this result. No conclusions could be drawn from the </w:t>
      </w:r>
      <w:proofErr w:type="spellStart"/>
      <w:r w:rsidRPr="00494FB7">
        <w:t>QoL</w:t>
      </w:r>
      <w:proofErr w:type="spellEnd"/>
      <w:r w:rsidRPr="00494FB7">
        <w:t xml:space="preserve"> assessments that were underpowered. Patients were not asked in </w:t>
      </w:r>
      <w:proofErr w:type="spellStart"/>
      <w:r w:rsidRPr="00494FB7">
        <w:t>QoL</w:t>
      </w:r>
      <w:proofErr w:type="spellEnd"/>
      <w:r w:rsidRPr="00494FB7">
        <w:t xml:space="preserve"> assessments whether they preferred prophylactic to on-demand treatment.</w:t>
      </w:r>
    </w:p>
    <w:p w:rsidR="001A290F" w:rsidRPr="0013367B" w:rsidRDefault="00494FB7" w:rsidP="0013367B">
      <w:pPr>
        <w:pStyle w:val="Heading5"/>
      </w:pPr>
      <w:r w:rsidRPr="00494FB7">
        <w:t>Surgi</w:t>
      </w:r>
      <w:r w:rsidR="0013367B">
        <w:t>cal s</w:t>
      </w:r>
      <w:r w:rsidRPr="00494FB7">
        <w:t>tudy 251002</w:t>
      </w:r>
    </w:p>
    <w:p w:rsidR="00494FB7" w:rsidRPr="00494FB7" w:rsidRDefault="00494FB7" w:rsidP="0013367B">
      <w:r w:rsidRPr="00494FB7">
        <w:t xml:space="preserve">The study showed that for major surgery in six of 11 patients treated with </w:t>
      </w:r>
      <w:r w:rsidR="0051223A">
        <w:t>Rixubis</w:t>
      </w:r>
      <w:r w:rsidRPr="00494FB7">
        <w:t xml:space="preserve">, the treatment was effective in reducing intraoperative blood loss to an amount predicted for the average blood loss of a healthy matched individual. In two cases the loss was less and in two cases </w:t>
      </w:r>
      <w:r w:rsidR="0013367B">
        <w:t>equal to the maximum predicted.</w:t>
      </w:r>
    </w:p>
    <w:p w:rsidR="00494FB7" w:rsidRPr="00494FB7" w:rsidRDefault="00494FB7" w:rsidP="0013367B">
      <w:r w:rsidRPr="00494FB7">
        <w:t>However in four of seven subjects, who all had major surgery with a drain placed, postoperative blood loss exceeded the maximum predicted blood loss. In these cases, the patients’ FIX levels were suboptimal (34% to 81%) after FIX treatment.</w:t>
      </w:r>
    </w:p>
    <w:p w:rsidR="00494FB7" w:rsidRPr="00494FB7" w:rsidRDefault="00494FB7" w:rsidP="0013367B">
      <w:r w:rsidRPr="00494FB7">
        <w:t xml:space="preserve">Ratings for homeostatic efficacy were done by the operating surgeons, and so had the problem of potential bias. All intraoperative assessments were </w:t>
      </w:r>
      <w:r w:rsidR="001A290F">
        <w:t>‘</w:t>
      </w:r>
      <w:r w:rsidRPr="00494FB7">
        <w:t>excellent</w:t>
      </w:r>
      <w:r w:rsidR="001A290F">
        <w:t>’</w:t>
      </w:r>
      <w:r w:rsidRPr="00494FB7">
        <w:t xml:space="preserve"> as were 50% of those at drain removal. At hospital discharge, in the FAS, 78.6% (11 of 14) of ratings were </w:t>
      </w:r>
      <w:r w:rsidR="001A290F">
        <w:t>‘</w:t>
      </w:r>
      <w:r w:rsidRPr="00494FB7">
        <w:t>excellent</w:t>
      </w:r>
      <w:r w:rsidR="001A290F">
        <w:t>’.</w:t>
      </w:r>
    </w:p>
    <w:p w:rsidR="00494FB7" w:rsidRPr="00494FB7" w:rsidRDefault="00494FB7" w:rsidP="0013367B">
      <w:r w:rsidRPr="00494FB7">
        <w:t>The difficulty in recruiting for and conducting this type of study is acknowledged as well as the fact that the number of subjects and surgical procedures complied with the requirements of the CPMP Guidelines (at least five patients undergoing ten surgical procedures). However problems with the study were as follows:</w:t>
      </w:r>
    </w:p>
    <w:p w:rsidR="00494FB7" w:rsidRPr="00494FB7" w:rsidRDefault="00494FB7" w:rsidP="0013367B">
      <w:pPr>
        <w:pStyle w:val="Numberbullet0"/>
      </w:pPr>
      <w:r w:rsidRPr="00494FB7">
        <w:t>The numbers of patients who had major surgery (n=11) and minor surgery (n=5) were small, given the intention had been to recruit a total of 30 subjects. This report is an interim analysis, but no clear reason is given for not waiting to complete the study.</w:t>
      </w:r>
    </w:p>
    <w:p w:rsidR="00494FB7" w:rsidRPr="00494FB7" w:rsidRDefault="007A5E2D" w:rsidP="0013367B">
      <w:pPr>
        <w:pStyle w:val="Numberbullet0"/>
      </w:pPr>
      <w:r>
        <w:t xml:space="preserve">The PK properties of </w:t>
      </w:r>
      <w:r w:rsidR="0051223A">
        <w:t>Rixubis</w:t>
      </w:r>
      <w:r w:rsidR="00494FB7" w:rsidRPr="00494FB7">
        <w:t xml:space="preserve"> in seven patients studied differed from those in other patients in the pivotal study and no statistical comparison could be done. This may relate to the failure to obtain adequate FIX levels in patients in the post-operative period although a specified protocol was followed.</w:t>
      </w:r>
    </w:p>
    <w:p w:rsidR="00494FB7" w:rsidRPr="00494FB7" w:rsidRDefault="00494FB7" w:rsidP="0013367B">
      <w:pPr>
        <w:pStyle w:val="Numberbullet0"/>
      </w:pPr>
      <w:r w:rsidRPr="00494FB7">
        <w:t>The postoperative blood loss at drain removal exceeded the maximum predicted in four of seven subjects who had major surgery</w:t>
      </w:r>
      <w:r w:rsidR="00D33934">
        <w:t>.</w:t>
      </w:r>
    </w:p>
    <w:p w:rsidR="00494FB7" w:rsidRPr="00494FB7" w:rsidRDefault="00494FB7" w:rsidP="0013367B">
      <w:pPr>
        <w:pStyle w:val="Numberbullet0"/>
      </w:pPr>
      <w:r w:rsidRPr="00494FB7">
        <w:t xml:space="preserve">The surgery called </w:t>
      </w:r>
      <w:r w:rsidR="001A290F">
        <w:t>‘</w:t>
      </w:r>
      <w:r w:rsidRPr="00494FB7">
        <w:t>major</w:t>
      </w:r>
      <w:r w:rsidR="001A290F">
        <w:t>’</w:t>
      </w:r>
      <w:r w:rsidRPr="00494FB7">
        <w:t xml:space="preserve"> included two cases of abdominal surgery, each for </w:t>
      </w:r>
      <w:proofErr w:type="spellStart"/>
      <w:r w:rsidRPr="00494FB7">
        <w:t>herniorraphy</w:t>
      </w:r>
      <w:proofErr w:type="spellEnd"/>
      <w:r w:rsidRPr="00494FB7">
        <w:t xml:space="preserve">. This abdominal surgery does not compare to abdominal surgery such as liver transplantation or </w:t>
      </w:r>
      <w:proofErr w:type="spellStart"/>
      <w:r w:rsidRPr="00494FB7">
        <w:t>splenectomy</w:t>
      </w:r>
      <w:proofErr w:type="spellEnd"/>
      <w:r w:rsidRPr="00494FB7">
        <w:t xml:space="preserve"> for risk of blood loss, the latter two having been part of the assessment of a commercial </w:t>
      </w:r>
      <w:proofErr w:type="spellStart"/>
      <w:r w:rsidRPr="00494FB7">
        <w:t>rFIX</w:t>
      </w:r>
      <w:proofErr w:type="spellEnd"/>
      <w:r w:rsidRPr="00494FB7">
        <w:t xml:space="preserve"> product (</w:t>
      </w:r>
      <w:proofErr w:type="spellStart"/>
      <w:r w:rsidRPr="00494FB7">
        <w:t>BeneFIX</w:t>
      </w:r>
      <w:proofErr w:type="spellEnd"/>
      <w:r w:rsidRPr="00494FB7">
        <w:t>) and reported in th</w:t>
      </w:r>
      <w:r w:rsidR="001A290F">
        <w:t>e PI for that product. As well</w:t>
      </w:r>
      <w:r w:rsidRPr="00494FB7">
        <w:t xml:space="preserve"> one case of dental extraction was classed as major surgery and two other cases as minor.</w:t>
      </w:r>
    </w:p>
    <w:p w:rsidR="00494FB7" w:rsidRPr="00494FB7" w:rsidRDefault="00494FB7" w:rsidP="0013367B">
      <w:pPr>
        <w:pStyle w:val="Numberbullet0"/>
      </w:pPr>
      <w:r w:rsidRPr="00494FB7">
        <w:t>All assessments of homeostatic efficacy were by the operating surgeon, so that bias was possible, although again this was according to recommendations of the CPMP Guidelines.</w:t>
      </w:r>
    </w:p>
    <w:p w:rsidR="00494FB7" w:rsidRPr="00494FB7" w:rsidRDefault="00494FB7" w:rsidP="0013367B">
      <w:r w:rsidRPr="00494FB7">
        <w:t>The clinical evaluator concluded that the efficacy results of the interim analysis of the surgical study need to be treated with caution and that the study should be completed and final results analysed to confirm</w:t>
      </w:r>
      <w:r w:rsidR="0013367B">
        <w:t xml:space="preserve"> those of the interim analysis.</w:t>
      </w:r>
    </w:p>
    <w:p w:rsidR="008E7846" w:rsidRPr="00FC30D1" w:rsidRDefault="008E7846" w:rsidP="00FC30D1">
      <w:pPr>
        <w:pStyle w:val="Heading3"/>
      </w:pPr>
      <w:bookmarkStart w:id="150" w:name="_Toc163441378"/>
      <w:bookmarkStart w:id="151" w:name="_Toc196046495"/>
      <w:bookmarkStart w:id="152" w:name="_Toc247691522"/>
      <w:bookmarkStart w:id="153" w:name="_Toc314842505"/>
      <w:bookmarkStart w:id="154" w:name="_Toc387924289"/>
      <w:bookmarkEnd w:id="123"/>
      <w:bookmarkEnd w:id="124"/>
      <w:bookmarkEnd w:id="125"/>
      <w:bookmarkEnd w:id="126"/>
      <w:r w:rsidRPr="002E238E">
        <w:t>Safety</w:t>
      </w:r>
      <w:bookmarkEnd w:id="150"/>
      <w:bookmarkEnd w:id="151"/>
      <w:bookmarkEnd w:id="152"/>
      <w:bookmarkEnd w:id="153"/>
      <w:bookmarkEnd w:id="154"/>
    </w:p>
    <w:p w:rsidR="001A290F" w:rsidRDefault="001A290F" w:rsidP="00FC30D1">
      <w:bookmarkStart w:id="155" w:name="_Toc184440288"/>
      <w:bookmarkStart w:id="156" w:name="_Toc184444666"/>
      <w:bookmarkStart w:id="157" w:name="_Toc196046496"/>
      <w:r w:rsidRPr="001A290F">
        <w:t>Because the clinical st</w:t>
      </w:r>
      <w:r w:rsidR="007A5E2D">
        <w:t xml:space="preserve">udies were similar in terms of </w:t>
      </w:r>
      <w:r w:rsidR="0051223A">
        <w:t>Rixubis</w:t>
      </w:r>
      <w:r w:rsidRPr="001A290F">
        <w:t xml:space="preserve"> product, dosage and safety assessments, the safety data provided is combined and evaluated from the ISS, with reference to the individual study reports where indicated. The patient population is homogeneous except for the one paediatric study</w:t>
      </w:r>
      <w:r>
        <w:t>, and t</w:t>
      </w:r>
      <w:r w:rsidRPr="001A290F">
        <w:t xml:space="preserve">he requested indication does not </w:t>
      </w:r>
      <w:r w:rsidRPr="001A290F">
        <w:lastRenderedPageBreak/>
        <w:t xml:space="preserve">include this paediatric population. A safety issue that would occur in this population and not in the adult population seems unlikely so the safety </w:t>
      </w:r>
      <w:r w:rsidR="00FC30D1">
        <w:t>assessments have been combined.</w:t>
      </w:r>
    </w:p>
    <w:p w:rsidR="0066459D" w:rsidRPr="00FC30D1" w:rsidRDefault="0066459D" w:rsidP="00FC30D1">
      <w:pPr>
        <w:pStyle w:val="Heading4"/>
      </w:pPr>
      <w:bookmarkStart w:id="158" w:name="_Toc272414659"/>
      <w:bookmarkStart w:id="159" w:name="_Toc290846284"/>
      <w:bookmarkStart w:id="160" w:name="_Toc290888821"/>
      <w:bookmarkStart w:id="161" w:name="_Ref355444764"/>
      <w:bookmarkStart w:id="162" w:name="_Ref355444837"/>
      <w:bookmarkStart w:id="163" w:name="_Toc355608014"/>
      <w:bookmarkStart w:id="164" w:name="_Toc382554217"/>
      <w:r w:rsidRPr="0066459D">
        <w:t>Studies providing evaluable safety data</w:t>
      </w:r>
      <w:bookmarkEnd w:id="158"/>
      <w:bookmarkEnd w:id="159"/>
      <w:bookmarkEnd w:id="160"/>
      <w:bookmarkEnd w:id="161"/>
      <w:bookmarkEnd w:id="162"/>
      <w:bookmarkEnd w:id="163"/>
      <w:bookmarkEnd w:id="164"/>
    </w:p>
    <w:p w:rsidR="0066459D" w:rsidRPr="0066459D" w:rsidRDefault="0066459D" w:rsidP="00FC30D1">
      <w:bookmarkStart w:id="165" w:name="_Ref268776745"/>
      <w:r w:rsidRPr="0066459D">
        <w:t>The following studies provided evaluable safety data:</w:t>
      </w:r>
    </w:p>
    <w:p w:rsidR="0066459D" w:rsidRPr="0066459D" w:rsidRDefault="0066459D" w:rsidP="00FC30D1">
      <w:pPr>
        <w:pStyle w:val="Heading5"/>
      </w:pPr>
      <w:r w:rsidRPr="0066459D">
        <w:t xml:space="preserve">Pivotal efficacy </w:t>
      </w:r>
      <w:r w:rsidR="00FC30D1">
        <w:t>s</w:t>
      </w:r>
      <w:r w:rsidRPr="0066459D">
        <w:t>tudies</w:t>
      </w:r>
      <w:bookmarkEnd w:id="165"/>
      <w:r w:rsidRPr="0066459D">
        <w:t xml:space="preserve"> 250901 and 251002</w:t>
      </w:r>
    </w:p>
    <w:p w:rsidR="0066459D" w:rsidRPr="0066459D" w:rsidRDefault="0066459D" w:rsidP="00FC30D1">
      <w:r w:rsidRPr="0066459D">
        <w:t>In the pivotal efficacy studies, the follow</w:t>
      </w:r>
      <w:r w:rsidR="00FC30D1">
        <w:t>ing safety data were collected:</w:t>
      </w:r>
    </w:p>
    <w:p w:rsidR="0066459D" w:rsidRPr="0066459D" w:rsidRDefault="0066459D" w:rsidP="00FC30D1">
      <w:pPr>
        <w:pStyle w:val="ListBullet"/>
      </w:pPr>
      <w:proofErr w:type="gramStart"/>
      <w:r w:rsidRPr="0066459D">
        <w:t>general</w:t>
      </w:r>
      <w:proofErr w:type="gramEnd"/>
      <w:r w:rsidRPr="0066459D">
        <w:t xml:space="preserve"> AEs were assessed by the investigator for seriousness, </w:t>
      </w:r>
      <w:r w:rsidRPr="00FC30D1">
        <w:t>severity</w:t>
      </w:r>
      <w:r w:rsidRPr="0066459D">
        <w:t xml:space="preserve"> and causal relationship to</w:t>
      </w:r>
      <w:r w:rsidR="00D33934">
        <w:t xml:space="preserve"> </w:t>
      </w:r>
      <w:proofErr w:type="spellStart"/>
      <w:r w:rsidR="00D33934">
        <w:t>i</w:t>
      </w:r>
      <w:r w:rsidR="00D33934" w:rsidRPr="00685261">
        <w:rPr>
          <w:lang w:val="en-US"/>
        </w:rPr>
        <w:t>nvestigational</w:t>
      </w:r>
      <w:proofErr w:type="spellEnd"/>
      <w:r w:rsidR="00D33934" w:rsidRPr="00685261">
        <w:rPr>
          <w:lang w:val="en-US"/>
        </w:rPr>
        <w:t xml:space="preserve"> product</w:t>
      </w:r>
      <w:r w:rsidRPr="0066459D">
        <w:t xml:space="preserve"> </w:t>
      </w:r>
      <w:r w:rsidR="00D33934">
        <w:t>(</w:t>
      </w:r>
      <w:r w:rsidRPr="0066459D">
        <w:t>IP</w:t>
      </w:r>
      <w:r w:rsidR="00D33934">
        <w:t>)</w:t>
      </w:r>
      <w:r w:rsidRPr="0066459D">
        <w:t xml:space="preserve"> exposure as defined in the protocol. For each AE, the outcome (that is, recovering/resolving, recovered/resolved, recovered/resolved with </w:t>
      </w:r>
      <w:proofErr w:type="spellStart"/>
      <w:r w:rsidRPr="0066459D">
        <w:t>sequelae</w:t>
      </w:r>
      <w:proofErr w:type="spellEnd"/>
      <w:r w:rsidRPr="0066459D">
        <w:t xml:space="preserve">, not recovered/not resolved, fatal) and action taken (that is, dose increased, dose not changed, dose reduced, drug interrupted, drug withdrawn) was also to be recorded on the AE </w:t>
      </w:r>
      <w:r w:rsidR="00D33934">
        <w:t>e</w:t>
      </w:r>
      <w:r w:rsidR="00D33934" w:rsidRPr="00685261">
        <w:t>lectronic case report form</w:t>
      </w:r>
      <w:r w:rsidR="00D33934" w:rsidRPr="0066459D">
        <w:t xml:space="preserve"> </w:t>
      </w:r>
      <w:r w:rsidR="00D33934">
        <w:t>(</w:t>
      </w:r>
      <w:proofErr w:type="spellStart"/>
      <w:r w:rsidRPr="0066459D">
        <w:t>eCRF</w:t>
      </w:r>
      <w:proofErr w:type="spellEnd"/>
      <w:r w:rsidR="00D33934">
        <w:t>)</w:t>
      </w:r>
      <w:r w:rsidR="00FC30D1">
        <w:t>.</w:t>
      </w:r>
    </w:p>
    <w:p w:rsidR="0066459D" w:rsidRPr="00D81A26" w:rsidRDefault="0066459D" w:rsidP="00FC30D1">
      <w:r w:rsidRPr="00D81A26">
        <w:t>Recovering/resolving AEs were to be followed until resolution, medically stabilised, or 30 days after the study completion/termination visit, whichever came first.</w:t>
      </w:r>
    </w:p>
    <w:p w:rsidR="00D81A26" w:rsidRPr="00D81A26" w:rsidRDefault="00D81A26" w:rsidP="00FC30D1">
      <w:pPr>
        <w:pStyle w:val="Heading4"/>
      </w:pPr>
      <w:r w:rsidRPr="00D81A26">
        <w:t>Pivotal studies that assessed safety as a primary outcome</w:t>
      </w:r>
    </w:p>
    <w:p w:rsidR="00D81A26" w:rsidRPr="00D81A26" w:rsidRDefault="00D81A26" w:rsidP="00FC30D1">
      <w:r w:rsidRPr="00D81A26">
        <w:t>Not applicable</w:t>
      </w:r>
      <w:r w:rsidR="00D33934">
        <w:t>.</w:t>
      </w:r>
    </w:p>
    <w:p w:rsidR="00D81A26" w:rsidRPr="00D81A26" w:rsidRDefault="00D81A26" w:rsidP="00FC30D1">
      <w:pPr>
        <w:pStyle w:val="Heading4"/>
      </w:pPr>
      <w:r w:rsidRPr="00D81A26">
        <w:t>Dose-response and non-pivotal efficacy studies</w:t>
      </w:r>
    </w:p>
    <w:p w:rsidR="00D81A26" w:rsidRPr="00D81A26" w:rsidRDefault="00D81A26" w:rsidP="00FC30D1">
      <w:r w:rsidRPr="00D81A26">
        <w:t>Not applicable</w:t>
      </w:r>
      <w:r w:rsidR="00D33934">
        <w:t>.</w:t>
      </w:r>
    </w:p>
    <w:p w:rsidR="00D81A26" w:rsidRPr="00D81A26" w:rsidRDefault="00D81A26" w:rsidP="00FC30D1">
      <w:pPr>
        <w:pStyle w:val="Heading4"/>
      </w:pPr>
      <w:r w:rsidRPr="00D81A26">
        <w:t>Other studies evaluable for safety only</w:t>
      </w:r>
    </w:p>
    <w:p w:rsidR="00D81A26" w:rsidRDefault="00D81A26" w:rsidP="00FC30D1">
      <w:r w:rsidRPr="00D81A26">
        <w:t>Continuation Study 251001: This ongoing continuation study was a prospective, open-label, multicentre, uncontrolled, Phase III study in up to 100 PTPs with severe (FIX level &lt; 1%) or moderately severe (FIX level 1-2%) haemophilia B, who had completed the Pivotal Study 250901 or the Paediatric Study 251101. Sixty four (64) subjects who completed the Pivotal Study 250901 were availa</w:t>
      </w:r>
      <w:r w:rsidR="00FC30D1">
        <w:t>ble for safety assessment only.</w:t>
      </w:r>
    </w:p>
    <w:p w:rsidR="00D81A26" w:rsidRPr="00D81A26" w:rsidRDefault="00D81A26" w:rsidP="00FC30D1">
      <w:pPr>
        <w:pStyle w:val="Heading4"/>
      </w:pPr>
      <w:bookmarkStart w:id="166" w:name="_Ref269204367"/>
      <w:bookmarkStart w:id="167" w:name="_Ref271195835"/>
      <w:bookmarkStart w:id="168" w:name="_Ref271195841"/>
      <w:bookmarkStart w:id="169" w:name="_Toc272414660"/>
      <w:bookmarkStart w:id="170" w:name="_Toc290846285"/>
      <w:bookmarkStart w:id="171" w:name="_Toc290888822"/>
      <w:bookmarkStart w:id="172" w:name="_Toc355608015"/>
      <w:bookmarkStart w:id="173" w:name="_Toc382554218"/>
      <w:r w:rsidRPr="00D81A26">
        <w:t>Pivotal studies that assessed safety as a primary outcome</w:t>
      </w:r>
      <w:bookmarkEnd w:id="166"/>
      <w:bookmarkEnd w:id="167"/>
      <w:bookmarkEnd w:id="168"/>
      <w:bookmarkEnd w:id="169"/>
      <w:bookmarkEnd w:id="170"/>
      <w:bookmarkEnd w:id="171"/>
      <w:bookmarkEnd w:id="172"/>
      <w:bookmarkEnd w:id="173"/>
    </w:p>
    <w:p w:rsidR="00D81A26" w:rsidRPr="00D81A26" w:rsidRDefault="00D81A26" w:rsidP="00FC30D1">
      <w:r w:rsidRPr="00D81A26">
        <w:t>Not applicable.</w:t>
      </w:r>
    </w:p>
    <w:p w:rsidR="0066459D" w:rsidRPr="00FC30D1" w:rsidRDefault="0066459D" w:rsidP="00FC30D1">
      <w:pPr>
        <w:pStyle w:val="Heading4"/>
      </w:pPr>
      <w:bookmarkStart w:id="174" w:name="_Toc241374318"/>
      <w:bookmarkStart w:id="175" w:name="_Ref271196630"/>
      <w:bookmarkStart w:id="176" w:name="_Toc272414662"/>
      <w:bookmarkStart w:id="177" w:name="_Toc290846300"/>
      <w:bookmarkStart w:id="178" w:name="_Toc290888837"/>
      <w:bookmarkStart w:id="179" w:name="_Toc355608016"/>
      <w:bookmarkStart w:id="180" w:name="_Toc382554219"/>
      <w:r>
        <w:t>Patient exposure</w:t>
      </w:r>
      <w:bookmarkEnd w:id="174"/>
      <w:bookmarkEnd w:id="175"/>
      <w:bookmarkEnd w:id="176"/>
      <w:bookmarkEnd w:id="177"/>
      <w:bookmarkEnd w:id="178"/>
      <w:bookmarkEnd w:id="179"/>
      <w:bookmarkEnd w:id="180"/>
    </w:p>
    <w:p w:rsidR="0066459D" w:rsidRPr="005356DB" w:rsidRDefault="0066459D" w:rsidP="00FC30D1">
      <w:r w:rsidRPr="005356DB">
        <w:t xml:space="preserve">In estimating drug exposure, one exposure day was defined as a calendar day (12:00 </w:t>
      </w:r>
      <w:r>
        <w:t>am</w:t>
      </w:r>
      <w:r w:rsidRPr="005356DB">
        <w:t xml:space="preserve"> to 11:59 </w:t>
      </w:r>
      <w:r>
        <w:t>pm</w:t>
      </w:r>
      <w:r w:rsidRPr="005356DB">
        <w:t>) during which a subject received IP, regardless of the number of infusions or amount of product given during the day.</w:t>
      </w:r>
    </w:p>
    <w:p w:rsidR="0066459D" w:rsidRPr="005356DB" w:rsidRDefault="0066459D" w:rsidP="00FC30D1">
      <w:r w:rsidRPr="005356DB">
        <w:t xml:space="preserve">The number of subjects infused, number of infusions, total units administered, and total </w:t>
      </w:r>
      <w:r w:rsidR="009B53CC">
        <w:t>ED</w:t>
      </w:r>
      <w:r w:rsidRPr="005356DB">
        <w:t>s according to study event (prophylaxis, treatment of bleeding episodes, PK assessments, prophylaxis, peri- and postoperative homeostatic management, or other, and all study events) were calculated overall and for each age group. The median, minimum, and maximum per-subject values were determined for each of these parameters.</w:t>
      </w:r>
    </w:p>
    <w:p w:rsidR="00D81A26" w:rsidRPr="00D81A26" w:rsidRDefault="00D81A26" w:rsidP="00D81A26">
      <w:pPr>
        <w:autoSpaceDE w:val="0"/>
        <w:autoSpaceDN w:val="0"/>
        <w:adjustRightInd w:val="0"/>
      </w:pPr>
      <w:r w:rsidRPr="00D81A26">
        <w:t xml:space="preserve">Subjects participated in the </w:t>
      </w:r>
      <w:r w:rsidR="0051223A">
        <w:t>Rixubis</w:t>
      </w:r>
      <w:r w:rsidRPr="00D81A26">
        <w:t xml:space="preserve"> clinical program for a median of 13.11 months (range: 1.31 to 25.23 months). Subjects were</w:t>
      </w:r>
      <w:r w:rsidR="007A5E2D">
        <w:t xml:space="preserve"> treated with </w:t>
      </w:r>
      <w:r w:rsidR="0051223A">
        <w:t>Rixubis</w:t>
      </w:r>
      <w:r w:rsidRPr="00D81A26">
        <w:t xml:space="preserve"> for a median of 83 EDs (range: 3 to 209 EDs), with a median number of infusions of 85 (range: 3 to 212 infusions), and median consumption of </w:t>
      </w:r>
      <w:r w:rsidR="0051223A">
        <w:t>Rixubis</w:t>
      </w:r>
      <w:r w:rsidRPr="00D81A26">
        <w:t xml:space="preserve"> of 4653.0 IU/kg (range: 169 to 13496 IU/kg).</w:t>
      </w:r>
    </w:p>
    <w:p w:rsidR="00D81A26" w:rsidRPr="00D81A26" w:rsidRDefault="00D81A26" w:rsidP="00FC30D1">
      <w:r w:rsidRPr="00D81A26">
        <w:lastRenderedPageBreak/>
        <w:t xml:space="preserve">The 91 treated subjects received a total of 27,836,871 IU of </w:t>
      </w:r>
      <w:r w:rsidR="0051223A">
        <w:t>Rixubis</w:t>
      </w:r>
      <w:r w:rsidRPr="00D81A26">
        <w:t xml:space="preserve"> in 7353 infusions, including:</w:t>
      </w:r>
    </w:p>
    <w:p w:rsidR="00D81A26" w:rsidRPr="00D81A26" w:rsidRDefault="00D81A26" w:rsidP="00FC30D1">
      <w:pPr>
        <w:pStyle w:val="ListBullet"/>
      </w:pPr>
      <w:r w:rsidRPr="00D81A26">
        <w:t>20,</w:t>
      </w:r>
      <w:r w:rsidRPr="00FC30D1">
        <w:t>813</w:t>
      </w:r>
      <w:r w:rsidRPr="00D81A26">
        <w:t>,743 IU administered in 5716 infusions for prophylaxis</w:t>
      </w:r>
    </w:p>
    <w:p w:rsidR="00D81A26" w:rsidRPr="00D81A26" w:rsidRDefault="00D81A26" w:rsidP="00FC30D1">
      <w:pPr>
        <w:pStyle w:val="ListBullet"/>
      </w:pPr>
      <w:r w:rsidRPr="00D81A26">
        <w:t>3,238,856 IU administered in 882 infusions for bleeding episodes</w:t>
      </w:r>
    </w:p>
    <w:p w:rsidR="00D81A26" w:rsidRPr="00D81A26" w:rsidRDefault="00D81A26" w:rsidP="00D81A26">
      <w:pPr>
        <w:pStyle w:val="ListBullet"/>
      </w:pPr>
      <w:r w:rsidRPr="00D81A26">
        <w:t>2,260,888 IU administered in 440 infusions for PK analysis</w:t>
      </w:r>
    </w:p>
    <w:p w:rsidR="00D81A26" w:rsidRPr="00D81A26" w:rsidRDefault="00D81A26" w:rsidP="00FC30D1">
      <w:pPr>
        <w:pStyle w:val="ListBullet"/>
      </w:pPr>
      <w:r w:rsidRPr="00D81A26">
        <w:t>200,</w:t>
      </w:r>
      <w:r w:rsidRPr="00FC30D1">
        <w:t>294</w:t>
      </w:r>
      <w:r w:rsidRPr="00D81A26">
        <w:t xml:space="preserve"> IU administered in 30 infusions for peri- and post-operative homeostatic management</w:t>
      </w:r>
    </w:p>
    <w:p w:rsidR="00D81A26" w:rsidRPr="00D81A26" w:rsidRDefault="00D81A26" w:rsidP="00FC30D1">
      <w:pPr>
        <w:pStyle w:val="ListBullet"/>
      </w:pPr>
      <w:r w:rsidRPr="00D81A26">
        <w:t xml:space="preserve">1,323,090 IU administered in 285 infusions for </w:t>
      </w:r>
      <w:r w:rsidR="00D33934">
        <w:t>‘</w:t>
      </w:r>
      <w:r w:rsidRPr="00D81A26">
        <w:t>other</w:t>
      </w:r>
      <w:r w:rsidR="00D33934">
        <w:t>’</w:t>
      </w:r>
      <w:r w:rsidRPr="00D81A26">
        <w:t xml:space="preserve"> reasons</w:t>
      </w:r>
      <w:r w:rsidR="00D33934">
        <w:t>.</w:t>
      </w:r>
    </w:p>
    <w:p w:rsidR="00D81A26" w:rsidRDefault="00D81A26" w:rsidP="00FC30D1">
      <w:r>
        <w:t>Th</w:t>
      </w:r>
      <w:r w:rsidRPr="00D81A26">
        <w:t xml:space="preserve">e median EDs of 83 and the median number of infusions (85) are small compared to those that would be received in a lifetime of treatment, and very small in the paediatric group. It should be remembered therefore that any </w:t>
      </w:r>
      <w:r w:rsidR="00F710E5">
        <w:t>AEs</w:t>
      </w:r>
      <w:r w:rsidRPr="00D81A26">
        <w:t xml:space="preserve"> events detected in these studies would be those occurring in the short term. Longer term monitoring is recommended.</w:t>
      </w:r>
    </w:p>
    <w:p w:rsidR="006626E7" w:rsidRPr="006626E7" w:rsidRDefault="006626E7" w:rsidP="00C206D2">
      <w:pPr>
        <w:pStyle w:val="Heading4"/>
      </w:pPr>
      <w:bookmarkStart w:id="181" w:name="_Toc241374320"/>
      <w:bookmarkStart w:id="182" w:name="_Ref272333507"/>
      <w:bookmarkStart w:id="183" w:name="_Toc272414666"/>
      <w:bookmarkStart w:id="184" w:name="_Toc290846304"/>
      <w:bookmarkStart w:id="185" w:name="_Toc290888841"/>
      <w:bookmarkStart w:id="186" w:name="_Toc355608030"/>
      <w:r w:rsidRPr="006626E7">
        <w:t xml:space="preserve">Deaths and other serious adverse </w:t>
      </w:r>
      <w:r w:rsidRPr="00C206D2">
        <w:t>events</w:t>
      </w:r>
      <w:bookmarkEnd w:id="181"/>
      <w:bookmarkEnd w:id="182"/>
      <w:bookmarkEnd w:id="183"/>
      <w:bookmarkEnd w:id="184"/>
      <w:bookmarkEnd w:id="185"/>
      <w:bookmarkEnd w:id="186"/>
    </w:p>
    <w:p w:rsidR="006626E7" w:rsidRPr="006626E7" w:rsidRDefault="006626E7" w:rsidP="00C206D2">
      <w:r w:rsidRPr="006626E7">
        <w:t xml:space="preserve">There were no deaths. Two subjects were withdrawn due to an unrelated SAE requiring emergency treatment with another FIX product rendering them ineligible for continuation of the </w:t>
      </w:r>
      <w:r w:rsidR="0051223A">
        <w:t>Rixubis</w:t>
      </w:r>
      <w:r w:rsidRPr="006626E7">
        <w:t xml:space="preserve"> study.</w:t>
      </w:r>
    </w:p>
    <w:p w:rsidR="006626E7" w:rsidRPr="006626E7" w:rsidRDefault="006626E7" w:rsidP="00C206D2">
      <w:r w:rsidRPr="006626E7">
        <w:t>While eight SAEs are described in narratives in the Pivotal 250901 CSR, only the five SAEs, which occurred in four subjects during or after exposure to IP and within the cut-off date, were included in this integrated analysis. An additional SAE occurred in one subject in Continuation Study 251001, resulting in a total of six SAEs reported in five (5.5%) subjects</w:t>
      </w:r>
      <w:r>
        <w:t>. The</w:t>
      </w:r>
      <w:r w:rsidR="00C206D2">
        <w:t xml:space="preserve"> six SAEs were as follows:</w:t>
      </w:r>
    </w:p>
    <w:p w:rsidR="006626E7" w:rsidRPr="006626E7" w:rsidRDefault="006626E7" w:rsidP="00C206D2">
      <w:pPr>
        <w:pStyle w:val="ListBullet"/>
      </w:pPr>
      <w:r w:rsidRPr="006626E7">
        <w:t>Duodenal ulcer haemorrhage: one SAE in one subject (severe)</w:t>
      </w:r>
    </w:p>
    <w:p w:rsidR="006626E7" w:rsidRPr="006626E7" w:rsidRDefault="006626E7" w:rsidP="00C206D2">
      <w:pPr>
        <w:pStyle w:val="ListBullet"/>
      </w:pPr>
      <w:r w:rsidRPr="006626E7">
        <w:t>Intestinal Obstruction: one SAE in one subject (severe)</w:t>
      </w:r>
    </w:p>
    <w:p w:rsidR="006626E7" w:rsidRPr="006626E7" w:rsidRDefault="006626E7" w:rsidP="006626E7">
      <w:pPr>
        <w:pStyle w:val="ListBullet"/>
      </w:pPr>
      <w:r w:rsidRPr="006626E7">
        <w:t>Cervical vertebral fracture: one SAE in one subject (severe)</w:t>
      </w:r>
    </w:p>
    <w:p w:rsidR="006626E7" w:rsidRPr="006626E7" w:rsidRDefault="006626E7" w:rsidP="00C206D2">
      <w:pPr>
        <w:pStyle w:val="ListBullet"/>
      </w:pPr>
      <w:r w:rsidRPr="006626E7">
        <w:t>Traumatic haematoma: one SAE in one subject (severe)</w:t>
      </w:r>
    </w:p>
    <w:p w:rsidR="006626E7" w:rsidRPr="006626E7" w:rsidRDefault="006626E7" w:rsidP="006626E7">
      <w:pPr>
        <w:pStyle w:val="ListBullet"/>
      </w:pPr>
      <w:r w:rsidRPr="006626E7">
        <w:t>Convulsion: one SAE in one subject (moderate)</w:t>
      </w:r>
    </w:p>
    <w:p w:rsidR="006626E7" w:rsidRPr="006626E7" w:rsidRDefault="006626E7" w:rsidP="00C206D2">
      <w:pPr>
        <w:pStyle w:val="ListBullet"/>
      </w:pPr>
      <w:r w:rsidRPr="006626E7">
        <w:t>Hepatitis B core antibody positive: one SAE in one subject (mild)</w:t>
      </w:r>
    </w:p>
    <w:p w:rsidR="006626E7" w:rsidRPr="006626E7" w:rsidRDefault="006626E7" w:rsidP="00C206D2">
      <w:r w:rsidRPr="006626E7">
        <w:t xml:space="preserve">Four SAEs in three (3.3%) subjects were severe. One moderate SAE was reported in one (1.1%) subject and one mild SAE was reported in one (1.1%) subject. No SAEs were judged by the investigator or the sponsor to be possibly or probably related to </w:t>
      </w:r>
      <w:r w:rsidR="0051223A">
        <w:t>Rixubis</w:t>
      </w:r>
      <w:r w:rsidRPr="006626E7">
        <w:t>.</w:t>
      </w:r>
    </w:p>
    <w:p w:rsidR="006626E7" w:rsidRPr="006626E7" w:rsidRDefault="006626E7" w:rsidP="00C206D2">
      <w:r w:rsidRPr="006626E7">
        <w:t>One SAE of convulsion, considered unrelated to IP, was also categorised as a temporally-associated AE (see comments, below).</w:t>
      </w:r>
    </w:p>
    <w:p w:rsidR="006626E7" w:rsidRPr="006626E7" w:rsidRDefault="006626E7" w:rsidP="00C206D2">
      <w:pPr>
        <w:ind w:left="720"/>
      </w:pPr>
      <w:r w:rsidRPr="006626E7">
        <w:t>Comment: The SAEs reported in all stud</w:t>
      </w:r>
      <w:r w:rsidR="00C206D2">
        <w:t>ies require further evaluation.</w:t>
      </w:r>
    </w:p>
    <w:p w:rsidR="00D81A26" w:rsidRPr="00D81A26" w:rsidRDefault="00D81A26" w:rsidP="00C206D2">
      <w:pPr>
        <w:pStyle w:val="Heading4"/>
      </w:pPr>
      <w:bookmarkStart w:id="187" w:name="_Toc241374328"/>
      <w:bookmarkStart w:id="188" w:name="_Toc272414691"/>
      <w:bookmarkStart w:id="189" w:name="_Toc290846329"/>
      <w:bookmarkStart w:id="190" w:name="_Toc290888866"/>
      <w:bookmarkStart w:id="191" w:name="_Toc355608053"/>
      <w:bookmarkStart w:id="192" w:name="_Toc382554225"/>
      <w:r w:rsidRPr="00D81A26">
        <w:t>Evaluator’s overall conclusions on clinical safety</w:t>
      </w:r>
      <w:bookmarkEnd w:id="187"/>
      <w:bookmarkEnd w:id="188"/>
      <w:bookmarkEnd w:id="189"/>
      <w:bookmarkEnd w:id="190"/>
      <w:bookmarkEnd w:id="191"/>
      <w:bookmarkEnd w:id="192"/>
    </w:p>
    <w:p w:rsidR="00D81A26" w:rsidRPr="00D81A26" w:rsidRDefault="00D81A26" w:rsidP="00C206D2">
      <w:pPr>
        <w:pStyle w:val="Numberbullet0"/>
        <w:numPr>
          <w:ilvl w:val="0"/>
          <w:numId w:val="28"/>
        </w:numPr>
      </w:pPr>
      <w:r w:rsidRPr="00D81A26">
        <w:t xml:space="preserve">The safety of the pilot material and the </w:t>
      </w:r>
      <w:r w:rsidRPr="00C206D2">
        <w:t>commercial</w:t>
      </w:r>
      <w:r w:rsidRPr="00D81A26">
        <w:t xml:space="preserve"> preparatio</w:t>
      </w:r>
      <w:r w:rsidR="00C206D2">
        <w:t>n were not assessed separately.</w:t>
      </w:r>
    </w:p>
    <w:p w:rsidR="00D81A26" w:rsidRPr="00D81A26" w:rsidRDefault="00D81A26" w:rsidP="00C206D2">
      <w:pPr>
        <w:pStyle w:val="Numberbullet0"/>
      </w:pPr>
      <w:r w:rsidRPr="00D81A26">
        <w:t>The number of patients assessed for safety was 91. The median number of EDs, 83</w:t>
      </w:r>
      <w:r w:rsidR="005B07BF">
        <w:t xml:space="preserve"> days</w:t>
      </w:r>
      <w:r w:rsidR="009B53CC">
        <w:t>,</w:t>
      </w:r>
      <w:r w:rsidRPr="00D81A26">
        <w:t xml:space="preserve"> and the median number of infusions per patient in the program, 85</w:t>
      </w:r>
      <w:r w:rsidR="005B07BF">
        <w:t xml:space="preserve"> days</w:t>
      </w:r>
      <w:r w:rsidRPr="00D81A26">
        <w:t>, are small compared to those that would be received in a life-time of treatment, and very small in the paediatric group. It should be remembered therefore that any AEs detected in these studies would be those occurring in the short term. Longer term monitoring is recommended.</w:t>
      </w:r>
    </w:p>
    <w:p w:rsidR="00D81A26" w:rsidRPr="00D81A26" w:rsidRDefault="00D81A26" w:rsidP="00C206D2">
      <w:pPr>
        <w:pStyle w:val="Numberbullet0"/>
      </w:pPr>
      <w:r w:rsidRPr="00D81A26">
        <w:lastRenderedPageBreak/>
        <w:t xml:space="preserve">One hundred and sixty one (161) AEs occurred in 52.7% of patients, of which 155 were non-serious, and 117 of mild severity. Four non-serious AEs in three patients were related to </w:t>
      </w:r>
      <w:proofErr w:type="spellStart"/>
      <w:r w:rsidR="0051223A">
        <w:t>Rixubis</w:t>
      </w:r>
      <w:proofErr w:type="spellEnd"/>
      <w:r w:rsidRPr="00D81A26">
        <w:t xml:space="preserve"> – </w:t>
      </w:r>
      <w:proofErr w:type="spellStart"/>
      <w:r w:rsidRPr="00D81A26">
        <w:t>dysgeusia</w:t>
      </w:r>
      <w:proofErr w:type="spellEnd"/>
      <w:r w:rsidRPr="00D81A26">
        <w:t xml:space="preserve"> (two events in one patient); pain in an extremity; and the de</w:t>
      </w:r>
      <w:r w:rsidR="00C206D2">
        <w:t xml:space="preserve">velopment of </w:t>
      </w:r>
      <w:proofErr w:type="spellStart"/>
      <w:r w:rsidR="00C206D2">
        <w:t>rFurin</w:t>
      </w:r>
      <w:proofErr w:type="spellEnd"/>
      <w:r w:rsidR="00C206D2">
        <w:t xml:space="preserve"> antibodies.</w:t>
      </w:r>
    </w:p>
    <w:p w:rsidR="00D81A26" w:rsidRPr="00D81A26" w:rsidRDefault="00D81A26" w:rsidP="00C206D2">
      <w:pPr>
        <w:pStyle w:val="Numberbullet0"/>
      </w:pPr>
      <w:r w:rsidRPr="00D81A26">
        <w:t xml:space="preserve">Sixty-five (65) temporally-associated AEs (beginning during or within 24 hours of infusion regardless of causality) that occurred in 29 subjects (0.88%) included diarrhoea, pyrexia, gastroenteritis, </w:t>
      </w:r>
      <w:proofErr w:type="spellStart"/>
      <w:r w:rsidRPr="00D81A26">
        <w:t>nasopharyngitis</w:t>
      </w:r>
      <w:proofErr w:type="spellEnd"/>
      <w:r w:rsidRPr="00D81A26">
        <w:t>, pharyngitis, procedural pain, abnormal immunological tests and headache.</w:t>
      </w:r>
    </w:p>
    <w:p w:rsidR="00D81A26" w:rsidRPr="00D81A26" w:rsidRDefault="00D81A26" w:rsidP="00C206D2">
      <w:pPr>
        <w:pStyle w:val="Numberbullet0"/>
      </w:pPr>
      <w:r w:rsidRPr="00D81A26">
        <w:t xml:space="preserve">No inhibitors to FIX, no treatment-related binding antibodies to FIX, and no antibodies to CHO proteins were detected in treated subjects. One subject developed a positive assay for </w:t>
      </w:r>
      <w:proofErr w:type="spellStart"/>
      <w:r w:rsidRPr="00D81A26">
        <w:t>rFurin</w:t>
      </w:r>
      <w:proofErr w:type="spellEnd"/>
      <w:r w:rsidRPr="00D81A26">
        <w:t xml:space="preserve"> (confirmed titre 1:80), considered to be not of clinical significance.</w:t>
      </w:r>
    </w:p>
    <w:p w:rsidR="00D81A26" w:rsidRPr="00D81A26" w:rsidRDefault="00D81A26" w:rsidP="00C206D2">
      <w:pPr>
        <w:pStyle w:val="Numberbullet0"/>
      </w:pPr>
      <w:r w:rsidRPr="00D81A26">
        <w:t>No thrombotic events or severe allergic reactions were reported in any subject in the integrated analysis.</w:t>
      </w:r>
    </w:p>
    <w:p w:rsidR="00D81A26" w:rsidRPr="00D81A26" w:rsidRDefault="00D81A26" w:rsidP="00C206D2">
      <w:pPr>
        <w:pStyle w:val="Numberbullet0"/>
      </w:pPr>
      <w:r w:rsidRPr="00D81A26">
        <w:t xml:space="preserve">There were no deaths. Eight SAEs were reported in all studies, of which six were relevant to the studies. Two SAEs (car accident, and suicide) were appropriately excluded. The six SAEs were considered not related to </w:t>
      </w:r>
      <w:r w:rsidR="0051223A">
        <w:t>Rixubis</w:t>
      </w:r>
      <w:r w:rsidRPr="00D81A26">
        <w:t xml:space="preserve"> treatment, and were a bleeding duodenal ulcer (severe); intestinal obstruction (severe); cervical vertebral fracture (severe); traumatic haematoma (severe); convulsion (moderate); and conversion to </w:t>
      </w:r>
      <w:proofErr w:type="spellStart"/>
      <w:r w:rsidRPr="00D81A26">
        <w:t>HepBcAb</w:t>
      </w:r>
      <w:proofErr w:type="spellEnd"/>
      <w:r w:rsidRPr="00D81A26">
        <w:t xml:space="preserve"> positive (mild).</w:t>
      </w:r>
    </w:p>
    <w:p w:rsidR="00D81A26" w:rsidRPr="00D81A26" w:rsidRDefault="00D81A26" w:rsidP="00C206D2">
      <w:pPr>
        <w:pStyle w:val="Numberbullet0"/>
      </w:pPr>
      <w:r w:rsidRPr="00D81A26">
        <w:t xml:space="preserve">A majority of patients had past infections with Hepatitis B or C or both and a large number had chronic hepatitis with one or both viruses. One clinically significant event of an abnormal alanine </w:t>
      </w:r>
      <w:proofErr w:type="spellStart"/>
      <w:r w:rsidRPr="00D81A26">
        <w:t>aminotransaminase</w:t>
      </w:r>
      <w:proofErr w:type="spellEnd"/>
      <w:r w:rsidRPr="00D81A26">
        <w:t xml:space="preserve"> occurred in a patient with chronic hepatitis B and C.</w:t>
      </w:r>
    </w:p>
    <w:p w:rsidR="00D81A26" w:rsidRPr="00D81A26" w:rsidRDefault="00D81A26" w:rsidP="00C206D2">
      <w:pPr>
        <w:pStyle w:val="Numberbullet0"/>
      </w:pPr>
      <w:r w:rsidRPr="00D81A26">
        <w:t>The product has not been marketed in any country so no PMR was available.</w:t>
      </w:r>
    </w:p>
    <w:p w:rsidR="00D81A26" w:rsidRPr="002953DA" w:rsidRDefault="00D81A26" w:rsidP="002953DA">
      <w:pPr>
        <w:ind w:left="425"/>
      </w:pPr>
      <w:r w:rsidRPr="002953DA">
        <w:t xml:space="preserve">Conclusion: The clinical evaluator agreed with the conclusion of the ISS that ‘Taken together, the safety assessments utilised in this integrated analysis demonstrate safety and tolerability in subjects with severe or moderately severe haemophilia B’, with the addition that safety data from longer term treatment with </w:t>
      </w:r>
      <w:r w:rsidR="0051223A">
        <w:t>Rixubis</w:t>
      </w:r>
      <w:r w:rsidRPr="002953DA">
        <w:t xml:space="preserve"> sho</w:t>
      </w:r>
      <w:r w:rsidR="00C206D2">
        <w:t>uld be provided when available.</w:t>
      </w:r>
    </w:p>
    <w:p w:rsidR="002953DA" w:rsidRPr="002953DA" w:rsidRDefault="002953DA" w:rsidP="002953DA">
      <w:pPr>
        <w:pStyle w:val="Heading4"/>
      </w:pPr>
      <w:bookmarkStart w:id="193" w:name="_Toc382554226"/>
      <w:r w:rsidRPr="002953DA">
        <w:t>First round benefit-risk assessment</w:t>
      </w:r>
      <w:bookmarkEnd w:id="193"/>
    </w:p>
    <w:p w:rsidR="002953DA" w:rsidRPr="002953DA" w:rsidRDefault="002953DA" w:rsidP="009F6A6C">
      <w:pPr>
        <w:pStyle w:val="Heading5"/>
      </w:pPr>
      <w:bookmarkStart w:id="194" w:name="_Toc236802592"/>
      <w:bookmarkStart w:id="195" w:name="_Toc241374331"/>
      <w:bookmarkStart w:id="196" w:name="_Ref272160836"/>
      <w:bookmarkStart w:id="197" w:name="_Toc272414693"/>
      <w:bookmarkStart w:id="198" w:name="_Toc290846331"/>
      <w:bookmarkStart w:id="199" w:name="_Toc290888868"/>
      <w:bookmarkStart w:id="200" w:name="_Toc355608055"/>
      <w:bookmarkStart w:id="201" w:name="_Toc382554227"/>
      <w:r w:rsidRPr="002953DA">
        <w:t xml:space="preserve">First round assessment of </w:t>
      </w:r>
      <w:r w:rsidRPr="009F6A6C">
        <w:t>benefits</w:t>
      </w:r>
      <w:bookmarkEnd w:id="194"/>
      <w:bookmarkEnd w:id="195"/>
      <w:bookmarkEnd w:id="196"/>
      <w:bookmarkEnd w:id="197"/>
      <w:bookmarkEnd w:id="198"/>
      <w:bookmarkEnd w:id="199"/>
      <w:bookmarkEnd w:id="200"/>
      <w:bookmarkEnd w:id="201"/>
    </w:p>
    <w:p w:rsidR="002953DA" w:rsidRPr="002953DA" w:rsidRDefault="002953DA" w:rsidP="009F6A6C">
      <w:pPr>
        <w:pStyle w:val="ListBullet"/>
      </w:pPr>
      <w:r w:rsidRPr="002953DA">
        <w:t xml:space="preserve">The first benefit of </w:t>
      </w:r>
      <w:r w:rsidR="0051223A">
        <w:t>Rixubis</w:t>
      </w:r>
      <w:r w:rsidRPr="002953DA">
        <w:t xml:space="preserve"> is that it is effective treatment in reducing the frequency of spontaneous and injury-related bleeding when administered as routine prophylaxis in patients 12 years and in treating and preventing bleeding episodes in patients 12 years and older with severe or moderately severe haemophilia B (congenital FIX deficiency).</w:t>
      </w:r>
    </w:p>
    <w:p w:rsidR="002953DA" w:rsidRPr="002953DA" w:rsidRDefault="007A5E2D" w:rsidP="009F6A6C">
      <w:pPr>
        <w:pStyle w:val="ListBullet"/>
      </w:pPr>
      <w:r>
        <w:t xml:space="preserve">A second benefit is that </w:t>
      </w:r>
      <w:proofErr w:type="spellStart"/>
      <w:r w:rsidR="0051223A" w:rsidRPr="009F6A6C">
        <w:t>Rixubis</w:t>
      </w:r>
      <w:proofErr w:type="spellEnd"/>
      <w:r>
        <w:t xml:space="preserve"> </w:t>
      </w:r>
      <w:r w:rsidR="002953DA" w:rsidRPr="002953DA">
        <w:t>is a recombinant product and so does not have the potential safety risks of viral transmission associated with plasma derived products.</w:t>
      </w:r>
    </w:p>
    <w:p w:rsidR="002953DA" w:rsidRPr="002953DA" w:rsidRDefault="002953DA" w:rsidP="009F6A6C">
      <w:r w:rsidRPr="002953DA">
        <w:t>A benefit of</w:t>
      </w:r>
      <w:r w:rsidR="007A5E2D">
        <w:t xml:space="preserve"> </w:t>
      </w:r>
      <w:r w:rsidR="0051223A">
        <w:t>Rixubis</w:t>
      </w:r>
      <w:r w:rsidR="007A5E2D">
        <w:t xml:space="preserve"> </w:t>
      </w:r>
      <w:r w:rsidRPr="002953DA">
        <w:t xml:space="preserve">in the peri-operative management of patients 12 years and older with severe or moderately severe haemophilia B seems likely, but the data provided in the interim analysis of the relevant study require confirmation from the results of the completed study before this benefit </w:t>
      </w:r>
      <w:r w:rsidR="009F6A6C">
        <w:t>can be claimed with confidence.</w:t>
      </w:r>
    </w:p>
    <w:p w:rsidR="002953DA" w:rsidRPr="009F6A6C" w:rsidRDefault="002953DA" w:rsidP="009F6A6C">
      <w:pPr>
        <w:pStyle w:val="Heading5"/>
      </w:pPr>
      <w:bookmarkStart w:id="202" w:name="_Toc236802596"/>
      <w:bookmarkStart w:id="203" w:name="_Toc241374334"/>
      <w:bookmarkStart w:id="204" w:name="_Ref272160964"/>
      <w:bookmarkStart w:id="205" w:name="_Toc272414694"/>
      <w:bookmarkStart w:id="206" w:name="_Toc290846332"/>
      <w:bookmarkStart w:id="207" w:name="_Toc290888869"/>
      <w:bookmarkStart w:id="208" w:name="_Toc355608056"/>
      <w:bookmarkStart w:id="209" w:name="_Toc382554228"/>
      <w:r w:rsidRPr="002953DA">
        <w:t>First round assessment of risks</w:t>
      </w:r>
      <w:bookmarkEnd w:id="202"/>
      <w:bookmarkEnd w:id="203"/>
      <w:bookmarkEnd w:id="204"/>
      <w:bookmarkEnd w:id="205"/>
      <w:bookmarkEnd w:id="206"/>
      <w:bookmarkEnd w:id="207"/>
      <w:bookmarkEnd w:id="208"/>
      <w:bookmarkEnd w:id="209"/>
    </w:p>
    <w:p w:rsidR="002953DA" w:rsidRPr="002953DA" w:rsidRDefault="007A5E2D" w:rsidP="00EC7D25">
      <w:r>
        <w:t xml:space="preserve">The risks of </w:t>
      </w:r>
      <w:proofErr w:type="spellStart"/>
      <w:r w:rsidR="0051223A">
        <w:t>Rixubis</w:t>
      </w:r>
      <w:proofErr w:type="spellEnd"/>
      <w:r w:rsidR="002953DA" w:rsidRPr="002953DA">
        <w:t xml:space="preserve"> in the proposed usage are those associated with FIX products:</w:t>
      </w:r>
    </w:p>
    <w:p w:rsidR="002953DA" w:rsidRPr="002953DA" w:rsidRDefault="002953DA" w:rsidP="0001352D">
      <w:pPr>
        <w:pStyle w:val="ListBullet"/>
      </w:pPr>
      <w:r w:rsidRPr="002953DA">
        <w:lastRenderedPageBreak/>
        <w:t>Thrombotic events - patients potentially at risk are those with signs of fibrinolysis, disseminated intravascular coagulation (DIC) or liver disease, and patients postoperatively or who are otherwise at ris</w:t>
      </w:r>
      <w:r w:rsidR="00EC7D25">
        <w:t>k of a thrombotic event or DIC.</w:t>
      </w:r>
    </w:p>
    <w:p w:rsidR="002953DA" w:rsidRPr="002953DA" w:rsidRDefault="002953DA" w:rsidP="0001352D">
      <w:pPr>
        <w:pStyle w:val="ListBullet"/>
      </w:pPr>
      <w:r w:rsidRPr="002953DA">
        <w:t xml:space="preserve">FIX Inhibitor Formation – FIX containing products have been associated </w:t>
      </w:r>
      <w:r w:rsidRPr="0001352D">
        <w:t>with</w:t>
      </w:r>
      <w:r w:rsidRPr="002953DA">
        <w:t xml:space="preserve"> the development of activity-neutralising antibodies (inhibitors) in 1.5 to 3.0% of PTP with severe haemophilia B. As a consequence of FIX inhibitor development, minor and major bleeding cannot always be prevented or treated effectively, potentially resulting in increased morbidity </w:t>
      </w:r>
      <w:r w:rsidR="0001352D">
        <w:t>and diminished quality of life.</w:t>
      </w:r>
    </w:p>
    <w:p w:rsidR="002953DA" w:rsidRPr="002953DA" w:rsidRDefault="002953DA" w:rsidP="0001352D">
      <w:pPr>
        <w:pStyle w:val="ListBullet"/>
      </w:pPr>
      <w:r w:rsidRPr="002953DA">
        <w:t xml:space="preserve">Allergic-type hypersensitivity reactions, including </w:t>
      </w:r>
      <w:r w:rsidRPr="0001352D">
        <w:t>anaphylaxis</w:t>
      </w:r>
      <w:r w:rsidRPr="002953DA">
        <w:t>, have been</w:t>
      </w:r>
      <w:r w:rsidR="0001352D">
        <w:t xml:space="preserve"> reported for all FIX products.</w:t>
      </w:r>
    </w:p>
    <w:p w:rsidR="002953DA" w:rsidRPr="002953DA" w:rsidRDefault="002953DA" w:rsidP="0001352D">
      <w:r w:rsidRPr="002953DA">
        <w:t xml:space="preserve">A correlation has been reported between the occurrence of a FIX inhibitor and allergic reactions. Fifty-one (58%) of the 88 FIX inhibitors reported to the international haemophilia B database in 2005 were associated with an allergic manifestation. There seems to be no difference in the frequency of allergic reactions or inhibitor development in individuals receiving </w:t>
      </w:r>
      <w:proofErr w:type="spellStart"/>
      <w:r w:rsidRPr="002953DA">
        <w:t>rFIX</w:t>
      </w:r>
      <w:proofErr w:type="spellEnd"/>
      <w:r w:rsidRPr="002953DA">
        <w:t xml:space="preserve"> compared with those receiving plasma derived FIX. A relationship may exist between the presence of major deletion mutations in a patient's FIX gene and an increased risk of inhibitor formation and of acute hypersensitivity reactions. Patients known to have major deletion mutations of the FIX gene should be observed closely for signs and symptoms of acute hypersensitivity reactions, particularly during the early phases of initial exposure to FIX products.</w:t>
      </w:r>
    </w:p>
    <w:p w:rsidR="002953DA" w:rsidRPr="002953DA" w:rsidRDefault="002953DA" w:rsidP="0001352D">
      <w:r w:rsidRPr="002953DA">
        <w:t xml:space="preserve">None of the above risks, thrombotic events, inhibitor formation, and hypersensitivity reactions, were observed in the studies submitted, nor were any significant product-related </w:t>
      </w:r>
      <w:r w:rsidR="00F710E5">
        <w:t>AEs</w:t>
      </w:r>
      <w:r w:rsidR="0001352D">
        <w:t xml:space="preserve"> reported.</w:t>
      </w:r>
    </w:p>
    <w:p w:rsidR="002953DA" w:rsidRPr="002953DA" w:rsidRDefault="002953DA" w:rsidP="0001352D">
      <w:r w:rsidRPr="002953DA">
        <w:t>Note</w:t>
      </w:r>
      <w:r w:rsidRPr="002953DA">
        <w:rPr>
          <w:b/>
        </w:rPr>
        <w:t>:</w:t>
      </w:r>
      <w:r w:rsidRPr="002953DA">
        <w:t xml:space="preserve"> This risk assessment is based on the assumption that the sponsor’s answers to questions and requests regarding the large number of major and minor protocol deviations are answered satisfactorily and do no indicate serious breaches of ethics, GCP and guidelines for patient safety (see Clinical Questions).</w:t>
      </w:r>
    </w:p>
    <w:p w:rsidR="002953DA" w:rsidRPr="002953DA" w:rsidRDefault="002953DA" w:rsidP="0001352D">
      <w:r w:rsidRPr="002953DA">
        <w:t xml:space="preserve">A remaining risk factor is that the above safety data are derived from relatively short term treatment, compared to a life-time of treatment in such patients. Therefore longer term safety data on the use of </w:t>
      </w:r>
      <w:proofErr w:type="spellStart"/>
      <w:r w:rsidR="0051223A">
        <w:t>Rixubis</w:t>
      </w:r>
      <w:proofErr w:type="spellEnd"/>
      <w:r w:rsidR="0001352D">
        <w:t xml:space="preserve"> is necessary.</w:t>
      </w:r>
    </w:p>
    <w:p w:rsidR="002953DA" w:rsidRPr="002953DA" w:rsidRDefault="002953DA" w:rsidP="0001352D">
      <w:pPr>
        <w:pStyle w:val="Heading5"/>
      </w:pPr>
      <w:bookmarkStart w:id="210" w:name="_Toc236802597"/>
      <w:bookmarkStart w:id="211" w:name="_Toc241374335"/>
      <w:bookmarkStart w:id="212" w:name="_Toc272414695"/>
      <w:bookmarkStart w:id="213" w:name="_Toc290846333"/>
      <w:bookmarkStart w:id="214" w:name="_Toc290888870"/>
      <w:bookmarkStart w:id="215" w:name="_Toc355608057"/>
      <w:bookmarkStart w:id="216" w:name="_Toc382554229"/>
      <w:r w:rsidRPr="002953DA">
        <w:t xml:space="preserve">First round assessment of benefit-risk </w:t>
      </w:r>
      <w:r w:rsidRPr="0001352D">
        <w:t>balance</w:t>
      </w:r>
      <w:bookmarkEnd w:id="210"/>
      <w:bookmarkEnd w:id="211"/>
      <w:bookmarkEnd w:id="212"/>
      <w:bookmarkEnd w:id="213"/>
      <w:bookmarkEnd w:id="214"/>
      <w:bookmarkEnd w:id="215"/>
      <w:bookmarkEnd w:id="216"/>
    </w:p>
    <w:p w:rsidR="002953DA" w:rsidRPr="002953DA" w:rsidRDefault="002953DA" w:rsidP="0001352D">
      <w:r w:rsidRPr="002953DA">
        <w:t xml:space="preserve">The benefit-risk balance of </w:t>
      </w:r>
      <w:r w:rsidR="0051223A">
        <w:t>Rixubis</w:t>
      </w:r>
      <w:r w:rsidRPr="002953DA">
        <w:t xml:space="preserve"> for routine prophylaxis of bleeding episodes in patients 12 years and older with haemophilia B, and for the treatment and prevention of bleeding episodes in patients 12 years and older with haemophilia B (congenital FIX deficiency) is favourable.</w:t>
      </w:r>
    </w:p>
    <w:p w:rsidR="002953DA" w:rsidRPr="002953DA" w:rsidRDefault="002953DA" w:rsidP="0001352D">
      <w:r w:rsidRPr="002953DA">
        <w:t xml:space="preserve">The benefit-risk balance of </w:t>
      </w:r>
      <w:r w:rsidR="0051223A">
        <w:t>Rixubis</w:t>
      </w:r>
      <w:r w:rsidRPr="002953DA">
        <w:t xml:space="preserve"> for peri-operative management in patients 12 years and older with haemophilia B is unfavourable, but would become favourable if the Surgical Study 251002 were completed and the data supports that of the interim</w:t>
      </w:r>
      <w:r w:rsidR="0001352D">
        <w:t xml:space="preserve"> analysis.</w:t>
      </w:r>
    </w:p>
    <w:p w:rsidR="00074710" w:rsidRPr="0001352D" w:rsidRDefault="00074710" w:rsidP="0001352D">
      <w:pPr>
        <w:pStyle w:val="Heading3"/>
      </w:pPr>
      <w:bookmarkStart w:id="217" w:name="_Toc382554230"/>
      <w:bookmarkStart w:id="218" w:name="_Toc387924290"/>
      <w:r w:rsidRPr="00074710">
        <w:t>First round recommendation regarding authorisation</w:t>
      </w:r>
      <w:bookmarkEnd w:id="217"/>
      <w:bookmarkEnd w:id="218"/>
    </w:p>
    <w:p w:rsidR="00074710" w:rsidRPr="00074710" w:rsidRDefault="00074710" w:rsidP="00A263F3">
      <w:r w:rsidRPr="00074710">
        <w:t xml:space="preserve">Subject to an acceptable response to the Clinical Questions put to the sponsor the clinical evaluator recommends that </w:t>
      </w:r>
      <w:proofErr w:type="spellStart"/>
      <w:r w:rsidR="0051223A">
        <w:t>Rixubis</w:t>
      </w:r>
      <w:proofErr w:type="spellEnd"/>
      <w:r w:rsidR="00A263F3">
        <w:t xml:space="preserve"> be approved for:</w:t>
      </w:r>
    </w:p>
    <w:p w:rsidR="00074710" w:rsidRPr="00074710" w:rsidRDefault="00074710" w:rsidP="00A263F3">
      <w:pPr>
        <w:pStyle w:val="ListBullet"/>
      </w:pPr>
      <w:r w:rsidRPr="00074710">
        <w:t xml:space="preserve">Routine prophylaxis of bleeding episodes in </w:t>
      </w:r>
      <w:r w:rsidRPr="00A263F3">
        <w:t>patients</w:t>
      </w:r>
      <w:r w:rsidRPr="00074710">
        <w:t xml:space="preserve"> 12 years and older with haemophilia B and</w:t>
      </w:r>
    </w:p>
    <w:p w:rsidR="00074710" w:rsidRPr="00074710" w:rsidRDefault="00074710" w:rsidP="00A263F3">
      <w:pPr>
        <w:pStyle w:val="ListBullet"/>
      </w:pPr>
      <w:r w:rsidRPr="00074710">
        <w:t xml:space="preserve">Treatment and prevention of bleeding episodes </w:t>
      </w:r>
      <w:r w:rsidRPr="00A263F3">
        <w:t>in</w:t>
      </w:r>
      <w:r w:rsidRPr="00074710">
        <w:t xml:space="preserve"> patients 12 years and older with haemophilia B (congenital FIX deficiency)</w:t>
      </w:r>
    </w:p>
    <w:p w:rsidR="00074710" w:rsidRPr="00074710" w:rsidRDefault="00074710" w:rsidP="00A263F3">
      <w:r>
        <w:lastRenderedPageBreak/>
        <w:t xml:space="preserve">The clinical evaluator does </w:t>
      </w:r>
      <w:r w:rsidRPr="00074710">
        <w:t xml:space="preserve">not recommend approval of </w:t>
      </w:r>
      <w:r w:rsidR="0051223A">
        <w:t>Rixubis</w:t>
      </w:r>
      <w:r w:rsidRPr="00074710">
        <w:t xml:space="preserve"> for peri-operative management of patients 12 years and older with haemophilia B until the Surgical Study 251002 is completed and the results evaluated and confirm those of the interim analysis.</w:t>
      </w:r>
    </w:p>
    <w:p w:rsidR="008E7846" w:rsidRPr="00EE251D" w:rsidRDefault="008E7846" w:rsidP="00EE251D">
      <w:pPr>
        <w:pStyle w:val="Heading3"/>
      </w:pPr>
      <w:bookmarkStart w:id="219" w:name="_Toc255919423"/>
      <w:bookmarkStart w:id="220" w:name="_Toc241374329"/>
      <w:bookmarkStart w:id="221" w:name="_Toc270320087"/>
      <w:bookmarkStart w:id="222" w:name="_Toc314842506"/>
      <w:bookmarkStart w:id="223" w:name="_Toc387924291"/>
      <w:bookmarkStart w:id="224" w:name="_Toc163441387"/>
      <w:bookmarkEnd w:id="155"/>
      <w:bookmarkEnd w:id="156"/>
      <w:bookmarkEnd w:id="157"/>
      <w:r>
        <w:t>List of questions</w:t>
      </w:r>
      <w:bookmarkEnd w:id="219"/>
      <w:bookmarkEnd w:id="220"/>
      <w:bookmarkEnd w:id="221"/>
      <w:bookmarkEnd w:id="222"/>
      <w:bookmarkEnd w:id="223"/>
    </w:p>
    <w:p w:rsidR="002A5793" w:rsidRPr="002A5793" w:rsidRDefault="002A5793" w:rsidP="00EE251D">
      <w:pPr>
        <w:pStyle w:val="Heading4"/>
      </w:pPr>
      <w:bookmarkStart w:id="225" w:name="_Ref355446853"/>
      <w:bookmarkStart w:id="226" w:name="_Toc355608064"/>
      <w:bookmarkStart w:id="227" w:name="_Toc382554232"/>
      <w:r w:rsidRPr="002A5793">
        <w:t xml:space="preserve">Protocol </w:t>
      </w:r>
      <w:r w:rsidR="00EE251D">
        <w:t>d</w:t>
      </w:r>
      <w:r w:rsidRPr="00EE251D">
        <w:t>eviations</w:t>
      </w:r>
      <w:bookmarkEnd w:id="225"/>
      <w:bookmarkEnd w:id="226"/>
      <w:bookmarkEnd w:id="227"/>
    </w:p>
    <w:p w:rsidR="002A5793" w:rsidRPr="002A5793" w:rsidRDefault="002A5793" w:rsidP="00EE251D">
      <w:r w:rsidRPr="002A5793">
        <w:t>The large numbers and types of major and minor protocol deviations in the pivotal study have resulted in a number of questions and requests to the sponsor and will require an acceptable response before any approval of the requested indications can be made.</w:t>
      </w:r>
    </w:p>
    <w:p w:rsidR="002A5793" w:rsidRPr="00EE251D" w:rsidRDefault="002A5793" w:rsidP="00EE251D">
      <w:pPr>
        <w:pStyle w:val="Heading4"/>
      </w:pPr>
      <w:bookmarkStart w:id="228" w:name="_Toc272414705"/>
      <w:bookmarkStart w:id="229" w:name="_Toc290846345"/>
      <w:bookmarkStart w:id="230" w:name="_Toc290888882"/>
      <w:bookmarkStart w:id="231" w:name="_Ref355444991"/>
      <w:bookmarkStart w:id="232" w:name="_Ref355445014"/>
      <w:bookmarkStart w:id="233" w:name="_Toc355608065"/>
      <w:bookmarkStart w:id="234" w:name="_Toc382554233"/>
      <w:r w:rsidRPr="002A5793">
        <w:t>Safety</w:t>
      </w:r>
      <w:bookmarkEnd w:id="228"/>
      <w:bookmarkEnd w:id="229"/>
      <w:bookmarkEnd w:id="230"/>
      <w:bookmarkEnd w:id="231"/>
      <w:bookmarkEnd w:id="232"/>
      <w:bookmarkEnd w:id="233"/>
      <w:bookmarkEnd w:id="234"/>
    </w:p>
    <w:p w:rsidR="002A5793" w:rsidRPr="002A5793" w:rsidRDefault="002A5793" w:rsidP="00EE251D">
      <w:r w:rsidRPr="002A5793">
        <w:t xml:space="preserve">Does the presence of FIX antigen in a subject’s blood interfere with the measurement of FIX activity or on the detection </w:t>
      </w:r>
      <w:r w:rsidR="00EE251D">
        <w:t>of inhibitor antibodies to FIX?</w:t>
      </w:r>
    </w:p>
    <w:p w:rsidR="007452D9" w:rsidRPr="007452D9" w:rsidRDefault="007452D9" w:rsidP="00E6644D">
      <w:pPr>
        <w:pStyle w:val="Heading3"/>
      </w:pPr>
      <w:bookmarkStart w:id="235" w:name="_Ref290644801"/>
      <w:bookmarkStart w:id="236" w:name="_Toc290846347"/>
      <w:bookmarkStart w:id="237" w:name="_Toc290888884"/>
      <w:bookmarkStart w:id="238" w:name="_Toc355608067"/>
      <w:bookmarkStart w:id="239" w:name="_Toc369773317"/>
      <w:bookmarkStart w:id="240" w:name="_Toc382554234"/>
      <w:bookmarkStart w:id="241" w:name="_Toc387924292"/>
      <w:r w:rsidRPr="007452D9">
        <w:t xml:space="preserve">Second round evaluation of clinical data submitted in </w:t>
      </w:r>
      <w:r w:rsidRPr="00E6644D">
        <w:t>response</w:t>
      </w:r>
      <w:r w:rsidRPr="007452D9">
        <w:t xml:space="preserve"> to questions</w:t>
      </w:r>
      <w:bookmarkStart w:id="242" w:name="_Toc369773318"/>
      <w:bookmarkEnd w:id="235"/>
      <w:bookmarkEnd w:id="236"/>
      <w:bookmarkEnd w:id="237"/>
      <w:bookmarkEnd w:id="238"/>
      <w:bookmarkEnd w:id="239"/>
      <w:bookmarkEnd w:id="240"/>
      <w:bookmarkEnd w:id="241"/>
    </w:p>
    <w:p w:rsidR="007452D9" w:rsidRPr="00E6644D" w:rsidRDefault="007452D9" w:rsidP="00E6644D">
      <w:pPr>
        <w:pStyle w:val="Heading4"/>
      </w:pPr>
      <w:bookmarkStart w:id="243" w:name="_Toc382554235"/>
      <w:r w:rsidRPr="007452D9">
        <w:t xml:space="preserve">Protocol </w:t>
      </w:r>
      <w:r w:rsidR="00E6644D">
        <w:t>d</w:t>
      </w:r>
      <w:r w:rsidRPr="007452D9">
        <w:t>eviations</w:t>
      </w:r>
      <w:bookmarkEnd w:id="242"/>
      <w:bookmarkEnd w:id="243"/>
    </w:p>
    <w:p w:rsidR="007452D9" w:rsidRPr="007452D9" w:rsidRDefault="007452D9" w:rsidP="00E6644D">
      <w:r w:rsidRPr="007452D9">
        <w:t>The large numbers and types of major and minor protocol deviations in the pivotal study resulted in a number of questions and requests to the sponsor. The questions and the clinical evaluator’s assessment of the sponsor’s response follow.</w:t>
      </w:r>
    </w:p>
    <w:p w:rsidR="007452D9" w:rsidRPr="00E6644D" w:rsidRDefault="007452D9" w:rsidP="00E6644D">
      <w:pPr>
        <w:pStyle w:val="Heading4"/>
      </w:pPr>
      <w:bookmarkStart w:id="244" w:name="_Toc369773319"/>
      <w:r w:rsidRPr="007452D9">
        <w:rPr>
          <w:lang w:val="en-US"/>
        </w:rPr>
        <w:t>Question 1</w:t>
      </w:r>
      <w:bookmarkEnd w:id="244"/>
    </w:p>
    <w:p w:rsidR="007452D9" w:rsidRPr="00E6644D" w:rsidRDefault="007452D9" w:rsidP="00E6644D">
      <w:pPr>
        <w:pStyle w:val="Heading5"/>
      </w:pPr>
      <w:bookmarkStart w:id="245" w:name="_Toc369773320"/>
      <w:r w:rsidRPr="007452D9">
        <w:rPr>
          <w:lang w:val="en-US"/>
        </w:rPr>
        <w:t>General</w:t>
      </w:r>
      <w:bookmarkEnd w:id="245"/>
    </w:p>
    <w:p w:rsidR="007452D9" w:rsidRPr="00E6644D" w:rsidRDefault="007452D9" w:rsidP="00E6644D">
      <w:pPr>
        <w:pStyle w:val="Numberbullet0"/>
        <w:numPr>
          <w:ilvl w:val="0"/>
          <w:numId w:val="29"/>
        </w:numPr>
        <w:rPr>
          <w:lang w:val="en-US"/>
        </w:rPr>
      </w:pPr>
      <w:r w:rsidRPr="00E6644D">
        <w:rPr>
          <w:lang w:val="en-US"/>
        </w:rPr>
        <w:t>Please explain and justify the large number of minor and major protocol deviations that occurred in the pivotal trial.</w:t>
      </w:r>
    </w:p>
    <w:p w:rsidR="007452D9" w:rsidRPr="007452D9" w:rsidRDefault="007452D9" w:rsidP="00E6644D">
      <w:r w:rsidRPr="007452D9">
        <w:t xml:space="preserve">Sponsor’s Response: The sponsor described the Protocol Deviation Plan (PDP) used in the pivotal study and the oversight of the </w:t>
      </w:r>
      <w:r w:rsidR="00D33934">
        <w:t>protocol deviations</w:t>
      </w:r>
      <w:r w:rsidRPr="007452D9">
        <w:t xml:space="preserve"> twice a year by an independent Data Management Committee (DMC). Documentation was provided of the DMC’s meetings and decision to continue the study without change</w:t>
      </w:r>
      <w:r w:rsidR="00113A01">
        <w:t>.</w:t>
      </w:r>
    </w:p>
    <w:p w:rsidR="007452D9" w:rsidRPr="007452D9" w:rsidRDefault="007452D9" w:rsidP="00E6644D">
      <w:pPr>
        <w:ind w:left="720"/>
      </w:pPr>
      <w:r w:rsidRPr="007452D9">
        <w:t xml:space="preserve">Comment: The PDP described and defined major and minor deviations in detail but did not include procedures to manage these if the number seemed excessive in number or severity (major). This decision was left presumably to the DMC. This body only met twice a year and was provided at each meeting with the list of </w:t>
      </w:r>
      <w:r w:rsidR="00D33934">
        <w:t>protocol deviations</w:t>
      </w:r>
      <w:r w:rsidR="00D33934" w:rsidRPr="007452D9">
        <w:t xml:space="preserve"> </w:t>
      </w:r>
      <w:r w:rsidRPr="007452D9">
        <w:t xml:space="preserve">to that date. In all cases, no action was taken in relation to the large number of </w:t>
      </w:r>
      <w:r w:rsidR="00D33934">
        <w:t>protocol deviations</w:t>
      </w:r>
      <w:r w:rsidR="00D33934" w:rsidRPr="007452D9">
        <w:t xml:space="preserve"> </w:t>
      </w:r>
      <w:r w:rsidRPr="007452D9">
        <w:t xml:space="preserve">reported, especially in the early stages of the study. The conclusion then is that the PDP and the DMC failed to raise concerns about the large number of </w:t>
      </w:r>
      <w:r w:rsidR="00D33934">
        <w:t>protocol deviations</w:t>
      </w:r>
      <w:r w:rsidR="00D33934" w:rsidRPr="007452D9">
        <w:t xml:space="preserve"> </w:t>
      </w:r>
      <w:r w:rsidRPr="007452D9">
        <w:t>that were occurring.</w:t>
      </w:r>
    </w:p>
    <w:p w:rsidR="007452D9" w:rsidRPr="007452D9" w:rsidRDefault="007452D9" w:rsidP="00E6644D">
      <w:r w:rsidRPr="007452D9">
        <w:t xml:space="preserve">To explain and justify the large number of </w:t>
      </w:r>
      <w:r w:rsidR="00D33934">
        <w:t>protocol deviations</w:t>
      </w:r>
      <w:r w:rsidRPr="007452D9">
        <w:t>, the sponsor made three points</w:t>
      </w:r>
      <w:r w:rsidR="00E6644D">
        <w:t>:</w:t>
      </w:r>
    </w:p>
    <w:p w:rsidR="007452D9" w:rsidRPr="007452D9" w:rsidRDefault="007452D9" w:rsidP="00E6644D">
      <w:pPr>
        <w:pStyle w:val="ListBullet"/>
      </w:pPr>
      <w:r w:rsidRPr="00E6644D">
        <w:t>Baxter’s</w:t>
      </w:r>
      <w:r w:rsidRPr="007452D9">
        <w:t xml:space="preserve"> approach to report </w:t>
      </w:r>
      <w:r w:rsidR="00D33934">
        <w:t>protocol deviations</w:t>
      </w:r>
      <w:r w:rsidR="00D33934" w:rsidRPr="007452D9">
        <w:t xml:space="preserve"> </w:t>
      </w:r>
      <w:r w:rsidRPr="007452D9">
        <w:t xml:space="preserve">at the subject level, not at the site level, leading to a higher number of </w:t>
      </w:r>
      <w:r w:rsidR="00D33934">
        <w:t>protocol deviations.</w:t>
      </w:r>
    </w:p>
    <w:p w:rsidR="007452D9" w:rsidRPr="007452D9" w:rsidRDefault="007452D9" w:rsidP="00E6644D">
      <w:pPr>
        <w:ind w:left="709"/>
      </w:pPr>
      <w:r w:rsidRPr="007452D9">
        <w:t xml:space="preserve">Comment: The point made is not clear to this evaluator. If 10 </w:t>
      </w:r>
      <w:r w:rsidR="00D33934">
        <w:t>protocol deviations</w:t>
      </w:r>
      <w:r w:rsidRPr="007452D9">
        <w:t xml:space="preserve"> were reported from one si</w:t>
      </w:r>
      <w:r w:rsidR="008809CB">
        <w:t>t</w:t>
      </w:r>
      <w:r w:rsidRPr="007452D9">
        <w:t xml:space="preserve">e, was that less worrying than 10 individual </w:t>
      </w:r>
      <w:r w:rsidR="00E6644D">
        <w:t>subject reports from that site?</w:t>
      </w:r>
    </w:p>
    <w:p w:rsidR="007452D9" w:rsidRPr="007452D9" w:rsidRDefault="007452D9" w:rsidP="00E6644D">
      <w:pPr>
        <w:pStyle w:val="ListBullet"/>
      </w:pPr>
      <w:r w:rsidRPr="007452D9">
        <w:lastRenderedPageBreak/>
        <w:t xml:space="preserve">Baxter’s approach to list several protocol deviations separately although they relate to the same event: for example, when a site infused a wrong (out of range) dose for PK or IR and used two different lots, two separate </w:t>
      </w:r>
      <w:r w:rsidR="00D33934">
        <w:t>protocol deviations</w:t>
      </w:r>
      <w:r w:rsidR="00D33934" w:rsidRPr="007452D9">
        <w:t xml:space="preserve"> </w:t>
      </w:r>
      <w:r w:rsidRPr="007452D9">
        <w:t xml:space="preserve">were reported, although it affected a single event/infusion only. This has also contributed to the higher number of </w:t>
      </w:r>
      <w:r w:rsidR="00D33934">
        <w:t>protocol deviations</w:t>
      </w:r>
      <w:r w:rsidRPr="007452D9">
        <w:t>.</w:t>
      </w:r>
    </w:p>
    <w:p w:rsidR="007452D9" w:rsidRPr="007452D9" w:rsidRDefault="007452D9" w:rsidP="00E6644D">
      <w:pPr>
        <w:ind w:left="709"/>
      </w:pPr>
      <w:r w:rsidRPr="007452D9">
        <w:t xml:space="preserve">Comment: The effect of such double reporting on the number of </w:t>
      </w:r>
      <w:r w:rsidR="00D33934">
        <w:t>protocol deviations</w:t>
      </w:r>
      <w:r w:rsidR="00D33934" w:rsidRPr="007452D9">
        <w:t xml:space="preserve"> </w:t>
      </w:r>
      <w:r w:rsidRPr="007452D9">
        <w:t>cannot be assessed without knowing the number of such cases. This information was not provided.</w:t>
      </w:r>
    </w:p>
    <w:p w:rsidR="007452D9" w:rsidRPr="007452D9" w:rsidRDefault="007452D9" w:rsidP="00E6644D">
      <w:pPr>
        <w:pStyle w:val="ListBullet"/>
      </w:pPr>
      <w:r w:rsidRPr="007452D9">
        <w:t xml:space="preserve">Limited </w:t>
      </w:r>
      <w:r w:rsidRPr="00E6644D">
        <w:t>number</w:t>
      </w:r>
      <w:r w:rsidRPr="007452D9">
        <w:t xml:space="preserve"> of subjects per site, thus the experience of the investigator is limited and this contributes to the higher number of reported </w:t>
      </w:r>
      <w:r w:rsidR="00D33934">
        <w:t>protocol deviations</w:t>
      </w:r>
      <w:r w:rsidR="00D33934" w:rsidRPr="007452D9">
        <w:t xml:space="preserve"> </w:t>
      </w:r>
      <w:r w:rsidRPr="007452D9">
        <w:t>that would not be otherwise observed, if the investigator could gain experience with many more subjects available.</w:t>
      </w:r>
    </w:p>
    <w:p w:rsidR="007452D9" w:rsidRPr="007452D9" w:rsidRDefault="007452D9" w:rsidP="00E6644D">
      <w:pPr>
        <w:ind w:left="709"/>
      </w:pPr>
      <w:r w:rsidRPr="007452D9">
        <w:t xml:space="preserve">Comment: This reason was supported by later data such as the higher occurrence rate of </w:t>
      </w:r>
      <w:r w:rsidR="00D33934">
        <w:t>protocol deviations</w:t>
      </w:r>
      <w:r w:rsidR="00D33934" w:rsidRPr="007452D9">
        <w:t xml:space="preserve"> </w:t>
      </w:r>
      <w:r w:rsidRPr="007452D9">
        <w:t xml:space="preserve">early in the study and by the drop in reported </w:t>
      </w:r>
      <w:r w:rsidR="00D33934">
        <w:t>protocol deviations</w:t>
      </w:r>
      <w:r w:rsidR="00D33934" w:rsidRPr="007452D9">
        <w:t xml:space="preserve"> </w:t>
      </w:r>
      <w:r w:rsidRPr="007452D9">
        <w:t xml:space="preserve">after adequate instructions and training. While explaining the high numbers of </w:t>
      </w:r>
      <w:r w:rsidR="00D33934">
        <w:t>protocol deviations,</w:t>
      </w:r>
      <w:r w:rsidRPr="007452D9">
        <w:t xml:space="preserve"> this does not excuse that number and the apparent lack of adequate training and preparation of the investigators before the trial began. The use of ill-prepared facilities for patient treatment, many in foreign countries from the USA, raises substantial ethical issue</w:t>
      </w:r>
      <w:r w:rsidR="00E6644D">
        <w:t>s.</w:t>
      </w:r>
    </w:p>
    <w:p w:rsidR="007452D9" w:rsidRPr="007452D9" w:rsidRDefault="007452D9" w:rsidP="00E6644D">
      <w:pPr>
        <w:pStyle w:val="Numberbullet0"/>
        <w:rPr>
          <w:lang w:val="en-US"/>
        </w:rPr>
      </w:pPr>
      <w:r w:rsidRPr="007452D9">
        <w:rPr>
          <w:lang w:val="en-US"/>
        </w:rPr>
        <w:t>Given that the protocol clearly and correctly sets out the schedule and procedures for the trial, and states the method of recording, notifying and reporting protocol deviations, please explain whether the problem was with the investigators or the trial monitoring or both.</w:t>
      </w:r>
    </w:p>
    <w:p w:rsidR="007452D9" w:rsidRPr="007452D9" w:rsidRDefault="007452D9" w:rsidP="00E6644D">
      <w:r w:rsidRPr="007452D9">
        <w:t>Sponsor’s response:</w:t>
      </w:r>
      <w:r w:rsidRPr="007452D9">
        <w:rPr>
          <w:b/>
          <w:bCs/>
          <w:lang w:val="en-US"/>
        </w:rPr>
        <w:t xml:space="preserve"> </w:t>
      </w:r>
      <w:r w:rsidRPr="007452D9">
        <w:rPr>
          <w:lang w:val="en-US"/>
        </w:rPr>
        <w:t xml:space="preserve">The sponsor noted the complexity of the treatment, the high number of laboratory assessments and subjects’ assessments that contributed to the number of </w:t>
      </w:r>
      <w:r w:rsidR="00D33934">
        <w:t>protocol deviations</w:t>
      </w:r>
      <w:r w:rsidR="00D33934" w:rsidRPr="007452D9">
        <w:t xml:space="preserve"> </w:t>
      </w:r>
      <w:r w:rsidRPr="007452D9">
        <w:rPr>
          <w:lang w:val="en-US"/>
        </w:rPr>
        <w:t xml:space="preserve">in the early period of the study. As well, the study design was that the patients self-administered the IP at home in the time between the study visits. During this home treatment phase, protocol deviations accumulated, before the site identified the protocol deviations and retrained the subject </w:t>
      </w:r>
      <w:r w:rsidRPr="007452D9">
        <w:t>during the next interval study visit.</w:t>
      </w:r>
    </w:p>
    <w:p w:rsidR="007452D9" w:rsidRPr="007452D9" w:rsidRDefault="007452D9" w:rsidP="00E6644D">
      <w:pPr>
        <w:ind w:left="720"/>
      </w:pPr>
      <w:r w:rsidRPr="007452D9">
        <w:t xml:space="preserve">Comment: The reasons are acceptable as explanations of the high number of </w:t>
      </w:r>
      <w:r w:rsidR="00D33934">
        <w:t>protocol deviations</w:t>
      </w:r>
      <w:r w:rsidR="00D33934" w:rsidRPr="007452D9">
        <w:t xml:space="preserve"> </w:t>
      </w:r>
      <w:r w:rsidRPr="007452D9">
        <w:t>seen.</w:t>
      </w:r>
    </w:p>
    <w:p w:rsidR="00DF13DC" w:rsidRPr="00066978" w:rsidRDefault="00DF13DC" w:rsidP="00066978">
      <w:pPr>
        <w:pStyle w:val="Heading4"/>
      </w:pPr>
      <w:bookmarkStart w:id="246" w:name="_Toc369773321"/>
      <w:r w:rsidRPr="00DF13DC">
        <w:t>Question 2</w:t>
      </w:r>
      <w:bookmarkEnd w:id="246"/>
    </w:p>
    <w:p w:rsidR="00DF13DC" w:rsidRPr="00DF13DC" w:rsidRDefault="00DF13DC" w:rsidP="00066978">
      <w:pPr>
        <w:pStyle w:val="Heading5"/>
        <w:rPr>
          <w:lang w:val="en-US"/>
        </w:rPr>
      </w:pPr>
      <w:bookmarkStart w:id="247" w:name="_Toc369773322"/>
      <w:r w:rsidRPr="00DF13DC">
        <w:rPr>
          <w:lang w:val="en-US"/>
        </w:rPr>
        <w:t xml:space="preserve">Definitions of </w:t>
      </w:r>
      <w:r w:rsidR="00066978">
        <w:rPr>
          <w:lang w:val="en-US"/>
        </w:rPr>
        <w:t>m</w:t>
      </w:r>
      <w:r w:rsidRPr="00DF13DC">
        <w:rPr>
          <w:lang w:val="en-US"/>
        </w:rPr>
        <w:t xml:space="preserve">ajor and </w:t>
      </w:r>
      <w:r w:rsidR="00066978">
        <w:rPr>
          <w:lang w:val="en-US"/>
        </w:rPr>
        <w:t>m</w:t>
      </w:r>
      <w:r w:rsidRPr="00DF13DC">
        <w:rPr>
          <w:lang w:val="en-US"/>
        </w:rPr>
        <w:t xml:space="preserve">inor </w:t>
      </w:r>
      <w:r w:rsidR="00066978">
        <w:rPr>
          <w:lang w:val="en-US"/>
        </w:rPr>
        <w:t>d</w:t>
      </w:r>
      <w:r w:rsidRPr="00DF13DC">
        <w:rPr>
          <w:lang w:val="en-US"/>
        </w:rPr>
        <w:t>eviations:</w:t>
      </w:r>
      <w:bookmarkEnd w:id="247"/>
    </w:p>
    <w:p w:rsidR="00DF13DC" w:rsidRPr="00DF13DC" w:rsidRDefault="00DF13DC" w:rsidP="00066978">
      <w:pPr>
        <w:rPr>
          <w:lang w:val="en-US"/>
        </w:rPr>
      </w:pPr>
      <w:r w:rsidRPr="00DF13DC">
        <w:rPr>
          <w:lang w:val="en-US"/>
        </w:rPr>
        <w:t>This question related to two cases of apparent inconsistencies in classify</w:t>
      </w:r>
      <w:r w:rsidR="00066978">
        <w:rPr>
          <w:lang w:val="en-US"/>
        </w:rPr>
        <w:t>ing major and minor deviations.</w:t>
      </w:r>
    </w:p>
    <w:p w:rsidR="00DF13DC" w:rsidRPr="00DF13DC" w:rsidRDefault="00DF13DC" w:rsidP="00066978">
      <w:r w:rsidRPr="00DF13DC">
        <w:t xml:space="preserve">Sponsor’s response: In the first case, significant under-dosing occurred from the required IR dose, so this was a major </w:t>
      </w:r>
      <w:r w:rsidR="00D33934">
        <w:t>protocol deviation</w:t>
      </w:r>
      <w:r w:rsidRPr="00DF13DC">
        <w:t xml:space="preserve"> whereas on the second occasion in the same patient the dose was recommended and not required and the administered dose only slightly lower and so classified a minor </w:t>
      </w:r>
      <w:r w:rsidR="001F5A20">
        <w:t>protocol deviation</w:t>
      </w:r>
      <w:r w:rsidRPr="00DF13DC">
        <w:t xml:space="preserve"> as defined. In the second case two major </w:t>
      </w:r>
      <w:r w:rsidR="001F5A20">
        <w:t>protocol deviations</w:t>
      </w:r>
      <w:r w:rsidR="001F5A20" w:rsidRPr="007452D9">
        <w:t xml:space="preserve"> </w:t>
      </w:r>
      <w:r w:rsidRPr="00DF13DC">
        <w:t xml:space="preserve">were reported for the same patient during the one infusion due to under-dosing and to the use of the wrong strength IP, each reported as a major </w:t>
      </w:r>
      <w:r w:rsidR="001F5A20">
        <w:t>protocol deviation</w:t>
      </w:r>
      <w:r w:rsidR="00066978">
        <w:t>.</w:t>
      </w:r>
    </w:p>
    <w:p w:rsidR="00DF13DC" w:rsidRPr="00DF13DC" w:rsidRDefault="00DF13DC" w:rsidP="00066978">
      <w:pPr>
        <w:ind w:left="720"/>
      </w:pPr>
      <w:r w:rsidRPr="00DF13DC">
        <w:t>Comment: The explanation is acceptable.</w:t>
      </w:r>
    </w:p>
    <w:p w:rsidR="00DF13DC" w:rsidRPr="00DF13DC" w:rsidRDefault="00DF13DC" w:rsidP="00066978">
      <w:r w:rsidRPr="00DF13DC">
        <w:t>A related question was to review all deviations and identify similar contradictions and inconsistencies, for example where the events listed appear to be similar but have been classified differently.</w:t>
      </w:r>
    </w:p>
    <w:p w:rsidR="00DF13DC" w:rsidRPr="00DF13DC" w:rsidRDefault="00DF13DC" w:rsidP="00066978">
      <w:r w:rsidRPr="00DF13DC">
        <w:t>Sponsor’s response: Baxter reviewed data and found the following inconsistency:</w:t>
      </w:r>
    </w:p>
    <w:p w:rsidR="00DF13DC" w:rsidRPr="00DF13DC" w:rsidRDefault="00DF13DC" w:rsidP="00066978">
      <w:pPr>
        <w:pStyle w:val="ListBullet"/>
      </w:pPr>
      <w:r w:rsidRPr="00DF13DC">
        <w:lastRenderedPageBreak/>
        <w:t xml:space="preserve">Subject under-dosing for prophylactic dosing </w:t>
      </w:r>
      <w:r w:rsidRPr="00066978">
        <w:t>erroneously</w:t>
      </w:r>
      <w:r w:rsidRPr="00DF13DC">
        <w:t xml:space="preserve"> classified as major deviation</w:t>
      </w:r>
    </w:p>
    <w:p w:rsidR="00DF13DC" w:rsidRPr="00DF13DC" w:rsidRDefault="00DF13DC" w:rsidP="00066978">
      <w:r w:rsidRPr="00DF13DC">
        <w:t>No other inconsistencies were identified.</w:t>
      </w:r>
    </w:p>
    <w:p w:rsidR="00DF13DC" w:rsidRPr="00066978" w:rsidRDefault="00DF13DC" w:rsidP="00066978">
      <w:pPr>
        <w:pStyle w:val="Heading4"/>
      </w:pPr>
      <w:bookmarkStart w:id="248" w:name="_Toc369773323"/>
      <w:r w:rsidRPr="00DF13DC">
        <w:rPr>
          <w:lang w:val="en-US"/>
        </w:rPr>
        <w:t>Question 3</w:t>
      </w:r>
      <w:bookmarkEnd w:id="248"/>
    </w:p>
    <w:p w:rsidR="00DF13DC" w:rsidRPr="00506DE5" w:rsidRDefault="00DF13DC" w:rsidP="00506DE5">
      <w:pPr>
        <w:pStyle w:val="Heading5"/>
      </w:pPr>
      <w:bookmarkStart w:id="249" w:name="_Toc369773324"/>
      <w:r w:rsidRPr="00DF13DC">
        <w:rPr>
          <w:lang w:val="en-US"/>
        </w:rPr>
        <w:t>Repeated major deviations:</w:t>
      </w:r>
      <w:bookmarkEnd w:id="249"/>
    </w:p>
    <w:p w:rsidR="00DF13DC" w:rsidRPr="00DF13DC" w:rsidRDefault="00DF13DC" w:rsidP="00506DE5">
      <w:pPr>
        <w:rPr>
          <w:lang w:val="en-US"/>
        </w:rPr>
      </w:pPr>
      <w:r w:rsidRPr="00DF13DC">
        <w:rPr>
          <w:lang w:val="en-US"/>
        </w:rPr>
        <w:t>Ten patients each had two or more major deviations, representing 14% of the total patient population, and 56% of all major deviations. Administration errors (major deviations) occurred repeatedly in some patients. Two patients had one error; eight had two errors each; one had three errors; and two had five errors each, all major deviations. It is disturbing that the same drug administration error occurred in the same patient repeatedly in some of these cases, and at the same study center in different patients (for example Site 06). Please explain how such repeated mistakes occurred and how these are compatible with compliance with GCP.</w:t>
      </w:r>
    </w:p>
    <w:p w:rsidR="00DF13DC" w:rsidRPr="00DF13DC" w:rsidRDefault="00DF13DC" w:rsidP="00506DE5">
      <w:r w:rsidRPr="00DF13DC">
        <w:t xml:space="preserve">Sponsor’s response (abridged): The sponsor responded that the majority of the repeated major deviations occurred at three sites, namely Site 06, Site 15, and Site 21. A summary of the occurrence of </w:t>
      </w:r>
      <w:r w:rsidR="001F5A20">
        <w:t>protocol deviations</w:t>
      </w:r>
      <w:r w:rsidR="001F5A20" w:rsidRPr="007452D9">
        <w:t xml:space="preserve"> </w:t>
      </w:r>
      <w:r w:rsidRPr="00DF13DC">
        <w:t>at each of the three sites was then given, with the subsequent action of the site monitor, who acted to c</w:t>
      </w:r>
      <w:r w:rsidR="00506DE5">
        <w:t>orrect the problem.</w:t>
      </w:r>
    </w:p>
    <w:p w:rsidR="00DF13DC" w:rsidRPr="00DF13DC" w:rsidRDefault="00DF13DC" w:rsidP="00DF13DC">
      <w:r w:rsidRPr="00DF13DC">
        <w:t xml:space="preserve">At Site 06, seven major protocol deviations occurred. At Site 15, seven major protocol deviations occurred. At Site 21, five major protocol deviations occurred. Three of them were related to the first three in-clinic infusions. For all other sites with patients with two or one major protocol deviations regarding </w:t>
      </w:r>
      <w:r w:rsidR="00D33934">
        <w:t>IP</w:t>
      </w:r>
      <w:r w:rsidRPr="00DF13DC">
        <w:t xml:space="preserve"> administration, the CRAs identified the deviations and re-trained the sites accordingly. As a consequence no further </w:t>
      </w:r>
      <w:r w:rsidR="00D33934">
        <w:t>IP</w:t>
      </w:r>
      <w:r w:rsidRPr="00DF13DC">
        <w:t xml:space="preserve"> administration deviations occurred after the Week 5 visits, except for a small number of patients where the protocol deviations occurred at the last study </w:t>
      </w:r>
      <w:r w:rsidRPr="00DF13DC">
        <w:rPr>
          <w:lang w:val="en-US"/>
        </w:rPr>
        <w:t>infusion due to sites not following protocol defined procedures and IP dose calculations.</w:t>
      </w:r>
    </w:p>
    <w:p w:rsidR="00DF13DC" w:rsidRPr="00DF13DC" w:rsidRDefault="00DF13DC" w:rsidP="00506DE5">
      <w:pPr>
        <w:rPr>
          <w:lang w:val="en-US"/>
        </w:rPr>
      </w:pPr>
      <w:r w:rsidRPr="00DF13DC">
        <w:t xml:space="preserve">At the three sites listed, the major </w:t>
      </w:r>
      <w:r w:rsidR="001F5A20">
        <w:t>protocol deviations</w:t>
      </w:r>
      <w:r w:rsidR="001F5A20" w:rsidRPr="007452D9">
        <w:t xml:space="preserve"> </w:t>
      </w:r>
      <w:r w:rsidRPr="00DF13DC">
        <w:t xml:space="preserve">occurred in most cases prior to the first visit of the site monitor on the </w:t>
      </w:r>
      <w:r w:rsidR="001F5A20">
        <w:t>fifth</w:t>
      </w:r>
      <w:r w:rsidRPr="00DF13DC">
        <w:t xml:space="preserve"> week of the trial. The sponsor’s response states the ‘</w:t>
      </w:r>
      <w:r w:rsidRPr="00DF13DC">
        <w:rPr>
          <w:lang w:val="en-US"/>
        </w:rPr>
        <w:t xml:space="preserve">Clinical Research Associate (CRA) re-trained the site on </w:t>
      </w:r>
      <w:r w:rsidR="00D33934">
        <w:rPr>
          <w:lang w:val="en-US"/>
        </w:rPr>
        <w:t>IP</w:t>
      </w:r>
      <w:r w:rsidRPr="00DF13DC">
        <w:rPr>
          <w:lang w:val="en-US"/>
        </w:rPr>
        <w:t xml:space="preserve"> administration and from then on no major protocol deviations related to </w:t>
      </w:r>
      <w:r w:rsidR="00D33934">
        <w:rPr>
          <w:lang w:val="en-US"/>
        </w:rPr>
        <w:t>IP</w:t>
      </w:r>
      <w:r w:rsidR="00506DE5">
        <w:rPr>
          <w:lang w:val="en-US"/>
        </w:rPr>
        <w:t xml:space="preserve"> infusion occurred</w:t>
      </w:r>
      <w:r w:rsidRPr="00DF13DC">
        <w:rPr>
          <w:lang w:val="en-US"/>
        </w:rPr>
        <w:t>’</w:t>
      </w:r>
      <w:r w:rsidR="00506DE5">
        <w:rPr>
          <w:lang w:val="en-US"/>
        </w:rPr>
        <w:t>.</w:t>
      </w:r>
    </w:p>
    <w:p w:rsidR="00DF13DC" w:rsidRPr="00DF13DC" w:rsidRDefault="00DF13DC" w:rsidP="00506DE5">
      <w:pPr>
        <w:ind w:left="720"/>
      </w:pPr>
      <w:r w:rsidRPr="00DF13DC">
        <w:t xml:space="preserve">Comment: The response explains how multiple major </w:t>
      </w:r>
      <w:r w:rsidR="001F5A20">
        <w:t>protocol deviations</w:t>
      </w:r>
      <w:r w:rsidR="001F5A20" w:rsidRPr="007452D9">
        <w:t xml:space="preserve"> </w:t>
      </w:r>
      <w:r w:rsidRPr="00DF13DC">
        <w:t xml:space="preserve">occurred in the same patients at several sites. Appropriate GCP was followed after the problem was identified. However the criticism made above applies here, that prevention by adequate site training should have taken place instead of action post hoc. Prior assessment of the expertise and quality of care provided at these and other sites were initially inadequate and this may </w:t>
      </w:r>
      <w:r w:rsidR="00506DE5">
        <w:t>be regarded as a breach of GCP.</w:t>
      </w:r>
    </w:p>
    <w:p w:rsidR="00B36A00" w:rsidRPr="00506DE5" w:rsidRDefault="00B36A00" w:rsidP="00506DE5">
      <w:pPr>
        <w:pStyle w:val="Heading4"/>
      </w:pPr>
      <w:bookmarkStart w:id="250" w:name="_Toc369773325"/>
      <w:r w:rsidRPr="00B36A00">
        <w:t>Question 4</w:t>
      </w:r>
      <w:bookmarkEnd w:id="250"/>
    </w:p>
    <w:p w:rsidR="00B36A00" w:rsidRPr="00B36A00" w:rsidRDefault="00B36A00" w:rsidP="00506DE5">
      <w:pPr>
        <w:pStyle w:val="Heading5"/>
      </w:pPr>
      <w:bookmarkStart w:id="251" w:name="_Toc369773326"/>
      <w:r w:rsidRPr="00B36A00">
        <w:t>Deviations that may have affected patient safety</w:t>
      </w:r>
      <w:bookmarkEnd w:id="251"/>
    </w:p>
    <w:p w:rsidR="00B36A00" w:rsidRPr="00B36A00" w:rsidRDefault="00B36A00" w:rsidP="00506DE5">
      <w:r w:rsidRPr="00B36A00">
        <w:t>In the following cases, the protocol deviation listed may have compromised patient safety even though the deviation has been listed in some cases as minor. Please provide for each case below the clinical state of the patient at the time of the deviation; the detailed description of that deviation; and why patient safety was not compromised.</w:t>
      </w:r>
    </w:p>
    <w:p w:rsidR="00B36A00" w:rsidRPr="00B36A00" w:rsidRDefault="00B36A00" w:rsidP="00506DE5">
      <w:r w:rsidRPr="00B36A00">
        <w:t xml:space="preserve">There followed in this question a series of 16 patients, identified by number, with the information as given in the listing of </w:t>
      </w:r>
      <w:r w:rsidR="001F5A20">
        <w:t>protocol deviations</w:t>
      </w:r>
      <w:r w:rsidR="001F5A20" w:rsidRPr="007452D9">
        <w:t xml:space="preserve"> </w:t>
      </w:r>
      <w:r w:rsidRPr="00B36A00">
        <w:t>in the report of the pivotal study. The issues involved can be grouped and summarised as follows:</w:t>
      </w:r>
    </w:p>
    <w:p w:rsidR="00B36A00" w:rsidRPr="00506DE5" w:rsidRDefault="00B36A00" w:rsidP="00506DE5">
      <w:pPr>
        <w:pStyle w:val="Heading6"/>
      </w:pPr>
      <w:bookmarkStart w:id="252" w:name="_Toc369773327"/>
      <w:r w:rsidRPr="00B36A00">
        <w:lastRenderedPageBreak/>
        <w:t xml:space="preserve">Under-dosing and </w:t>
      </w:r>
      <w:r w:rsidR="00506DE5">
        <w:t>s</w:t>
      </w:r>
      <w:r w:rsidRPr="00B36A00">
        <w:t>afety</w:t>
      </w:r>
      <w:bookmarkEnd w:id="252"/>
    </w:p>
    <w:p w:rsidR="00B36A00" w:rsidRPr="00B36A00" w:rsidRDefault="00B36A00" w:rsidP="00506DE5">
      <w:r w:rsidRPr="00B36A00">
        <w:t xml:space="preserve">In </w:t>
      </w:r>
      <w:r>
        <w:t>seven</w:t>
      </w:r>
      <w:r w:rsidRPr="00B36A00">
        <w:t xml:space="preserve"> cases, the subjects were under-dosed because they were given the prophylactic dose of 40-60</w:t>
      </w:r>
      <w:r w:rsidR="001F5A20">
        <w:t xml:space="preserve"> </w:t>
      </w:r>
      <w:r w:rsidRPr="00B36A00">
        <w:t>IU/kg instead of the IR dose of 70-80</w:t>
      </w:r>
      <w:r w:rsidR="001F5A20">
        <w:t xml:space="preserve"> </w:t>
      </w:r>
      <w:r w:rsidRPr="00B36A00">
        <w:t>IU/kg required by the study design. As the prophylactic dose was still a safe dose, patient safety was not compromised.</w:t>
      </w:r>
    </w:p>
    <w:p w:rsidR="00B36A00" w:rsidRPr="00B36A00" w:rsidRDefault="00B36A00" w:rsidP="00506DE5">
      <w:r w:rsidRPr="00B36A00">
        <w:t>In two cases at Site 18, under-dosing occurred because the study drug was not available for prophylactic treatment at that site from 16</w:t>
      </w:r>
      <w:r w:rsidR="001F5A20">
        <w:t xml:space="preserve"> until </w:t>
      </w:r>
      <w:r w:rsidRPr="00B36A00">
        <w:t>25 Jan</w:t>
      </w:r>
      <w:r w:rsidR="001F5A20">
        <w:t>uary</w:t>
      </w:r>
      <w:r w:rsidRPr="00B36A00">
        <w:t xml:space="preserve"> 2012. The former subject had one ble</w:t>
      </w:r>
      <w:r w:rsidR="001F5A20">
        <w:t>e</w:t>
      </w:r>
      <w:r w:rsidRPr="00B36A00">
        <w:t xml:space="preserve">d during this time and was appropriately treated with </w:t>
      </w:r>
      <w:r w:rsidR="0051223A">
        <w:t>Rixubis</w:t>
      </w:r>
      <w:r w:rsidRPr="00B36A00">
        <w:t xml:space="preserve">, but the source of this material was not stated. The second subject did not have any bleeding. This situation potentially compromised safety, as it is unclear how </w:t>
      </w:r>
      <w:r w:rsidR="0051223A">
        <w:t>Rixubis</w:t>
      </w:r>
      <w:r w:rsidRPr="00B36A00">
        <w:t xml:space="preserve"> could be available to treat bleeds if they occurred and yet not be available to the site, as stated.</w:t>
      </w:r>
    </w:p>
    <w:p w:rsidR="00B36A00" w:rsidRPr="00B36A00" w:rsidRDefault="00B36A00" w:rsidP="00506DE5">
      <w:pPr>
        <w:rPr>
          <w:lang w:val="en-US"/>
        </w:rPr>
      </w:pPr>
      <w:r w:rsidRPr="00B36A00">
        <w:t>In two cases, under-dosing occurred because of lack of subject compliance. In the first case, no bleeding occurred during the period of under-dosing. In the second case, the subject bled at a rate greater than expected for the prophylaxis group. However t</w:t>
      </w:r>
      <w:r w:rsidRPr="00B36A00">
        <w:rPr>
          <w:lang w:val="en-US"/>
        </w:rPr>
        <w:t>he prophylactic dose was only increased towards the end of the study (after 12 bleeding episodes) from initially approximately 49 IU/kg to 67 IU/kg with an average dose over the study of 52.8 IU/kg. In this case the subject’s safety was compromised by the failure of adequate supervision and subsequent increase in treatment dosage.</w:t>
      </w:r>
    </w:p>
    <w:p w:rsidR="00B36A00" w:rsidRPr="00B36A00" w:rsidRDefault="00B36A00" w:rsidP="00506DE5">
      <w:pPr>
        <w:rPr>
          <w:lang w:val="en-US"/>
        </w:rPr>
      </w:pPr>
      <w:r w:rsidRPr="00B36A00">
        <w:rPr>
          <w:lang w:val="en-US"/>
        </w:rPr>
        <w:t xml:space="preserve">In one case, the subject self-administered study drug every second day for </w:t>
      </w:r>
      <w:r w:rsidR="001F5A20">
        <w:rPr>
          <w:lang w:val="en-US"/>
        </w:rPr>
        <w:t>eight</w:t>
      </w:r>
      <w:r w:rsidRPr="00B36A00">
        <w:rPr>
          <w:lang w:val="en-US"/>
        </w:rPr>
        <w:t xml:space="preserve"> days, contrary to protocol without adverse effects.</w:t>
      </w:r>
    </w:p>
    <w:p w:rsidR="00B36A00" w:rsidRPr="00506DE5" w:rsidRDefault="00B36A00" w:rsidP="00506DE5">
      <w:pPr>
        <w:pStyle w:val="Heading6"/>
      </w:pPr>
      <w:bookmarkStart w:id="253" w:name="_Toc369773328"/>
      <w:r w:rsidRPr="000F0978">
        <w:rPr>
          <w:lang w:val="en-US"/>
        </w:rPr>
        <w:t>Mistakes in reporting and monitoring</w:t>
      </w:r>
      <w:bookmarkEnd w:id="253"/>
    </w:p>
    <w:p w:rsidR="00B36A00" w:rsidRPr="00B36A00" w:rsidRDefault="00B36A00" w:rsidP="00506DE5">
      <w:pPr>
        <w:rPr>
          <w:lang w:val="en-US"/>
        </w:rPr>
      </w:pPr>
      <w:r w:rsidRPr="00B36A00">
        <w:rPr>
          <w:lang w:val="en-US"/>
        </w:rPr>
        <w:t xml:space="preserve">One case of </w:t>
      </w:r>
      <w:r w:rsidR="001F5A20">
        <w:t>protocol deviation</w:t>
      </w:r>
      <w:r w:rsidRPr="00B36A00">
        <w:rPr>
          <w:lang w:val="en-US"/>
        </w:rPr>
        <w:t xml:space="preserve"> was reported in error and some mistakes were made in classification of minor </w:t>
      </w:r>
      <w:r w:rsidR="001F5A20">
        <w:t>protocol deviations</w:t>
      </w:r>
      <w:r w:rsidR="001F5A20" w:rsidRPr="007452D9">
        <w:t xml:space="preserve"> </w:t>
      </w:r>
      <w:r w:rsidRPr="00B36A00">
        <w:rPr>
          <w:lang w:val="en-US"/>
        </w:rPr>
        <w:t xml:space="preserve">as major. A case of misreporting by a site monitor was more serious and resulted in a delay in reporting that the study drug had been stored at a too high temperature. While potentially compromising safety, no </w:t>
      </w:r>
      <w:r w:rsidR="00F710E5">
        <w:rPr>
          <w:lang w:val="en-US"/>
        </w:rPr>
        <w:t>AE</w:t>
      </w:r>
      <w:r w:rsidRPr="00B36A00">
        <w:rPr>
          <w:lang w:val="en-US"/>
        </w:rPr>
        <w:t>s were reported.</w:t>
      </w:r>
    </w:p>
    <w:p w:rsidR="00B36A00" w:rsidRPr="00506DE5" w:rsidRDefault="00B36A00" w:rsidP="00506DE5">
      <w:pPr>
        <w:pStyle w:val="Heading6"/>
      </w:pPr>
      <w:bookmarkStart w:id="254" w:name="_Toc369773329"/>
      <w:r w:rsidRPr="000F0978">
        <w:rPr>
          <w:lang w:val="en-US"/>
        </w:rPr>
        <w:t xml:space="preserve">Mistakes in </w:t>
      </w:r>
      <w:r w:rsidR="00506DE5">
        <w:rPr>
          <w:lang w:val="en-US"/>
        </w:rPr>
        <w:t>o</w:t>
      </w:r>
      <w:r w:rsidRPr="000F0978">
        <w:rPr>
          <w:lang w:val="en-US"/>
        </w:rPr>
        <w:t xml:space="preserve">btaining </w:t>
      </w:r>
      <w:r w:rsidR="00506DE5">
        <w:rPr>
          <w:lang w:val="en-US"/>
        </w:rPr>
        <w:t>i</w:t>
      </w:r>
      <w:r w:rsidRPr="000F0978">
        <w:rPr>
          <w:lang w:val="en-US"/>
        </w:rPr>
        <w:t xml:space="preserve">nformed </w:t>
      </w:r>
      <w:r w:rsidR="00506DE5">
        <w:rPr>
          <w:lang w:val="en-US"/>
        </w:rPr>
        <w:t>p</w:t>
      </w:r>
      <w:r w:rsidRPr="000F0978">
        <w:rPr>
          <w:lang w:val="en-US"/>
        </w:rPr>
        <w:t xml:space="preserve">atient </w:t>
      </w:r>
      <w:r w:rsidR="00506DE5">
        <w:rPr>
          <w:lang w:val="en-US"/>
        </w:rPr>
        <w:t>c</w:t>
      </w:r>
      <w:r w:rsidRPr="000F0978">
        <w:rPr>
          <w:lang w:val="en-US"/>
        </w:rPr>
        <w:t>onsent</w:t>
      </w:r>
      <w:bookmarkEnd w:id="254"/>
    </w:p>
    <w:p w:rsidR="00B36A00" w:rsidRPr="00B36A00" w:rsidRDefault="00B36A00" w:rsidP="00506DE5">
      <w:pPr>
        <w:rPr>
          <w:lang w:val="en-US"/>
        </w:rPr>
      </w:pPr>
      <w:r w:rsidRPr="00B36A00">
        <w:rPr>
          <w:lang w:val="en-US"/>
        </w:rPr>
        <w:t>These two mistakes were satisfactorily explained by the sponsor.</w:t>
      </w:r>
    </w:p>
    <w:p w:rsidR="00B36A00" w:rsidRPr="00B36A00" w:rsidRDefault="00B36A00" w:rsidP="00506DE5">
      <w:pPr>
        <w:ind w:left="720"/>
      </w:pPr>
      <w:r w:rsidRPr="00B36A00">
        <w:t xml:space="preserve">Summary and Comment: The only adverse safety outcome that resulted from the </w:t>
      </w:r>
      <w:r w:rsidR="001F5A20">
        <w:t>protocol deviations</w:t>
      </w:r>
      <w:r w:rsidR="001F5A20" w:rsidRPr="007452D9">
        <w:t xml:space="preserve"> </w:t>
      </w:r>
      <w:r w:rsidRPr="00B36A00">
        <w:t>recorded was for one subject who suffered increased frequency of bleeds from inadequate prophylactic dosing associated with a delay in increasing the administered dose for prophylaxis. However a number of other subjects were put a</w:t>
      </w:r>
      <w:r w:rsidR="001F5A20">
        <w:t>t</w:t>
      </w:r>
      <w:r w:rsidRPr="00B36A00">
        <w:t xml:space="preserve"> risk of bleeding in such situations as lack of supply of the study drug, and under-dosing due to poor compliance that was not acted upon until late in the study. While the under-dosing because of mistakes in the IR and prophylactic dosing did not constitute a demonstrated safety risk, it does raise questions about adequate pre-trial assessment of the competence and experience of these sites in following a complex clinical trial protocol, and so gives a signal for m</w:t>
      </w:r>
      <w:r w:rsidR="00506DE5">
        <w:t>ore care in complying with GCP.</w:t>
      </w:r>
    </w:p>
    <w:p w:rsidR="00B36A00" w:rsidRPr="00506DE5" w:rsidRDefault="00B36A00" w:rsidP="00506DE5">
      <w:pPr>
        <w:pStyle w:val="Heading4"/>
      </w:pPr>
      <w:bookmarkStart w:id="255" w:name="_Toc369773330"/>
      <w:r w:rsidRPr="00B36A00">
        <w:t>Question 5</w:t>
      </w:r>
      <w:bookmarkEnd w:id="255"/>
    </w:p>
    <w:p w:rsidR="00B36A00" w:rsidRPr="00B36A00" w:rsidRDefault="00B36A00" w:rsidP="00506DE5">
      <w:pPr>
        <w:pStyle w:val="Heading5"/>
        <w:rPr>
          <w:lang w:val="en-US"/>
        </w:rPr>
      </w:pPr>
      <w:bookmarkStart w:id="256" w:name="_Toc369773331"/>
      <w:r w:rsidRPr="00B36A00">
        <w:rPr>
          <w:lang w:val="en-US"/>
        </w:rPr>
        <w:t xml:space="preserve">Deviations that may have affected PK </w:t>
      </w:r>
      <w:r w:rsidRPr="00506DE5">
        <w:t>analyses</w:t>
      </w:r>
      <w:bookmarkEnd w:id="256"/>
    </w:p>
    <w:p w:rsidR="00B36A00" w:rsidRPr="00B36A00" w:rsidRDefault="00B36A00" w:rsidP="00506DE5">
      <w:r w:rsidRPr="00B36A00">
        <w:t xml:space="preserve">In two cases, the </w:t>
      </w:r>
      <w:r w:rsidR="001F5A20">
        <w:t>protocol deviation</w:t>
      </w:r>
      <w:r w:rsidRPr="00B36A00">
        <w:t xml:space="preserve"> was misreported. In one case, different lot numbers of the study drug were used contrary to protocol, but no safety issue was involved. In a third case, less than the required five day washout period was used, and the data included in the PK analysis. However after this shorter period, the pre-infusion concentration was only 2.3% (presumably of the </w:t>
      </w:r>
      <w:proofErr w:type="spellStart"/>
      <w:r w:rsidRPr="00B36A00">
        <w:t>C</w:t>
      </w:r>
      <w:r w:rsidRPr="00B36A00">
        <w:rPr>
          <w:vertAlign w:val="subscript"/>
        </w:rPr>
        <w:t>max</w:t>
      </w:r>
      <w:proofErr w:type="spellEnd"/>
      <w:r w:rsidRPr="00B36A00">
        <w:t xml:space="preserve"> or AUC) so this was acceptable.</w:t>
      </w:r>
    </w:p>
    <w:p w:rsidR="006D4DDB" w:rsidRPr="00506DE5" w:rsidRDefault="006D4DDB" w:rsidP="00506DE5">
      <w:pPr>
        <w:pStyle w:val="Heading4"/>
      </w:pPr>
      <w:bookmarkStart w:id="257" w:name="_Toc369773332"/>
      <w:r w:rsidRPr="006D4DDB">
        <w:lastRenderedPageBreak/>
        <w:t>Question 6</w:t>
      </w:r>
      <w:bookmarkEnd w:id="257"/>
    </w:p>
    <w:p w:rsidR="006D4DDB" w:rsidRPr="006D4DDB" w:rsidRDefault="006D4DDB" w:rsidP="00506DE5">
      <w:pPr>
        <w:pStyle w:val="Heading5"/>
      </w:pPr>
      <w:bookmarkStart w:id="258" w:name="_Toc369773333"/>
      <w:r w:rsidRPr="006D4DDB">
        <w:t>Monitoring of trial sites for compliance</w:t>
      </w:r>
      <w:bookmarkEnd w:id="258"/>
      <w:r w:rsidRPr="006D4DDB">
        <w:t xml:space="preserve"> </w:t>
      </w:r>
    </w:p>
    <w:p w:rsidR="006D4DDB" w:rsidRPr="006D4DDB" w:rsidRDefault="006D4DDB" w:rsidP="00506DE5">
      <w:pPr>
        <w:pStyle w:val="Numberbullet0"/>
        <w:numPr>
          <w:ilvl w:val="0"/>
          <w:numId w:val="30"/>
        </w:numPr>
      </w:pPr>
      <w:r w:rsidRPr="006D4DDB">
        <w:t xml:space="preserve">The </w:t>
      </w:r>
      <w:r w:rsidRPr="00506DE5">
        <w:t>study</w:t>
      </w:r>
      <w:r w:rsidRPr="006D4DDB">
        <w:t xml:space="preserve"> report of the pivotal trial states that Baxter performed five site compliance audits out of 29 trial centres participating in the pivotal trial. Please respond to the following questions and requests.</w:t>
      </w:r>
    </w:p>
    <w:p w:rsidR="006D4DDB" w:rsidRPr="006D4DDB" w:rsidRDefault="006D4DDB" w:rsidP="00506DE5">
      <w:pPr>
        <w:pStyle w:val="Numberbullet0"/>
        <w:numPr>
          <w:ilvl w:val="0"/>
          <w:numId w:val="0"/>
        </w:numPr>
        <w:ind w:left="425"/>
      </w:pPr>
      <w:r w:rsidRPr="006D4DDB">
        <w:t>Only three audit closure certificates (for Sites 18, 45 and 52) were included in the study report. Please provide the certificates from the other two Sites, 01 and 26. Also it is noted that the certificate for Site 45 was not signed by the Lead Auditor but by another person on his behalf. Please explain the role of this person in the audit process.</w:t>
      </w:r>
    </w:p>
    <w:p w:rsidR="006D4DDB" w:rsidRPr="006D4DDB" w:rsidRDefault="006D4DDB" w:rsidP="00506DE5">
      <w:pPr>
        <w:ind w:left="709"/>
      </w:pPr>
      <w:r w:rsidRPr="006D4DDB">
        <w:t>Comment: The sponsor supplied copies of the missing certificates and satisfactorily explained the role of the signatory.</w:t>
      </w:r>
    </w:p>
    <w:p w:rsidR="006D4DDB" w:rsidRPr="006D4DDB" w:rsidRDefault="006D4DDB" w:rsidP="00506DE5">
      <w:pPr>
        <w:pStyle w:val="Numberbullet0"/>
      </w:pPr>
      <w:r w:rsidRPr="006D4DDB">
        <w:t xml:space="preserve">Please explain why only five sites were audited out of the 29 in the study and why these sites were chosen. It is noted that although Sites 01, 18 and 26 entered most patients –10, </w:t>
      </w:r>
      <w:r w:rsidR="001F5A20">
        <w:t xml:space="preserve">eight </w:t>
      </w:r>
      <w:r w:rsidRPr="006D4DDB">
        <w:t xml:space="preserve">and </w:t>
      </w:r>
      <w:r w:rsidR="001F5A20">
        <w:t>eight</w:t>
      </w:r>
      <w:r w:rsidRPr="006D4DDB">
        <w:t xml:space="preserve"> respectively. The total number of patients entered from the five sites was 30, less than half the 72 patients entered in total. These five sites listed only three major protocol deviations compared to 33 major deviations listed by the other 24 sites. Please explain why the sites with the most deviations were not audited.</w:t>
      </w:r>
    </w:p>
    <w:p w:rsidR="006D4DDB" w:rsidRPr="006D4DDB" w:rsidRDefault="006D4DDB" w:rsidP="00506DE5">
      <w:pPr>
        <w:ind w:left="709"/>
      </w:pPr>
      <w:r w:rsidRPr="006D4DDB">
        <w:t xml:space="preserve">Comment: The sponsor’s response required an extended evaluation. </w:t>
      </w:r>
      <w:r w:rsidR="001F5A20">
        <w:t xml:space="preserve">The clinical evaluator </w:t>
      </w:r>
      <w:r w:rsidRPr="006D4DDB">
        <w:t>conclu</w:t>
      </w:r>
      <w:r w:rsidR="001F5A20">
        <w:t xml:space="preserve">ded </w:t>
      </w:r>
      <w:r w:rsidRPr="006D4DDB">
        <w:t xml:space="preserve">that Baxter’s process followed to select sites to be monitored for compliance failed to identify and monitor the sites with the highest total number of major </w:t>
      </w:r>
      <w:r w:rsidR="001F5A20">
        <w:t>protocol deviations</w:t>
      </w:r>
      <w:r w:rsidRPr="006D4DDB">
        <w:t xml:space="preserve">, and the highest number of </w:t>
      </w:r>
      <w:r w:rsidR="001F5A20">
        <w:t>protocol deviations</w:t>
      </w:r>
      <w:r w:rsidR="001F5A20" w:rsidRPr="007452D9">
        <w:t xml:space="preserve"> </w:t>
      </w:r>
      <w:r w:rsidRPr="006D4DDB">
        <w:t xml:space="preserve">per subject. It did select and monitor three of the five sites with the highest number of major and minor </w:t>
      </w:r>
      <w:r w:rsidR="001F5A20">
        <w:t>protocol deviations</w:t>
      </w:r>
      <w:r w:rsidR="001F5A20" w:rsidRPr="007452D9">
        <w:t xml:space="preserve"> </w:t>
      </w:r>
      <w:r w:rsidRPr="006D4DDB">
        <w:t xml:space="preserve">in total and per subject. It failed to select and monitor the sites with the highest number of discontinuations before treatment. The fact that a procedure was in place to select sites for monitoring is not acceptable when that procedure does not identify those sites that potentially place subjects at risk. The failure is also of concern with </w:t>
      </w:r>
      <w:r w:rsidR="00506DE5">
        <w:t>respect to compliance with GCP.</w:t>
      </w:r>
    </w:p>
    <w:p w:rsidR="006D4DDB" w:rsidRPr="006D4DDB" w:rsidRDefault="006D4DDB" w:rsidP="00506DE5">
      <w:pPr>
        <w:pStyle w:val="Numberbullet0"/>
      </w:pPr>
      <w:r w:rsidRPr="006D4DDB">
        <w:t>Site 52 was audited. This site entered one patient who was reported as having two major and 20 minor protocol deviations. It is noted that doctor conducting the trial had only participated in one clinical trial previously, and although described as specialised in haemophilia as well as HIV/AIDs and Infection Immunity, his/her main publications shown are all in virology. Nevertheless the study report stated that ‘No cr</w:t>
      </w:r>
      <w:r w:rsidR="00506DE5">
        <w:t>itical observations were cited’.</w:t>
      </w:r>
    </w:p>
    <w:p w:rsidR="006D4DDB" w:rsidRPr="006D4DDB" w:rsidRDefault="006D4DDB" w:rsidP="00506DE5">
      <w:pPr>
        <w:pStyle w:val="Numberbullet0"/>
        <w:numPr>
          <w:ilvl w:val="0"/>
          <w:numId w:val="0"/>
        </w:numPr>
        <w:ind w:left="425"/>
      </w:pPr>
      <w:r w:rsidRPr="006D4DDB">
        <w:t>Please explain why no criticism was made by the auditor of</w:t>
      </w:r>
      <w:r w:rsidR="001F5A20">
        <w:t xml:space="preserve"> S</w:t>
      </w:r>
      <w:r w:rsidRPr="006D4DDB">
        <w:t>ite 52.</w:t>
      </w:r>
    </w:p>
    <w:p w:rsidR="006D4DDB" w:rsidRPr="006D4DDB" w:rsidRDefault="006D4DDB" w:rsidP="00506DE5">
      <w:pPr>
        <w:ind w:left="709"/>
      </w:pPr>
      <w:r w:rsidRPr="006D4DDB">
        <w:t xml:space="preserve">Comment: Again Baxter justified this situation because certain procedures were followed and definitions used, even though the outcome potentially compromised patient safety, as with site monitoring. In this case only one patient was enrolled and that one patient experienced two major and 20 minor </w:t>
      </w:r>
      <w:r w:rsidR="001F5A20">
        <w:t>protocol deviations</w:t>
      </w:r>
      <w:r w:rsidRPr="006D4DDB">
        <w:t xml:space="preserve">. The clinical evaluator’s assessment of the treatment received by this patient was that ‘I regard the patient’s safety to have been compromised in this case due to a failure of monitoring to increase the prophylactic dose of </w:t>
      </w:r>
      <w:r w:rsidR="0051223A">
        <w:t>Rixubis</w:t>
      </w:r>
      <w:r w:rsidRPr="006D4DDB">
        <w:t xml:space="preserve"> appropriately.’). My further assessment is that in this case Baxter’s response that ‘observati</w:t>
      </w:r>
      <w:r w:rsidR="00506DE5">
        <w:t>ons were cited’ was inadequate.</w:t>
      </w:r>
    </w:p>
    <w:p w:rsidR="006D4DDB" w:rsidRPr="006D4DDB" w:rsidRDefault="006D4DDB" w:rsidP="00506DE5">
      <w:pPr>
        <w:pStyle w:val="Numberbullet0"/>
      </w:pPr>
      <w:r w:rsidRPr="006D4DDB">
        <w:t>Data Management Procedures in the report of the pivotal study, states ‘The handling of data by INC Research, including data quality assurance, was to comply with regulatory guidelines (for example, ICH GCP) and the standard operating procedures of the CRO</w:t>
      </w:r>
      <w:r w:rsidR="001F5A20">
        <w:t>’</w:t>
      </w:r>
      <w:r w:rsidRPr="006D4DDB">
        <w:t>.</w:t>
      </w:r>
    </w:p>
    <w:p w:rsidR="006D4DDB" w:rsidRPr="006D4DDB" w:rsidRDefault="006D4DDB" w:rsidP="00506DE5">
      <w:pPr>
        <w:pStyle w:val="Numberbullet0"/>
        <w:numPr>
          <w:ilvl w:val="0"/>
          <w:numId w:val="0"/>
        </w:numPr>
        <w:ind w:left="425"/>
      </w:pPr>
      <w:r w:rsidRPr="006D4DDB">
        <w:lastRenderedPageBreak/>
        <w:t>Please describe how INC Research handled the reporting of protocol deviations and relate these procedures to the potential failures in safety and GCP based on the questions asked above.</w:t>
      </w:r>
    </w:p>
    <w:p w:rsidR="006D4DDB" w:rsidRPr="006D4DDB" w:rsidRDefault="006D4DDB" w:rsidP="00506DE5">
      <w:pPr>
        <w:ind w:left="720"/>
      </w:pPr>
      <w:r w:rsidRPr="006D4DDB">
        <w:t xml:space="preserve">Comment: Baxter again argues that because the Protocol Deviation Plan was followed, no action needed to be taken about site deficiencies except retraining. This and other cases show that Baxter waits for a protocol deviation to occur then begins retraining after the patient had been put at potential risk. If the site had been better assessed before patient treatment began, the </w:t>
      </w:r>
      <w:r w:rsidR="001F5A20">
        <w:t>protocol deviations</w:t>
      </w:r>
      <w:r w:rsidRPr="006D4DDB">
        <w:t xml:space="preserve"> seen in this trial would have been reduced and the patients placed at less risk.</w:t>
      </w:r>
    </w:p>
    <w:p w:rsidR="006D4DDB" w:rsidRPr="006D4DDB" w:rsidRDefault="006D4DDB" w:rsidP="00506DE5">
      <w:pPr>
        <w:pStyle w:val="Heading5"/>
      </w:pPr>
      <w:bookmarkStart w:id="259" w:name="_Toc369773334"/>
      <w:r w:rsidRPr="00506DE5">
        <w:t>Actions</w:t>
      </w:r>
      <w:r w:rsidRPr="006D4DDB">
        <w:t xml:space="preserve"> of the </w:t>
      </w:r>
      <w:r w:rsidR="00E0342F">
        <w:t>d</w:t>
      </w:r>
      <w:r w:rsidRPr="006D4DDB">
        <w:t xml:space="preserve">ata </w:t>
      </w:r>
      <w:r w:rsidR="00E0342F">
        <w:t>m</w:t>
      </w:r>
      <w:r w:rsidRPr="006D4DDB">
        <w:t xml:space="preserve">onitoring </w:t>
      </w:r>
      <w:r w:rsidR="00E0342F">
        <w:t>c</w:t>
      </w:r>
      <w:r w:rsidRPr="006D4DDB">
        <w:t xml:space="preserve">ommittee with respect to </w:t>
      </w:r>
      <w:r w:rsidR="001F5A20">
        <w:t>protocol deviations</w:t>
      </w:r>
      <w:bookmarkEnd w:id="259"/>
    </w:p>
    <w:p w:rsidR="006D4DDB" w:rsidRPr="006D4DDB" w:rsidRDefault="006D4DDB" w:rsidP="00E0342F">
      <w:r w:rsidRPr="006D4DDB">
        <w:t>The report of the pivotal study describes the oversight of the trial data by the independent Data Monitoring Committee (DMC). These sections only describe monitoring related to safety results from the trial based on available data.</w:t>
      </w:r>
    </w:p>
    <w:p w:rsidR="006D4DDB" w:rsidRPr="006D4DDB" w:rsidRDefault="006D4DDB" w:rsidP="00E0342F">
      <w:pPr>
        <w:rPr>
          <w:b/>
          <w:bCs/>
          <w:lang w:val="en-US"/>
        </w:rPr>
      </w:pPr>
      <w:r w:rsidRPr="006D4DDB">
        <w:t>Did the DMC review protocol deviations at any time? If so, please provide the details of such reviews on each occasion they were done</w:t>
      </w:r>
      <w:r w:rsidRPr="006D4DDB">
        <w:rPr>
          <w:b/>
          <w:bCs/>
          <w:lang w:val="en-US"/>
        </w:rPr>
        <w:t>.</w:t>
      </w:r>
    </w:p>
    <w:p w:rsidR="006D4DDB" w:rsidRPr="006D4DDB" w:rsidRDefault="006D4DDB" w:rsidP="00E0342F">
      <w:pPr>
        <w:ind w:left="720"/>
      </w:pPr>
      <w:r w:rsidRPr="006D4DDB">
        <w:t xml:space="preserve">Comment: The submitted documents confirm the oversight described. After every meeting, the DMC gave a ‘GO’ decision. Presumably this was because the DMC followed set guidelines in its decisions. Again, following company guidelines did not produce the desired outcome for patient safety since the DMC did not express any concern about the frequency of </w:t>
      </w:r>
      <w:r w:rsidR="001F5A20">
        <w:t>protocol deviations</w:t>
      </w:r>
      <w:r w:rsidRPr="006D4DDB">
        <w:t xml:space="preserve"> and the quality of the sites in the trial.</w:t>
      </w:r>
    </w:p>
    <w:p w:rsidR="00180AE4" w:rsidRPr="00486076" w:rsidRDefault="00180AE4" w:rsidP="00E0342F">
      <w:pPr>
        <w:pStyle w:val="Heading5"/>
      </w:pPr>
      <w:bookmarkStart w:id="260" w:name="_Toc369773335"/>
      <w:bookmarkStart w:id="261" w:name="_Toc382554236"/>
      <w:r w:rsidRPr="00486076">
        <w:t xml:space="preserve">Safety question </w:t>
      </w:r>
      <w:r w:rsidRPr="00E0342F">
        <w:t>relating</w:t>
      </w:r>
      <w:r w:rsidRPr="00486076">
        <w:t xml:space="preserve"> to assay of FIX</w:t>
      </w:r>
      <w:bookmarkEnd w:id="260"/>
      <w:bookmarkEnd w:id="261"/>
    </w:p>
    <w:p w:rsidR="00180AE4" w:rsidRPr="00180AE4" w:rsidRDefault="00180AE4" w:rsidP="00E0342F">
      <w:r w:rsidRPr="00180AE4">
        <w:t>This question arose because a number of patients have inactive FIX (FIX antigen) circulation in their blood.</w:t>
      </w:r>
    </w:p>
    <w:p w:rsidR="00180AE4" w:rsidRPr="00180AE4" w:rsidRDefault="00180AE4" w:rsidP="00E0342F">
      <w:r w:rsidRPr="00180AE4">
        <w:t xml:space="preserve">Does the presence of (endogenous) FIX antigen in a subject's blood interfere with the measurement of FIX activity or on the detection of inhibitor antibodies to FIX? </w:t>
      </w:r>
    </w:p>
    <w:p w:rsidR="00180AE4" w:rsidRPr="00180AE4" w:rsidRDefault="00180AE4" w:rsidP="00E0342F">
      <w:pPr>
        <w:ind w:left="720"/>
      </w:pPr>
      <w:r w:rsidRPr="00180AE4">
        <w:t>Comment: The first half of the sponsor’s response reviewed the ELISA assay for neutralising antibodies. In this assay, endogenous FIX antigen does interfere with the measurement of inhibitors to FIX and cannot be avoided. The presence of inhibitors is assumed when no FIX-specific antibodies are detected in the ELISA assay, as was the case in the pivotal trial. FIX activity is measured by its biological activity. The sponsor claims that FIX antigen does not result in false positive results, shown by the fact that patients with detectable FIX antigen levels had no or very low FIX activities. In addition, the assay is designed to provide all reagents in excess thus FIX antigen does not compete with active FIX. PCE may wish to comment.</w:t>
      </w:r>
    </w:p>
    <w:p w:rsidR="007064FD" w:rsidRPr="007064FD" w:rsidRDefault="007064FD" w:rsidP="00E0342F">
      <w:pPr>
        <w:pStyle w:val="Heading5"/>
      </w:pPr>
      <w:bookmarkStart w:id="262" w:name="_Toc369773336"/>
      <w:bookmarkStart w:id="263" w:name="_Toc382554237"/>
      <w:r w:rsidRPr="007064FD">
        <w:t xml:space="preserve">Response from </w:t>
      </w:r>
      <w:r w:rsidR="00E0342F">
        <w:t>s</w:t>
      </w:r>
      <w:r w:rsidRPr="00E0342F">
        <w:t>ponsor</w:t>
      </w:r>
      <w:r w:rsidR="00E0342F">
        <w:t xml:space="preserve"> concerning e</w:t>
      </w:r>
      <w:r w:rsidRPr="007064FD">
        <w:t xml:space="preserve">valuation of </w:t>
      </w:r>
      <w:r w:rsidR="00E0342F">
        <w:t>s</w:t>
      </w:r>
      <w:r w:rsidRPr="007064FD">
        <w:t xml:space="preserve">urgical </w:t>
      </w:r>
      <w:r w:rsidR="00E0342F">
        <w:t>s</w:t>
      </w:r>
      <w:r w:rsidRPr="007064FD">
        <w:t>tudy 251002</w:t>
      </w:r>
      <w:bookmarkEnd w:id="262"/>
      <w:bookmarkEnd w:id="263"/>
    </w:p>
    <w:p w:rsidR="007064FD" w:rsidRPr="007064FD" w:rsidRDefault="007064FD" w:rsidP="00F52927">
      <w:r w:rsidRPr="007064FD">
        <w:t>The response was to issues identified in the evaluator’s conclusions on clinical efficacy for two indications. The issues and responses were as follows:</w:t>
      </w:r>
    </w:p>
    <w:p w:rsidR="007064FD" w:rsidRPr="007064FD" w:rsidRDefault="007064FD" w:rsidP="00F52927">
      <w:pPr>
        <w:pStyle w:val="Numberbullet0"/>
        <w:numPr>
          <w:ilvl w:val="0"/>
          <w:numId w:val="9"/>
        </w:numPr>
      </w:pPr>
      <w:r w:rsidRPr="007064FD">
        <w:t xml:space="preserve">The numbers of patients who had major surgery (n=11) </w:t>
      </w:r>
      <w:r w:rsidRPr="00F52927">
        <w:t>and</w:t>
      </w:r>
      <w:r w:rsidRPr="007064FD">
        <w:t xml:space="preserve"> minor surgery (n=5) were small, given the intention had been to recruit a total of 30 subjects. This report is an interim analysis, but no clear reason is given for not waiting to complete the study.</w:t>
      </w:r>
    </w:p>
    <w:p w:rsidR="007064FD" w:rsidRPr="007064FD" w:rsidRDefault="007064FD" w:rsidP="00F52927">
      <w:r w:rsidRPr="007064FD">
        <w:t xml:space="preserve">The response explained that the 30 subjects were chosen to allow participants in the </w:t>
      </w:r>
      <w:r w:rsidR="001F5A20">
        <w:t>c</w:t>
      </w:r>
      <w:r w:rsidRPr="007064FD">
        <w:t xml:space="preserve">ontinuing section of the pivotal trial to have necessary surgery and still receive </w:t>
      </w:r>
      <w:r w:rsidR="0051223A">
        <w:t>Rixubis</w:t>
      </w:r>
      <w:r w:rsidRPr="007064FD">
        <w:t xml:space="preserve"> to ensure treatment continuity. The sponsor stated ‘Since the data provided in the interim analysis meet the requirements of the EMA guidelines as well as the FDA requirements, the interim report should rather be considered as a final a</w:t>
      </w:r>
      <w:r w:rsidR="00F52927">
        <w:t>nalysis’.</w:t>
      </w:r>
    </w:p>
    <w:p w:rsidR="007064FD" w:rsidRPr="007064FD" w:rsidRDefault="007064FD" w:rsidP="00546E3C">
      <w:pPr>
        <w:ind w:left="720"/>
      </w:pPr>
      <w:r w:rsidRPr="007064FD">
        <w:lastRenderedPageBreak/>
        <w:t>Comment: It was acknowledged that the number of patients (n=5) met the CPMP guidelines, but five patients remain a small number to support a new indication. Meeting the requirement for numbers does not mean that any resulting outcome is acceptable. As requested,</w:t>
      </w:r>
      <w:r w:rsidR="001F5A20">
        <w:t xml:space="preserve"> the clinical evaluator </w:t>
      </w:r>
      <w:r w:rsidRPr="007064FD">
        <w:t>consider</w:t>
      </w:r>
      <w:r w:rsidR="001F5A20">
        <w:t>ed</w:t>
      </w:r>
      <w:r w:rsidR="00546E3C">
        <w:t xml:space="preserve"> the trial report as final.</w:t>
      </w:r>
    </w:p>
    <w:p w:rsidR="007064FD" w:rsidRPr="007064FD" w:rsidRDefault="007064FD" w:rsidP="00546E3C">
      <w:pPr>
        <w:pStyle w:val="Numberbullet0"/>
      </w:pPr>
      <w:r w:rsidRPr="007064FD">
        <w:t xml:space="preserve">The PK properties of </w:t>
      </w:r>
      <w:r w:rsidR="0051223A">
        <w:t>Rixubis</w:t>
      </w:r>
      <w:r w:rsidRPr="007064FD">
        <w:t xml:space="preserve"> in seven patients studied differed from those in other patients in the pivotal study and no statistical comparison could be done. This may relate to the failure to obtain adequate FIX levels in patients in the post-operative period although a specified protocol was followed.</w:t>
      </w:r>
    </w:p>
    <w:p w:rsidR="007064FD" w:rsidRPr="007064FD" w:rsidRDefault="007064FD" w:rsidP="00546E3C">
      <w:r w:rsidRPr="007064FD">
        <w:t>The sponsor responded by referring to the marked inter-individual variability in both studies, that is, in the pivotal and the surgery study, that although median and mean values differ for both studies, the ranges (minimum and maximum values) either overlap or are contained within the range of the pivotal study (in case of MRT), and that no comparison was intended. Baxter believed that patients were treated according to their standard of care instead of following the protocol specific treatment guidance. Once in-depth re-training was performed, the postoperative pre-infusion FIX levels were higher.</w:t>
      </w:r>
    </w:p>
    <w:p w:rsidR="007064FD" w:rsidRPr="007064FD" w:rsidRDefault="007064FD" w:rsidP="00546E3C">
      <w:pPr>
        <w:ind w:left="720"/>
      </w:pPr>
      <w:r w:rsidRPr="007064FD">
        <w:t>Comment: The PK parameters do differ in the surgical patient population, and many of these do not depend on following protocol. The difficulty in following this treatment protocol is noted.</w:t>
      </w:r>
    </w:p>
    <w:p w:rsidR="007064FD" w:rsidRPr="007064FD" w:rsidRDefault="007064FD" w:rsidP="00546E3C">
      <w:pPr>
        <w:pStyle w:val="Numberbullet0"/>
      </w:pPr>
      <w:r w:rsidRPr="007064FD">
        <w:t>The postoperative blood loss at drain removal exceeded the maximum predicted in four of seven subj</w:t>
      </w:r>
      <w:r w:rsidR="00546E3C">
        <w:t>ects who had major surgery.</w:t>
      </w:r>
    </w:p>
    <w:p w:rsidR="007064FD" w:rsidRPr="007064FD" w:rsidRDefault="007064FD" w:rsidP="00546E3C">
      <w:r w:rsidRPr="007064FD">
        <w:t>The response given to this issue was lengthy. The main arguments related to explanations for the failure of the pre and postoperative FIX concentrations to equal those required by the trial protocol, and whether this failure contributed to the unexpect</w:t>
      </w:r>
      <w:r w:rsidR="00546E3C">
        <w:t>ed blood loss in four patients.</w:t>
      </w:r>
    </w:p>
    <w:p w:rsidR="007064FD" w:rsidRPr="007064FD" w:rsidRDefault="007064FD" w:rsidP="00546E3C">
      <w:r w:rsidRPr="007064FD">
        <w:t>The guidance provided in the study protocol recommended that pre-infusion levels of 30</w:t>
      </w:r>
      <w:r w:rsidR="0094012C">
        <w:t xml:space="preserve"> to </w:t>
      </w:r>
      <w:r w:rsidRPr="007064FD">
        <w:t>60% for minor surgery and 80</w:t>
      </w:r>
      <w:r w:rsidR="0094012C">
        <w:t xml:space="preserve"> to </w:t>
      </w:r>
      <w:r w:rsidRPr="007064FD">
        <w:t>100% for major surgery be maintained until adequate wound healing followed by 30</w:t>
      </w:r>
      <w:r w:rsidR="0094012C">
        <w:t xml:space="preserve"> to </w:t>
      </w:r>
      <w:r w:rsidRPr="007064FD">
        <w:t>60% for the subsequent seven days. The mean pre-infusion FIX levels on the first two postoperative days were approximately 55% and the minimum FIX levels were 34.1 and 27.1%, respectively. On postoperative Day 3, the mean pre-infusion level was slightly higher with 59.33 ± 23.69%, with a range of 28.5</w:t>
      </w:r>
      <w:r w:rsidR="0094012C">
        <w:t xml:space="preserve"> to </w:t>
      </w:r>
      <w:r w:rsidRPr="007064FD">
        <w:t>88.2%. Since the mean and in particular the minimum FIX levels are considerably lower than the recommended 80</w:t>
      </w:r>
      <w:r w:rsidR="0094012C">
        <w:t xml:space="preserve"> to </w:t>
      </w:r>
      <w:r w:rsidRPr="007064FD">
        <w:t>100%, and also lower than the dose recommended by the World Federation of Haemophilia, Baxter concluded that it seemed the majority of investigators adhered to their standard of care regimen rather than to the guidance recommended in the study protocol.</w:t>
      </w:r>
    </w:p>
    <w:p w:rsidR="007064FD" w:rsidRPr="007064FD" w:rsidRDefault="007064FD" w:rsidP="00546E3C">
      <w:r w:rsidRPr="007064FD">
        <w:t>The sponsor then presented details of the four patients with postoperative blood loss greater than expecte</w:t>
      </w:r>
      <w:r w:rsidR="00546E3C">
        <w:t>d, making the following points.</w:t>
      </w:r>
    </w:p>
    <w:p w:rsidR="007064FD" w:rsidRPr="007064FD" w:rsidRDefault="007064FD" w:rsidP="00546E3C">
      <w:r w:rsidRPr="007064FD">
        <w:t>In the first case, the excessive blood loss was small (10</w:t>
      </w:r>
      <w:r w:rsidR="0094012C">
        <w:t xml:space="preserve"> </w:t>
      </w:r>
      <w:r w:rsidRPr="007064FD">
        <w:t>ml), the use of a tourniquet made the measurements of blood loss difficult, and the postoperative FIX le</w:t>
      </w:r>
      <w:r w:rsidR="00546E3C">
        <w:t>vels were satisfactory (89.5%).</w:t>
      </w:r>
    </w:p>
    <w:p w:rsidR="007064FD" w:rsidRPr="007064FD" w:rsidRDefault="007064FD" w:rsidP="00546E3C">
      <w:pPr>
        <w:ind w:left="720"/>
      </w:pPr>
      <w:r w:rsidRPr="007064FD">
        <w:t>Comment: The clinical evaluator accepted that the ‘excessive’ blood loss in this case is doubtfu</w:t>
      </w:r>
      <w:r w:rsidR="00546E3C">
        <w:t>l and of clinical significance.</w:t>
      </w:r>
    </w:p>
    <w:p w:rsidR="007064FD" w:rsidRPr="007064FD" w:rsidRDefault="007064FD" w:rsidP="00546E3C">
      <w:r w:rsidRPr="007064FD">
        <w:t>In two cases the post-operative FIX levels were 34</w:t>
      </w:r>
      <w:r w:rsidR="0094012C">
        <w:t xml:space="preserve"> to </w:t>
      </w:r>
      <w:r w:rsidRPr="007064FD">
        <w:t>40%, and 40</w:t>
      </w:r>
      <w:r w:rsidR="0094012C">
        <w:t xml:space="preserve"> to </w:t>
      </w:r>
      <w:r w:rsidRPr="007064FD">
        <w:t>56% respectively and the blood loss 30% and 27% greater than predict</w:t>
      </w:r>
      <w:r w:rsidR="00546E3C">
        <w:t>ed.</w:t>
      </w:r>
    </w:p>
    <w:p w:rsidR="007064FD" w:rsidRPr="007064FD" w:rsidRDefault="007064FD" w:rsidP="00546E3C">
      <w:r w:rsidRPr="007064FD">
        <w:t>In the third case, the postoperative FIX level fell on one occasion to 55%.</w:t>
      </w:r>
    </w:p>
    <w:p w:rsidR="007064FD" w:rsidRPr="007064FD" w:rsidRDefault="007064FD" w:rsidP="00546E3C">
      <w:pPr>
        <w:ind w:left="425"/>
      </w:pPr>
      <w:r w:rsidRPr="007064FD">
        <w:t xml:space="preserve">Comment: In three cases of seven in the study, treatment with </w:t>
      </w:r>
      <w:r w:rsidR="0051223A">
        <w:t>Rixubis</w:t>
      </w:r>
      <w:r w:rsidRPr="007064FD">
        <w:t xml:space="preserve"> did not prevent excessive blood loss. The sponsor agrees that ‘the low pre-infusion FIX levels in two surgeries in the early postoperative phase and a drop in FIX activity on postoperative </w:t>
      </w:r>
      <w:r w:rsidRPr="007064FD">
        <w:lastRenderedPageBreak/>
        <w:t>Day 2 to 55% in one surgery may explain the higher actual than</w:t>
      </w:r>
      <w:r w:rsidR="00546E3C">
        <w:t xml:space="preserve"> predicted maximum blood loss’.</w:t>
      </w:r>
    </w:p>
    <w:p w:rsidR="007064FD" w:rsidRPr="007064FD" w:rsidRDefault="007064FD" w:rsidP="008418E7">
      <w:pPr>
        <w:pStyle w:val="Numberbullet0"/>
      </w:pPr>
      <w:r w:rsidRPr="007064FD">
        <w:t xml:space="preserve">The surgery called ‘major’ included two cases of abdominal surgery, each for </w:t>
      </w:r>
      <w:proofErr w:type="spellStart"/>
      <w:r w:rsidRPr="007064FD">
        <w:t>herniorraphy</w:t>
      </w:r>
      <w:proofErr w:type="spellEnd"/>
      <w:r w:rsidRPr="007064FD">
        <w:t xml:space="preserve">. This abdominal surgery does not compare to abdominal surgery such as liver transplantation or </w:t>
      </w:r>
      <w:proofErr w:type="spellStart"/>
      <w:r w:rsidRPr="007064FD">
        <w:t>splenectomy</w:t>
      </w:r>
      <w:proofErr w:type="spellEnd"/>
      <w:r w:rsidRPr="007064FD">
        <w:t xml:space="preserve"> for risk of blood loss, the latter two having been part of the assessment of a commercial </w:t>
      </w:r>
      <w:proofErr w:type="spellStart"/>
      <w:r w:rsidRPr="007064FD">
        <w:t>rFIX</w:t>
      </w:r>
      <w:proofErr w:type="spellEnd"/>
      <w:r w:rsidRPr="007064FD">
        <w:t xml:space="preserve"> product (</w:t>
      </w:r>
      <w:proofErr w:type="spellStart"/>
      <w:r w:rsidRPr="007064FD">
        <w:t>BeneFIX</w:t>
      </w:r>
      <w:proofErr w:type="spellEnd"/>
      <w:r w:rsidRPr="007064FD">
        <w:t>) and reported in the PI for that product. As well, one case of dental extraction was classed as major surgery and two other cases as minor.</w:t>
      </w:r>
    </w:p>
    <w:p w:rsidR="007064FD" w:rsidRPr="007064FD" w:rsidRDefault="007064FD" w:rsidP="008418E7">
      <w:r w:rsidRPr="007064FD">
        <w:t>The sponsor provided definitions and criteria used as a guidance for major and minor surgery based on two sets of guidelines, one from the American College of Surgeons, and the other from the Australian Haemophilia Centre Directors' Organisation. The classification in the trial was consistent with those definitions.</w:t>
      </w:r>
    </w:p>
    <w:p w:rsidR="007064FD" w:rsidRPr="007064FD" w:rsidRDefault="007064FD" w:rsidP="008418E7">
      <w:pPr>
        <w:ind w:left="425"/>
      </w:pPr>
      <w:r w:rsidRPr="007064FD">
        <w:t xml:space="preserve">Comment: While major and minor surgery was correctly defined in the trial, the sponsor agreed “that there is a difference between </w:t>
      </w:r>
      <w:proofErr w:type="spellStart"/>
      <w:r w:rsidRPr="007064FD">
        <w:t>herniorrhaphy</w:t>
      </w:r>
      <w:proofErr w:type="spellEnd"/>
      <w:r w:rsidRPr="007064FD">
        <w:t xml:space="preserve"> and liver transplantation or </w:t>
      </w:r>
      <w:proofErr w:type="spellStart"/>
      <w:r w:rsidRPr="007064FD">
        <w:t>splenectomy</w:t>
      </w:r>
      <w:proofErr w:type="spellEnd"/>
      <w:r w:rsidRPr="007064FD">
        <w:t>” (with re</w:t>
      </w:r>
      <w:r w:rsidR="008418E7">
        <w:t>spect to potential blood loss).</w:t>
      </w:r>
    </w:p>
    <w:p w:rsidR="007064FD" w:rsidRPr="007064FD" w:rsidRDefault="007064FD" w:rsidP="008418E7">
      <w:pPr>
        <w:pStyle w:val="Numberbullet0"/>
      </w:pPr>
      <w:r w:rsidRPr="007064FD">
        <w:t>All assessments of haemostatic efficacy were by the operating surgeon, so that bias was possible, although again this was according to recommendations of the CPMP Guidelines.</w:t>
      </w:r>
    </w:p>
    <w:p w:rsidR="007064FD" w:rsidRPr="007064FD" w:rsidRDefault="007064FD" w:rsidP="008418E7">
      <w:r w:rsidRPr="007064FD">
        <w:t>The sponsor responded that the surgeon was responsible for the intra- and postoperative efficacy assessment whereas the principal investigator who was the haemophilia expert was responsible for the haemostatic efficacy assessment on the day of discharge.</w:t>
      </w:r>
    </w:p>
    <w:p w:rsidR="007064FD" w:rsidRPr="007064FD" w:rsidRDefault="007064FD" w:rsidP="008418E7">
      <w:pPr>
        <w:ind w:left="720"/>
      </w:pPr>
      <w:r w:rsidRPr="007064FD">
        <w:t>Comment: The principal investigator could hardly be regarded as independent for the purp</w:t>
      </w:r>
      <w:r w:rsidR="008418E7">
        <w:t>ose of independent assessments.</w:t>
      </w:r>
    </w:p>
    <w:p w:rsidR="00486076" w:rsidRPr="008418E7" w:rsidRDefault="00486076" w:rsidP="008418E7">
      <w:pPr>
        <w:pStyle w:val="Heading3"/>
      </w:pPr>
      <w:bookmarkStart w:id="264" w:name="_Toc382554238"/>
      <w:bookmarkStart w:id="265" w:name="_Ref271134961"/>
      <w:bookmarkStart w:id="266" w:name="_Toc272414708"/>
      <w:bookmarkStart w:id="267" w:name="_Toc290846348"/>
      <w:bookmarkStart w:id="268" w:name="_Toc290888885"/>
      <w:bookmarkStart w:id="269" w:name="_Toc355608068"/>
      <w:bookmarkStart w:id="270" w:name="_Toc369773337"/>
      <w:bookmarkStart w:id="271" w:name="_Toc387924293"/>
      <w:r w:rsidRPr="00F14CCD">
        <w:t>S</w:t>
      </w:r>
      <w:r>
        <w:t>econd round benefit-risk assessment</w:t>
      </w:r>
      <w:bookmarkEnd w:id="264"/>
      <w:bookmarkEnd w:id="265"/>
      <w:bookmarkEnd w:id="266"/>
      <w:bookmarkEnd w:id="267"/>
      <w:bookmarkEnd w:id="268"/>
      <w:bookmarkEnd w:id="269"/>
      <w:bookmarkEnd w:id="270"/>
      <w:bookmarkEnd w:id="271"/>
    </w:p>
    <w:p w:rsidR="00486076" w:rsidRPr="008418E7" w:rsidRDefault="00486076" w:rsidP="008418E7">
      <w:pPr>
        <w:pStyle w:val="Heading4"/>
      </w:pPr>
      <w:bookmarkStart w:id="272" w:name="_Toc290663810"/>
      <w:bookmarkStart w:id="273" w:name="_Toc290663966"/>
      <w:bookmarkStart w:id="274" w:name="_Toc290664559"/>
      <w:bookmarkStart w:id="275" w:name="_Toc290664868"/>
      <w:bookmarkStart w:id="276" w:name="_Toc290665024"/>
      <w:bookmarkStart w:id="277" w:name="_Toc290665752"/>
      <w:bookmarkStart w:id="278" w:name="_Toc290665925"/>
      <w:bookmarkStart w:id="279" w:name="_Toc290669473"/>
      <w:bookmarkStart w:id="280" w:name="_Toc290669646"/>
      <w:bookmarkStart w:id="281" w:name="_Toc290715963"/>
      <w:bookmarkStart w:id="282" w:name="_Toc290716136"/>
      <w:bookmarkStart w:id="283" w:name="_Toc290731463"/>
      <w:bookmarkStart w:id="284" w:name="_Toc290731636"/>
      <w:bookmarkStart w:id="285" w:name="_Toc290731957"/>
      <w:bookmarkStart w:id="286" w:name="_Toc290732278"/>
      <w:bookmarkStart w:id="287" w:name="_Toc290663811"/>
      <w:bookmarkStart w:id="288" w:name="_Toc290663967"/>
      <w:bookmarkStart w:id="289" w:name="_Toc290664560"/>
      <w:bookmarkStart w:id="290" w:name="_Toc290664869"/>
      <w:bookmarkStart w:id="291" w:name="_Toc290665025"/>
      <w:bookmarkStart w:id="292" w:name="_Toc290665753"/>
      <w:bookmarkStart w:id="293" w:name="_Toc290665926"/>
      <w:bookmarkStart w:id="294" w:name="_Toc290669474"/>
      <w:bookmarkStart w:id="295" w:name="_Toc290669647"/>
      <w:bookmarkStart w:id="296" w:name="_Toc290715964"/>
      <w:bookmarkStart w:id="297" w:name="_Toc290716137"/>
      <w:bookmarkStart w:id="298" w:name="_Toc290731464"/>
      <w:bookmarkStart w:id="299" w:name="_Toc290731637"/>
      <w:bookmarkStart w:id="300" w:name="_Toc290731958"/>
      <w:bookmarkStart w:id="301" w:name="_Toc290732279"/>
      <w:bookmarkStart w:id="302" w:name="_Toc272414709"/>
      <w:bookmarkStart w:id="303" w:name="_Toc290846349"/>
      <w:bookmarkStart w:id="304" w:name="_Toc290888886"/>
      <w:bookmarkStart w:id="305" w:name="_Toc355608069"/>
      <w:bookmarkStart w:id="306" w:name="_Toc369773338"/>
      <w:bookmarkStart w:id="307" w:name="_Toc38255423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t>Second round assessment of benefits</w:t>
      </w:r>
      <w:bookmarkEnd w:id="302"/>
      <w:bookmarkEnd w:id="303"/>
      <w:bookmarkEnd w:id="304"/>
      <w:bookmarkEnd w:id="305"/>
      <w:bookmarkEnd w:id="306"/>
      <w:bookmarkEnd w:id="307"/>
    </w:p>
    <w:p w:rsidR="00486076" w:rsidRDefault="00486076" w:rsidP="008418E7">
      <w:r>
        <w:t xml:space="preserve">After consideration of the responses to clinical questions, the benefits of </w:t>
      </w:r>
      <w:r w:rsidR="0051223A">
        <w:t>Rixubis</w:t>
      </w:r>
      <w:r>
        <w:t xml:space="preserve"> in the proposed usage are unchanged for the first indication. For the second indication, use in surgical patients, the associated recommendation has been changed to read as follows:</w:t>
      </w:r>
    </w:p>
    <w:p w:rsidR="00486076" w:rsidRPr="00F14CCD" w:rsidRDefault="00486076" w:rsidP="008418E7">
      <w:pPr>
        <w:ind w:left="720"/>
      </w:pPr>
      <w:r>
        <w:t>T</w:t>
      </w:r>
      <w:r w:rsidRPr="00F14CCD">
        <w:t xml:space="preserve">he interim analysis of Surgical Study 251002 is now to be regarded as final at the sponsor’s request. Although a benefit of </w:t>
      </w:r>
      <w:r w:rsidR="0051223A">
        <w:t>Rixubis</w:t>
      </w:r>
      <w:r w:rsidRPr="00F14CCD">
        <w:t xml:space="preserve"> in the peri-operative management of patients 12 years and older with severe or moderately severe haemophilia B seems likely, the data provided from </w:t>
      </w:r>
      <w:r>
        <w:t>seven</w:t>
      </w:r>
      <w:r w:rsidRPr="00F14CCD">
        <w:t xml:space="preserve"> patients who had major surgery is not sufficiently convincing on its o</w:t>
      </w:r>
      <w:r w:rsidR="008418E7">
        <w:t>wn to justify a new indication.</w:t>
      </w:r>
    </w:p>
    <w:p w:rsidR="00486076" w:rsidRPr="008418E7" w:rsidRDefault="00486076" w:rsidP="008418E7">
      <w:pPr>
        <w:pStyle w:val="Heading4"/>
      </w:pPr>
      <w:bookmarkStart w:id="308" w:name="_Toc272414710"/>
      <w:bookmarkStart w:id="309" w:name="_Toc290846350"/>
      <w:bookmarkStart w:id="310" w:name="_Toc290888887"/>
      <w:bookmarkStart w:id="311" w:name="_Toc355608070"/>
      <w:bookmarkStart w:id="312" w:name="_Toc369773339"/>
      <w:bookmarkStart w:id="313" w:name="_Toc382554240"/>
      <w:r>
        <w:t>Second round assessment of risks</w:t>
      </w:r>
      <w:bookmarkEnd w:id="308"/>
      <w:bookmarkEnd w:id="309"/>
      <w:bookmarkEnd w:id="310"/>
      <w:bookmarkEnd w:id="311"/>
      <w:bookmarkEnd w:id="312"/>
      <w:bookmarkEnd w:id="313"/>
    </w:p>
    <w:p w:rsidR="00486076" w:rsidRDefault="00486076" w:rsidP="008418E7">
      <w:r>
        <w:t xml:space="preserve">After consideration of the responses to clinical questions, the risks of </w:t>
      </w:r>
      <w:r w:rsidR="0051223A">
        <w:t>Rixubis</w:t>
      </w:r>
      <w:r>
        <w:t xml:space="preserve"> in the proposed usage are unchanged from those previously identified.</w:t>
      </w:r>
    </w:p>
    <w:p w:rsidR="00486076" w:rsidRPr="008418E7" w:rsidRDefault="00486076" w:rsidP="008418E7">
      <w:pPr>
        <w:pStyle w:val="Heading4"/>
      </w:pPr>
      <w:bookmarkStart w:id="314" w:name="_Toc272414711"/>
      <w:bookmarkStart w:id="315" w:name="_Toc290846351"/>
      <w:bookmarkStart w:id="316" w:name="_Toc290888888"/>
      <w:bookmarkStart w:id="317" w:name="_Toc355608071"/>
      <w:bookmarkStart w:id="318" w:name="_Toc369773340"/>
      <w:bookmarkStart w:id="319" w:name="_Toc382554241"/>
      <w:r>
        <w:t>Second round assessment of benefit-risk balance</w:t>
      </w:r>
      <w:bookmarkEnd w:id="314"/>
      <w:bookmarkEnd w:id="315"/>
      <w:bookmarkEnd w:id="316"/>
      <w:bookmarkEnd w:id="317"/>
      <w:bookmarkEnd w:id="318"/>
      <w:bookmarkEnd w:id="319"/>
    </w:p>
    <w:p w:rsidR="00486076" w:rsidRDefault="00486076" w:rsidP="008418E7">
      <w:pPr>
        <w:rPr>
          <w:rFonts w:cs="Cambria"/>
        </w:rPr>
      </w:pPr>
      <w:r>
        <w:rPr>
          <w:rFonts w:cs="Cambria"/>
        </w:rPr>
        <w:t xml:space="preserve">The benefit-risk balance of </w:t>
      </w:r>
      <w:r w:rsidR="0051223A">
        <w:rPr>
          <w:rFonts w:cs="Cambria"/>
        </w:rPr>
        <w:t>Rixubis</w:t>
      </w:r>
      <w:r>
        <w:rPr>
          <w:rFonts w:cs="Cambria"/>
        </w:rPr>
        <w:t xml:space="preserve">, given the proposed usage for </w:t>
      </w:r>
      <w:r>
        <w:rPr>
          <w:lang w:val="en-US"/>
        </w:rPr>
        <w:t>routine prophylaxis of bleeding episodes in patients 12 years and older with hemophilia B, and for the treatment and prevention of bleeding episodes in patients 12 years and older with hemophilia B (congenital FIX deficiency)</w:t>
      </w:r>
      <w:r>
        <w:rPr>
          <w:rFonts w:cs="Cambria"/>
        </w:rPr>
        <w:t xml:space="preserve"> is favourable.</w:t>
      </w:r>
    </w:p>
    <w:p w:rsidR="00486076" w:rsidRPr="00561209" w:rsidRDefault="00486076" w:rsidP="008418E7">
      <w:pPr>
        <w:ind w:left="720"/>
      </w:pPr>
      <w:r w:rsidRPr="00561209">
        <w:lastRenderedPageBreak/>
        <w:t>The benefit-risk balance of</w:t>
      </w:r>
      <w:r w:rsidR="00E91EE1">
        <w:t xml:space="preserve"> </w:t>
      </w:r>
      <w:r w:rsidR="0051223A">
        <w:t>Rixubis</w:t>
      </w:r>
      <w:r w:rsidRPr="00561209">
        <w:t xml:space="preserve"> for peri-operative management in patients 12 years and older with haemophilia B is unfavourable, but may become favourable if further studies provide more convincing evidence of efficacy.</w:t>
      </w:r>
    </w:p>
    <w:p w:rsidR="00F46077" w:rsidRPr="008418E7" w:rsidRDefault="00F46077" w:rsidP="008418E7">
      <w:pPr>
        <w:pStyle w:val="Heading3"/>
      </w:pPr>
      <w:bookmarkStart w:id="320" w:name="_Ref272160677"/>
      <w:bookmarkStart w:id="321" w:name="_Toc272414713"/>
      <w:bookmarkStart w:id="322" w:name="_Toc290846352"/>
      <w:bookmarkStart w:id="323" w:name="_Toc290888889"/>
      <w:bookmarkStart w:id="324" w:name="_Toc355608072"/>
      <w:bookmarkStart w:id="325" w:name="_Toc369773341"/>
      <w:bookmarkStart w:id="326" w:name="_Toc382554242"/>
      <w:bookmarkStart w:id="327" w:name="_Toc387924294"/>
      <w:r w:rsidRPr="00561209">
        <w:t>S</w:t>
      </w:r>
      <w:r>
        <w:t>econd round recommendation regarding authorisation</w:t>
      </w:r>
      <w:bookmarkEnd w:id="320"/>
      <w:bookmarkEnd w:id="321"/>
      <w:bookmarkEnd w:id="322"/>
      <w:bookmarkEnd w:id="323"/>
      <w:bookmarkEnd w:id="324"/>
      <w:bookmarkEnd w:id="325"/>
      <w:bookmarkEnd w:id="326"/>
      <w:bookmarkEnd w:id="327"/>
    </w:p>
    <w:p w:rsidR="00F46077" w:rsidRPr="00561209" w:rsidRDefault="00F46077" w:rsidP="008418E7">
      <w:r>
        <w:t xml:space="preserve">The clinical evaluator </w:t>
      </w:r>
      <w:r w:rsidRPr="00561209">
        <w:t>recommend</w:t>
      </w:r>
      <w:r>
        <w:t>ed</w:t>
      </w:r>
      <w:r w:rsidRPr="00561209">
        <w:t xml:space="preserve"> that </w:t>
      </w:r>
      <w:proofErr w:type="spellStart"/>
      <w:r w:rsidR="0051223A">
        <w:t>Rixubis</w:t>
      </w:r>
      <w:proofErr w:type="spellEnd"/>
      <w:r w:rsidRPr="00561209">
        <w:t xml:space="preserve"> be approved</w:t>
      </w:r>
      <w:r w:rsidR="008418E7">
        <w:t xml:space="preserve"> for:</w:t>
      </w:r>
    </w:p>
    <w:p w:rsidR="00F46077" w:rsidRPr="00561209" w:rsidRDefault="00F46077" w:rsidP="008418E7">
      <w:pPr>
        <w:pStyle w:val="ListBullet"/>
      </w:pPr>
      <w:r w:rsidRPr="00561209">
        <w:t>Routine prophylaxis of bleeding episodes in patients 12 years and older with haemophilia B and</w:t>
      </w:r>
    </w:p>
    <w:p w:rsidR="00F46077" w:rsidRPr="00561209" w:rsidRDefault="00F46077" w:rsidP="008418E7">
      <w:pPr>
        <w:pStyle w:val="ListBullet"/>
      </w:pPr>
      <w:r w:rsidRPr="00561209">
        <w:t xml:space="preserve">Treatment and prevention of bleeding episodes in patients 12 years and older with haemophilia B (congenital </w:t>
      </w:r>
      <w:r>
        <w:t>F</w:t>
      </w:r>
      <w:r w:rsidRPr="00561209">
        <w:t>IX deficiency)</w:t>
      </w:r>
      <w:r w:rsidR="008418E7">
        <w:t>.</w:t>
      </w:r>
    </w:p>
    <w:p w:rsidR="00F46077" w:rsidRPr="00561209" w:rsidRDefault="00F46077" w:rsidP="008418E7">
      <w:r>
        <w:t xml:space="preserve">The clinical evaluator does </w:t>
      </w:r>
      <w:r w:rsidRPr="00561209">
        <w:t xml:space="preserve">not recommend approval of </w:t>
      </w:r>
      <w:r w:rsidR="0051223A">
        <w:t>Rixubis</w:t>
      </w:r>
      <w:r w:rsidRPr="00561209">
        <w:t xml:space="preserve"> for peri-operative management of patients 12 years</w:t>
      </w:r>
      <w:r w:rsidR="008418E7">
        <w:t xml:space="preserve"> and older with haemophilia B.</w:t>
      </w:r>
    </w:p>
    <w:p w:rsidR="008E7846" w:rsidRPr="00E41208" w:rsidRDefault="008E7846" w:rsidP="007A4C0C">
      <w:pPr>
        <w:pStyle w:val="Heading2"/>
      </w:pPr>
      <w:bookmarkStart w:id="328" w:name="_Toc247691524"/>
      <w:bookmarkStart w:id="329" w:name="_Toc314842508"/>
      <w:bookmarkStart w:id="330" w:name="_Toc387924295"/>
      <w:bookmarkStart w:id="331" w:name="_Toc196046504"/>
      <w:bookmarkStart w:id="332" w:name="_Toc163441390"/>
      <w:bookmarkEnd w:id="224"/>
      <w:r w:rsidRPr="00E41208">
        <w:t xml:space="preserve">V. </w:t>
      </w:r>
      <w:proofErr w:type="spellStart"/>
      <w:r w:rsidRPr="007A4C0C">
        <w:t>Pharmacovigilance</w:t>
      </w:r>
      <w:proofErr w:type="spellEnd"/>
      <w:r w:rsidRPr="00E41208">
        <w:t xml:space="preserve"> </w:t>
      </w:r>
      <w:r>
        <w:t>f</w:t>
      </w:r>
      <w:r w:rsidRPr="00E41208">
        <w:t>indings</w:t>
      </w:r>
      <w:bookmarkEnd w:id="328"/>
      <w:bookmarkEnd w:id="329"/>
      <w:bookmarkEnd w:id="330"/>
    </w:p>
    <w:p w:rsidR="008E7846" w:rsidRPr="007A4C0C" w:rsidRDefault="00386150" w:rsidP="007A4C0C">
      <w:pPr>
        <w:pStyle w:val="Heading3"/>
      </w:pPr>
      <w:bookmarkStart w:id="333" w:name="_Toc247691526"/>
      <w:bookmarkStart w:id="334" w:name="_Toc314842509"/>
      <w:bookmarkStart w:id="335" w:name="_Toc387924296"/>
      <w:r>
        <w:rPr>
          <w:lang w:eastAsia="en-AU"/>
        </w:rPr>
        <w:t>Risk m</w:t>
      </w:r>
      <w:r w:rsidR="008E7846">
        <w:rPr>
          <w:lang w:eastAsia="en-AU"/>
        </w:rPr>
        <w:t xml:space="preserve">anagement </w:t>
      </w:r>
      <w:r>
        <w:rPr>
          <w:lang w:eastAsia="en-AU"/>
        </w:rPr>
        <w:t>p</w:t>
      </w:r>
      <w:r w:rsidR="008E7846">
        <w:rPr>
          <w:lang w:eastAsia="en-AU"/>
        </w:rPr>
        <w:t>lan</w:t>
      </w:r>
      <w:bookmarkEnd w:id="333"/>
      <w:bookmarkEnd w:id="334"/>
      <w:bookmarkEnd w:id="335"/>
    </w:p>
    <w:p w:rsidR="008E7846" w:rsidRDefault="008E7846" w:rsidP="007A4C0C">
      <w:pPr>
        <w:rPr>
          <w:lang w:eastAsia="en-AU"/>
        </w:rPr>
      </w:pPr>
      <w:r>
        <w:rPr>
          <w:lang w:eastAsia="en-AU"/>
        </w:rPr>
        <w:t>The sponsor submitted a Risk Management Plan which was reviewed by the TGA’s Office of Product Review (OPR).</w:t>
      </w:r>
    </w:p>
    <w:p w:rsidR="0094012C" w:rsidRPr="0094012C" w:rsidRDefault="0094012C" w:rsidP="007A4C0C">
      <w:r w:rsidRPr="0094012C">
        <w:t>RMP for Australian/New Zealand, Version 1, dated 27 December 2012</w:t>
      </w:r>
      <w:r>
        <w:t>.</w:t>
      </w:r>
    </w:p>
    <w:p w:rsidR="008E7846" w:rsidRPr="007A4C0C" w:rsidRDefault="003A7F6C" w:rsidP="007A4C0C">
      <w:pPr>
        <w:pStyle w:val="Heading4"/>
      </w:pPr>
      <w:r>
        <w:rPr>
          <w:lang w:eastAsia="en-AU"/>
        </w:rPr>
        <w:t>Safety s</w:t>
      </w:r>
      <w:r w:rsidR="008E7846">
        <w:rPr>
          <w:lang w:eastAsia="en-AU"/>
        </w:rPr>
        <w:t>pecification</w:t>
      </w:r>
    </w:p>
    <w:p w:rsidR="00976FA3" w:rsidRDefault="00976FA3" w:rsidP="007A4C0C">
      <w:r w:rsidRPr="00976FA3">
        <w:t xml:space="preserve">Subject to the evaluation of the non-clinical aspects of the Safety Specification (SS) by the Toxicology area of the </w:t>
      </w:r>
      <w:r>
        <w:t>Office of Scientific Evaluation (</w:t>
      </w:r>
      <w:r w:rsidRPr="00976FA3">
        <w:t>OSE</w:t>
      </w:r>
      <w:r>
        <w:t>)</w:t>
      </w:r>
      <w:r w:rsidRPr="00976FA3">
        <w:t xml:space="preserve"> and the clinical aspects of the SS by the </w:t>
      </w:r>
      <w:r>
        <w:t>Office of Medicines Authorisation (</w:t>
      </w:r>
      <w:r w:rsidRPr="00976FA3">
        <w:t>OMA</w:t>
      </w:r>
      <w:r>
        <w:t>)</w:t>
      </w:r>
      <w:r w:rsidRPr="00976FA3">
        <w:t>, the summary of the Ongoing Safety Concerns as specified by the sponsor is as follows</w:t>
      </w:r>
      <w:r>
        <w:t xml:space="preserve"> (Table</w:t>
      </w:r>
      <w:r w:rsidR="0094012C">
        <w:t xml:space="preserve"> 6</w:t>
      </w:r>
      <w:r>
        <w:t>)</w:t>
      </w:r>
      <w:r w:rsidRPr="00976FA3">
        <w:t>:</w:t>
      </w:r>
    </w:p>
    <w:p w:rsidR="0094012C" w:rsidRPr="007A4C0C" w:rsidRDefault="0094012C" w:rsidP="007A4C0C">
      <w:pPr>
        <w:pStyle w:val="TableTitle"/>
      </w:pPr>
      <w:r>
        <w:t>Table 6: Summary of ongoing safety concerns</w:t>
      </w:r>
    </w:p>
    <w:tbl>
      <w:tblPr>
        <w:tblStyle w:val="TableTGAblue"/>
        <w:tblW w:w="0" w:type="auto"/>
        <w:tblLook w:val="04A0" w:firstRow="1" w:lastRow="0" w:firstColumn="1" w:lastColumn="0" w:noHBand="0" w:noVBand="1"/>
      </w:tblPr>
      <w:tblGrid>
        <w:gridCol w:w="2854"/>
        <w:gridCol w:w="5618"/>
      </w:tblGrid>
      <w:tr w:rsidR="00976FA3" w:rsidTr="00A31D74">
        <w:trPr>
          <w:cnfStyle w:val="100000000000" w:firstRow="1" w:lastRow="0" w:firstColumn="0" w:lastColumn="0" w:oddVBand="0" w:evenVBand="0" w:oddHBand="0" w:evenHBand="0" w:firstRowFirstColumn="0" w:firstRowLastColumn="0" w:lastRowFirstColumn="0" w:lastRowLastColumn="0"/>
        </w:trPr>
        <w:tc>
          <w:tcPr>
            <w:tcW w:w="2854" w:type="dxa"/>
          </w:tcPr>
          <w:p w:rsidR="00976FA3" w:rsidRPr="00A31D74" w:rsidRDefault="00976FA3" w:rsidP="007A4C0C">
            <w:pPr>
              <w:ind w:left="0" w:right="0"/>
            </w:pPr>
            <w:r w:rsidRPr="00A31D74">
              <w:t>Risks</w:t>
            </w:r>
          </w:p>
        </w:tc>
        <w:tc>
          <w:tcPr>
            <w:tcW w:w="5618" w:type="dxa"/>
          </w:tcPr>
          <w:p w:rsidR="00976FA3" w:rsidRPr="00A31D74" w:rsidRDefault="00976FA3" w:rsidP="007A4C0C">
            <w:pPr>
              <w:ind w:left="0" w:right="0"/>
            </w:pPr>
            <w:r w:rsidRPr="00A31D74">
              <w:t>Safety Concern</w:t>
            </w:r>
          </w:p>
        </w:tc>
      </w:tr>
      <w:tr w:rsidR="00976FA3" w:rsidTr="00A31D74">
        <w:tc>
          <w:tcPr>
            <w:tcW w:w="2854" w:type="dxa"/>
          </w:tcPr>
          <w:p w:rsidR="00976FA3" w:rsidRPr="00A31D74" w:rsidRDefault="00976FA3" w:rsidP="007A4C0C">
            <w:pPr>
              <w:ind w:left="0" w:right="0"/>
            </w:pPr>
            <w:r w:rsidRPr="00A31D74">
              <w:t>Important Identified Risks</w:t>
            </w:r>
          </w:p>
        </w:tc>
        <w:tc>
          <w:tcPr>
            <w:tcW w:w="5618" w:type="dxa"/>
          </w:tcPr>
          <w:p w:rsidR="00976FA3" w:rsidRPr="00976FA3" w:rsidRDefault="00976FA3" w:rsidP="007A4C0C">
            <w:pPr>
              <w:ind w:left="0" w:right="0"/>
            </w:pPr>
            <w:r w:rsidRPr="00976FA3">
              <w:t>None</w:t>
            </w:r>
          </w:p>
        </w:tc>
      </w:tr>
      <w:tr w:rsidR="00A31D74" w:rsidTr="00A31D74">
        <w:tc>
          <w:tcPr>
            <w:tcW w:w="2854" w:type="dxa"/>
            <w:vMerge w:val="restart"/>
          </w:tcPr>
          <w:p w:rsidR="00A31D74" w:rsidRPr="00A31D74" w:rsidRDefault="00A31D74" w:rsidP="007A4C0C">
            <w:pPr>
              <w:ind w:left="0" w:right="0"/>
            </w:pPr>
            <w:r w:rsidRPr="00A31D74">
              <w:t>Important Potential Risks</w:t>
            </w:r>
          </w:p>
        </w:tc>
        <w:tc>
          <w:tcPr>
            <w:tcW w:w="5618" w:type="dxa"/>
          </w:tcPr>
          <w:p w:rsidR="00A31D74" w:rsidRPr="00976FA3" w:rsidRDefault="00A31D74" w:rsidP="007A4C0C">
            <w:pPr>
              <w:ind w:left="0" w:right="0"/>
            </w:pPr>
            <w:r w:rsidRPr="00976FA3">
              <w:t>Inhibitor formation</w:t>
            </w:r>
          </w:p>
        </w:tc>
      </w:tr>
      <w:tr w:rsidR="00A31D74" w:rsidTr="00A31D74">
        <w:tc>
          <w:tcPr>
            <w:tcW w:w="2854" w:type="dxa"/>
            <w:vMerge/>
          </w:tcPr>
          <w:p w:rsidR="00A31D74" w:rsidRPr="00A31D74" w:rsidRDefault="00A31D74" w:rsidP="007A4C0C">
            <w:pPr>
              <w:ind w:left="0" w:right="0"/>
            </w:pPr>
          </w:p>
        </w:tc>
        <w:tc>
          <w:tcPr>
            <w:tcW w:w="5618" w:type="dxa"/>
          </w:tcPr>
          <w:p w:rsidR="00A31D74" w:rsidRPr="00976FA3" w:rsidRDefault="00A31D74" w:rsidP="007A4C0C">
            <w:pPr>
              <w:ind w:left="0" w:right="0"/>
            </w:pPr>
            <w:r w:rsidRPr="00976FA3">
              <w:t xml:space="preserve">Hypersensitivity reactions (including reactions / antibodies to CHO protein </w:t>
            </w:r>
          </w:p>
        </w:tc>
      </w:tr>
      <w:tr w:rsidR="00A31D74" w:rsidTr="00A31D74">
        <w:tc>
          <w:tcPr>
            <w:tcW w:w="2854" w:type="dxa"/>
            <w:vMerge/>
          </w:tcPr>
          <w:p w:rsidR="00A31D74" w:rsidRPr="00A31D74" w:rsidRDefault="00A31D74" w:rsidP="007A4C0C">
            <w:pPr>
              <w:ind w:left="0" w:right="0"/>
            </w:pPr>
          </w:p>
        </w:tc>
        <w:tc>
          <w:tcPr>
            <w:tcW w:w="5618" w:type="dxa"/>
          </w:tcPr>
          <w:p w:rsidR="00A31D74" w:rsidRPr="00976FA3" w:rsidRDefault="00A31D74" w:rsidP="007A4C0C">
            <w:pPr>
              <w:ind w:left="0" w:right="0"/>
            </w:pPr>
            <w:r w:rsidRPr="00976FA3">
              <w:t>Lack of effect</w:t>
            </w:r>
          </w:p>
        </w:tc>
      </w:tr>
      <w:tr w:rsidR="00A31D74" w:rsidTr="00A31D74">
        <w:tc>
          <w:tcPr>
            <w:tcW w:w="2854" w:type="dxa"/>
            <w:vMerge/>
          </w:tcPr>
          <w:p w:rsidR="00A31D74" w:rsidRPr="00A31D74" w:rsidRDefault="00A31D74" w:rsidP="007A4C0C">
            <w:pPr>
              <w:ind w:left="0" w:right="0"/>
            </w:pPr>
          </w:p>
        </w:tc>
        <w:tc>
          <w:tcPr>
            <w:tcW w:w="5618" w:type="dxa"/>
          </w:tcPr>
          <w:p w:rsidR="00A31D74" w:rsidRPr="00976FA3" w:rsidRDefault="00A31D74" w:rsidP="007A4C0C">
            <w:pPr>
              <w:ind w:left="0" w:right="0"/>
            </w:pPr>
            <w:r w:rsidRPr="00976FA3">
              <w:t>Thromboembolic events (for example, DIC and fibrinolysis)</w:t>
            </w:r>
          </w:p>
        </w:tc>
      </w:tr>
      <w:tr w:rsidR="00A31D74" w:rsidTr="00A31D74">
        <w:tc>
          <w:tcPr>
            <w:tcW w:w="2854" w:type="dxa"/>
            <w:vMerge/>
          </w:tcPr>
          <w:p w:rsidR="00A31D74" w:rsidRPr="00A31D74" w:rsidRDefault="00A31D74" w:rsidP="007A4C0C">
            <w:pPr>
              <w:ind w:left="0" w:right="0"/>
            </w:pPr>
          </w:p>
        </w:tc>
        <w:tc>
          <w:tcPr>
            <w:tcW w:w="5618" w:type="dxa"/>
          </w:tcPr>
          <w:p w:rsidR="00A31D74" w:rsidRPr="00976FA3" w:rsidRDefault="00A31D74" w:rsidP="007A4C0C">
            <w:pPr>
              <w:ind w:left="0" w:right="0"/>
            </w:pPr>
            <w:proofErr w:type="spellStart"/>
            <w:r w:rsidRPr="00976FA3">
              <w:t>Nephrotic</w:t>
            </w:r>
            <w:proofErr w:type="spellEnd"/>
            <w:r w:rsidRPr="00976FA3">
              <w:t xml:space="preserve"> syndrome following attempted ITI in haemophilia B patients with FIX inhibitors and a history of allergic reactions.</w:t>
            </w:r>
          </w:p>
        </w:tc>
      </w:tr>
      <w:tr w:rsidR="00A31D74" w:rsidTr="00A31D74">
        <w:tc>
          <w:tcPr>
            <w:tcW w:w="2854" w:type="dxa"/>
            <w:vMerge w:val="restart"/>
          </w:tcPr>
          <w:p w:rsidR="00A31D74" w:rsidRPr="00A31D74" w:rsidRDefault="00A31D74" w:rsidP="007A4C0C">
            <w:pPr>
              <w:ind w:left="0" w:right="0"/>
            </w:pPr>
            <w:r w:rsidRPr="00A31D74">
              <w:t xml:space="preserve">Important Missing </w:t>
            </w:r>
            <w:r w:rsidRPr="00A31D74">
              <w:lastRenderedPageBreak/>
              <w:t xml:space="preserve">Information </w:t>
            </w:r>
          </w:p>
        </w:tc>
        <w:tc>
          <w:tcPr>
            <w:tcW w:w="5618" w:type="dxa"/>
          </w:tcPr>
          <w:p w:rsidR="00A31D74" w:rsidRPr="00976FA3" w:rsidRDefault="00A31D74" w:rsidP="007A4C0C">
            <w:pPr>
              <w:ind w:left="0" w:right="0"/>
            </w:pPr>
            <w:r w:rsidRPr="00976FA3">
              <w:lastRenderedPageBreak/>
              <w:t xml:space="preserve">No clinical data on use of </w:t>
            </w:r>
            <w:r w:rsidR="0051223A">
              <w:t>Rixubis</w:t>
            </w:r>
            <w:r w:rsidRPr="00976FA3">
              <w:t xml:space="preserve"> for ITI</w:t>
            </w:r>
          </w:p>
        </w:tc>
      </w:tr>
      <w:tr w:rsidR="00A31D74" w:rsidTr="00A31D74">
        <w:tc>
          <w:tcPr>
            <w:tcW w:w="2854" w:type="dxa"/>
            <w:vMerge/>
          </w:tcPr>
          <w:p w:rsidR="00A31D74" w:rsidRPr="00976FA3" w:rsidRDefault="00A31D74" w:rsidP="007A4C0C">
            <w:pPr>
              <w:ind w:left="0" w:right="0"/>
            </w:pPr>
          </w:p>
        </w:tc>
        <w:tc>
          <w:tcPr>
            <w:tcW w:w="5618" w:type="dxa"/>
          </w:tcPr>
          <w:p w:rsidR="00A31D74" w:rsidRPr="00976FA3" w:rsidRDefault="00A31D74" w:rsidP="007A4C0C">
            <w:pPr>
              <w:ind w:left="0" w:right="0"/>
            </w:pPr>
            <w:r w:rsidRPr="00976FA3">
              <w:t xml:space="preserve">Insufficient clinical data on the use of </w:t>
            </w:r>
            <w:r w:rsidR="0051223A">
              <w:t>Rixubis</w:t>
            </w:r>
            <w:r w:rsidRPr="00976FA3">
              <w:t xml:space="preserve"> in paediatric patients younger</w:t>
            </w:r>
            <w:r w:rsidR="007A4C0C">
              <w:t xml:space="preserve"> than 12 years of age</w:t>
            </w:r>
          </w:p>
        </w:tc>
      </w:tr>
      <w:tr w:rsidR="00A31D74" w:rsidTr="00A31D74">
        <w:tc>
          <w:tcPr>
            <w:tcW w:w="2854" w:type="dxa"/>
            <w:vMerge/>
          </w:tcPr>
          <w:p w:rsidR="00A31D74" w:rsidRPr="00976FA3" w:rsidRDefault="00A31D74" w:rsidP="007A4C0C">
            <w:pPr>
              <w:ind w:left="0" w:right="0"/>
            </w:pPr>
          </w:p>
        </w:tc>
        <w:tc>
          <w:tcPr>
            <w:tcW w:w="5618" w:type="dxa"/>
          </w:tcPr>
          <w:p w:rsidR="00A31D74" w:rsidRPr="00976FA3" w:rsidRDefault="00A31D74" w:rsidP="007A4C0C">
            <w:pPr>
              <w:ind w:left="0" w:right="0"/>
            </w:pPr>
            <w:r w:rsidRPr="00976FA3">
              <w:t xml:space="preserve">No clinical data on the use of </w:t>
            </w:r>
            <w:r w:rsidR="0051223A">
              <w:t>Rixubis</w:t>
            </w:r>
            <w:r w:rsidRPr="00976FA3">
              <w:t xml:space="preserve"> in geriatric patients</w:t>
            </w:r>
          </w:p>
        </w:tc>
      </w:tr>
      <w:tr w:rsidR="00A31D74" w:rsidTr="00A31D74">
        <w:tc>
          <w:tcPr>
            <w:tcW w:w="2854" w:type="dxa"/>
            <w:vMerge/>
          </w:tcPr>
          <w:p w:rsidR="00A31D74" w:rsidRPr="00976FA3" w:rsidRDefault="00A31D74" w:rsidP="007A4C0C">
            <w:pPr>
              <w:ind w:left="0" w:right="0"/>
            </w:pPr>
          </w:p>
        </w:tc>
        <w:tc>
          <w:tcPr>
            <w:tcW w:w="5618" w:type="dxa"/>
          </w:tcPr>
          <w:p w:rsidR="00A31D74" w:rsidRPr="00976FA3" w:rsidRDefault="00A31D74" w:rsidP="007A4C0C">
            <w:pPr>
              <w:ind w:left="0" w:right="0"/>
            </w:pPr>
            <w:r w:rsidRPr="00976FA3">
              <w:t xml:space="preserve">No data on the use of </w:t>
            </w:r>
            <w:r w:rsidR="0051223A">
              <w:t>Rixubis</w:t>
            </w:r>
            <w:r w:rsidRPr="00976FA3">
              <w:t xml:space="preserve"> for continuous infusion during peri-operative management</w:t>
            </w:r>
          </w:p>
        </w:tc>
      </w:tr>
      <w:tr w:rsidR="00A31D74" w:rsidTr="00A31D74">
        <w:tc>
          <w:tcPr>
            <w:tcW w:w="2854" w:type="dxa"/>
            <w:vMerge/>
          </w:tcPr>
          <w:p w:rsidR="00A31D74" w:rsidRPr="00976FA3" w:rsidRDefault="00A31D74" w:rsidP="007A4C0C">
            <w:pPr>
              <w:ind w:left="0" w:right="0"/>
            </w:pPr>
          </w:p>
        </w:tc>
        <w:tc>
          <w:tcPr>
            <w:tcW w:w="5618" w:type="dxa"/>
          </w:tcPr>
          <w:p w:rsidR="00A31D74" w:rsidRPr="00976FA3" w:rsidRDefault="00A31D74" w:rsidP="007A4C0C">
            <w:pPr>
              <w:ind w:left="0" w:right="0"/>
            </w:pPr>
            <w:r w:rsidRPr="00976FA3">
              <w:t xml:space="preserve">No data on the use of </w:t>
            </w:r>
            <w:r w:rsidR="0051223A">
              <w:t>Rixubis</w:t>
            </w:r>
            <w:r w:rsidRPr="00976FA3">
              <w:t xml:space="preserve"> during pregnancy, labour and delivery, lactation,</w:t>
            </w:r>
            <w:r w:rsidR="007A4C0C">
              <w:t xml:space="preserve"> or with regards to fertility</w:t>
            </w:r>
          </w:p>
        </w:tc>
      </w:tr>
    </w:tbl>
    <w:p w:rsidR="00932335" w:rsidRPr="00932335" w:rsidRDefault="00932335" w:rsidP="007A4C0C">
      <w:pPr>
        <w:pStyle w:val="Heading5"/>
      </w:pPr>
      <w:r w:rsidRPr="00932335">
        <w:t>OPR reviewer comment:</w:t>
      </w:r>
    </w:p>
    <w:p w:rsidR="00932335" w:rsidRPr="00932335" w:rsidRDefault="00932335" w:rsidP="007A4C0C">
      <w:r w:rsidRPr="00932335">
        <w:t>Notwithstanding the evaluation of the non-clinical and clinical aspects of the SS, it is recommended that the table of ongoing safety concerns is not acceptable.</w:t>
      </w:r>
    </w:p>
    <w:p w:rsidR="00932335" w:rsidRPr="00932335" w:rsidRDefault="00932335" w:rsidP="007A4C0C">
      <w:r w:rsidRPr="00932335">
        <w:t xml:space="preserve">As this product may be injected intravenously by patients at home there is the possibility of pain and bleeding at the injection side, due to sub-optimal injection techniques. Pain and bleeding at the injection side should be considered as a potential risk and therefore, an addition to the RMP to address these risks is suggested. This is of particular importance in the light that these patients are deficient in clotting </w:t>
      </w:r>
      <w:r>
        <w:t>FI</w:t>
      </w:r>
      <w:r w:rsidRPr="00932335">
        <w:t>X, and consequentl</w:t>
      </w:r>
      <w:r w:rsidR="007A4C0C">
        <w:t>y these symptoms may be severe.</w:t>
      </w:r>
    </w:p>
    <w:p w:rsidR="00932335" w:rsidRPr="00932335" w:rsidRDefault="00932335" w:rsidP="007A4C0C">
      <w:r w:rsidRPr="00932335">
        <w:t>The important potential risk of Hypersensitivity/Allergic reactions requires further emphasis. The product will be administered by patients at home</w:t>
      </w:r>
      <w:r w:rsidR="00B72C5C">
        <w:t>, without supervision of health</w:t>
      </w:r>
      <w:r w:rsidRPr="00932335">
        <w:t>care professionals and therefore, measures have to be taken to manage anaphylactic reactions at home. Consequently, an amendment to the PI and CMI is recommended</w:t>
      </w:r>
      <w:r w:rsidR="007A4C0C">
        <w:t>.</w:t>
      </w:r>
    </w:p>
    <w:p w:rsidR="00932335" w:rsidRDefault="00932335" w:rsidP="007A4C0C">
      <w:r w:rsidRPr="00932335">
        <w:t>The following patient populations were excluded from the clinical devel</w:t>
      </w:r>
      <w:r w:rsidR="007A4C0C">
        <w:t>opment program for the product:</w:t>
      </w:r>
    </w:p>
    <w:p w:rsidR="00932335" w:rsidRDefault="00932335" w:rsidP="007A4C0C">
      <w:pPr>
        <w:pStyle w:val="Numberbullet0"/>
        <w:numPr>
          <w:ilvl w:val="0"/>
          <w:numId w:val="13"/>
        </w:numPr>
      </w:pPr>
      <w:r w:rsidRPr="00932335">
        <w:t xml:space="preserve">Patients </w:t>
      </w:r>
      <w:r w:rsidRPr="007A4C0C">
        <w:t>with</w:t>
      </w:r>
      <w:r w:rsidRPr="00932335">
        <w:t xml:space="preserve"> high risk gene mutations</w:t>
      </w:r>
      <w:r w:rsidR="00B72C5C">
        <w:t xml:space="preserve"> </w:t>
      </w:r>
      <w:r w:rsidR="007A4C0C">
        <w:t>12-17,</w:t>
      </w:r>
    </w:p>
    <w:p w:rsidR="00932335" w:rsidRDefault="00932335" w:rsidP="007A4C0C">
      <w:pPr>
        <w:pStyle w:val="Numberbullet0"/>
        <w:numPr>
          <w:ilvl w:val="0"/>
          <w:numId w:val="13"/>
        </w:numPr>
      </w:pPr>
      <w:r w:rsidRPr="00932335">
        <w:t>HIV positive patients with a viral load &gt;</w:t>
      </w:r>
      <w:r w:rsidR="00B72C5C">
        <w:t xml:space="preserve"> </w:t>
      </w:r>
      <w:r w:rsidRPr="00932335">
        <w:t>2</w:t>
      </w:r>
      <w:r w:rsidR="00B72C5C">
        <w:t xml:space="preserve"> </w:t>
      </w:r>
      <w:r w:rsidRPr="00932335">
        <w:t>00 particles/</w:t>
      </w:r>
      <w:proofErr w:type="spellStart"/>
      <w:r w:rsidRPr="00932335">
        <w:t>μL</w:t>
      </w:r>
      <w:proofErr w:type="spellEnd"/>
      <w:r w:rsidRPr="00932335">
        <w:t xml:space="preserve"> and </w:t>
      </w:r>
      <w:proofErr w:type="spellStart"/>
      <w:r w:rsidRPr="00932335">
        <w:t>immuno</w:t>
      </w:r>
      <w:proofErr w:type="spellEnd"/>
      <w:r w:rsidRPr="00932335">
        <w:t>-compromised patients as evidenced by a CD4 count ≤</w:t>
      </w:r>
      <w:r w:rsidR="00B72C5C">
        <w:t xml:space="preserve"> </w:t>
      </w:r>
      <w:r w:rsidRPr="00932335">
        <w:t>2</w:t>
      </w:r>
      <w:r w:rsidR="00B72C5C">
        <w:t xml:space="preserve"> </w:t>
      </w:r>
      <w:r w:rsidRPr="00932335">
        <w:t>00 cells/mm</w:t>
      </w:r>
      <w:r w:rsidRPr="007A4C0C">
        <w:rPr>
          <w:vertAlign w:val="superscript"/>
        </w:rPr>
        <w:t>3</w:t>
      </w:r>
      <w:r w:rsidR="007A4C0C">
        <w:t>,</w:t>
      </w:r>
    </w:p>
    <w:p w:rsidR="00932335" w:rsidRDefault="00932335" w:rsidP="007A4C0C">
      <w:pPr>
        <w:pStyle w:val="Numberbullet0"/>
        <w:numPr>
          <w:ilvl w:val="0"/>
          <w:numId w:val="13"/>
        </w:numPr>
      </w:pPr>
      <w:r w:rsidRPr="00932335">
        <w:t xml:space="preserve">Patients with renal disease as defined by a serum </w:t>
      </w:r>
      <w:r w:rsidRPr="007A4C0C">
        <w:t>creatinine</w:t>
      </w:r>
      <w:r w:rsidRPr="00932335">
        <w:t xml:space="preserve"> level &gt;</w:t>
      </w:r>
      <w:r>
        <w:t xml:space="preserve"> </w:t>
      </w:r>
      <w:r w:rsidRPr="00932335">
        <w:t>1.5 t</w:t>
      </w:r>
      <w:r w:rsidR="007A4C0C">
        <w:t>imes the upper limit of normal,</w:t>
      </w:r>
    </w:p>
    <w:p w:rsidR="00932335" w:rsidRPr="00932335" w:rsidRDefault="00932335" w:rsidP="007A4C0C">
      <w:pPr>
        <w:pStyle w:val="Numberbullet0"/>
        <w:numPr>
          <w:ilvl w:val="0"/>
          <w:numId w:val="13"/>
        </w:numPr>
      </w:pPr>
      <w:r>
        <w:t>P</w:t>
      </w:r>
      <w:r w:rsidRPr="00932335">
        <w:t>atients with hepatic disease (Definition criteria for liver disease varied between trials</w:t>
      </w:r>
      <w:r w:rsidR="00B72C5C">
        <w:t>)</w:t>
      </w:r>
      <w:r w:rsidR="007A4C0C">
        <w:t>.</w:t>
      </w:r>
    </w:p>
    <w:p w:rsidR="00932335" w:rsidRDefault="00932335" w:rsidP="007A4C0C">
      <w:r w:rsidRPr="00932335">
        <w:t xml:space="preserve">It is recommended that the sponsor adds the unknown safety and efficacy for patients with high risk gene mutations, patients who are HIV positive and patients with renal and hepatic disease as missing information in the table of ongoing safety concerns. Risk minimisation and </w:t>
      </w:r>
      <w:proofErr w:type="spellStart"/>
      <w:r w:rsidRPr="00932335">
        <w:t>pharmacovigilance</w:t>
      </w:r>
      <w:proofErr w:type="spellEnd"/>
      <w:r w:rsidRPr="00932335">
        <w:t xml:space="preserve"> activities to address this missing information should be assigned as appropriate. Specif</w:t>
      </w:r>
      <w:r w:rsidR="007A4C0C">
        <w:t>ically, it is recommended that:</w:t>
      </w:r>
    </w:p>
    <w:p w:rsidR="00932335" w:rsidRDefault="007A4C0C" w:rsidP="007A4C0C">
      <w:pPr>
        <w:pStyle w:val="Numberbullet0"/>
        <w:numPr>
          <w:ilvl w:val="0"/>
          <w:numId w:val="14"/>
        </w:numPr>
      </w:pPr>
      <w:r>
        <w:t>High risk gene mutations,</w:t>
      </w:r>
    </w:p>
    <w:p w:rsidR="00932335" w:rsidRDefault="00932335" w:rsidP="007A4C0C">
      <w:pPr>
        <w:pStyle w:val="Numberbullet0"/>
        <w:numPr>
          <w:ilvl w:val="0"/>
          <w:numId w:val="14"/>
        </w:numPr>
      </w:pPr>
      <w:r w:rsidRPr="00932335">
        <w:t>HIV positive,</w:t>
      </w:r>
    </w:p>
    <w:p w:rsidR="00932335" w:rsidRDefault="007A4C0C" w:rsidP="00BD30DA">
      <w:pPr>
        <w:pStyle w:val="Numberbullet0"/>
        <w:numPr>
          <w:ilvl w:val="0"/>
          <w:numId w:val="14"/>
        </w:numPr>
      </w:pPr>
      <w:r>
        <w:t>Kidney disease and</w:t>
      </w:r>
    </w:p>
    <w:p w:rsidR="00932335" w:rsidRDefault="007A4C0C" w:rsidP="007A4C0C">
      <w:pPr>
        <w:pStyle w:val="Numberbullet0"/>
        <w:numPr>
          <w:ilvl w:val="0"/>
          <w:numId w:val="14"/>
        </w:numPr>
      </w:pPr>
      <w:r>
        <w:t>Liver disease</w:t>
      </w:r>
    </w:p>
    <w:p w:rsidR="00932335" w:rsidRPr="00932335" w:rsidRDefault="00932335" w:rsidP="007A4C0C">
      <w:proofErr w:type="gramStart"/>
      <w:r w:rsidRPr="00932335">
        <w:t>is</w:t>
      </w:r>
      <w:proofErr w:type="gramEnd"/>
      <w:r w:rsidRPr="00932335">
        <w:t xml:space="preserve"> added to the do</w:t>
      </w:r>
      <w:r>
        <w:t>t-points in the CMI in section ‘</w:t>
      </w:r>
      <w:r w:rsidRPr="00932335">
        <w:t xml:space="preserve">What should I tell my doctor before using </w:t>
      </w:r>
      <w:r w:rsidR="0051223A">
        <w:t>Rixubis</w:t>
      </w:r>
      <w:r>
        <w:t>?’</w:t>
      </w:r>
      <w:r w:rsidRPr="00932335">
        <w:t xml:space="preserve"> In addition, it is recommended that the sponsor includes a statement in the PI in </w:t>
      </w:r>
      <w:r w:rsidRPr="00932335">
        <w:lastRenderedPageBreak/>
        <w:t xml:space="preserve">section </w:t>
      </w:r>
      <w:r>
        <w:t>‘</w:t>
      </w:r>
      <w:r w:rsidRPr="00932335">
        <w:t>P</w:t>
      </w:r>
      <w:r w:rsidR="00B72C5C">
        <w:t>recautions</w:t>
      </w:r>
      <w:r>
        <w:t>’</w:t>
      </w:r>
      <w:r w:rsidRPr="00932335">
        <w:t xml:space="preserve"> explaining that the safety of the product for these patient populations has not been established.</w:t>
      </w:r>
    </w:p>
    <w:p w:rsidR="008E7846" w:rsidRPr="007A4C0C" w:rsidRDefault="008E7846" w:rsidP="007A4C0C">
      <w:pPr>
        <w:pStyle w:val="Heading4"/>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932335" w:rsidRPr="00932335" w:rsidRDefault="00932335" w:rsidP="007A4C0C">
      <w:pPr>
        <w:pStyle w:val="Heading5"/>
      </w:pPr>
      <w:bookmarkStart w:id="336" w:name="_Toc336331574"/>
      <w:bookmarkStart w:id="337" w:name="_Toc352144494"/>
      <w:r w:rsidRPr="00932335">
        <w:t xml:space="preserve">Proposed </w:t>
      </w:r>
      <w:proofErr w:type="spellStart"/>
      <w:r w:rsidRPr="007A4C0C">
        <w:t>pharmacovigilance</w:t>
      </w:r>
      <w:proofErr w:type="spellEnd"/>
      <w:r w:rsidRPr="00932335">
        <w:t xml:space="preserve"> activities</w:t>
      </w:r>
      <w:bookmarkEnd w:id="336"/>
      <w:bookmarkEnd w:id="337"/>
    </w:p>
    <w:p w:rsidR="00932335" w:rsidRPr="00932335" w:rsidRDefault="00932335" w:rsidP="007A4C0C">
      <w:r w:rsidRPr="00932335">
        <w:t xml:space="preserve">Routine and additional </w:t>
      </w:r>
      <w:proofErr w:type="spellStart"/>
      <w:r w:rsidRPr="00932335">
        <w:t>pharmacovigilance</w:t>
      </w:r>
      <w:proofErr w:type="spellEnd"/>
      <w:r w:rsidRPr="00932335">
        <w:t xml:space="preserve"> activities are proposed by the sponsor. An additional </w:t>
      </w:r>
      <w:proofErr w:type="spellStart"/>
      <w:r w:rsidRPr="00932335">
        <w:t>pharmacovigilance</w:t>
      </w:r>
      <w:proofErr w:type="spellEnd"/>
      <w:r w:rsidRPr="00932335">
        <w:t xml:space="preserve"> activity includes a paediatric study.</w:t>
      </w:r>
    </w:p>
    <w:p w:rsidR="00932335" w:rsidRPr="00932335" w:rsidRDefault="00932335" w:rsidP="007A4C0C">
      <w:r w:rsidRPr="00932335">
        <w:t>T</w:t>
      </w:r>
      <w:r>
        <w:t>o</w:t>
      </w:r>
      <w:r w:rsidRPr="00932335">
        <w:t xml:space="preserve"> address the important missing information about the safety and efficacy of the product in patients &lt;</w:t>
      </w:r>
      <w:r>
        <w:t xml:space="preserve"> </w:t>
      </w:r>
      <w:r w:rsidRPr="00932335">
        <w:t>12 years one paediatric study is ongoing (</w:t>
      </w:r>
      <w:r>
        <w:t>Study 2</w:t>
      </w:r>
      <w:r w:rsidRPr="00932335">
        <w:t xml:space="preserve">51101). The sample size is based on the requirements of the EMA </w:t>
      </w:r>
      <w:r>
        <w:t>‘</w:t>
      </w:r>
      <w:r w:rsidRPr="00932335">
        <w:t xml:space="preserve">Guideline on clinical investigation of recombinant and human plasma-derived </w:t>
      </w:r>
      <w:r w:rsidR="006978CD">
        <w:t>F</w:t>
      </w:r>
      <w:r w:rsidRPr="00932335">
        <w:t>IX products</w:t>
      </w:r>
      <w:r>
        <w:t>’</w:t>
      </w:r>
      <w:r w:rsidRPr="00932335">
        <w:t xml:space="preserve">. Ten subjects aged </w:t>
      </w:r>
      <w:r>
        <w:t>six</w:t>
      </w:r>
      <w:r w:rsidRPr="00932335">
        <w:t xml:space="preserve"> to &lt;</w:t>
      </w:r>
      <w:r>
        <w:t xml:space="preserve"> </w:t>
      </w:r>
      <w:r w:rsidRPr="00932335">
        <w:t xml:space="preserve">12 years and </w:t>
      </w:r>
      <w:r w:rsidR="00B72C5C">
        <w:t>10</w:t>
      </w:r>
      <w:r w:rsidRPr="00932335">
        <w:t xml:space="preserve"> subjects aged </w:t>
      </w:r>
      <w:r>
        <w:t>more than six</w:t>
      </w:r>
      <w:r w:rsidRPr="00932335">
        <w:t xml:space="preserve"> years are required. To account for a potential drop out, a total of 24 subjects consisting of 12 subjects per age cohort will be enrolled. Recruitment for the trial was stopped when 23 patients were enrolled. Submission of final data </w:t>
      </w:r>
      <w:r>
        <w:t xml:space="preserve">was </w:t>
      </w:r>
      <w:r w:rsidRPr="00932335">
        <w:t>expected</w:t>
      </w:r>
      <w:r>
        <w:t xml:space="preserve"> </w:t>
      </w:r>
      <w:r w:rsidRPr="00932335">
        <w:t xml:space="preserve">for </w:t>
      </w:r>
      <w:r>
        <w:t xml:space="preserve">the third quarter of </w:t>
      </w:r>
      <w:r w:rsidRPr="00932335">
        <w:t>2013.</w:t>
      </w:r>
    </w:p>
    <w:p w:rsidR="00932335" w:rsidRDefault="00932335" w:rsidP="007A4C0C">
      <w:r>
        <w:t xml:space="preserve">Two more studies are ongoing </w:t>
      </w:r>
      <w:r w:rsidR="007A4C0C">
        <w:t>at the time of this evaluation:</w:t>
      </w:r>
    </w:p>
    <w:p w:rsidR="00932335" w:rsidRDefault="00932335" w:rsidP="007A4C0C">
      <w:r>
        <w:t>Study 251001 - Submission of final data is expected for the second quarter of 2015.</w:t>
      </w:r>
    </w:p>
    <w:p w:rsidR="00932335" w:rsidRPr="00FB7F2A" w:rsidRDefault="00932335" w:rsidP="007A4C0C">
      <w:r>
        <w:t>Study 251002 - Submission of final data is expected for the third quarter of 2015.</w:t>
      </w:r>
    </w:p>
    <w:p w:rsidR="00932335" w:rsidRPr="004E656F" w:rsidRDefault="00932335" w:rsidP="007A4C0C">
      <w:pPr>
        <w:pStyle w:val="Heading5"/>
      </w:pPr>
      <w:bookmarkStart w:id="338" w:name="_Toc336331575"/>
      <w:bookmarkStart w:id="339" w:name="_Toc352144495"/>
      <w:r w:rsidRPr="004E656F">
        <w:t xml:space="preserve">OPR reviewer’s comments in regard to the </w:t>
      </w:r>
      <w:proofErr w:type="spellStart"/>
      <w:r w:rsidRPr="004E656F">
        <w:t>pharmacovigilance</w:t>
      </w:r>
      <w:proofErr w:type="spellEnd"/>
      <w:r w:rsidRPr="004E656F">
        <w:t xml:space="preserve"> plan (PP) and the appropriateness of milestones</w:t>
      </w:r>
      <w:bookmarkEnd w:id="338"/>
      <w:bookmarkEnd w:id="339"/>
    </w:p>
    <w:p w:rsidR="00932335" w:rsidRPr="004E656F" w:rsidRDefault="00932335" w:rsidP="007A4C0C">
      <w:r w:rsidRPr="004E656F">
        <w:t xml:space="preserve">The proposed </w:t>
      </w:r>
      <w:r w:rsidR="004E656F">
        <w:t>PP</w:t>
      </w:r>
      <w:r w:rsidRPr="004E656F">
        <w:t xml:space="preserve"> is considered acceptable at this time. This product is not yet registered in any country and therefore, there is no post-marketing data available to</w:t>
      </w:r>
      <w:r w:rsidR="007A4C0C">
        <w:t xml:space="preserve"> prompt any further activities.</w:t>
      </w:r>
    </w:p>
    <w:p w:rsidR="00932335" w:rsidRPr="004E656F" w:rsidRDefault="00932335" w:rsidP="007A4C0C">
      <w:r w:rsidRPr="004E656F">
        <w:t>The milestones for submission of final data obtained from the clinical trials are considered acceptable by the RMP evaluator. It is recommended that the sponsor submits final or interim study reports, resulting from the ongoing clinical trials, to the TGA at the same time as reports are submitte</w:t>
      </w:r>
      <w:r w:rsidR="007A4C0C">
        <w:t>d to other regulatory agencies.</w:t>
      </w:r>
    </w:p>
    <w:p w:rsidR="00932335" w:rsidRPr="004E656F" w:rsidRDefault="00932335" w:rsidP="007A4C0C">
      <w:r w:rsidRPr="004E656F">
        <w:t>Class effects including embolic/</w:t>
      </w:r>
      <w:proofErr w:type="spellStart"/>
      <w:r w:rsidRPr="004E656F">
        <w:t>thrombolic</w:t>
      </w:r>
      <w:proofErr w:type="spellEnd"/>
      <w:r w:rsidRPr="004E656F">
        <w:t xml:space="preserve"> events and </w:t>
      </w:r>
      <w:proofErr w:type="spellStart"/>
      <w:r w:rsidRPr="004E656F">
        <w:t>nephrotic</w:t>
      </w:r>
      <w:proofErr w:type="spellEnd"/>
      <w:r w:rsidRPr="004E656F">
        <w:t xml:space="preserve"> syndrome during </w:t>
      </w:r>
      <w:r w:rsidR="00B72C5C">
        <w:t>i</w:t>
      </w:r>
      <w:r w:rsidR="00B72C5C" w:rsidRPr="004E656F">
        <w:t xml:space="preserve">mmune </w:t>
      </w:r>
      <w:r w:rsidR="00B72C5C">
        <w:t>t</w:t>
      </w:r>
      <w:r w:rsidR="00B72C5C" w:rsidRPr="004E656F">
        <w:t xml:space="preserve">olerance </w:t>
      </w:r>
      <w:r w:rsidR="00B72C5C">
        <w:t>i</w:t>
      </w:r>
      <w:r w:rsidR="00B72C5C" w:rsidRPr="004E656F">
        <w:t xml:space="preserve">nduction </w:t>
      </w:r>
      <w:r w:rsidR="00B72C5C">
        <w:t>(</w:t>
      </w:r>
      <w:r w:rsidRPr="004E656F">
        <w:t>ITI</w:t>
      </w:r>
      <w:r w:rsidR="00B72C5C">
        <w:t>)</w:t>
      </w:r>
      <w:r w:rsidRPr="004E656F">
        <w:t xml:space="preserve"> have been considered and are included in the risk management plan.</w:t>
      </w:r>
    </w:p>
    <w:p w:rsidR="00932335" w:rsidRPr="007A4C0C" w:rsidRDefault="004E656F" w:rsidP="007A4C0C">
      <w:pPr>
        <w:pStyle w:val="Heading4"/>
      </w:pPr>
      <w:bookmarkStart w:id="340" w:name="_Toc336331576"/>
      <w:bookmarkStart w:id="341" w:name="_Toc352144496"/>
      <w:r>
        <w:t>Risk minimisation activities</w:t>
      </w:r>
      <w:bookmarkEnd w:id="340"/>
      <w:bookmarkEnd w:id="341"/>
    </w:p>
    <w:p w:rsidR="00932335" w:rsidRDefault="00932335" w:rsidP="007A4C0C">
      <w:pPr>
        <w:pStyle w:val="Heading5"/>
      </w:pPr>
      <w:bookmarkStart w:id="342" w:name="_Toc336331577"/>
      <w:bookmarkStart w:id="343" w:name="_Toc352144497"/>
      <w:r>
        <w:t xml:space="preserve">Sponsor’s conclusion in regard to the need for risk </w:t>
      </w:r>
      <w:r w:rsidRPr="007A4C0C">
        <w:t>minimisation</w:t>
      </w:r>
      <w:r>
        <w:t xml:space="preserve"> activities</w:t>
      </w:r>
      <w:bookmarkEnd w:id="342"/>
      <w:bookmarkEnd w:id="343"/>
    </w:p>
    <w:p w:rsidR="00932335" w:rsidRPr="004E656F" w:rsidRDefault="00932335" w:rsidP="007A4C0C">
      <w:r w:rsidRPr="004E656F">
        <w:t>The sponsor conclude</w:t>
      </w:r>
      <w:r w:rsidR="00B72C5C">
        <w:t>d</w:t>
      </w:r>
      <w:r w:rsidRPr="004E656F">
        <w:t xml:space="preserve"> that there is no need for additional risk minimi</w:t>
      </w:r>
      <w:r w:rsidR="007A4C0C">
        <w:t>sation activities at this time.</w:t>
      </w:r>
    </w:p>
    <w:p w:rsidR="00932335" w:rsidRPr="004E656F" w:rsidRDefault="00932335" w:rsidP="007A4C0C">
      <w:r w:rsidRPr="004E656F">
        <w:t>The sponsor state</w:t>
      </w:r>
      <w:r w:rsidR="00B72C5C">
        <w:t>d</w:t>
      </w:r>
      <w:r w:rsidRPr="004E656F">
        <w:t xml:space="preserve">: </w:t>
      </w:r>
      <w:r w:rsidR="004E656F" w:rsidRPr="004E656F">
        <w:t>‘</w:t>
      </w:r>
      <w:r w:rsidRPr="004E656F">
        <w:t xml:space="preserve">Any new risk or increase in the frequency or severity of an existing risk that might be identified during routine or additional </w:t>
      </w:r>
      <w:proofErr w:type="spellStart"/>
      <w:r w:rsidRPr="004E656F">
        <w:t>pharmacovigilance</w:t>
      </w:r>
      <w:proofErr w:type="spellEnd"/>
      <w:r w:rsidRPr="004E656F">
        <w:t xml:space="preserve"> monitoring would lead to re-evaluation of routine risk minimi</w:t>
      </w:r>
      <w:r w:rsidR="004E656F">
        <w:t>s</w:t>
      </w:r>
      <w:r w:rsidRPr="004E656F">
        <w:t>ation activities, need for additional risk minimi</w:t>
      </w:r>
      <w:r w:rsidR="004E656F">
        <w:t>s</w:t>
      </w:r>
      <w:r w:rsidRPr="004E656F">
        <w:t>ation activities, and need for an update of this RMP and/or the CCDS/PI.</w:t>
      </w:r>
    </w:p>
    <w:p w:rsidR="00932335" w:rsidRPr="004E656F" w:rsidRDefault="00932335" w:rsidP="007A4C0C">
      <w:pPr>
        <w:pStyle w:val="Heading5"/>
      </w:pPr>
      <w:r w:rsidRPr="004E656F">
        <w:t>OPR</w:t>
      </w:r>
      <w:r w:rsidR="004E656F" w:rsidRPr="004E656F">
        <w:t xml:space="preserve"> reviewer comment:</w:t>
      </w:r>
    </w:p>
    <w:p w:rsidR="00932335" w:rsidRPr="004E656F" w:rsidRDefault="00932335" w:rsidP="007A4C0C">
      <w:r w:rsidRPr="004E656F">
        <w:t xml:space="preserve">As with similar products off-label use for ITI is likely to occur. A high percentage of this will occur in paediatric patients. The sponsor has discussed that safety and efficacy of this product has not been established for ITI. This is included as missing information in the table of ongoing safety concerns in the RMP and in section </w:t>
      </w:r>
      <w:r w:rsidR="004E656F">
        <w:t>‘</w:t>
      </w:r>
      <w:r w:rsidRPr="004E656F">
        <w:t>Inhibitors-</w:t>
      </w:r>
      <w:proofErr w:type="spellStart"/>
      <w:r w:rsidRPr="004E656F">
        <w:t>Nephrotic</w:t>
      </w:r>
      <w:proofErr w:type="spellEnd"/>
      <w:r w:rsidRPr="004E656F">
        <w:t xml:space="preserve"> syndrome</w:t>
      </w:r>
      <w:r w:rsidR="004E656F">
        <w:t>’</w:t>
      </w:r>
      <w:r w:rsidRPr="004E656F">
        <w:t xml:space="preserve"> in the proposed Australian PI. This is considered acceptable.</w:t>
      </w:r>
    </w:p>
    <w:p w:rsidR="004E656F" w:rsidRDefault="00932335" w:rsidP="007A4C0C">
      <w:r w:rsidRPr="004E656F">
        <w:lastRenderedPageBreak/>
        <w:t xml:space="preserve">The justification of the sponsor to undertake only routine risk minimisation activities is considered generally acceptable. Suggestions for minor amendments to the CMI and PI </w:t>
      </w:r>
      <w:r w:rsidR="004E656F">
        <w:t>were made.</w:t>
      </w:r>
      <w:bookmarkStart w:id="344" w:name="_Toc268857338"/>
      <w:bookmarkStart w:id="345" w:name="_Toc336331578"/>
      <w:bookmarkStart w:id="346" w:name="_Toc352144498"/>
    </w:p>
    <w:p w:rsidR="00932335" w:rsidRDefault="00932335" w:rsidP="007A4C0C">
      <w:pPr>
        <w:pStyle w:val="Heading5"/>
      </w:pPr>
      <w:r>
        <w:t xml:space="preserve">Potential </w:t>
      </w:r>
      <w:r w:rsidRPr="007A4C0C">
        <w:t>for</w:t>
      </w:r>
      <w:r>
        <w:t xml:space="preserve"> medication errors</w:t>
      </w:r>
      <w:bookmarkEnd w:id="344"/>
      <w:bookmarkEnd w:id="345"/>
      <w:bookmarkEnd w:id="346"/>
    </w:p>
    <w:p w:rsidR="00932335" w:rsidRPr="004E656F" w:rsidRDefault="00932335" w:rsidP="007A4C0C">
      <w:r>
        <w:t>The sponsor state</w:t>
      </w:r>
      <w:r w:rsidR="00B72C5C">
        <w:t>d</w:t>
      </w:r>
      <w:r>
        <w:t xml:space="preserve">: </w:t>
      </w:r>
      <w:r w:rsidR="004E656F">
        <w:t>‘</w:t>
      </w:r>
      <w:r w:rsidRPr="004E656F">
        <w:t>The potential for medication errors in Australia are not expected to differ from the potential for medication errors in the rest of the world.</w:t>
      </w:r>
    </w:p>
    <w:p w:rsidR="00932335" w:rsidRPr="004E656F" w:rsidRDefault="00932335" w:rsidP="007A4C0C">
      <w:r w:rsidRPr="004E656F">
        <w:t>During the PK</w:t>
      </w:r>
      <w:r w:rsidR="004E656F">
        <w:t xml:space="preserve"> cross-over portion of pivotal S</w:t>
      </w:r>
      <w:r w:rsidRPr="004E656F">
        <w:t xml:space="preserve">tudy 250901, one patient received a dose of 150 IU/kg of </w:t>
      </w:r>
      <w:r w:rsidR="0051223A">
        <w:t>Rixubis</w:t>
      </w:r>
      <w:r w:rsidRPr="004E656F">
        <w:t xml:space="preserve"> instead of 75 IU/kg of </w:t>
      </w:r>
      <w:proofErr w:type="spellStart"/>
      <w:r w:rsidRPr="004E656F">
        <w:t>BeneFIX</w:t>
      </w:r>
      <w:proofErr w:type="spellEnd"/>
      <w:r w:rsidRPr="004E656F">
        <w:t xml:space="preserve">. This error in dosage and drug is considered a human error and not directly related to the </w:t>
      </w:r>
      <w:r w:rsidR="0051223A">
        <w:t>Rixubis</w:t>
      </w:r>
      <w:r w:rsidR="004E656F">
        <w:t xml:space="preserve"> </w:t>
      </w:r>
      <w:r w:rsidRPr="004E656F">
        <w:t>itself. No other medication errors were reported during the clinical development program.</w:t>
      </w:r>
    </w:p>
    <w:p w:rsidR="00932335" w:rsidRPr="004E656F" w:rsidRDefault="00932335" w:rsidP="007A4C0C">
      <w:r w:rsidRPr="004E656F">
        <w:t>Instructions for proper dosage and administration of</w:t>
      </w:r>
      <w:r w:rsidR="004E656F">
        <w:t xml:space="preserve"> </w:t>
      </w:r>
      <w:r w:rsidR="0051223A">
        <w:t>Rixubis</w:t>
      </w:r>
      <w:r w:rsidRPr="004E656F">
        <w:t xml:space="preserve"> are provided in the Australian PI. The outer product packaging and vial labelling clearly indicate the concentration of </w:t>
      </w:r>
      <w:r w:rsidR="0051223A">
        <w:t>Rixubis</w:t>
      </w:r>
      <w:r w:rsidRPr="004E656F">
        <w:t xml:space="preserve">. In addition, each product concentration is assigned a unique colour which is displayed on the outer carton and the vial, and differentiates it from other product concentrations. Instructions for reconstitution, use of the </w:t>
      </w:r>
      <w:proofErr w:type="spellStart"/>
      <w:r w:rsidRPr="004E656F">
        <w:t>B</w:t>
      </w:r>
      <w:r w:rsidR="00B72C5C">
        <w:t>axject</w:t>
      </w:r>
      <w:proofErr w:type="spellEnd"/>
      <w:r w:rsidRPr="004E656F">
        <w:t xml:space="preserve"> II device, and syringe are provided in the Australian PI.</w:t>
      </w:r>
    </w:p>
    <w:p w:rsidR="00932335" w:rsidRPr="004E656F" w:rsidRDefault="00932335" w:rsidP="007A4C0C">
      <w:r w:rsidRPr="004E656F">
        <w:t xml:space="preserve">Instructions to administer </w:t>
      </w:r>
      <w:proofErr w:type="spellStart"/>
      <w:r w:rsidR="0051223A">
        <w:t>Rixubis</w:t>
      </w:r>
      <w:proofErr w:type="spellEnd"/>
      <w:r w:rsidRPr="004E656F">
        <w:t xml:space="preserve"> as a bolus infusion are clearly stated in the Australian PI.</w:t>
      </w:r>
    </w:p>
    <w:p w:rsidR="004E656F" w:rsidRPr="004E656F" w:rsidRDefault="007A4C0C" w:rsidP="007A4C0C">
      <w:pPr>
        <w:pStyle w:val="Heading5"/>
      </w:pPr>
      <w:r>
        <w:t>OPR reviewer comment:</w:t>
      </w:r>
    </w:p>
    <w:p w:rsidR="00932335" w:rsidRPr="004E656F" w:rsidRDefault="00932335" w:rsidP="007A4C0C">
      <w:r w:rsidRPr="004E656F">
        <w:t>As this product will be used by specialised patient populations and treatment will be initiated by specialised physicians, the risk for medication error is considered to be low. The actions taken by the sponsor in order to minimise medication errors, are considered generally acceptable. Suggestions for minor amendments to the CMI, to ensure safe and correct administration of the product by patients</w:t>
      </w:r>
      <w:r w:rsidR="004E656F">
        <w:t xml:space="preserve"> were </w:t>
      </w:r>
      <w:r w:rsidRPr="004E656F">
        <w:t>made.</w:t>
      </w:r>
    </w:p>
    <w:p w:rsidR="004E656F" w:rsidRPr="007A4C0C" w:rsidRDefault="008E7846" w:rsidP="007A4C0C">
      <w:pPr>
        <w:pStyle w:val="Heading4"/>
      </w:pPr>
      <w:r>
        <w:rPr>
          <w:lang w:eastAsia="en-AU"/>
        </w:rPr>
        <w:t xml:space="preserve">Risk </w:t>
      </w:r>
      <w:r w:rsidR="003A7F6C">
        <w:rPr>
          <w:lang w:eastAsia="en-AU"/>
        </w:rPr>
        <w:t>m</w:t>
      </w:r>
      <w:r>
        <w:rPr>
          <w:lang w:eastAsia="en-AU"/>
        </w:rPr>
        <w:t xml:space="preserve">inimisation </w:t>
      </w:r>
      <w:r w:rsidR="004E656F">
        <w:rPr>
          <w:lang w:eastAsia="en-AU"/>
        </w:rPr>
        <w:t>plan</w:t>
      </w:r>
    </w:p>
    <w:p w:rsidR="004E656F" w:rsidRPr="007A4C0C" w:rsidRDefault="004E656F" w:rsidP="007A4C0C">
      <w:pPr>
        <w:pStyle w:val="Heading5"/>
      </w:pPr>
      <w:bookmarkStart w:id="347" w:name="_Toc336331580"/>
      <w:bookmarkStart w:id="348" w:name="_Toc352144500"/>
      <w:r w:rsidRPr="004E656F">
        <w:t>Planned actions</w:t>
      </w:r>
      <w:bookmarkEnd w:id="347"/>
      <w:bookmarkEnd w:id="348"/>
    </w:p>
    <w:p w:rsidR="004E656F" w:rsidRPr="004E656F" w:rsidRDefault="004E656F" w:rsidP="007A4C0C">
      <w:r w:rsidRPr="004E656F">
        <w:t>The sponsor states</w:t>
      </w:r>
      <w:r>
        <w:t xml:space="preserve"> that an RMP</w:t>
      </w:r>
      <w:r w:rsidRPr="004E656F">
        <w:t xml:space="preserve"> is not deemed necessary at this time.</w:t>
      </w:r>
    </w:p>
    <w:p w:rsidR="004E656F" w:rsidRPr="004E656F" w:rsidRDefault="004E656F" w:rsidP="007A4C0C">
      <w:r w:rsidRPr="004E656F">
        <w:t>The risks described in this RMP do not require additional risk minimi</w:t>
      </w:r>
      <w:r>
        <w:t>s</w:t>
      </w:r>
      <w:r w:rsidRPr="004E656F">
        <w:t xml:space="preserve">ation activities. Information regarding these potential risks and missing information have been included in the </w:t>
      </w:r>
      <w:r w:rsidR="0051223A">
        <w:t>Rixubis</w:t>
      </w:r>
      <w:r w:rsidRPr="004E656F">
        <w:t xml:space="preserve"> Australian PI.</w:t>
      </w:r>
      <w:r>
        <w:t xml:space="preserve"> Therefore, routine risk minimis</w:t>
      </w:r>
      <w:r w:rsidRPr="004E656F">
        <w:t xml:space="preserve">ation activities will be exercised for </w:t>
      </w:r>
      <w:r w:rsidR="0051223A">
        <w:t>Rixubis</w:t>
      </w:r>
      <w:r w:rsidRPr="004E656F">
        <w:t>. No additional risk minimi</w:t>
      </w:r>
      <w:r>
        <w:t>s</w:t>
      </w:r>
      <w:r w:rsidRPr="004E656F">
        <w:t>ation activities are recommended at this</w:t>
      </w:r>
      <w:r w:rsidR="007A4C0C">
        <w:t xml:space="preserve"> time.</w:t>
      </w:r>
    </w:p>
    <w:p w:rsidR="004E656F" w:rsidRPr="004E656F" w:rsidRDefault="004E656F" w:rsidP="007A4C0C">
      <w:pPr>
        <w:pStyle w:val="Heading5"/>
      </w:pPr>
      <w:r w:rsidRPr="004E656F">
        <w:t>OPR reviewer comment:</w:t>
      </w:r>
    </w:p>
    <w:p w:rsidR="004E656F" w:rsidRPr="004E656F" w:rsidRDefault="004E656F" w:rsidP="007A4C0C">
      <w:r w:rsidRPr="004E656F">
        <w:t>It is considered that at this time the justification from the sponsor not to implement any additional risk minimis</w:t>
      </w:r>
      <w:r w:rsidR="007A4C0C">
        <w:t>ation activities is acceptable.</w:t>
      </w:r>
    </w:p>
    <w:p w:rsidR="004E656F" w:rsidRPr="004E656F" w:rsidRDefault="004E656F" w:rsidP="007A4C0C">
      <w:r w:rsidRPr="004E656F">
        <w:t xml:space="preserve">In regard to the proposed routine risk minimisation activities, it is recommended </w:t>
      </w:r>
      <w:r>
        <w:t>to the Delegate that the draft PI</w:t>
      </w:r>
      <w:r w:rsidRPr="004E656F">
        <w:t xml:space="preserve"> document be revised</w:t>
      </w:r>
      <w:r w:rsidR="00C80EA2">
        <w:t>.</w:t>
      </w:r>
    </w:p>
    <w:p w:rsidR="008E7846" w:rsidRPr="00981F1D" w:rsidRDefault="008E7846" w:rsidP="00981F1D">
      <w:pPr>
        <w:pStyle w:val="Heading4"/>
      </w:pPr>
      <w:bookmarkStart w:id="349" w:name="_Toc247691527"/>
      <w:r>
        <w:rPr>
          <w:lang w:eastAsia="en-AU"/>
        </w:rPr>
        <w:t xml:space="preserve">Summary of </w:t>
      </w:r>
      <w:r w:rsidR="003A7F6C">
        <w:rPr>
          <w:lang w:eastAsia="en-AU"/>
        </w:rPr>
        <w:t>r</w:t>
      </w:r>
      <w:r>
        <w:rPr>
          <w:lang w:eastAsia="en-AU"/>
        </w:rPr>
        <w:t>ecommendations</w:t>
      </w:r>
    </w:p>
    <w:p w:rsidR="00C80EA2" w:rsidRPr="00C80EA2" w:rsidRDefault="00C80EA2" w:rsidP="00981F1D">
      <w:pPr>
        <w:rPr>
          <w:highlight w:val="cyan"/>
        </w:rPr>
      </w:pPr>
      <w:r w:rsidRPr="00C80EA2">
        <w:t xml:space="preserve">The OPR provides these recommendations in the context that the submitted RMP is supportive to the application; the implementation of the submitted AU/NZ RMP satisfactory to the TGA is imposed as a condition of registration; and the draft </w:t>
      </w:r>
      <w:r w:rsidR="003E2FA2">
        <w:t>PI</w:t>
      </w:r>
      <w:r w:rsidRPr="00C80EA2">
        <w:t xml:space="preserve"> and </w:t>
      </w:r>
      <w:r w:rsidR="00B72C5C">
        <w:t>CMI</w:t>
      </w:r>
      <w:r w:rsidRPr="00C80EA2">
        <w:t xml:space="preserve"> documents should NOT be revised until the Delegates Overview has been received</w:t>
      </w:r>
      <w:r>
        <w:t>.</w:t>
      </w:r>
    </w:p>
    <w:p w:rsidR="00C80EA2" w:rsidRPr="00C80EA2" w:rsidRDefault="00C80EA2" w:rsidP="00981F1D">
      <w:r w:rsidRPr="00C80EA2">
        <w:t xml:space="preserve">Safety considerations may be raised by the nonclinical and clinical evaluators through the consolidated </w:t>
      </w:r>
      <w:r>
        <w:t xml:space="preserve">TGA </w:t>
      </w:r>
      <w:r w:rsidRPr="00C80EA2">
        <w:t xml:space="preserve">request </w:t>
      </w:r>
      <w:r>
        <w:t xml:space="preserve">for further information. </w:t>
      </w:r>
      <w:r w:rsidRPr="00C80EA2">
        <w:t>It is important to ensure that the information provided in response to these include</w:t>
      </w:r>
      <w:r>
        <w:t>s</w:t>
      </w:r>
      <w:r w:rsidRPr="00C80EA2">
        <w:t xml:space="preserve"> a consideration of the relevance for </w:t>
      </w:r>
      <w:r w:rsidRPr="00C80EA2">
        <w:lastRenderedPageBreak/>
        <w:t>the RMP, and any specific information needed to address this issue in the RMP. For any safety considerations so raised, the sponsor should provide information that is relevant and necessary to address the issue in the RMP.</w:t>
      </w:r>
    </w:p>
    <w:p w:rsidR="00C80EA2" w:rsidRPr="00C80EA2" w:rsidRDefault="00C80EA2" w:rsidP="00981F1D">
      <w:pPr>
        <w:pStyle w:val="Numberbullet0"/>
        <w:numPr>
          <w:ilvl w:val="0"/>
          <w:numId w:val="15"/>
        </w:numPr>
      </w:pPr>
      <w:r w:rsidRPr="00C80EA2">
        <w:t>It is recommended that RMP for Australia/</w:t>
      </w:r>
      <w:r w:rsidRPr="00981F1D">
        <w:t>New</w:t>
      </w:r>
      <w:r w:rsidRPr="00C80EA2">
        <w:t xml:space="preserve"> Zealand, Version 1, dated 27</w:t>
      </w:r>
      <w:r w:rsidR="00B72C5C">
        <w:t xml:space="preserve"> </w:t>
      </w:r>
      <w:r w:rsidRPr="00C80EA2">
        <w:t>Dec</w:t>
      </w:r>
      <w:r w:rsidR="00B72C5C">
        <w:t xml:space="preserve">ember </w:t>
      </w:r>
      <w:r w:rsidRPr="00C80EA2">
        <w:t>2012, and any future updates are implemented as a condition of registration.</w:t>
      </w:r>
    </w:p>
    <w:p w:rsidR="00C80EA2" w:rsidRPr="00C80EA2" w:rsidRDefault="00C80EA2" w:rsidP="00981F1D">
      <w:pPr>
        <w:pStyle w:val="Numberbullet0"/>
      </w:pPr>
      <w:r w:rsidRPr="00C80EA2">
        <w:t xml:space="preserve">Pain and bleeding at the injection side </w:t>
      </w:r>
      <w:r w:rsidRPr="00981F1D">
        <w:t>should</w:t>
      </w:r>
      <w:r w:rsidRPr="00C80EA2">
        <w:t xml:space="preserve"> be considered as a potential risk and therefore, an addition to the RMP to address these risks is recommended. This should also be addressed in the PI and CMI as appropriate.</w:t>
      </w:r>
    </w:p>
    <w:p w:rsidR="00C80EA2" w:rsidRPr="00C80EA2" w:rsidRDefault="00C80EA2" w:rsidP="00981F1D">
      <w:pPr>
        <w:pStyle w:val="Numberbullet0"/>
      </w:pPr>
      <w:r w:rsidRPr="00C80EA2">
        <w:t xml:space="preserve">It is recommended that the sponsor adds the unknown safety and efficacy for patients with high risk gene mutations, to the table of ongoing safety concerns as missing information. Risk minimisation and </w:t>
      </w:r>
      <w:proofErr w:type="spellStart"/>
      <w:r w:rsidRPr="00C80EA2">
        <w:t>pharmacovigilance</w:t>
      </w:r>
      <w:proofErr w:type="spellEnd"/>
      <w:r w:rsidRPr="00C80EA2">
        <w:t xml:space="preserve"> activities to address this missing information should be assigned as appropriate, and as </w:t>
      </w:r>
      <w:r w:rsidR="00981F1D">
        <w:t>specified by the RMP evaluator.</w:t>
      </w:r>
    </w:p>
    <w:p w:rsidR="00C80EA2" w:rsidRPr="00C80EA2" w:rsidRDefault="00C80EA2" w:rsidP="00981F1D">
      <w:pPr>
        <w:pStyle w:val="Numberbullet0"/>
      </w:pPr>
      <w:r w:rsidRPr="00C80EA2">
        <w:t xml:space="preserve">HIV </w:t>
      </w:r>
      <w:r w:rsidRPr="00981F1D">
        <w:t>positive</w:t>
      </w:r>
      <w:r w:rsidRPr="00C80EA2">
        <w:t xml:space="preserve"> patients with a viral load &gt;</w:t>
      </w:r>
      <w:r>
        <w:t xml:space="preserve"> </w:t>
      </w:r>
      <w:r w:rsidRPr="00C80EA2">
        <w:t>200 particles/</w:t>
      </w:r>
      <w:proofErr w:type="spellStart"/>
      <w:r w:rsidRPr="00C80EA2">
        <w:t>μL</w:t>
      </w:r>
      <w:proofErr w:type="spellEnd"/>
      <w:r w:rsidRPr="00C80EA2">
        <w:t xml:space="preserve"> and </w:t>
      </w:r>
      <w:proofErr w:type="spellStart"/>
      <w:r w:rsidRPr="00C80EA2">
        <w:t>immuno</w:t>
      </w:r>
      <w:proofErr w:type="spellEnd"/>
      <w:r w:rsidRPr="00C80EA2">
        <w:t xml:space="preserve">-compromised patients as evidenced by a CD4 count </w:t>
      </w:r>
      <w:r>
        <w:t xml:space="preserve">≤ </w:t>
      </w:r>
      <w:r w:rsidRPr="00C80EA2">
        <w:t>200 cells/mm</w:t>
      </w:r>
      <w:r w:rsidRPr="00C80EA2">
        <w:rPr>
          <w:vertAlign w:val="superscript"/>
        </w:rPr>
        <w:t>3</w:t>
      </w:r>
      <w:r w:rsidRPr="00C80EA2">
        <w:t xml:space="preserve"> should be included in the table of ongoing safety concerns as missing information. Risk minimisation and </w:t>
      </w:r>
      <w:proofErr w:type="spellStart"/>
      <w:r w:rsidRPr="00C80EA2">
        <w:t>pharmacovigilance</w:t>
      </w:r>
      <w:proofErr w:type="spellEnd"/>
      <w:r w:rsidRPr="00C80EA2">
        <w:t xml:space="preserve"> activities to address this missing information should be assigned as appropriate, and as specified by the RMP evaluator</w:t>
      </w:r>
      <w:r>
        <w:t>.</w:t>
      </w:r>
    </w:p>
    <w:p w:rsidR="00C80EA2" w:rsidRDefault="00C80EA2" w:rsidP="00981F1D">
      <w:pPr>
        <w:pStyle w:val="Numberbullet0"/>
      </w:pPr>
      <w:r w:rsidRPr="00C80EA2">
        <w:t xml:space="preserve">It is </w:t>
      </w:r>
      <w:r w:rsidRPr="00981F1D">
        <w:t>recommended</w:t>
      </w:r>
      <w:r w:rsidRPr="00C80EA2">
        <w:t xml:space="preserve"> that the sponsor adds the unknown safety and efficacy for patients with liver disease as missing information. Risk minimisation and </w:t>
      </w:r>
      <w:proofErr w:type="spellStart"/>
      <w:r w:rsidRPr="00C80EA2">
        <w:t>pharmacovigilance</w:t>
      </w:r>
      <w:proofErr w:type="spellEnd"/>
      <w:r w:rsidRPr="00C80EA2">
        <w:t xml:space="preserve"> activities to address this missing information should be assigned as appropriate, and as specified by the RMP evaluator</w:t>
      </w:r>
      <w:r>
        <w:t>.</w:t>
      </w:r>
    </w:p>
    <w:p w:rsidR="00C80EA2" w:rsidRPr="00C80EA2" w:rsidRDefault="00C80EA2" w:rsidP="00981F1D">
      <w:pPr>
        <w:pStyle w:val="Numberbullet0"/>
      </w:pPr>
      <w:r w:rsidRPr="00C80EA2">
        <w:t xml:space="preserve">It is recommended that the </w:t>
      </w:r>
      <w:r w:rsidRPr="00981F1D">
        <w:t>sponsor</w:t>
      </w:r>
      <w:r w:rsidRPr="00C80EA2">
        <w:t xml:space="preserve"> adds the unknown safety and efficacy for patients with renal disease as missing information. Risk minimisation and </w:t>
      </w:r>
      <w:proofErr w:type="spellStart"/>
      <w:r w:rsidRPr="00C80EA2">
        <w:t>pharmacovigilance</w:t>
      </w:r>
      <w:proofErr w:type="spellEnd"/>
      <w:r w:rsidRPr="00C80EA2">
        <w:t xml:space="preserve"> activities to address this missing information should be assigned as appropriate, and as specified by the RMP evaluator</w:t>
      </w:r>
      <w:r>
        <w:t>.</w:t>
      </w:r>
    </w:p>
    <w:p w:rsidR="00C80EA2" w:rsidRPr="00C80EA2" w:rsidRDefault="00C80EA2" w:rsidP="00981F1D">
      <w:pPr>
        <w:pStyle w:val="Numberbullet0"/>
      </w:pPr>
      <w:r w:rsidRPr="00C80EA2">
        <w:t xml:space="preserve">It is recommended that the </w:t>
      </w:r>
      <w:r w:rsidRPr="00981F1D">
        <w:t>sponsor</w:t>
      </w:r>
      <w:r w:rsidRPr="00C80EA2">
        <w:t xml:space="preserve"> submits final or interim study reports, resulting from the ongoing clinical trials, to the TGA at the same time as reports are submitted to other regulator</w:t>
      </w:r>
      <w:r>
        <w:t>y agencies</w:t>
      </w:r>
      <w:r w:rsidRPr="00C80EA2">
        <w:t>.</w:t>
      </w:r>
    </w:p>
    <w:p w:rsidR="00C80EA2" w:rsidRDefault="00C80EA2" w:rsidP="00981F1D">
      <w:pPr>
        <w:pStyle w:val="Numberbullet0"/>
      </w:pPr>
      <w:r w:rsidRPr="00C80EA2">
        <w:t>Changes are recommended to th</w:t>
      </w:r>
      <w:r w:rsidR="00981F1D">
        <w:t>e proposed PI and CMI.</w:t>
      </w:r>
    </w:p>
    <w:p w:rsidR="001F242F" w:rsidRPr="00C42BD8" w:rsidRDefault="001F242F" w:rsidP="00C42BD8">
      <w:pPr>
        <w:pStyle w:val="Heading3"/>
      </w:pPr>
      <w:bookmarkStart w:id="350" w:name="_Toc387924297"/>
      <w:r>
        <w:t>Second round evaluation</w:t>
      </w:r>
      <w:bookmarkEnd w:id="350"/>
    </w:p>
    <w:p w:rsidR="001F242F" w:rsidRDefault="001F242F" w:rsidP="00C42BD8">
      <w:r w:rsidRPr="001F242F">
        <w:t xml:space="preserve">Table </w:t>
      </w:r>
      <w:r w:rsidR="00E1097C">
        <w:t>7</w:t>
      </w:r>
      <w:r w:rsidRPr="001F242F">
        <w:t xml:space="preserve"> seeks to reconcile issues identified in the RMP evaluation report for the above submission with consideration of the following documents:</w:t>
      </w:r>
    </w:p>
    <w:p w:rsidR="001F242F" w:rsidRDefault="001F242F" w:rsidP="00C42BD8">
      <w:pPr>
        <w:pStyle w:val="Numberbullet0"/>
        <w:numPr>
          <w:ilvl w:val="0"/>
          <w:numId w:val="16"/>
        </w:numPr>
      </w:pPr>
      <w:r>
        <w:t xml:space="preserve">RMP for Australian/New Zealand, Version 1, dated 27 </w:t>
      </w:r>
      <w:r w:rsidRPr="00C42BD8">
        <w:t>Dec</w:t>
      </w:r>
      <w:r w:rsidR="007D50BD" w:rsidRPr="00C42BD8">
        <w:t>ember</w:t>
      </w:r>
      <w:r w:rsidR="007D50BD">
        <w:t xml:space="preserve"> </w:t>
      </w:r>
      <w:r>
        <w:t>2012</w:t>
      </w:r>
    </w:p>
    <w:p w:rsidR="001F242F" w:rsidRDefault="001F242F" w:rsidP="00C42BD8">
      <w:pPr>
        <w:pStyle w:val="Numberbullet0"/>
        <w:numPr>
          <w:ilvl w:val="0"/>
          <w:numId w:val="16"/>
        </w:numPr>
      </w:pPr>
      <w:r>
        <w:t xml:space="preserve">Sponsor’s response to the TGA request for further </w:t>
      </w:r>
      <w:r w:rsidRPr="00C42BD8">
        <w:t>information</w:t>
      </w:r>
      <w:r>
        <w:t>, dated 29 August 2013</w:t>
      </w:r>
    </w:p>
    <w:p w:rsidR="007D50BD" w:rsidRDefault="007D50BD" w:rsidP="00C42BD8">
      <w:pPr>
        <w:pStyle w:val="Numberbullet0"/>
        <w:numPr>
          <w:ilvl w:val="0"/>
          <w:numId w:val="16"/>
        </w:numPr>
      </w:pPr>
      <w:r>
        <w:t xml:space="preserve">OMA Clinical Evaluation Report for </w:t>
      </w:r>
      <w:proofErr w:type="spellStart"/>
      <w:r>
        <w:t>rFIX</w:t>
      </w:r>
      <w:proofErr w:type="spellEnd"/>
      <w:r>
        <w:t xml:space="preserve">, </w:t>
      </w:r>
      <w:proofErr w:type="spellStart"/>
      <w:r w:rsidR="0051223A">
        <w:t>Rixubis</w:t>
      </w:r>
      <w:proofErr w:type="spellEnd"/>
      <w:r>
        <w:t>, dated May 2013 (first round) and October 2013 (second round)</w:t>
      </w:r>
    </w:p>
    <w:p w:rsidR="007D50BD" w:rsidRDefault="007D50BD" w:rsidP="00C42BD8">
      <w:pPr>
        <w:pStyle w:val="Numberbullet0"/>
        <w:numPr>
          <w:ilvl w:val="0"/>
          <w:numId w:val="16"/>
        </w:numPr>
      </w:pPr>
      <w:r>
        <w:t xml:space="preserve">OSE, Non-clinical Evaluation Report (NCER) for </w:t>
      </w:r>
      <w:proofErr w:type="spellStart"/>
      <w:r w:rsidRPr="00C42BD8">
        <w:t>Nonocog</w:t>
      </w:r>
      <w:proofErr w:type="spellEnd"/>
      <w:r>
        <w:t xml:space="preserve"> gamma (</w:t>
      </w:r>
      <w:proofErr w:type="spellStart"/>
      <w:r w:rsidR="0051223A">
        <w:t>Rixubis</w:t>
      </w:r>
      <w:proofErr w:type="spellEnd"/>
      <w:r w:rsidR="00C42BD8">
        <w:t>) dated 28 August 2013.</w:t>
      </w:r>
    </w:p>
    <w:p w:rsidR="001F242F" w:rsidRDefault="007D50BD" w:rsidP="00C42BD8">
      <w:r>
        <w:t>It is considered that the sponsor’s response to the TGA’s request for further information has not adequately addressed all of the issues identified in the RMP evaluation report.</w:t>
      </w:r>
    </w:p>
    <w:p w:rsidR="007D50BD" w:rsidRPr="00867359" w:rsidRDefault="00C21710" w:rsidP="00867359">
      <w:pPr>
        <w:pStyle w:val="TableTitle"/>
      </w:pPr>
      <w:r>
        <w:lastRenderedPageBreak/>
        <w:t xml:space="preserve">Table </w:t>
      </w:r>
      <w:r w:rsidR="00B72C5C">
        <w:t>7</w:t>
      </w:r>
      <w:r>
        <w:t xml:space="preserve">: </w:t>
      </w:r>
      <w:r w:rsidR="007D50BD" w:rsidRPr="00C21710">
        <w:t>Reconciliation of issues outlined in the RMP report</w:t>
      </w:r>
    </w:p>
    <w:tbl>
      <w:tblPr>
        <w:tblStyle w:val="TableTGAblue"/>
        <w:tblW w:w="0" w:type="auto"/>
        <w:tblInd w:w="108" w:type="dxa"/>
        <w:tblLook w:val="04A0" w:firstRow="1" w:lastRow="0" w:firstColumn="1" w:lastColumn="0" w:noHBand="0" w:noVBand="1"/>
      </w:tblPr>
      <w:tblGrid>
        <w:gridCol w:w="2540"/>
        <w:gridCol w:w="7"/>
        <w:gridCol w:w="3084"/>
        <w:gridCol w:w="2981"/>
      </w:tblGrid>
      <w:tr w:rsidR="0051223A" w:rsidTr="0051223A">
        <w:trPr>
          <w:cnfStyle w:val="100000000000" w:firstRow="1" w:lastRow="0" w:firstColumn="0" w:lastColumn="0" w:oddVBand="0" w:evenVBand="0" w:oddHBand="0" w:evenHBand="0" w:firstRowFirstColumn="0" w:firstRowLastColumn="0" w:lastRowFirstColumn="0" w:lastRowLastColumn="0"/>
        </w:trPr>
        <w:tc>
          <w:tcPr>
            <w:tcW w:w="2566" w:type="dxa"/>
            <w:gridSpan w:val="2"/>
          </w:tcPr>
          <w:p w:rsidR="007D50BD" w:rsidRPr="007D50BD" w:rsidRDefault="007D50BD" w:rsidP="00867359">
            <w:pPr>
              <w:tabs>
                <w:tab w:val="left" w:pos="2160"/>
              </w:tabs>
              <w:ind w:left="34" w:right="44"/>
            </w:pPr>
            <w:r w:rsidRPr="007D50BD">
              <w:t>Recommendation in RMP evaluation report</w:t>
            </w:r>
          </w:p>
        </w:tc>
        <w:tc>
          <w:tcPr>
            <w:tcW w:w="3114" w:type="dxa"/>
          </w:tcPr>
          <w:p w:rsidR="007D50BD" w:rsidRPr="007D50BD" w:rsidRDefault="007D50BD" w:rsidP="00867359">
            <w:pPr>
              <w:ind w:left="48" w:right="0"/>
            </w:pPr>
            <w:r w:rsidRPr="007D50BD">
              <w:t>Sponsor’s response</w:t>
            </w:r>
          </w:p>
        </w:tc>
        <w:tc>
          <w:tcPr>
            <w:tcW w:w="2932" w:type="dxa"/>
          </w:tcPr>
          <w:p w:rsidR="007D50BD" w:rsidRPr="007D50BD" w:rsidRDefault="007D50BD" w:rsidP="00867359">
            <w:pPr>
              <w:ind w:left="65" w:right="0"/>
            </w:pPr>
            <w:r w:rsidRPr="007D50BD">
              <w:t>OPR evaluator’s comment</w:t>
            </w:r>
          </w:p>
        </w:tc>
      </w:tr>
      <w:tr w:rsidR="0051223A" w:rsidTr="0051223A">
        <w:tc>
          <w:tcPr>
            <w:tcW w:w="2566" w:type="dxa"/>
            <w:gridSpan w:val="2"/>
          </w:tcPr>
          <w:p w:rsidR="007D50BD" w:rsidRPr="00D47277" w:rsidRDefault="007D50BD" w:rsidP="00867359">
            <w:pPr>
              <w:tabs>
                <w:tab w:val="left" w:pos="2160"/>
              </w:tabs>
              <w:ind w:left="34" w:right="44"/>
            </w:pPr>
            <w:r w:rsidRPr="00D47277">
              <w:t>It is recommended that RMP for Australia/New Zealand, Version 1, dated 27-Dec-2012, and any future updates are implemented as a condition of registration.</w:t>
            </w:r>
          </w:p>
        </w:tc>
        <w:tc>
          <w:tcPr>
            <w:tcW w:w="3114" w:type="dxa"/>
          </w:tcPr>
          <w:p w:rsidR="007D50BD" w:rsidRPr="007D50BD" w:rsidRDefault="007D50BD" w:rsidP="00867359">
            <w:pPr>
              <w:ind w:left="48" w:right="0"/>
            </w:pPr>
            <w:r w:rsidRPr="007D50BD">
              <w:t xml:space="preserve">Baxter confirms that the RMP and any future updates will be implemented upon registration. </w:t>
            </w:r>
          </w:p>
          <w:p w:rsidR="007D50BD" w:rsidRPr="007D50BD" w:rsidRDefault="007D50BD" w:rsidP="00867359">
            <w:pPr>
              <w:ind w:left="48" w:right="0"/>
            </w:pPr>
            <w:r w:rsidRPr="007D50BD">
              <w:t>Please note that an upd</w:t>
            </w:r>
            <w:r w:rsidR="00D47277">
              <w:t>ated RMP, dated 26 August 2013</w:t>
            </w:r>
            <w:r w:rsidR="0051223A">
              <w:t xml:space="preserve"> </w:t>
            </w:r>
            <w:r w:rsidR="00D47277">
              <w:t>was</w:t>
            </w:r>
            <w:r w:rsidR="00867359">
              <w:t xml:space="preserve"> included in this response.</w:t>
            </w:r>
          </w:p>
        </w:tc>
        <w:tc>
          <w:tcPr>
            <w:tcW w:w="2932" w:type="dxa"/>
          </w:tcPr>
          <w:p w:rsidR="007D50BD" w:rsidRPr="007D50BD" w:rsidRDefault="007D50BD" w:rsidP="00867359">
            <w:pPr>
              <w:ind w:left="65" w:right="0"/>
            </w:pPr>
            <w:r w:rsidRPr="007D50BD">
              <w:t>The sponsor has not submitted a summary of changes to outline the differences between the two RMPs. It is recommended that the sponsor submits a summary outlining the differences between the two RMP versions, and the ratio</w:t>
            </w:r>
            <w:r w:rsidR="00867359">
              <w:t>nal for any changes to the RMP.</w:t>
            </w:r>
          </w:p>
        </w:tc>
      </w:tr>
      <w:tr w:rsidR="0051223A" w:rsidTr="0051223A">
        <w:tc>
          <w:tcPr>
            <w:tcW w:w="2566" w:type="dxa"/>
            <w:gridSpan w:val="2"/>
          </w:tcPr>
          <w:p w:rsidR="007D50BD" w:rsidRPr="00D47277" w:rsidRDefault="007D50BD" w:rsidP="00867359">
            <w:pPr>
              <w:tabs>
                <w:tab w:val="left" w:pos="2160"/>
              </w:tabs>
              <w:ind w:left="34" w:right="44"/>
            </w:pPr>
            <w:r w:rsidRPr="00D47277">
              <w:t>Pain and bleeding at the injection site should be considered as a potential risk and therefore, an addition to the RMP to address these risks is recommended. This should also be addressed in the PI and CMI as appropriate.</w:t>
            </w:r>
          </w:p>
        </w:tc>
        <w:tc>
          <w:tcPr>
            <w:tcW w:w="3114" w:type="dxa"/>
          </w:tcPr>
          <w:p w:rsidR="007D50BD" w:rsidRPr="007D50BD" w:rsidRDefault="007D50BD" w:rsidP="00867359">
            <w:pPr>
              <w:ind w:left="48" w:right="0"/>
            </w:pPr>
            <w:r w:rsidRPr="007D50BD">
              <w:t>The proposed potential risk (pain and bleeding at the injection site) is not specific to the active ingredients or excipients in R</w:t>
            </w:r>
            <w:r w:rsidR="00D47277">
              <w:t>ixubis</w:t>
            </w:r>
            <w:r w:rsidRPr="007D50BD">
              <w:t xml:space="preserve">, the syringe or </w:t>
            </w:r>
            <w:proofErr w:type="spellStart"/>
            <w:r w:rsidRPr="007D50BD">
              <w:t>B</w:t>
            </w:r>
            <w:r w:rsidR="0094012C">
              <w:t>axject</w:t>
            </w:r>
            <w:proofErr w:type="spellEnd"/>
            <w:r w:rsidR="0094012C">
              <w:t xml:space="preserve"> </w:t>
            </w:r>
            <w:r w:rsidRPr="007D50BD">
              <w:t>II device used with R</w:t>
            </w:r>
            <w:r w:rsidR="00D47277">
              <w:t>ixubis</w:t>
            </w:r>
            <w:r w:rsidRPr="007D50BD">
              <w:t>; rather, these risks apply to any intravenous administration procedure. These risks represent procedural complications of</w:t>
            </w:r>
            <w:r w:rsidR="00867359">
              <w:t xml:space="preserve"> intravenous administration.</w:t>
            </w:r>
          </w:p>
          <w:p w:rsidR="007D50BD" w:rsidRPr="007D50BD" w:rsidRDefault="007D50BD" w:rsidP="00867359">
            <w:pPr>
              <w:ind w:left="48" w:right="0"/>
            </w:pPr>
            <w:r w:rsidRPr="007D50BD">
              <w:t>Therefore, Baxter proposes not to include pain and bleeding at the injection site as a potential risk within the RMP.</w:t>
            </w:r>
          </w:p>
        </w:tc>
        <w:tc>
          <w:tcPr>
            <w:tcW w:w="2932" w:type="dxa"/>
          </w:tcPr>
          <w:p w:rsidR="007D50BD" w:rsidRPr="007D50BD" w:rsidRDefault="007D50BD" w:rsidP="00867359">
            <w:pPr>
              <w:ind w:left="65" w:right="0"/>
            </w:pPr>
            <w:r w:rsidRPr="007D50BD">
              <w:t xml:space="preserve">This is </w:t>
            </w:r>
            <w:r w:rsidR="00D47277">
              <w:t>considered acceptable.</w:t>
            </w:r>
          </w:p>
        </w:tc>
      </w:tr>
      <w:tr w:rsidR="0051223A" w:rsidTr="0051223A">
        <w:tc>
          <w:tcPr>
            <w:tcW w:w="2566" w:type="dxa"/>
            <w:gridSpan w:val="2"/>
          </w:tcPr>
          <w:p w:rsidR="007D50BD" w:rsidRPr="00D47277" w:rsidRDefault="007D50BD" w:rsidP="00867359">
            <w:pPr>
              <w:tabs>
                <w:tab w:val="left" w:pos="2160"/>
              </w:tabs>
              <w:ind w:left="34" w:right="44"/>
            </w:pPr>
            <w:r w:rsidRPr="00D47277">
              <w:t xml:space="preserve">It is recommended that the sponsor adds the unknown safety and efficacy for patients with high risk gene mutations, to the table of ongoing safety concerns as missing information. Risk minimisation and </w:t>
            </w:r>
            <w:proofErr w:type="spellStart"/>
            <w:r w:rsidRPr="00D47277">
              <w:t>pharmacovigilance</w:t>
            </w:r>
            <w:proofErr w:type="spellEnd"/>
            <w:r w:rsidRPr="00D47277">
              <w:t xml:space="preserve"> activities to address this missing information should be assigned as appropriate, and as specified by the RMP </w:t>
            </w:r>
            <w:r w:rsidRPr="00D47277">
              <w:lastRenderedPageBreak/>
              <w:t>evaluator</w:t>
            </w:r>
            <w:r w:rsidR="00867359">
              <w:t>.</w:t>
            </w:r>
          </w:p>
        </w:tc>
        <w:tc>
          <w:tcPr>
            <w:tcW w:w="3114" w:type="dxa"/>
          </w:tcPr>
          <w:p w:rsidR="007D50BD" w:rsidRPr="007D50BD" w:rsidRDefault="007D50BD" w:rsidP="00867359">
            <w:pPr>
              <w:ind w:left="48" w:right="0"/>
            </w:pPr>
            <w:r w:rsidRPr="007D50BD">
              <w:lastRenderedPageBreak/>
              <w:t>P</w:t>
            </w:r>
            <w:r w:rsidR="005B2F41">
              <w:t>TP</w:t>
            </w:r>
            <w:r w:rsidRPr="007D50BD">
              <w:t>s with high risk gene mutations (</w:t>
            </w:r>
            <w:r w:rsidR="00D47277">
              <w:t>such as</w:t>
            </w:r>
            <w:r w:rsidRPr="007D50BD">
              <w:t xml:space="preserve"> nonsense mutations) were included in clinical studies with R</w:t>
            </w:r>
            <w:r w:rsidR="00D47277">
              <w:t>ixubis</w:t>
            </w:r>
            <w:r w:rsidRPr="007D50BD">
              <w:t>.</w:t>
            </w:r>
          </w:p>
          <w:p w:rsidR="007D50BD" w:rsidRPr="007D50BD" w:rsidRDefault="007D50BD" w:rsidP="00867359">
            <w:pPr>
              <w:ind w:left="48" w:right="0"/>
            </w:pPr>
            <w:r w:rsidRPr="007D50BD">
              <w:t xml:space="preserve">While there is an increased risk of inhibitor development and hypersensitivity reactions in this population, high risk gene mutations are considered rare in </w:t>
            </w:r>
            <w:r w:rsidR="00D47277" w:rsidRPr="007D50BD">
              <w:t>haemophilia</w:t>
            </w:r>
            <w:r w:rsidRPr="007D50BD">
              <w:t xml:space="preserve"> B patients. The risk of hypersensitivity reactions is highest in the early phases of initial exposure. In Australia, R</w:t>
            </w:r>
            <w:r w:rsidR="0051223A">
              <w:t>ixubis</w:t>
            </w:r>
            <w:r w:rsidRPr="007D50BD">
              <w:t xml:space="preserve"> is indicated in </w:t>
            </w:r>
            <w:r w:rsidRPr="007D50BD">
              <w:lastRenderedPageBreak/>
              <w:t xml:space="preserve">patients 12 years and older with </w:t>
            </w:r>
            <w:r w:rsidR="00D47277" w:rsidRPr="007D50BD">
              <w:t>haemophilia</w:t>
            </w:r>
            <w:r w:rsidRPr="007D50BD">
              <w:t xml:space="preserve"> B.</w:t>
            </w:r>
          </w:p>
          <w:p w:rsidR="007D50BD" w:rsidRPr="007D50BD" w:rsidRDefault="007D50BD" w:rsidP="00867359">
            <w:pPr>
              <w:ind w:left="48" w:right="0"/>
            </w:pPr>
            <w:r w:rsidRPr="007D50BD">
              <w:t>At the time of receiving R</w:t>
            </w:r>
            <w:r w:rsidR="00D47277">
              <w:t>ixubis</w:t>
            </w:r>
            <w:r w:rsidRPr="007D50BD">
              <w:t>, patients should have high risk gene mutations determined. Furthermore, during the first 20 EDs, it is recommended that the patient be monitored in a treatment facility.</w:t>
            </w:r>
          </w:p>
          <w:p w:rsidR="007D50BD" w:rsidRPr="007D50BD" w:rsidRDefault="007D50BD" w:rsidP="00867359">
            <w:pPr>
              <w:ind w:left="48" w:right="0"/>
            </w:pPr>
            <w:r w:rsidRPr="007D50BD">
              <w:t>Patients with high risk gene mutations are discussed within the context of Hypersensitivity Reactions in the Australian P</w:t>
            </w:r>
            <w:r w:rsidR="003E2FA2">
              <w:t>I</w:t>
            </w:r>
            <w:r w:rsidRPr="007D50BD">
              <w:t>.</w:t>
            </w:r>
          </w:p>
          <w:p w:rsidR="007D50BD" w:rsidRPr="007D50BD" w:rsidRDefault="007D50BD" w:rsidP="00867359">
            <w:pPr>
              <w:ind w:left="48" w:right="0"/>
              <w:rPr>
                <w:highlight w:val="yellow"/>
              </w:rPr>
            </w:pPr>
            <w:r w:rsidRPr="007D50BD">
              <w:t>Therefore, Baxter proposes not to include the safety and efficacy in patients with high risk gene mutations as important missing information within the RMP.</w:t>
            </w:r>
          </w:p>
        </w:tc>
        <w:tc>
          <w:tcPr>
            <w:tcW w:w="2932" w:type="dxa"/>
          </w:tcPr>
          <w:p w:rsidR="007D50BD" w:rsidRPr="007D50BD" w:rsidRDefault="007D50BD" w:rsidP="00867359">
            <w:pPr>
              <w:ind w:left="65" w:right="0"/>
            </w:pPr>
            <w:r w:rsidRPr="007D50BD">
              <w:lastRenderedPageBreak/>
              <w:t>To address the possibility of inhibitor development and to ensure the safety of patients with high risk mutations, the sponsor make</w:t>
            </w:r>
            <w:r w:rsidR="00867359">
              <w:t>s the following recommendation:</w:t>
            </w:r>
          </w:p>
          <w:p w:rsidR="007D50BD" w:rsidRPr="007D50BD" w:rsidRDefault="007D50BD" w:rsidP="00867359">
            <w:pPr>
              <w:ind w:left="65" w:right="0"/>
              <w:rPr>
                <w:i/>
              </w:rPr>
            </w:pPr>
            <w:r w:rsidRPr="007D50BD">
              <w:rPr>
                <w:i/>
              </w:rPr>
              <w:t>At the time of receiving R</w:t>
            </w:r>
            <w:r w:rsidR="0051223A">
              <w:rPr>
                <w:i/>
              </w:rPr>
              <w:t>ixubis</w:t>
            </w:r>
            <w:r w:rsidRPr="007D50BD">
              <w:rPr>
                <w:i/>
              </w:rPr>
              <w:t>, patients should have high risk gene mutations determined. Furthermore, during the first 20</w:t>
            </w:r>
            <w:r w:rsidR="009B53CC">
              <w:rPr>
                <w:i/>
              </w:rPr>
              <w:t xml:space="preserve"> </w:t>
            </w:r>
            <w:r w:rsidRPr="007D50BD">
              <w:rPr>
                <w:i/>
              </w:rPr>
              <w:t>ED</w:t>
            </w:r>
            <w:r w:rsidR="009B53CC">
              <w:rPr>
                <w:i/>
              </w:rPr>
              <w:t>s</w:t>
            </w:r>
            <w:r w:rsidRPr="007D50BD">
              <w:rPr>
                <w:i/>
              </w:rPr>
              <w:t>, it is recommended that the patient be monitored in a treatment facility.</w:t>
            </w:r>
          </w:p>
          <w:p w:rsidR="007D50BD" w:rsidRPr="007D50BD" w:rsidRDefault="007D50BD" w:rsidP="00867359">
            <w:pPr>
              <w:ind w:left="65" w:right="0"/>
            </w:pPr>
            <w:r w:rsidRPr="007D50BD">
              <w:t xml:space="preserve">It is noted that this </w:t>
            </w:r>
            <w:r w:rsidRPr="007D50BD">
              <w:lastRenderedPageBreak/>
              <w:t>recommendation has not been included in the proposed Australian PI. However, the sponsor has agreed to add the below statement to the Australian PI in response to recommendations made in the round 1 RMP report. The following statement is now included in the PI (underlined has been added in response to section 31 questions</w:t>
            </w:r>
            <w:r w:rsidRPr="007D50BD">
              <w:rPr>
                <w:i/>
              </w:rPr>
              <w:t xml:space="preserve">): Initiate treatment under the supervision of a physician experienced in the treatment of haemophilia </w:t>
            </w:r>
            <w:r w:rsidRPr="007D50BD">
              <w:rPr>
                <w:i/>
                <w:u w:val="single"/>
              </w:rPr>
              <w:t>and continue treatment under supervision for a period of time.</w:t>
            </w:r>
            <w:r w:rsidRPr="007D50BD">
              <w:t xml:space="preserve"> This statement in conjunction with the warnings regarding inhibitor development and hypersensitivity reactions in PRECAUTIONS and DOSAGE AND ADMINISTRATION appears to be an acceptable risk mitigation strategy to address the risk for patients with high risk gene mutations.</w:t>
            </w:r>
          </w:p>
          <w:p w:rsidR="007D50BD" w:rsidRPr="007D50BD" w:rsidRDefault="007D50BD" w:rsidP="00867359">
            <w:pPr>
              <w:ind w:left="65" w:right="0"/>
            </w:pPr>
            <w:r w:rsidRPr="007D50BD">
              <w:t>Nevertheless, the RMP evaluator maintains the opinion that this patient population should be included as missing information in the table of ongoing safety concerns of the RMP. Reporting of safety related events in this patient population s</w:t>
            </w:r>
            <w:r w:rsidR="00867359">
              <w:t>hould occur in every PSUR.</w:t>
            </w:r>
          </w:p>
        </w:tc>
      </w:tr>
      <w:tr w:rsidR="0051223A" w:rsidTr="0051223A">
        <w:tc>
          <w:tcPr>
            <w:tcW w:w="2566" w:type="dxa"/>
            <w:gridSpan w:val="2"/>
          </w:tcPr>
          <w:p w:rsidR="0051223A" w:rsidRPr="00EC44D2" w:rsidRDefault="0051223A" w:rsidP="00867359">
            <w:pPr>
              <w:tabs>
                <w:tab w:val="left" w:pos="2160"/>
              </w:tabs>
              <w:ind w:left="34" w:right="44"/>
            </w:pPr>
            <w:r w:rsidRPr="00EC44D2">
              <w:lastRenderedPageBreak/>
              <w:t>HIV positive patients with a viral load &gt;200 particles/</w:t>
            </w:r>
            <w:proofErr w:type="spellStart"/>
            <w:r w:rsidRPr="00EC44D2">
              <w:t>μL</w:t>
            </w:r>
            <w:proofErr w:type="spellEnd"/>
            <w:r w:rsidRPr="00EC44D2">
              <w:t xml:space="preserve"> and </w:t>
            </w:r>
            <w:proofErr w:type="spellStart"/>
            <w:r w:rsidRPr="00EC44D2">
              <w:t>immuno</w:t>
            </w:r>
            <w:proofErr w:type="spellEnd"/>
            <w:r w:rsidRPr="00EC44D2">
              <w:t>-compromised patients as evidenced by a CD4 count ≤200 cells/mm</w:t>
            </w:r>
            <w:r w:rsidRPr="00EC44D2">
              <w:rPr>
                <w:vertAlign w:val="superscript"/>
              </w:rPr>
              <w:t>3</w:t>
            </w:r>
            <w:r w:rsidRPr="00EC44D2">
              <w:t xml:space="preserve"> should be </w:t>
            </w:r>
            <w:r w:rsidRPr="00EC44D2">
              <w:lastRenderedPageBreak/>
              <w:t xml:space="preserve">included in the table of ongoing safety concerns as missing information. Risk minimisation and </w:t>
            </w:r>
            <w:proofErr w:type="spellStart"/>
            <w:r w:rsidRPr="00EC44D2">
              <w:t>pharmacovigilance</w:t>
            </w:r>
            <w:proofErr w:type="spellEnd"/>
            <w:r w:rsidRPr="00EC44D2">
              <w:t xml:space="preserve"> activities to address this missing information should be assigned as appropriate, and as specified by the RMP evaluator</w:t>
            </w:r>
            <w:r w:rsidR="00EC44D2">
              <w:t>.</w:t>
            </w:r>
          </w:p>
        </w:tc>
        <w:tc>
          <w:tcPr>
            <w:tcW w:w="3114" w:type="dxa"/>
          </w:tcPr>
          <w:p w:rsidR="0051223A" w:rsidRPr="00EC44D2" w:rsidRDefault="0051223A" w:rsidP="00867359">
            <w:pPr>
              <w:ind w:left="48" w:right="0"/>
            </w:pPr>
            <w:r w:rsidRPr="00EC44D2">
              <w:lastRenderedPageBreak/>
              <w:t>Patients who are HIV positive (with a viral load &gt;200 particles/</w:t>
            </w:r>
            <w:proofErr w:type="spellStart"/>
            <w:r w:rsidRPr="00EC44D2">
              <w:t>μL</w:t>
            </w:r>
            <w:proofErr w:type="spellEnd"/>
            <w:r w:rsidRPr="00EC44D2">
              <w:t xml:space="preserve">) or </w:t>
            </w:r>
            <w:proofErr w:type="spellStart"/>
            <w:r w:rsidRPr="00EC44D2">
              <w:t>immunocompromised</w:t>
            </w:r>
            <w:proofErr w:type="spellEnd"/>
            <w:r w:rsidRPr="00EC44D2">
              <w:t xml:space="preserve"> (as evidenced by a CD4 count ≤200 cells/mm</w:t>
            </w:r>
            <w:r w:rsidRPr="00EC44D2">
              <w:rPr>
                <w:vertAlign w:val="superscript"/>
              </w:rPr>
              <w:t>3</w:t>
            </w:r>
            <w:r w:rsidRPr="00EC44D2">
              <w:t xml:space="preserve">) were excluded from clinical trial </w:t>
            </w:r>
            <w:r w:rsidRPr="00EC44D2">
              <w:lastRenderedPageBreak/>
              <w:t xml:space="preserve">populations as it may be difficult to adequately determine the immunogenicity of </w:t>
            </w:r>
            <w:proofErr w:type="spellStart"/>
            <w:r w:rsidRPr="00EC44D2">
              <w:t>R</w:t>
            </w:r>
            <w:r w:rsidR="00EC44D2">
              <w:t>ixubis</w:t>
            </w:r>
            <w:proofErr w:type="spellEnd"/>
            <w:r w:rsidRPr="00EC44D2">
              <w:t xml:space="preserve"> in </w:t>
            </w:r>
            <w:proofErr w:type="spellStart"/>
            <w:r w:rsidRPr="00EC44D2">
              <w:t>immunocompromised</w:t>
            </w:r>
            <w:proofErr w:type="spellEnd"/>
            <w:r w:rsidRPr="00EC44D2">
              <w:t xml:space="preserve"> patients.</w:t>
            </w:r>
          </w:p>
          <w:p w:rsidR="0051223A" w:rsidRPr="00EC44D2" w:rsidRDefault="0051223A" w:rsidP="00867359">
            <w:pPr>
              <w:ind w:left="48" w:right="0"/>
            </w:pPr>
            <w:r w:rsidRPr="00EC44D2">
              <w:t>Efficacy and safety of R</w:t>
            </w:r>
            <w:r w:rsidR="00EC44D2">
              <w:t>ixubis</w:t>
            </w:r>
            <w:r w:rsidRPr="00EC44D2">
              <w:t xml:space="preserve"> in these patients is not expected to differ from other patients.</w:t>
            </w:r>
          </w:p>
          <w:p w:rsidR="0051223A" w:rsidRPr="00EC44D2" w:rsidRDefault="0051223A" w:rsidP="00867359">
            <w:pPr>
              <w:ind w:left="48" w:right="0"/>
            </w:pPr>
            <w:r w:rsidRPr="00EC44D2">
              <w:t xml:space="preserve">Therefore, Baxter proposes not to include safety and efficacy in patients who are HIV positive or </w:t>
            </w:r>
            <w:proofErr w:type="spellStart"/>
            <w:r w:rsidRPr="00EC44D2">
              <w:t>immunocompromised</w:t>
            </w:r>
            <w:proofErr w:type="spellEnd"/>
            <w:r w:rsidRPr="00EC44D2">
              <w:t xml:space="preserve"> as important missing information within the RMP.</w:t>
            </w:r>
          </w:p>
        </w:tc>
        <w:tc>
          <w:tcPr>
            <w:tcW w:w="2932" w:type="dxa"/>
          </w:tcPr>
          <w:p w:rsidR="0051223A" w:rsidRPr="00EC44D2" w:rsidRDefault="0051223A" w:rsidP="00867359">
            <w:pPr>
              <w:ind w:left="65" w:right="0"/>
            </w:pPr>
            <w:r w:rsidRPr="00EC44D2">
              <w:lastRenderedPageBreak/>
              <w:t>It is noted that a statement is included in the C</w:t>
            </w:r>
            <w:r w:rsidR="00EC44D2">
              <w:t>linical Trials</w:t>
            </w:r>
            <w:r w:rsidRPr="00EC44D2">
              <w:t xml:space="preserve"> section of the PI stating that this patient population has been excluded from participation in clinical trials. It is </w:t>
            </w:r>
            <w:r w:rsidRPr="00EC44D2">
              <w:lastRenderedPageBreak/>
              <w:t xml:space="preserve">understood that Baxter does not believe that there is a safety concern with this patient population using the product. </w:t>
            </w:r>
          </w:p>
          <w:p w:rsidR="0051223A" w:rsidRPr="00EC44D2" w:rsidRDefault="0051223A" w:rsidP="00867359">
            <w:pPr>
              <w:ind w:left="65" w:right="0"/>
            </w:pPr>
            <w:r w:rsidRPr="00EC44D2">
              <w:t xml:space="preserve">There is a high incidence of HIV in the target population. The sponsor states in the RMP that up to 10% of haemophilia patients are HIV positive. </w:t>
            </w:r>
          </w:p>
          <w:p w:rsidR="0051223A" w:rsidRPr="00EC44D2" w:rsidRDefault="0051223A" w:rsidP="00867359">
            <w:pPr>
              <w:ind w:left="65" w:right="0"/>
            </w:pPr>
            <w:r w:rsidRPr="00EC44D2">
              <w:t>The RMP evaluator maintains the opinion that this patient population should be included as missing information in the table of ongoing safety concerns of the RMP. Reporting of safety related events in this patient populat</w:t>
            </w:r>
            <w:r w:rsidR="00867359">
              <w:t>ion should occur in every PSUR.</w:t>
            </w:r>
          </w:p>
        </w:tc>
      </w:tr>
      <w:tr w:rsidR="0051223A" w:rsidTr="0051223A">
        <w:tc>
          <w:tcPr>
            <w:tcW w:w="2566" w:type="dxa"/>
            <w:gridSpan w:val="2"/>
          </w:tcPr>
          <w:p w:rsidR="0051223A" w:rsidRPr="00EC44D2" w:rsidRDefault="0051223A" w:rsidP="00867359">
            <w:pPr>
              <w:tabs>
                <w:tab w:val="left" w:pos="2160"/>
              </w:tabs>
              <w:ind w:left="34" w:right="44"/>
            </w:pPr>
            <w:r w:rsidRPr="00EC44D2">
              <w:lastRenderedPageBreak/>
              <w:t xml:space="preserve">It is recommended that the sponsor adds the unknown safety and efficacy for patients with liver disease as missing information. Risk minimisation and </w:t>
            </w:r>
            <w:proofErr w:type="spellStart"/>
            <w:r w:rsidRPr="00EC44D2">
              <w:t>pharmacovigilance</w:t>
            </w:r>
            <w:proofErr w:type="spellEnd"/>
            <w:r w:rsidRPr="00EC44D2">
              <w:t xml:space="preserve"> activities to address this missing information should be assigned as appropriate, and as specified by the RMP evaluator.</w:t>
            </w:r>
          </w:p>
        </w:tc>
        <w:tc>
          <w:tcPr>
            <w:tcW w:w="3114" w:type="dxa"/>
          </w:tcPr>
          <w:p w:rsidR="0051223A" w:rsidRPr="00EC44D2" w:rsidRDefault="0051223A" w:rsidP="00867359">
            <w:pPr>
              <w:ind w:left="48" w:right="0"/>
              <w:rPr>
                <w:noProof/>
              </w:rPr>
            </w:pPr>
            <w:r w:rsidRPr="00EC44D2">
              <w:rPr>
                <w:noProof/>
              </w:rPr>
              <w:t>Patients with hepatic disease were included in clinical studies with R</w:t>
            </w:r>
            <w:r w:rsidR="00EC44D2">
              <w:rPr>
                <w:noProof/>
              </w:rPr>
              <w:t>ixubis</w:t>
            </w:r>
            <w:r w:rsidRPr="00EC44D2">
              <w:rPr>
                <w:noProof/>
              </w:rPr>
              <w:t xml:space="preserve">. Patients with a medical history of hepatitis (excluding those with active disease) were included in clinical studies. Patients with a medical history of hepatitis or active hepatitis with ALT and/or AST not exceeding </w:t>
            </w:r>
            <w:r w:rsidR="00EC44D2">
              <w:rPr>
                <w:noProof/>
              </w:rPr>
              <w:t>five</w:t>
            </w:r>
            <w:r w:rsidRPr="00EC44D2">
              <w:rPr>
                <w:noProof/>
              </w:rPr>
              <w:t xml:space="preserve"> times the upper limit of normal were included in clinical studies. In pivotal </w:t>
            </w:r>
            <w:r w:rsidR="00EC44D2">
              <w:rPr>
                <w:noProof/>
              </w:rPr>
              <w:t>S</w:t>
            </w:r>
            <w:r w:rsidRPr="00EC44D2">
              <w:rPr>
                <w:noProof/>
              </w:rPr>
              <w:t>tudy 250901, 63/73 subjects (86%) who received IP had a medical history of hepatitis (A and/or B and/or C). Of which, 38 had increased liver parameters (ALT and/or AST and/or ALP) at screening or at any time point during study participation.</w:t>
            </w:r>
          </w:p>
          <w:p w:rsidR="0051223A" w:rsidRPr="00EC44D2" w:rsidRDefault="0051223A" w:rsidP="00867359">
            <w:pPr>
              <w:ind w:left="48" w:right="0"/>
              <w:rPr>
                <w:noProof/>
              </w:rPr>
            </w:pPr>
            <w:r w:rsidRPr="00EC44D2">
              <w:rPr>
                <w:noProof/>
              </w:rPr>
              <w:t xml:space="preserve">Patients with active hepatitis would need to be monitored more closely than other </w:t>
            </w:r>
            <w:r w:rsidRPr="00EC44D2">
              <w:rPr>
                <w:noProof/>
              </w:rPr>
              <w:lastRenderedPageBreak/>
              <w:t>patients.</w:t>
            </w:r>
          </w:p>
          <w:p w:rsidR="0051223A" w:rsidRPr="00EC44D2" w:rsidRDefault="0051223A" w:rsidP="00867359">
            <w:pPr>
              <w:ind w:left="48" w:right="0"/>
              <w:rPr>
                <w:noProof/>
              </w:rPr>
            </w:pPr>
            <w:r w:rsidRPr="00EC44D2">
              <w:rPr>
                <w:noProof/>
              </w:rPr>
              <w:t xml:space="preserve">The Australian PI reflects that patients with severe chronic liver disease (as evidenced by an INR &gt; 1.4) were excluded from pivotal </w:t>
            </w:r>
            <w:r w:rsidR="00EC44D2">
              <w:rPr>
                <w:noProof/>
              </w:rPr>
              <w:t>S</w:t>
            </w:r>
            <w:r w:rsidRPr="00EC44D2">
              <w:rPr>
                <w:noProof/>
              </w:rPr>
              <w:t>tudy 250901. In addition, patients with hepatic disease are discussed within the context of thromboembolic events in the Australian PI.</w:t>
            </w:r>
          </w:p>
          <w:p w:rsidR="0051223A" w:rsidRPr="00EC44D2" w:rsidRDefault="0051223A" w:rsidP="00867359">
            <w:pPr>
              <w:ind w:left="48" w:right="0"/>
              <w:rPr>
                <w:noProof/>
              </w:rPr>
            </w:pPr>
            <w:r w:rsidRPr="00EC44D2">
              <w:rPr>
                <w:noProof/>
              </w:rPr>
              <w:t>Therefore, Baxter proposes not to include safety and efficacy in patients with hepatic disease as important missing information within the RMP.</w:t>
            </w:r>
          </w:p>
        </w:tc>
        <w:tc>
          <w:tcPr>
            <w:tcW w:w="2932" w:type="dxa"/>
          </w:tcPr>
          <w:p w:rsidR="0051223A" w:rsidRPr="00EC44D2" w:rsidRDefault="0051223A" w:rsidP="00867359">
            <w:pPr>
              <w:ind w:left="65" w:right="0"/>
            </w:pPr>
            <w:r w:rsidRPr="00EC44D2">
              <w:lastRenderedPageBreak/>
              <w:t>It is noted that a statement is included in the C</w:t>
            </w:r>
            <w:r w:rsidR="00EC44D2">
              <w:t xml:space="preserve">linical </w:t>
            </w:r>
            <w:r w:rsidRPr="00EC44D2">
              <w:t>T</w:t>
            </w:r>
            <w:r w:rsidR="00EC44D2">
              <w:t>rials</w:t>
            </w:r>
            <w:r w:rsidRPr="00EC44D2">
              <w:t xml:space="preserve"> section of the PI stating that this patient population has been excluded from participation in clinical trials. It is understood that Baxter does not believe that there is a safety concern with this patient population </w:t>
            </w:r>
            <w:r w:rsidR="00867359">
              <w:t>using the product.</w:t>
            </w:r>
          </w:p>
          <w:p w:rsidR="0051223A" w:rsidRPr="00EC44D2" w:rsidRDefault="0051223A" w:rsidP="00867359">
            <w:pPr>
              <w:ind w:left="65" w:right="0"/>
            </w:pPr>
            <w:r w:rsidRPr="00EC44D2">
              <w:t xml:space="preserve">However, the RMP evaluator maintains the opinion that this patient population should be included as missing information in the table of ongoing safety concerns of the RMP. Reporting of safety related events in this patient population should occur in every </w:t>
            </w:r>
            <w:r w:rsidR="00867359">
              <w:t>PSUR.</w:t>
            </w:r>
          </w:p>
        </w:tc>
      </w:tr>
      <w:tr w:rsidR="0051223A" w:rsidTr="0051223A">
        <w:tc>
          <w:tcPr>
            <w:tcW w:w="2559" w:type="dxa"/>
          </w:tcPr>
          <w:p w:rsidR="0051223A" w:rsidRPr="00EC44D2" w:rsidRDefault="0051223A" w:rsidP="00867359">
            <w:pPr>
              <w:tabs>
                <w:tab w:val="left" w:pos="2160"/>
              </w:tabs>
              <w:ind w:left="34" w:right="44"/>
            </w:pPr>
            <w:r w:rsidRPr="00EC44D2">
              <w:lastRenderedPageBreak/>
              <w:t xml:space="preserve">It is recommended that the sponsor adds the unknown safety and efficacy for patients with renal disease as missing information. Risk minimisation and </w:t>
            </w:r>
            <w:proofErr w:type="spellStart"/>
            <w:r w:rsidRPr="00EC44D2">
              <w:t>pharmacovigilance</w:t>
            </w:r>
            <w:proofErr w:type="spellEnd"/>
            <w:r w:rsidRPr="00EC44D2">
              <w:t xml:space="preserve"> activities to address this missing information should be assigned as appropriate, and as specified by the RMP evaluator.</w:t>
            </w:r>
          </w:p>
        </w:tc>
        <w:tc>
          <w:tcPr>
            <w:tcW w:w="3121" w:type="dxa"/>
            <w:gridSpan w:val="2"/>
          </w:tcPr>
          <w:p w:rsidR="0051223A" w:rsidRPr="00EC44D2" w:rsidRDefault="0051223A" w:rsidP="00867359">
            <w:pPr>
              <w:tabs>
                <w:tab w:val="left" w:pos="2160"/>
              </w:tabs>
              <w:ind w:left="48" w:right="0"/>
            </w:pPr>
            <w:r w:rsidRPr="00EC44D2">
              <w:t>Patients with renal disease were excluded from clinical trial populations for R</w:t>
            </w:r>
            <w:r w:rsidR="00EC44D2">
              <w:t>ixubis</w:t>
            </w:r>
            <w:r w:rsidRPr="00EC44D2">
              <w:t xml:space="preserve"> and are routinely excluded from clinical trial populations.</w:t>
            </w:r>
          </w:p>
          <w:p w:rsidR="0051223A" w:rsidRPr="00EC44D2" w:rsidRDefault="0051223A" w:rsidP="00867359">
            <w:pPr>
              <w:tabs>
                <w:tab w:val="left" w:pos="2160"/>
              </w:tabs>
              <w:ind w:left="48" w:right="0"/>
            </w:pPr>
            <w:r w:rsidRPr="00EC44D2">
              <w:t xml:space="preserve">Baxter does not believe this constitutes Important Missing Information for inclusion in the RMP. As the </w:t>
            </w:r>
            <w:r w:rsidR="00EC44D2" w:rsidRPr="00EC44D2">
              <w:t>haemophilia</w:t>
            </w:r>
            <w:r w:rsidRPr="00EC44D2">
              <w:t xml:space="preserve"> B population ages, there may be an increased incidence of renal disease. However, it is not currently considered a leading co-morbidity in this population.</w:t>
            </w:r>
          </w:p>
          <w:p w:rsidR="0051223A" w:rsidRPr="00EC44D2" w:rsidRDefault="0051223A" w:rsidP="00867359">
            <w:pPr>
              <w:tabs>
                <w:tab w:val="left" w:pos="2160"/>
              </w:tabs>
              <w:ind w:left="48" w:right="0"/>
            </w:pPr>
            <w:r w:rsidRPr="00EC44D2">
              <w:t>Therefore, Baxter proposes not to include the safety and efficacy in patients with renal disease as important missing information within the RMP.</w:t>
            </w:r>
          </w:p>
        </w:tc>
        <w:tc>
          <w:tcPr>
            <w:tcW w:w="2932" w:type="dxa"/>
          </w:tcPr>
          <w:p w:rsidR="0051223A" w:rsidRPr="00EC44D2" w:rsidRDefault="0051223A" w:rsidP="00867359">
            <w:pPr>
              <w:ind w:left="65" w:right="0"/>
            </w:pPr>
            <w:r w:rsidRPr="00EC44D2">
              <w:t>It is noted that a</w:t>
            </w:r>
            <w:r w:rsidR="006E52F4">
              <w:t xml:space="preserve"> statement is included in the Clinical Trials</w:t>
            </w:r>
            <w:r w:rsidRPr="00EC44D2">
              <w:t xml:space="preserve"> section of the PI stating that this patient population has been excluded from participation in clinical trials. It is understood that Baxter does not believe that there is a safety concern with this patien</w:t>
            </w:r>
            <w:r w:rsidR="00867359">
              <w:t>t population using the product.</w:t>
            </w:r>
          </w:p>
          <w:p w:rsidR="0051223A" w:rsidRPr="00EC44D2" w:rsidRDefault="0051223A" w:rsidP="00867359">
            <w:pPr>
              <w:ind w:left="65" w:right="0"/>
            </w:pPr>
            <w:r w:rsidRPr="00EC44D2">
              <w:t>However, the RMP evaluator maintains the opinion that this patient population should be included as missing information in the table of ongoing safety concerns of the RMP. Reporting of safety related events in this patient populat</w:t>
            </w:r>
            <w:r w:rsidR="006E52F4">
              <w:t>ion should occur in every PSUR.</w:t>
            </w:r>
          </w:p>
        </w:tc>
      </w:tr>
      <w:tr w:rsidR="006E52F4" w:rsidTr="0051223A">
        <w:tc>
          <w:tcPr>
            <w:tcW w:w="2559" w:type="dxa"/>
          </w:tcPr>
          <w:p w:rsidR="006E52F4" w:rsidRPr="006E52F4" w:rsidRDefault="006E52F4" w:rsidP="00867359">
            <w:pPr>
              <w:tabs>
                <w:tab w:val="left" w:pos="2160"/>
              </w:tabs>
              <w:ind w:left="34" w:right="44"/>
            </w:pPr>
            <w:r w:rsidRPr="006E52F4">
              <w:t xml:space="preserve">It is recommended that the sponsor submits final or interim study reports, resulting from the ongoing clinical trials, to the TGA at the same time as reports </w:t>
            </w:r>
            <w:r w:rsidRPr="006E52F4">
              <w:lastRenderedPageBreak/>
              <w:t>are submitted to other regulatory agencies.</w:t>
            </w:r>
          </w:p>
        </w:tc>
        <w:tc>
          <w:tcPr>
            <w:tcW w:w="3121" w:type="dxa"/>
            <w:gridSpan w:val="2"/>
          </w:tcPr>
          <w:p w:rsidR="006E52F4" w:rsidRPr="006E52F4" w:rsidRDefault="006E52F4" w:rsidP="00867359">
            <w:pPr>
              <w:tabs>
                <w:tab w:val="left" w:pos="2160"/>
              </w:tabs>
              <w:ind w:left="48" w:right="0"/>
            </w:pPr>
            <w:r w:rsidRPr="006E52F4">
              <w:lastRenderedPageBreak/>
              <w:t xml:space="preserve">Baxter will </w:t>
            </w:r>
            <w:r w:rsidR="00C21710" w:rsidRPr="006E52F4">
              <w:t>endeavour</w:t>
            </w:r>
            <w:r w:rsidRPr="006E52F4">
              <w:t xml:space="preserve"> to submit final or interim study reports (resulting from the ongoing clinical trials) to the TGA. However, as there is no existing process in TGA that allows sponsors to submit </w:t>
            </w:r>
            <w:r w:rsidRPr="006E52F4">
              <w:lastRenderedPageBreak/>
              <w:t>study reports independently of a major variation, the timing of these submissions may not be in sync with that of other regulatory agencies.</w:t>
            </w:r>
          </w:p>
        </w:tc>
        <w:tc>
          <w:tcPr>
            <w:tcW w:w="2932" w:type="dxa"/>
          </w:tcPr>
          <w:p w:rsidR="006E52F4" w:rsidRPr="006E52F4" w:rsidRDefault="006E52F4" w:rsidP="00867359">
            <w:pPr>
              <w:ind w:left="65" w:right="0"/>
            </w:pPr>
            <w:r w:rsidRPr="006E52F4">
              <w:lastRenderedPageBreak/>
              <w:t xml:space="preserve">The sponsor should note that relevant study results from studies, referenced in the RMP, can be submitted to the RMP coordinator. Such a submission should include a cover letter </w:t>
            </w:r>
            <w:r w:rsidRPr="006E52F4">
              <w:lastRenderedPageBreak/>
              <w:t>summarising the study results and any impact t</w:t>
            </w:r>
            <w:r w:rsidR="00867359">
              <w:t>he results may have on the RMP.</w:t>
            </w:r>
          </w:p>
          <w:p w:rsidR="006E52F4" w:rsidRPr="006E52F4" w:rsidRDefault="006E52F4" w:rsidP="00867359">
            <w:pPr>
              <w:ind w:left="65" w:right="0"/>
            </w:pPr>
            <w:r w:rsidRPr="006E52F4">
              <w:t>Please submit to the RMP coordinator e-mail ad</w:t>
            </w:r>
            <w:r w:rsidR="00057190">
              <w:t>d</w:t>
            </w:r>
            <w:r w:rsidRPr="006E52F4">
              <w:t xml:space="preserve">ress: </w:t>
            </w:r>
            <w:hyperlink r:id="rId18" w:history="1">
              <w:r w:rsidRPr="00867359">
                <w:rPr>
                  <w:rStyle w:val="Hyperlink"/>
                </w:rPr>
                <w:t>rmp.coordinator@tga.gov.au</w:t>
              </w:r>
            </w:hyperlink>
          </w:p>
        </w:tc>
      </w:tr>
    </w:tbl>
    <w:p w:rsidR="008E7846" w:rsidRPr="00792A32" w:rsidRDefault="008E7846" w:rsidP="00867359">
      <w:pPr>
        <w:pStyle w:val="Heading2"/>
      </w:pPr>
      <w:bookmarkStart w:id="351" w:name="_Toc314842510"/>
      <w:bookmarkStart w:id="352" w:name="_Toc387924298"/>
      <w:r>
        <w:lastRenderedPageBreak/>
        <w:t xml:space="preserve">VI. </w:t>
      </w:r>
      <w:r w:rsidRPr="00792A32">
        <w:t xml:space="preserve">Overall </w:t>
      </w:r>
      <w:r>
        <w:t>c</w:t>
      </w:r>
      <w:r w:rsidRPr="00792A32">
        <w:t xml:space="preserve">onclusion </w:t>
      </w:r>
      <w:r w:rsidRPr="00867359">
        <w:t>and</w:t>
      </w:r>
      <w:r w:rsidRPr="00792A32">
        <w:t xml:space="preserve"> </w:t>
      </w:r>
      <w:r>
        <w:t>r</w:t>
      </w:r>
      <w:r w:rsidRPr="00792A32">
        <w:t>isk/</w:t>
      </w:r>
      <w:r>
        <w:t>b</w:t>
      </w:r>
      <w:r w:rsidRPr="00792A32">
        <w:t xml:space="preserve">enefit </w:t>
      </w:r>
      <w:r>
        <w:t>a</w:t>
      </w:r>
      <w:r w:rsidRPr="00792A32">
        <w:t>ssessment</w:t>
      </w:r>
      <w:bookmarkEnd w:id="331"/>
      <w:bookmarkEnd w:id="349"/>
      <w:bookmarkEnd w:id="351"/>
      <w:bookmarkEnd w:id="352"/>
    </w:p>
    <w:p w:rsidR="008E7846" w:rsidRDefault="008E7846" w:rsidP="00867359">
      <w:bookmarkStart w:id="353" w:name="_Toc247691528"/>
      <w:r>
        <w:t xml:space="preserve">The submission was summarised in the following </w:t>
      </w:r>
      <w:r w:rsidRPr="00EF5C48">
        <w:t xml:space="preserve">Delegate’s </w:t>
      </w:r>
      <w:r>
        <w:t>overview</w:t>
      </w:r>
      <w:r w:rsidRPr="00EF5C48">
        <w:t xml:space="preserve"> and recommendation</w:t>
      </w:r>
      <w:r>
        <w:t>s:</w:t>
      </w:r>
    </w:p>
    <w:p w:rsidR="008E7846" w:rsidRPr="00867359" w:rsidRDefault="008E7846" w:rsidP="00867359">
      <w:pPr>
        <w:pStyle w:val="Heading3"/>
      </w:pPr>
      <w:bookmarkStart w:id="354" w:name="_Toc314842511"/>
      <w:bookmarkStart w:id="355" w:name="_Toc387924299"/>
      <w:r>
        <w:t>Quality</w:t>
      </w:r>
      <w:bookmarkEnd w:id="353"/>
      <w:bookmarkEnd w:id="354"/>
      <w:bookmarkEnd w:id="355"/>
    </w:p>
    <w:p w:rsidR="00DF1CAE" w:rsidRPr="00DF1CAE" w:rsidRDefault="00DF1CAE" w:rsidP="00867359">
      <w:r w:rsidRPr="00DF1CAE">
        <w:t xml:space="preserve">There were no objections to registration from the </w:t>
      </w:r>
      <w:r>
        <w:t xml:space="preserve">Quality </w:t>
      </w:r>
      <w:r w:rsidRPr="00DF1CAE">
        <w:t xml:space="preserve">evaluators. Shelf-life of 24 months is proposed by the sponsor but the </w:t>
      </w:r>
      <w:r w:rsidR="00BF0AD1">
        <w:t>q</w:t>
      </w:r>
      <w:r>
        <w:t xml:space="preserve">uality </w:t>
      </w:r>
      <w:r w:rsidRPr="00DF1CAE">
        <w:t>evaluator supports a maximum of 18 months on the basis of data reviewed.</w:t>
      </w:r>
    </w:p>
    <w:p w:rsidR="008E7846" w:rsidRPr="00867359" w:rsidRDefault="008E7846" w:rsidP="00867359">
      <w:pPr>
        <w:pStyle w:val="Heading3"/>
      </w:pPr>
      <w:bookmarkStart w:id="356" w:name="_Toc314842512"/>
      <w:bookmarkStart w:id="357" w:name="_Toc387924300"/>
      <w:r>
        <w:t>Nonclinical</w:t>
      </w:r>
      <w:bookmarkEnd w:id="356"/>
      <w:bookmarkEnd w:id="357"/>
    </w:p>
    <w:p w:rsidR="00DF1CAE" w:rsidRPr="00DF1CAE" w:rsidRDefault="00DF1CAE" w:rsidP="00867359">
      <w:bookmarkStart w:id="358" w:name="_Toc247691530"/>
      <w:bookmarkStart w:id="359" w:name="_Toc314842513"/>
      <w:r w:rsidRPr="00DF1CAE">
        <w:t>There were no objections raised on non-clinical grounds. Non-clinical efficacy data only supported use in prophylaxis.</w:t>
      </w:r>
    </w:p>
    <w:p w:rsidR="008E7846" w:rsidRPr="00867359" w:rsidRDefault="008E7846" w:rsidP="00867359">
      <w:pPr>
        <w:pStyle w:val="Heading3"/>
      </w:pPr>
      <w:bookmarkStart w:id="360" w:name="_Toc387924301"/>
      <w:r>
        <w:t>Clinical</w:t>
      </w:r>
      <w:bookmarkEnd w:id="358"/>
      <w:bookmarkEnd w:id="359"/>
      <w:bookmarkEnd w:id="360"/>
    </w:p>
    <w:p w:rsidR="00DF1CAE" w:rsidRPr="00867359" w:rsidRDefault="00DF1CAE" w:rsidP="00867359">
      <w:pPr>
        <w:pStyle w:val="Heading4"/>
      </w:pPr>
      <w:bookmarkStart w:id="361" w:name="_Toc314842514"/>
      <w:r w:rsidRPr="00DF1CAE">
        <w:t>Evaluator’s recommendations</w:t>
      </w:r>
    </w:p>
    <w:p w:rsidR="00DF1CAE" w:rsidRPr="00DF1CAE" w:rsidRDefault="00DF1CAE" w:rsidP="00867359">
      <w:r w:rsidRPr="00DF1CAE">
        <w:t>The clinical evaluator recommended approval but with a restricted indication</w:t>
      </w:r>
      <w:r>
        <w:t xml:space="preserve"> </w:t>
      </w:r>
      <w:r w:rsidRPr="00DF1CAE">
        <w:t>as follows:</w:t>
      </w:r>
    </w:p>
    <w:p w:rsidR="00DF1CAE" w:rsidRPr="00867359" w:rsidRDefault="00DF1CAE" w:rsidP="00867359">
      <w:pPr>
        <w:ind w:left="720"/>
        <w:rPr>
          <w:i/>
        </w:rPr>
      </w:pPr>
      <w:r w:rsidRPr="00867359">
        <w:rPr>
          <w:i/>
        </w:rPr>
        <w:t>Routine prophylaxis of bleeding episodes in patients 12 years and older with haemophilia B and</w:t>
      </w:r>
    </w:p>
    <w:p w:rsidR="00DF1CAE" w:rsidRPr="00867359" w:rsidRDefault="00DF1CAE" w:rsidP="00867359">
      <w:pPr>
        <w:ind w:left="720"/>
        <w:rPr>
          <w:i/>
        </w:rPr>
      </w:pPr>
      <w:r w:rsidRPr="00867359">
        <w:rPr>
          <w:i/>
        </w:rPr>
        <w:t>Treatment and prevention of bleeding episodes in patients 12 years and older with haemophilia B (congenital factor IX deficiency)</w:t>
      </w:r>
    </w:p>
    <w:p w:rsidR="00BF0AD1" w:rsidRPr="00BF0AD1" w:rsidRDefault="00BF0AD1" w:rsidP="00867359">
      <w:r w:rsidRPr="00BF0AD1">
        <w:t>The clinical evaluator did not recommend approval of</w:t>
      </w:r>
      <w:r>
        <w:t xml:space="preserve"> Rixubis for</w:t>
      </w:r>
      <w:r w:rsidRPr="00BF0AD1">
        <w:t>:</w:t>
      </w:r>
    </w:p>
    <w:p w:rsidR="00DF1CAE" w:rsidRPr="00867359" w:rsidRDefault="00BF0AD1" w:rsidP="00867359">
      <w:pPr>
        <w:ind w:left="720"/>
        <w:rPr>
          <w:i/>
        </w:rPr>
      </w:pPr>
      <w:proofErr w:type="gramStart"/>
      <w:r w:rsidRPr="00867359">
        <w:rPr>
          <w:i/>
        </w:rPr>
        <w:t>P</w:t>
      </w:r>
      <w:r w:rsidR="00DF1CAE" w:rsidRPr="00867359">
        <w:rPr>
          <w:i/>
        </w:rPr>
        <w:t>eri-operative management of patients 12 year</w:t>
      </w:r>
      <w:r w:rsidR="00867359">
        <w:rPr>
          <w:i/>
        </w:rPr>
        <w:t>s and older with haemophilia B.</w:t>
      </w:r>
      <w:proofErr w:type="gramEnd"/>
    </w:p>
    <w:p w:rsidR="00DF1CAE" w:rsidRPr="00867359" w:rsidRDefault="00DF1CAE" w:rsidP="00867359">
      <w:pPr>
        <w:pStyle w:val="Heading4"/>
      </w:pPr>
      <w:r w:rsidRPr="00DF1CAE">
        <w:t>Overview of data</w:t>
      </w:r>
    </w:p>
    <w:p w:rsidR="00DF1CAE" w:rsidRPr="00DF1CAE" w:rsidRDefault="00DF1CAE" w:rsidP="00867359">
      <w:r w:rsidRPr="00DF1CAE">
        <w:t xml:space="preserve">The pivotal study was Study 250901, in patients with severe or moderately severe </w:t>
      </w:r>
      <w:r w:rsidR="00BF0AD1">
        <w:t>h</w:t>
      </w:r>
      <w:r w:rsidRPr="00DF1CAE">
        <w:t>aemophilia B. This study included subjects given twice weekly prophylaxis and other subjects treated on-demand. The study included PK assessment (see below).</w:t>
      </w:r>
    </w:p>
    <w:p w:rsidR="00DF1CAE" w:rsidRPr="00DF1CAE" w:rsidRDefault="00DF1CAE" w:rsidP="00867359">
      <w:r w:rsidRPr="00DF1CAE">
        <w:t>Supportive Study 251002 is an ongoing study of use at the time of surgery.</w:t>
      </w:r>
    </w:p>
    <w:p w:rsidR="00DF1CAE" w:rsidRPr="00DF1CAE" w:rsidRDefault="00DF1CAE" w:rsidP="00867359">
      <w:r w:rsidRPr="00DF1CAE">
        <w:t>There were no paediatric efficacy data. A trial in children (</w:t>
      </w:r>
      <w:r>
        <w:t xml:space="preserve">Study </w:t>
      </w:r>
      <w:r w:rsidRPr="00DF1CAE">
        <w:t>251101) is ongoing and some safety data were incorporated from that trial.</w:t>
      </w:r>
    </w:p>
    <w:p w:rsidR="00DF1CAE" w:rsidRPr="00867359" w:rsidRDefault="00867359" w:rsidP="00867359">
      <w:pPr>
        <w:pStyle w:val="Heading4"/>
      </w:pPr>
      <w:r>
        <w:lastRenderedPageBreak/>
        <w:t>Pharmacokinetics</w:t>
      </w:r>
    </w:p>
    <w:p w:rsidR="00DF1CAE" w:rsidRPr="00DF1CAE" w:rsidRDefault="00DF1CAE" w:rsidP="00867359">
      <w:r w:rsidRPr="00DF1CAE">
        <w:t>Study 250901</w:t>
      </w:r>
      <w:r w:rsidR="00BF0AD1">
        <w:t>,</w:t>
      </w:r>
      <w:r w:rsidRPr="00DF1CAE">
        <w:t xml:space="preserve"> Parts 1 </w:t>
      </w:r>
      <w:r>
        <w:t>and</w:t>
      </w:r>
      <w:r w:rsidRPr="00DF1CAE">
        <w:t xml:space="preserve"> 3</w:t>
      </w:r>
      <w:r w:rsidR="00BF0AD1">
        <w:t>,</w:t>
      </w:r>
      <w:r w:rsidRPr="00DF1CAE">
        <w:t xml:space="preserve"> provided most PK data. In the single dose cross-over Part 1, bioequivalence of </w:t>
      </w:r>
      <w:proofErr w:type="spellStart"/>
      <w:r>
        <w:t>Rixubis</w:t>
      </w:r>
      <w:proofErr w:type="spellEnd"/>
      <w:r w:rsidRPr="00DF1CAE">
        <w:t xml:space="preserve"> and </w:t>
      </w:r>
      <w:proofErr w:type="spellStart"/>
      <w:r w:rsidRPr="00DF1CAE">
        <w:t>BeneFIX</w:t>
      </w:r>
      <w:proofErr w:type="spellEnd"/>
      <w:r w:rsidRPr="00DF1CAE">
        <w:t xml:space="preserve"> was established in a PTP adult population based on AUC</w:t>
      </w:r>
      <w:r w:rsidRPr="00BF0AD1">
        <w:rPr>
          <w:vertAlign w:val="subscript"/>
        </w:rPr>
        <w:t>0-72hr</w:t>
      </w:r>
      <w:r w:rsidRPr="00DF1CAE">
        <w:t>/dose; other parameters also suggested bioequivalence. 500 IU potency vials from one lot were used.</w:t>
      </w:r>
    </w:p>
    <w:p w:rsidR="00DF1CAE" w:rsidRDefault="00DF1CAE" w:rsidP="00867359">
      <w:r w:rsidRPr="00DF1CAE">
        <w:t>Exposure after initial use of R</w:t>
      </w:r>
      <w:r>
        <w:t>ixubis</w:t>
      </w:r>
      <w:r w:rsidRPr="00DF1CAE">
        <w:t xml:space="preserve"> (n=28) was compared with exposure after </w:t>
      </w:r>
      <w:r>
        <w:t>six</w:t>
      </w:r>
      <w:r w:rsidRPr="00DF1CAE">
        <w:t xml:space="preserve"> months of treatment (n=25) in Study 250901, Part 1 v</w:t>
      </w:r>
      <w:r>
        <w:t>ersu</w:t>
      </w:r>
      <w:r w:rsidRPr="00DF1CAE">
        <w:t>s</w:t>
      </w:r>
      <w:r>
        <w:t xml:space="preserve"> </w:t>
      </w:r>
      <w:r w:rsidRPr="00DF1CAE">
        <w:t xml:space="preserve">Part 3. Mean exposure rose after </w:t>
      </w:r>
      <w:r>
        <w:t>six</w:t>
      </w:r>
      <w:r w:rsidRPr="00DF1CAE">
        <w:t xml:space="preserve"> months by </w:t>
      </w:r>
      <w:r>
        <w:t>approximately 6</w:t>
      </w:r>
      <w:r w:rsidR="00BF0AD1">
        <w:t xml:space="preserve"> to </w:t>
      </w:r>
      <w:r w:rsidRPr="00DF1CAE">
        <w:t xml:space="preserve">8% (with a trend for increasing </w:t>
      </w:r>
      <w:r w:rsidR="005B2F41">
        <w:t>IR</w:t>
      </w:r>
      <w:r w:rsidRPr="00DF1CAE">
        <w:t xml:space="preserve"> at </w:t>
      </w:r>
      <w:r>
        <w:t>D</w:t>
      </w:r>
      <w:r w:rsidRPr="00DF1CAE">
        <w:t xml:space="preserve">ay 1, </w:t>
      </w:r>
      <w:r>
        <w:t>W</w:t>
      </w:r>
      <w:r w:rsidRPr="00DF1CAE">
        <w:t xml:space="preserve">eek 5, </w:t>
      </w:r>
      <w:r>
        <w:t>W</w:t>
      </w:r>
      <w:r w:rsidRPr="00DF1CAE">
        <w:t xml:space="preserve">eek 13 and </w:t>
      </w:r>
      <w:r>
        <w:t>W</w:t>
      </w:r>
      <w:r w:rsidRPr="00DF1CAE">
        <w:t>eek 26), and there was no evidence of any dramatic decline in recovery in any particular patient.</w:t>
      </w:r>
    </w:p>
    <w:p w:rsidR="000D27A5" w:rsidRPr="000D27A5" w:rsidRDefault="000D27A5" w:rsidP="00867359">
      <w:r w:rsidRPr="000D27A5">
        <w:t xml:space="preserve">Assessment of </w:t>
      </w:r>
      <w:r w:rsidR="005B2F41">
        <w:t>IR</w:t>
      </w:r>
      <w:r w:rsidRPr="000D27A5">
        <w:t xml:space="preserve"> was made during the PK study. This included comparison of </w:t>
      </w:r>
      <w:r w:rsidR="005B2F41">
        <w:t>IR</w:t>
      </w:r>
      <w:r w:rsidRPr="000D27A5">
        <w:t xml:space="preserve"> in Part 1 of the study (</w:t>
      </w:r>
      <w:r>
        <w:t xml:space="preserve">that is, </w:t>
      </w:r>
      <w:r w:rsidRPr="000D27A5">
        <w:t xml:space="preserve">after one dose) with </w:t>
      </w:r>
      <w:proofErr w:type="spellStart"/>
      <w:r w:rsidRPr="000D27A5">
        <w:t>BeneFIX</w:t>
      </w:r>
      <w:proofErr w:type="spellEnd"/>
      <w:r w:rsidRPr="000D27A5">
        <w:t xml:space="preserve">. Point estimates indicated a modest difference in </w:t>
      </w:r>
      <w:r w:rsidR="005B2F41">
        <w:t>IR</w:t>
      </w:r>
      <w:r w:rsidRPr="000D27A5">
        <w:t xml:space="preserve"> at </w:t>
      </w:r>
      <w:proofErr w:type="spellStart"/>
      <w:r w:rsidRPr="000D27A5">
        <w:t>C</w:t>
      </w:r>
      <w:r w:rsidRPr="000D27A5">
        <w:rPr>
          <w:vertAlign w:val="subscript"/>
        </w:rPr>
        <w:t>max</w:t>
      </w:r>
      <w:proofErr w:type="spellEnd"/>
      <w:r w:rsidRPr="000D27A5">
        <w:t>, although statistical significance of the difference between the two products was not tested, and ranges observed were broadly overlapping.</w:t>
      </w:r>
    </w:p>
    <w:p w:rsidR="000D27A5" w:rsidRPr="000D27A5" w:rsidRDefault="000D27A5" w:rsidP="00867359">
      <w:r w:rsidRPr="000D27A5">
        <w:rPr>
          <w:b/>
        </w:rPr>
        <w:t>Formulation</w:t>
      </w:r>
      <w:r>
        <w:rPr>
          <w:b/>
        </w:rPr>
        <w:t>:</w:t>
      </w:r>
      <w:r w:rsidRPr="000D27A5">
        <w:t xml:space="preserve"> The clinical evaluator accepted that the change from pilot to commercial production did not bias the pivotal study’s results, but noted efficacy analysis suggested the ‘commercial’ material was more active and effective at least in treatment of bleeds (based on a somewhat limited analysis</w:t>
      </w:r>
      <w:r>
        <w:t>)</w:t>
      </w:r>
      <w:r w:rsidRPr="000D27A5">
        <w:t>.</w:t>
      </w:r>
    </w:p>
    <w:p w:rsidR="000D27A5" w:rsidRPr="000D27A5" w:rsidRDefault="000D27A5" w:rsidP="00867359">
      <w:r w:rsidRPr="000D27A5">
        <w:t xml:space="preserve">Limited PK data were obtained in surgical Study 251002, from </w:t>
      </w:r>
      <w:r>
        <w:t>seven</w:t>
      </w:r>
      <w:r w:rsidRPr="000D27A5">
        <w:t xml:space="preserve"> subjects. Results could not be compared formally across studies. I</w:t>
      </w:r>
      <w:r w:rsidR="005B2F41">
        <w:t>R</w:t>
      </w:r>
      <w:r w:rsidRPr="000D27A5">
        <w:t xml:space="preserve"> at 30 minutes was calculated to be 1.06.</w:t>
      </w:r>
    </w:p>
    <w:p w:rsidR="000D27A5" w:rsidRPr="00867359" w:rsidRDefault="000D27A5" w:rsidP="00867359">
      <w:pPr>
        <w:pStyle w:val="Heading4"/>
      </w:pPr>
      <w:r w:rsidRPr="00761299">
        <w:t>Efficacy</w:t>
      </w:r>
    </w:p>
    <w:p w:rsidR="000D27A5" w:rsidRPr="00867359" w:rsidRDefault="000D27A5" w:rsidP="00867359">
      <w:pPr>
        <w:pStyle w:val="Heading5"/>
      </w:pPr>
      <w:r w:rsidRPr="00761299">
        <w:t>Study 250901 – pivotal</w:t>
      </w:r>
    </w:p>
    <w:p w:rsidR="000D27A5" w:rsidRPr="00761299" w:rsidRDefault="000D27A5" w:rsidP="00867359">
      <w:r w:rsidRPr="00761299">
        <w:t xml:space="preserve">Parts 1 and 3 (PK) </w:t>
      </w:r>
      <w:r w:rsidR="00761299">
        <w:t xml:space="preserve">of this study </w:t>
      </w:r>
      <w:r w:rsidRPr="00761299">
        <w:t>are discussed above; Part 2 was open-labelled and uncontrolled and examined twice-weekly prophylaxis or, in a separate group, on-demand use.</w:t>
      </w:r>
    </w:p>
    <w:p w:rsidR="000D27A5" w:rsidRPr="00761299" w:rsidRDefault="000D27A5" w:rsidP="00867359">
      <w:r w:rsidRPr="00761299">
        <w:t>Subjects had severe (FIX level</w:t>
      </w:r>
      <w:r w:rsidR="00761299">
        <w:t xml:space="preserve"> &lt; </w:t>
      </w:r>
      <w:r w:rsidRPr="00761299">
        <w:t xml:space="preserve">1%) or moderately severe (FIX level 1-2%) </w:t>
      </w:r>
      <w:r w:rsidR="00BF0AD1">
        <w:t>h</w:t>
      </w:r>
      <w:r w:rsidRPr="00761299">
        <w:t>aemophilia B and were PTPs</w:t>
      </w:r>
      <w:r w:rsidR="005B2F41">
        <w:t xml:space="preserve"> (</w:t>
      </w:r>
      <w:r w:rsidRPr="00761299">
        <w:t xml:space="preserve">minimum 150 </w:t>
      </w:r>
      <w:r w:rsidR="00761299">
        <w:t>EDs</w:t>
      </w:r>
      <w:r w:rsidRPr="00761299">
        <w:t>). Study sites were predominantly in Russia, Poland, Bulgaria, Ukraine and Romania (raising the possibility of different historical standards of care compared to Australia). Subjects in the on</w:t>
      </w:r>
      <w:r w:rsidR="00BF0AD1">
        <w:t>-</w:t>
      </w:r>
      <w:r w:rsidRPr="00761299">
        <w:t>demand cohort needed 12</w:t>
      </w:r>
      <w:r w:rsidR="00761299">
        <w:t xml:space="preserve"> plus</w:t>
      </w:r>
      <w:r w:rsidRPr="00761299">
        <w:t xml:space="preserve"> bleeding episodes in 12 months before enrolment. Choice of cohort was at the discretion of investigator and subject.</w:t>
      </w:r>
    </w:p>
    <w:p w:rsidR="000D27A5" w:rsidRPr="00761299" w:rsidRDefault="000D27A5" w:rsidP="00867359">
      <w:r w:rsidRPr="00761299">
        <w:t xml:space="preserve">56 subjects were studied in the prophylaxis cohort (another </w:t>
      </w:r>
      <w:r w:rsidR="00761299">
        <w:t>three</w:t>
      </w:r>
      <w:r w:rsidRPr="00761299">
        <w:t xml:space="preserve"> had treatment for &lt;</w:t>
      </w:r>
      <w:r w:rsidR="00761299">
        <w:t xml:space="preserve"> three</w:t>
      </w:r>
      <w:r w:rsidRPr="00761299">
        <w:t xml:space="preserve"> months) and 14 subjects in the on-demand cohort. The evaluator explored in some detail a high incidence of major protocol deviations. Prophylaxis patients received twice weekly injections; mean number of </w:t>
      </w:r>
      <w:r w:rsidR="009B53CC">
        <w:t xml:space="preserve">EDs </w:t>
      </w:r>
      <w:r w:rsidRPr="00761299">
        <w:t>was 58.3 (minimum 50).</w:t>
      </w:r>
    </w:p>
    <w:p w:rsidR="000D27A5" w:rsidRPr="00761299" w:rsidRDefault="000D27A5" w:rsidP="00867359">
      <w:r w:rsidRPr="00761299">
        <w:t>Patients were 12</w:t>
      </w:r>
      <w:r w:rsidR="00BF0AD1">
        <w:t xml:space="preserve"> to </w:t>
      </w:r>
      <w:r w:rsidRPr="00761299">
        <w:t>65 y</w:t>
      </w:r>
      <w:r w:rsidR="00761299">
        <w:t>ea</w:t>
      </w:r>
      <w:r w:rsidRPr="00761299">
        <w:t>rs of age.</w:t>
      </w:r>
      <w:r w:rsidR="00761299">
        <w:t xml:space="preserve"> M</w:t>
      </w:r>
      <w:r w:rsidRPr="00761299">
        <w:t>edian age was 33 y</w:t>
      </w:r>
      <w:r w:rsidR="00761299">
        <w:t>ea</w:t>
      </w:r>
      <w:r w:rsidRPr="00761299">
        <w:t xml:space="preserve">rs; there were </w:t>
      </w:r>
      <w:r w:rsidR="00761299">
        <w:t>three</w:t>
      </w:r>
      <w:r w:rsidRPr="00761299">
        <w:t xml:space="preserve"> children (12, 13 and 15 y</w:t>
      </w:r>
      <w:r w:rsidR="00761299">
        <w:t>ea</w:t>
      </w:r>
      <w:r w:rsidRPr="00761299">
        <w:t>rs). FIX activity at baseline was &lt;</w:t>
      </w:r>
      <w:r w:rsidR="00761299">
        <w:t xml:space="preserve"> </w:t>
      </w:r>
      <w:r w:rsidRPr="00761299">
        <w:t>1% in 53.4% of subjects, and 1</w:t>
      </w:r>
      <w:r w:rsidR="00761299">
        <w:t xml:space="preserve"> to </w:t>
      </w:r>
      <w:r w:rsidRPr="00761299">
        <w:t xml:space="preserve">2% in 46.6% of subjects. 85% were </w:t>
      </w:r>
      <w:r w:rsidR="00761299" w:rsidRPr="00761299">
        <w:t>Caucasian</w:t>
      </w:r>
      <w:r w:rsidRPr="00761299">
        <w:t xml:space="preserve">. </w:t>
      </w:r>
      <w:proofErr w:type="spellStart"/>
      <w:r w:rsidRPr="00761299">
        <w:t>Arthropathy</w:t>
      </w:r>
      <w:proofErr w:type="spellEnd"/>
      <w:r w:rsidRPr="00761299">
        <w:t xml:space="preserve"> was common (48/56).</w:t>
      </w:r>
    </w:p>
    <w:p w:rsidR="000D27A5" w:rsidRPr="00761299" w:rsidRDefault="000D27A5" w:rsidP="00867359">
      <w:r w:rsidRPr="00761299">
        <w:t xml:space="preserve">In prophylaxis, patients received 50 IU/kg twice weekly (40-60 IU/kg, at the discretion of the investigator), which could increase to 75 IU/kg twice weekly. On-demand use to treat bleeds followed instructions for dosing of </w:t>
      </w:r>
      <w:proofErr w:type="spellStart"/>
      <w:r w:rsidRPr="00761299">
        <w:t>BeneFIX</w:t>
      </w:r>
      <w:proofErr w:type="spellEnd"/>
      <w:r w:rsidRPr="00761299">
        <w:t xml:space="preserve"> in the EU </w:t>
      </w:r>
      <w:proofErr w:type="spellStart"/>
      <w:r w:rsidRPr="00761299">
        <w:t>SmPC</w:t>
      </w:r>
      <w:proofErr w:type="spellEnd"/>
      <w:r w:rsidRPr="00761299">
        <w:t>. R</w:t>
      </w:r>
      <w:r w:rsidR="00761299">
        <w:t>ixubis</w:t>
      </w:r>
      <w:r w:rsidRPr="00761299">
        <w:t xml:space="preserve"> was used to treat bleeds in the prophylaxis arm.</w:t>
      </w:r>
    </w:p>
    <w:p w:rsidR="00761299" w:rsidRPr="00761299" w:rsidRDefault="000D27A5" w:rsidP="00761299">
      <w:r w:rsidRPr="00761299">
        <w:t xml:space="preserve">The mean </w:t>
      </w:r>
      <w:r w:rsidR="00783830">
        <w:t>ABR</w:t>
      </w:r>
      <w:r w:rsidRPr="00761299">
        <w:t xml:space="preserve"> episodes in the prophylaxis cohort (n=56) was 4.26 and the median was 1.99, suggesting a skewed distribution of events (43% of</w:t>
      </w:r>
      <w:r w:rsidRPr="000D27A5">
        <w:t xml:space="preserve"> subjects had no bleeds during the period). The evaluator compares these results with analogous ones reported in the </w:t>
      </w:r>
      <w:proofErr w:type="spellStart"/>
      <w:r w:rsidRPr="000D27A5">
        <w:t>BeneFIX</w:t>
      </w:r>
      <w:proofErr w:type="spellEnd"/>
      <w:r w:rsidRPr="000D27A5">
        <w:t xml:space="preserve"> PI. The sponsor assessed the medical literature for on-demand outcomes to conduct a historical comparison, concluding that twice weekly prophylaxis with R</w:t>
      </w:r>
      <w:r w:rsidR="00761299">
        <w:t xml:space="preserve">ixubis </w:t>
      </w:r>
      <w:r w:rsidR="00761299" w:rsidRPr="00761299">
        <w:lastRenderedPageBreak/>
        <w:t xml:space="preserve">produced a lower ABR than historical ABR values with on-demand treatment. There was no head-to-head comparison with </w:t>
      </w:r>
      <w:proofErr w:type="spellStart"/>
      <w:r w:rsidR="00761299" w:rsidRPr="00761299">
        <w:t>BeneFIX</w:t>
      </w:r>
      <w:proofErr w:type="spellEnd"/>
      <w:r w:rsidR="00761299" w:rsidRPr="00761299">
        <w:t xml:space="preserve"> in prophylaxis.</w:t>
      </w:r>
    </w:p>
    <w:p w:rsidR="00761299" w:rsidRPr="00761299" w:rsidRDefault="00761299" w:rsidP="00867359">
      <w:r w:rsidRPr="00761299">
        <w:t>In the on-demand cohort (n=14), mean ABR was 33.9 and median 27.0 (range 12.9</w:t>
      </w:r>
      <w:r w:rsidR="00BF0AD1">
        <w:t xml:space="preserve"> to </w:t>
      </w:r>
      <w:r w:rsidRPr="00761299">
        <w:t>73.1), higher than historical outcomes.</w:t>
      </w:r>
    </w:p>
    <w:p w:rsidR="00761299" w:rsidRPr="00761299" w:rsidRDefault="00761299" w:rsidP="00867359">
      <w:r w:rsidRPr="00761299">
        <w:t xml:space="preserve">15.3% of bleeds required </w:t>
      </w:r>
      <w:r>
        <w:t>≥ three</w:t>
      </w:r>
      <w:r w:rsidRPr="00761299">
        <w:t xml:space="preserve"> infusions. AHCDO guidelines refer to a study showing that &gt;</w:t>
      </w:r>
      <w:r>
        <w:t xml:space="preserve"> </w:t>
      </w:r>
      <w:r w:rsidRPr="00761299">
        <w:t xml:space="preserve">90% of bleeding episodes were controlled by </w:t>
      </w:r>
      <w:r>
        <w:t xml:space="preserve">one to two </w:t>
      </w:r>
      <w:r w:rsidRPr="00761299">
        <w:t xml:space="preserve">infusions of other </w:t>
      </w:r>
      <w:proofErr w:type="spellStart"/>
      <w:r w:rsidRPr="00761299">
        <w:t>rFIX</w:t>
      </w:r>
      <w:proofErr w:type="spellEnd"/>
      <w:r w:rsidRPr="00761299">
        <w:t>, however confounders such as severity of bleeding may impact on this historical comparison. Interestingly, bleeds in the on-demand group in Study 250901 generally required fewer infusions and a lower total dose, though this analysis was not stratified by severity of bleed.</w:t>
      </w:r>
    </w:p>
    <w:p w:rsidR="00761299" w:rsidRPr="00761299" w:rsidRDefault="00761299" w:rsidP="00867359">
      <w:r w:rsidRPr="00761299">
        <w:t>No pattern of increased consumption indicative of inhibitor formation was reported.</w:t>
      </w:r>
    </w:p>
    <w:p w:rsidR="00761299" w:rsidRPr="00867359" w:rsidRDefault="00761299" w:rsidP="00867359">
      <w:pPr>
        <w:pStyle w:val="Heading5"/>
      </w:pPr>
      <w:r w:rsidRPr="00761299">
        <w:t>Study 251002 – supportive</w:t>
      </w:r>
    </w:p>
    <w:p w:rsidR="00761299" w:rsidRPr="00761299" w:rsidRDefault="00761299" w:rsidP="00867359">
      <w:r w:rsidRPr="00761299">
        <w:t>This is an ongoing, open label, uncontrolled study in patients with severe/moderately severe Haemophilia B undergoing surgical/denta</w:t>
      </w:r>
      <w:r>
        <w:t>l</w:t>
      </w:r>
      <w:r w:rsidRPr="00761299">
        <w:t>/other invasive procedures. Study sites were in Russia, Poland, Bulgaria and Ukraine.</w:t>
      </w:r>
    </w:p>
    <w:p w:rsidR="00761299" w:rsidRPr="00761299" w:rsidRDefault="00761299" w:rsidP="00867359">
      <w:r w:rsidRPr="00761299">
        <w:t>Dose was tailored to raise FIX concentrations to 80</w:t>
      </w:r>
      <w:r>
        <w:t xml:space="preserve"> to </w:t>
      </w:r>
      <w:r w:rsidRPr="00761299">
        <w:t>100% of normal for major surgery and 30</w:t>
      </w:r>
      <w:r>
        <w:t xml:space="preserve"> to </w:t>
      </w:r>
      <w:r w:rsidRPr="00761299">
        <w:t>60% of normal for minor surgery. Dose frequency was per local guidelines, which led to low FIX concentrations in some subjects. Replacement was by bolus infusion; continuous infusion was not assessed.</w:t>
      </w:r>
    </w:p>
    <w:p w:rsidR="00761299" w:rsidRPr="00761299" w:rsidRDefault="00761299" w:rsidP="00867359">
      <w:r w:rsidRPr="00761299">
        <w:t>The 14 subjects ranged in age from 19 to 54 y</w:t>
      </w:r>
      <w:r>
        <w:t>ea</w:t>
      </w:r>
      <w:r w:rsidRPr="00761299">
        <w:t xml:space="preserve">rs. 11/14 had severe haemophilia B and </w:t>
      </w:r>
      <w:r>
        <w:t>three</w:t>
      </w:r>
      <w:r w:rsidRPr="00761299">
        <w:t xml:space="preserve"> had moderately severe deficiency. 11/14 had ‘major’ surgery (</w:t>
      </w:r>
      <w:r>
        <w:t>seven</w:t>
      </w:r>
      <w:r w:rsidRPr="00761299">
        <w:t xml:space="preserve"> orthopaedic, </w:t>
      </w:r>
      <w:r>
        <w:t>two</w:t>
      </w:r>
      <w:r w:rsidRPr="00761299">
        <w:t xml:space="preserve"> hernia repairs, </w:t>
      </w:r>
      <w:r>
        <w:t>one</w:t>
      </w:r>
      <w:r w:rsidRPr="00761299">
        <w:t xml:space="preserve"> dental</w:t>
      </w:r>
      <w:r>
        <w:t xml:space="preserve"> and one</w:t>
      </w:r>
      <w:r w:rsidRPr="00761299">
        <w:t xml:space="preserve"> excision of </w:t>
      </w:r>
      <w:proofErr w:type="spellStart"/>
      <w:r w:rsidRPr="00761299">
        <w:t>neurofibroma</w:t>
      </w:r>
      <w:proofErr w:type="spellEnd"/>
      <w:r w:rsidRPr="00761299">
        <w:t>).</w:t>
      </w:r>
    </w:p>
    <w:p w:rsidR="00761299" w:rsidRPr="00761299" w:rsidRDefault="00761299" w:rsidP="00867359">
      <w:r w:rsidRPr="00761299">
        <w:t>There were intra-operative, post-operative and day of discharge ratings of haemostatic efficacy (excellent/good/fair/none), based on variation from expected blood loss. No primary efficacy outcome was clearly defined.</w:t>
      </w:r>
    </w:p>
    <w:p w:rsidR="00761299" w:rsidRPr="00761299" w:rsidRDefault="00BF0AD1" w:rsidP="00867359">
      <w:r>
        <w:t>Intra</w:t>
      </w:r>
      <w:r w:rsidR="00761299" w:rsidRPr="00761299">
        <w:t xml:space="preserve">operative blood loss matched expected blood loss. Postoperative blood loss from drains (in </w:t>
      </w:r>
      <w:r w:rsidR="00761299">
        <w:t>seven</w:t>
      </w:r>
      <w:r w:rsidR="00761299" w:rsidRPr="00761299">
        <w:t xml:space="preserve"> major surgery patients) was often higher than predicted. Ratings of haemostatic efficacy by surgeons were ‘excellent’ in 14/14 subjects </w:t>
      </w:r>
      <w:proofErr w:type="spellStart"/>
      <w:r w:rsidR="00761299" w:rsidRPr="00761299">
        <w:t>intraoperatively</w:t>
      </w:r>
      <w:proofErr w:type="spellEnd"/>
      <w:r w:rsidR="00761299" w:rsidRPr="00761299">
        <w:t>, and either excellent or good subsequently; the evaluator saw the potential for observer bias to influence this assessment. Blood product use did not seem excessive.</w:t>
      </w:r>
    </w:p>
    <w:p w:rsidR="00761299" w:rsidRPr="00867359" w:rsidRDefault="00761299" w:rsidP="00867359">
      <w:pPr>
        <w:pStyle w:val="Heading4"/>
      </w:pPr>
      <w:r w:rsidRPr="00761299">
        <w:t>Safety</w:t>
      </w:r>
    </w:p>
    <w:p w:rsidR="00761299" w:rsidRPr="00761299" w:rsidRDefault="00761299" w:rsidP="00867359">
      <w:r w:rsidRPr="00761299">
        <w:t xml:space="preserve">An ISS involved 91 unique patients (73 from Study 250901, </w:t>
      </w:r>
      <w:r>
        <w:t>two</w:t>
      </w:r>
      <w:r w:rsidRPr="00761299">
        <w:t xml:space="preserve"> from Study 251002 and 16 paediatric patients from Study 251101, some</w:t>
      </w:r>
      <w:r>
        <w:t xml:space="preserve"> of these also in continuation S</w:t>
      </w:r>
      <w:r w:rsidRPr="00761299">
        <w:t xml:space="preserve">tudy 251101). </w:t>
      </w:r>
      <w:r>
        <w:t>Th</w:t>
      </w:r>
      <w:r w:rsidRPr="00761299">
        <w:t xml:space="preserve">ere was a median of 83 </w:t>
      </w:r>
      <w:r w:rsidR="009B53CC">
        <w:t>EDs</w:t>
      </w:r>
      <w:r w:rsidRPr="00761299">
        <w:t xml:space="preserve"> (range, </w:t>
      </w:r>
      <w:r>
        <w:t xml:space="preserve">three to </w:t>
      </w:r>
      <w:r w:rsidRPr="00761299">
        <w:t>209) and 78% of infusions were for prophylaxis. Exposure was relatively short-term.</w:t>
      </w:r>
    </w:p>
    <w:p w:rsidR="00761299" w:rsidRPr="00761299" w:rsidRDefault="00761299" w:rsidP="00867359">
      <w:r w:rsidRPr="00761299">
        <w:t>Immunogenicity was assessed by assaying total binding and inhibitory antibodies to FIX and other product-related proteins. Low levels of binding anti-FIX antibodies (1:20, 1:40) could not be confirmed so were not reported as positive.</w:t>
      </w:r>
    </w:p>
    <w:p w:rsidR="00761299" w:rsidRPr="00761299" w:rsidRDefault="00761299" w:rsidP="00867359">
      <w:r w:rsidRPr="00761299">
        <w:t>No subject developed an inhibitory antibody to FIX with titre ≥</w:t>
      </w:r>
      <w:r>
        <w:t xml:space="preserve"> </w:t>
      </w:r>
      <w:r w:rsidRPr="00761299">
        <w:t xml:space="preserve">6 Bethesda units. No subject had confirmed treatment-related binding antibodies to FIX, </w:t>
      </w:r>
      <w:r>
        <w:t>although 11 subjects developed ‘</w:t>
      </w:r>
      <w:r w:rsidRPr="00761299">
        <w:t>indeterminate titres</w:t>
      </w:r>
      <w:r>
        <w:t>’</w:t>
      </w:r>
      <w:r w:rsidRPr="00761299">
        <w:t xml:space="preserve"> of antibodies to FIX (</w:t>
      </w:r>
      <w:r>
        <w:t xml:space="preserve">that is, </w:t>
      </w:r>
      <w:r w:rsidRPr="00761299">
        <w:t>low titre and not confirmable).</w:t>
      </w:r>
    </w:p>
    <w:p w:rsidR="00761299" w:rsidRPr="00761299" w:rsidRDefault="00761299" w:rsidP="00867359">
      <w:r>
        <w:t xml:space="preserve">Eleven </w:t>
      </w:r>
      <w:r w:rsidRPr="00761299">
        <w:t>subjects developed indeterminate titres of anti-</w:t>
      </w:r>
      <w:proofErr w:type="spellStart"/>
      <w:r w:rsidRPr="00761299">
        <w:t>Furin</w:t>
      </w:r>
      <w:proofErr w:type="spellEnd"/>
      <w:r w:rsidRPr="00761299">
        <w:t xml:space="preserve"> antibodies. In </w:t>
      </w:r>
      <w:r>
        <w:t>three</w:t>
      </w:r>
      <w:r w:rsidRPr="00761299">
        <w:t xml:space="preserve"> this was prior to R</w:t>
      </w:r>
      <w:r>
        <w:t>ixubis</w:t>
      </w:r>
      <w:r w:rsidRPr="00761299">
        <w:t xml:space="preserve"> exposure. One subject had transient, low-level (1:80) confirmed antibodies to </w:t>
      </w:r>
      <w:proofErr w:type="spellStart"/>
      <w:r w:rsidRPr="00761299">
        <w:t>rFurin</w:t>
      </w:r>
      <w:proofErr w:type="spellEnd"/>
      <w:r w:rsidRPr="00761299">
        <w:t>; AEs were not reported; follow-up titre was 1:20 (indeterminate).</w:t>
      </w:r>
    </w:p>
    <w:p w:rsidR="00761299" w:rsidRPr="00761299" w:rsidRDefault="00761299" w:rsidP="00867359">
      <w:r w:rsidRPr="00761299">
        <w:lastRenderedPageBreak/>
        <w:t>The FDA Clinical Review of R</w:t>
      </w:r>
      <w:r>
        <w:t>ixubis</w:t>
      </w:r>
      <w:r w:rsidRPr="00761299">
        <w:t xml:space="preserve"> notes regarding the potential clinical significance of these antibodies:</w:t>
      </w:r>
    </w:p>
    <w:p w:rsidR="00761299" w:rsidRPr="00761299" w:rsidRDefault="00761299" w:rsidP="00867359">
      <w:r w:rsidRPr="00761299">
        <w:t xml:space="preserve">Baxter provided data from 500 healthy subjects from </w:t>
      </w:r>
      <w:r>
        <w:t>five</w:t>
      </w:r>
      <w:r w:rsidRPr="00761299">
        <w:t xml:space="preserve"> different geographies in Austria who were screened for the prevalence of </w:t>
      </w:r>
      <w:proofErr w:type="spellStart"/>
      <w:r w:rsidRPr="00761299">
        <w:t>rFurin</w:t>
      </w:r>
      <w:proofErr w:type="spellEnd"/>
      <w:r w:rsidRPr="00761299">
        <w:t xml:space="preserve"> antibodies using the same assay in the pivotal study. Forty-one healthy subjects were found to be reactive (8.2%) without prior exposure to the </w:t>
      </w:r>
      <w:r w:rsidR="00D33934">
        <w:t>IP</w:t>
      </w:r>
      <w:r w:rsidRPr="00761299">
        <w:t>. Of these, 7% had titr</w:t>
      </w:r>
      <w:r>
        <w:t>e</w:t>
      </w:r>
      <w:r w:rsidRPr="00761299">
        <w:t>s of 1:20 or 1:40 and 1.2% had higher titr</w:t>
      </w:r>
      <w:r>
        <w:t>e</w:t>
      </w:r>
      <w:r w:rsidRPr="00761299">
        <w:t xml:space="preserve">s ranging from 1:80 to 1:320. A review of the literature was also provided describing the historical knowledge of self-reactive </w:t>
      </w:r>
      <w:proofErr w:type="spellStart"/>
      <w:r w:rsidRPr="00761299">
        <w:t>rFurin</w:t>
      </w:r>
      <w:proofErr w:type="spellEnd"/>
      <w:r w:rsidRPr="00761299">
        <w:t xml:space="preserve"> antibodies that are of unclear origin but of no associated pathology.</w:t>
      </w:r>
    </w:p>
    <w:p w:rsidR="00761299" w:rsidRPr="00761299" w:rsidRDefault="00761299" w:rsidP="00867359">
      <w:r w:rsidRPr="00761299">
        <w:t>No thrombotic AEs were reported. No severe allergic reactions were reported, however anaphylaxis may occur years after initial exposure. There were no deaths. One subject haemorrhaged from a duodenal ulcer; it is unclear if the patient was on prophylaxis (but bleeding would be captured by efficacy evaluation).</w:t>
      </w:r>
    </w:p>
    <w:p w:rsidR="008E7846" w:rsidRPr="00B84944" w:rsidRDefault="00386150" w:rsidP="00867359">
      <w:pPr>
        <w:pStyle w:val="Heading4"/>
      </w:pPr>
      <w:r w:rsidRPr="00B84944">
        <w:t xml:space="preserve">Risk </w:t>
      </w:r>
      <w:r w:rsidRPr="00867359">
        <w:t>m</w:t>
      </w:r>
      <w:r w:rsidR="008E7846" w:rsidRPr="00867359">
        <w:t>anagement</w:t>
      </w:r>
      <w:r w:rsidR="008E7846" w:rsidRPr="00B84944">
        <w:t xml:space="preserve"> </w:t>
      </w:r>
      <w:r w:rsidRPr="00B84944">
        <w:t>p</w:t>
      </w:r>
      <w:r w:rsidR="008E7846" w:rsidRPr="00B84944">
        <w:t>lan</w:t>
      </w:r>
      <w:bookmarkEnd w:id="361"/>
    </w:p>
    <w:p w:rsidR="00B84944" w:rsidRPr="00B84944" w:rsidRDefault="00B84944" w:rsidP="009A2D89">
      <w:bookmarkStart w:id="362" w:name="_Toc247691531"/>
      <w:bookmarkStart w:id="363" w:name="_Toc314842515"/>
      <w:bookmarkStart w:id="364" w:name="_Toc196046505"/>
      <w:bookmarkStart w:id="365" w:name="_Toc196046949"/>
      <w:r w:rsidRPr="00B84944">
        <w:t>The proposed RMP was broadly acceptable to the TGA’s O</w:t>
      </w:r>
      <w:r>
        <w:t>PR.</w:t>
      </w:r>
      <w:r w:rsidRPr="00B84944">
        <w:t xml:space="preserve"> The Round 2 RMP </w:t>
      </w:r>
      <w:r>
        <w:t>e</w:t>
      </w:r>
      <w:r w:rsidRPr="00B84944">
        <w:t>valuation identified unresolved procedural and content-related issues:</w:t>
      </w:r>
    </w:p>
    <w:p w:rsidR="00B84944" w:rsidRPr="00B84944" w:rsidRDefault="00B84944" w:rsidP="009A2D89">
      <w:pPr>
        <w:pStyle w:val="Numberbullet0"/>
        <w:numPr>
          <w:ilvl w:val="0"/>
          <w:numId w:val="19"/>
        </w:numPr>
      </w:pPr>
      <w:r w:rsidRPr="00B84944">
        <w:t xml:space="preserve">It is </w:t>
      </w:r>
      <w:r w:rsidRPr="009A2D89">
        <w:t>recommended</w:t>
      </w:r>
      <w:r w:rsidRPr="00B84944">
        <w:t xml:space="preserve"> that the sponsor submits a comprehensive summary outlining any differences bet</w:t>
      </w:r>
      <w:r w:rsidR="00BF0AD1">
        <w:t xml:space="preserve">ween RMP (version 1.0, dated 26 </w:t>
      </w:r>
      <w:r w:rsidRPr="00B84944">
        <w:t>Aug</w:t>
      </w:r>
      <w:r w:rsidR="00BF0AD1">
        <w:t xml:space="preserve">ust </w:t>
      </w:r>
      <w:r w:rsidRPr="00B84944">
        <w:t>2013) and RMP (version 1.0, dated 27</w:t>
      </w:r>
      <w:r w:rsidR="00BF0AD1">
        <w:t xml:space="preserve"> </w:t>
      </w:r>
      <w:r w:rsidRPr="00B84944">
        <w:t>Dec</w:t>
      </w:r>
      <w:r w:rsidR="00BF0AD1">
        <w:t xml:space="preserve">ember </w:t>
      </w:r>
      <w:r w:rsidRPr="00B84944">
        <w:t>2012.), and outlines the rationale behind any change. This summary should be reviewed and approved by the RMP section prior to market approval.</w:t>
      </w:r>
    </w:p>
    <w:p w:rsidR="00B84944" w:rsidRDefault="00B84944" w:rsidP="009A2D89">
      <w:pPr>
        <w:pStyle w:val="Numberbullet0"/>
      </w:pPr>
      <w:r w:rsidRPr="00B84944">
        <w:t xml:space="preserve">It is </w:t>
      </w:r>
      <w:r w:rsidRPr="009A2D89">
        <w:t>recommended</w:t>
      </w:r>
      <w:r w:rsidRPr="00B84944">
        <w:t xml:space="preserve"> that the following patient populations be included as missing information in the table of ongoing safety concerns of the RMP.</w:t>
      </w:r>
    </w:p>
    <w:p w:rsidR="00B84944" w:rsidRDefault="00B84944" w:rsidP="009A2D89">
      <w:pPr>
        <w:pStyle w:val="Numberbullet2"/>
      </w:pPr>
      <w:r w:rsidRPr="00B84944">
        <w:t>Patient</w:t>
      </w:r>
      <w:r w:rsidR="009A2D89">
        <w:t>s with high risk gene mutations</w:t>
      </w:r>
    </w:p>
    <w:p w:rsidR="00B84944" w:rsidRDefault="00B84944" w:rsidP="009A2D89">
      <w:pPr>
        <w:pStyle w:val="Numberbullet2"/>
      </w:pPr>
      <w:r w:rsidRPr="00B84944">
        <w:t xml:space="preserve">HIV positive and </w:t>
      </w:r>
      <w:proofErr w:type="spellStart"/>
      <w:r w:rsidRPr="009A2D89">
        <w:t>immunocompromised</w:t>
      </w:r>
      <w:proofErr w:type="spellEnd"/>
    </w:p>
    <w:p w:rsidR="00B84944" w:rsidRDefault="00B84944" w:rsidP="009A2D89">
      <w:pPr>
        <w:pStyle w:val="Numberbullet2"/>
      </w:pPr>
      <w:r w:rsidRPr="00B84944">
        <w:t>Patients with liver disease</w:t>
      </w:r>
      <w:r>
        <w:t>, a</w:t>
      </w:r>
      <w:r w:rsidR="009A2D89">
        <w:t>nd</w:t>
      </w:r>
    </w:p>
    <w:p w:rsidR="00B84944" w:rsidRDefault="00B84944" w:rsidP="009A2D89">
      <w:pPr>
        <w:pStyle w:val="Numberbullet2"/>
      </w:pPr>
      <w:r w:rsidRPr="00B84944">
        <w:t>Patients with kidney disease</w:t>
      </w:r>
    </w:p>
    <w:p w:rsidR="00B84944" w:rsidRPr="00B84944" w:rsidRDefault="00B84944" w:rsidP="009A2D89">
      <w:pPr>
        <w:ind w:left="425"/>
      </w:pPr>
      <w:r w:rsidRPr="00B84944">
        <w:t>Reporting of safety related events in these patient populati</w:t>
      </w:r>
      <w:r w:rsidR="009A2D89">
        <w:t>ons should occur in every PSUR.</w:t>
      </w:r>
    </w:p>
    <w:p w:rsidR="00B84944" w:rsidRPr="00B84944" w:rsidRDefault="00B84944" w:rsidP="009A2D89">
      <w:r w:rsidRPr="00B84944">
        <w:t>The latest RMP version submitted to the TGA was version 1.0, dated 26</w:t>
      </w:r>
      <w:r>
        <w:t xml:space="preserve"> </w:t>
      </w:r>
      <w:r w:rsidRPr="00B84944">
        <w:t>Aug</w:t>
      </w:r>
      <w:r>
        <w:t xml:space="preserve">ust </w:t>
      </w:r>
      <w:r w:rsidRPr="00B84944">
        <w:t>2013.</w:t>
      </w:r>
    </w:p>
    <w:p w:rsidR="00B84944" w:rsidRPr="00B84944" w:rsidRDefault="00B84944" w:rsidP="009A2D89">
      <w:r w:rsidRPr="00B84944">
        <w:t>The sponsor should aim to resolve these outstanding issues with the RMP Evaluation Section prior to market launch of the product.</w:t>
      </w:r>
    </w:p>
    <w:p w:rsidR="00B84944" w:rsidRDefault="00B84944" w:rsidP="009A2D89">
      <w:r w:rsidRPr="00B84944">
        <w:t xml:space="preserve">If by inclusion of these groups in the table of ongoing safety concerns in the RMP close scrutiny of efficacy and safety in these groups is encouraged in the post-market setting, the RMP </w:t>
      </w:r>
      <w:r>
        <w:t>e</w:t>
      </w:r>
      <w:r w:rsidRPr="00B84944">
        <w:t>valuator’s position seems reasonable.</w:t>
      </w:r>
    </w:p>
    <w:p w:rsidR="00BD30DA" w:rsidRDefault="00BD30DA" w:rsidP="009A2D89">
      <w:pPr>
        <w:pStyle w:val="Heading4"/>
      </w:pPr>
      <w:r>
        <w:t xml:space="preserve">Delegate </w:t>
      </w:r>
      <w:r w:rsidRPr="009A2D89">
        <w:t>considerations</w:t>
      </w:r>
    </w:p>
    <w:p w:rsidR="00B84944" w:rsidRPr="009A2D89" w:rsidRDefault="00B84944" w:rsidP="009A2D89">
      <w:pPr>
        <w:pStyle w:val="Heading5"/>
      </w:pPr>
      <w:r w:rsidRPr="00B84944">
        <w:t>Efficacy</w:t>
      </w:r>
    </w:p>
    <w:p w:rsidR="00B84944" w:rsidRPr="00B84944" w:rsidRDefault="00B84944" w:rsidP="009A2D89">
      <w:r w:rsidRPr="00B84944">
        <w:t xml:space="preserve">In pivotal Study 250901, clinical efficacy was not compared for </w:t>
      </w:r>
      <w:proofErr w:type="spellStart"/>
      <w:r w:rsidRPr="00B84944">
        <w:t>R</w:t>
      </w:r>
      <w:r>
        <w:t>ixubis</w:t>
      </w:r>
      <w:proofErr w:type="spellEnd"/>
      <w:r w:rsidRPr="00B84944">
        <w:t xml:space="preserve"> and </w:t>
      </w:r>
      <w:proofErr w:type="spellStart"/>
      <w:r w:rsidRPr="00B84944">
        <w:t>BeneFIX</w:t>
      </w:r>
      <w:proofErr w:type="spellEnd"/>
      <w:r w:rsidRPr="00B84944">
        <w:t>. Comparison was made with historical on-demand outcomes. Evidence that prophylaxis with R</w:t>
      </w:r>
      <w:r>
        <w:t>ixubis</w:t>
      </w:r>
      <w:r w:rsidRPr="00B84944">
        <w:t xml:space="preserve"> reduces ABR compared to on-demand use of other agents is an insensitive measure of R</w:t>
      </w:r>
      <w:r>
        <w:t>ixubis</w:t>
      </w:r>
      <w:r w:rsidRPr="00B84944">
        <w:t>’ comparative efficacy. Product-specific differences are confounded by effect of schedule (prophylaxis v</w:t>
      </w:r>
      <w:r>
        <w:t>ersu</w:t>
      </w:r>
      <w:r w:rsidRPr="00B84944">
        <w:t xml:space="preserve">s on-demand). If a cross-study comparison of ABR outcomes for </w:t>
      </w:r>
      <w:proofErr w:type="spellStart"/>
      <w:r w:rsidRPr="00B84944">
        <w:t>R</w:t>
      </w:r>
      <w:r>
        <w:t>ixubis</w:t>
      </w:r>
      <w:proofErr w:type="spellEnd"/>
      <w:r w:rsidRPr="00B84944">
        <w:t xml:space="preserve"> v</w:t>
      </w:r>
      <w:r>
        <w:t>ersu</w:t>
      </w:r>
      <w:r w:rsidRPr="00B84944">
        <w:t xml:space="preserve">s </w:t>
      </w:r>
      <w:proofErr w:type="spellStart"/>
      <w:r w:rsidRPr="00B84944">
        <w:t>BeneFIX</w:t>
      </w:r>
      <w:proofErr w:type="spellEnd"/>
      <w:r w:rsidRPr="00B84944">
        <w:t xml:space="preserve"> in the prophylaxis setting is attempted, no sign of any alarming decline in efficacy is seen, but such comparisons are subject to major biases.</w:t>
      </w:r>
    </w:p>
    <w:p w:rsidR="00B84944" w:rsidRPr="00B84944" w:rsidRDefault="00B84944" w:rsidP="00B84944">
      <w:r w:rsidRPr="00B84944">
        <w:lastRenderedPageBreak/>
        <w:t>The TGA-adopted EU guideline states that PK data (</w:t>
      </w:r>
      <w:r w:rsidR="005B2F41">
        <w:t>IR</w:t>
      </w:r>
      <w:r w:rsidRPr="00B84944">
        <w:t xml:space="preserve">, half-life, AUC, </w:t>
      </w:r>
      <w:r w:rsidR="005B2F41">
        <w:t>MRT</w:t>
      </w:r>
      <w:r w:rsidRPr="00B84944">
        <w:t xml:space="preserve">, </w:t>
      </w:r>
      <w:proofErr w:type="gramStart"/>
      <w:r w:rsidR="005B2F41">
        <w:t>CL</w:t>
      </w:r>
      <w:proofErr w:type="gramEnd"/>
      <w:r w:rsidRPr="00B84944">
        <w:t xml:space="preserve">) </w:t>
      </w:r>
      <w:r>
        <w:t>‘</w:t>
      </w:r>
      <w:r w:rsidRPr="00B84944">
        <w:t>are the most important (surrogate) endpoints for efficacy of a new factor VIII/IX product</w:t>
      </w:r>
      <w:r>
        <w:t>’</w:t>
      </w:r>
      <w:r w:rsidRPr="00B84944">
        <w:t>. Therefore, efficacy can also be inferred from assaying the increase in FIX upon infusion of R</w:t>
      </w:r>
      <w:r>
        <w:t>ixubis</w:t>
      </w:r>
      <w:r w:rsidRPr="00B84944">
        <w:t>. The sponsor’s single dose cross-over study showed</w:t>
      </w:r>
      <w:r w:rsidR="001140C3">
        <w:t xml:space="preserve"> the</w:t>
      </w:r>
      <w:r w:rsidRPr="00B84944">
        <w:t xml:space="preserve"> mean </w:t>
      </w:r>
      <w:r w:rsidR="005B2F41">
        <w:t>IR</w:t>
      </w:r>
      <w:r w:rsidRPr="00B84944">
        <w:t xml:space="preserve"> was 0.87 for </w:t>
      </w:r>
      <w:proofErr w:type="spellStart"/>
      <w:r w:rsidRPr="00B84944">
        <w:t>R</w:t>
      </w:r>
      <w:r>
        <w:t>ixubis</w:t>
      </w:r>
      <w:proofErr w:type="spellEnd"/>
      <w:r w:rsidRPr="00B84944">
        <w:t xml:space="preserve">, 0.77 for </w:t>
      </w:r>
      <w:proofErr w:type="spellStart"/>
      <w:r w:rsidRPr="00B84944">
        <w:t>BeneFIX</w:t>
      </w:r>
      <w:proofErr w:type="spellEnd"/>
      <w:r w:rsidRPr="00B84944">
        <w:t>. (The guideline also refers to assessment of ‘clinical efficacy’ (</w:t>
      </w:r>
      <w:r>
        <w:t xml:space="preserve">for example, </w:t>
      </w:r>
      <w:r w:rsidRPr="00B84944">
        <w:t>response as rated by physicians for treatment of bleeds; consumption of FIX) but there is no requirement for randomised comparison.)</w:t>
      </w:r>
    </w:p>
    <w:p w:rsidR="00B84944" w:rsidRPr="00B84944" w:rsidRDefault="00B84944" w:rsidP="009A2D89">
      <w:r w:rsidRPr="00B84944">
        <w:t>For peri-operative use, the guideline requires assessment of haemostatic efficacy, blood loss and transfusion requirements. The sponsor’s study examined these endpoints.</w:t>
      </w:r>
    </w:p>
    <w:p w:rsidR="00B84944" w:rsidRPr="009A2D89" w:rsidRDefault="00B84944" w:rsidP="009A2D89">
      <w:pPr>
        <w:pStyle w:val="Heading5"/>
      </w:pPr>
      <w:r w:rsidRPr="00B84944">
        <w:t>Dosing guidelines</w:t>
      </w:r>
    </w:p>
    <w:p w:rsidR="00B84944" w:rsidRPr="00B84944" w:rsidRDefault="00B84944" w:rsidP="009A2D89">
      <w:r w:rsidRPr="00B84944">
        <w:t xml:space="preserve">Reported difference in </w:t>
      </w:r>
      <w:r w:rsidR="005B2F41">
        <w:t>IR</w:t>
      </w:r>
      <w:r w:rsidRPr="00B84944">
        <w:t xml:space="preserve"> between </w:t>
      </w:r>
      <w:proofErr w:type="spellStart"/>
      <w:r w:rsidRPr="00B84944">
        <w:t>R</w:t>
      </w:r>
      <w:r w:rsidR="005B2F41">
        <w:t>ixubis</w:t>
      </w:r>
      <w:proofErr w:type="spellEnd"/>
      <w:r w:rsidRPr="00B84944">
        <w:t xml:space="preserve"> and </w:t>
      </w:r>
      <w:proofErr w:type="spellStart"/>
      <w:r w:rsidRPr="00B84944">
        <w:t>BeneFIX</w:t>
      </w:r>
      <w:proofErr w:type="spellEnd"/>
      <w:r w:rsidRPr="00B84944">
        <w:t xml:space="preserve"> might have implications for dosing </w:t>
      </w:r>
      <w:r w:rsidR="005B2F41" w:rsidRPr="00B84944">
        <w:t>guidelines;</w:t>
      </w:r>
      <w:r w:rsidRPr="00B84944">
        <w:t xml:space="preserve"> although differences are not major and probably need validation (</w:t>
      </w:r>
      <w:r w:rsidR="00D57CE4">
        <w:t xml:space="preserve">for example, </w:t>
      </w:r>
      <w:r w:rsidRPr="00B84944">
        <w:t xml:space="preserve">other studies indicate different </w:t>
      </w:r>
      <w:r w:rsidR="005B2F41">
        <w:t>IR</w:t>
      </w:r>
      <w:r w:rsidRPr="00B84944">
        <w:t xml:space="preserve"> for </w:t>
      </w:r>
      <w:proofErr w:type="spellStart"/>
      <w:r w:rsidRPr="00B84944">
        <w:t>BeneFIX</w:t>
      </w:r>
      <w:proofErr w:type="spellEnd"/>
      <w:r w:rsidRPr="00B84944">
        <w:t>).</w:t>
      </w:r>
    </w:p>
    <w:p w:rsidR="00B84944" w:rsidRPr="00B84944" w:rsidRDefault="00B84944" w:rsidP="009A2D89">
      <w:pPr>
        <w:pStyle w:val="Heading5"/>
      </w:pPr>
      <w:r w:rsidRPr="009A2D89">
        <w:t>Inhibitors</w:t>
      </w:r>
    </w:p>
    <w:p w:rsidR="00B84944" w:rsidRPr="00B84944" w:rsidRDefault="00B84944" w:rsidP="009A2D89">
      <w:r w:rsidRPr="00B84944">
        <w:t>No subjects developed clearly positive titres of inhibitory antibodies or allergic AEs/inefficacy/increased consumption tied to rising antibody titres.</w:t>
      </w:r>
    </w:p>
    <w:p w:rsidR="00B84944" w:rsidRPr="00B84944" w:rsidRDefault="00B84944" w:rsidP="009A2D89">
      <w:r w:rsidRPr="00B84944">
        <w:t>The significance of low titre non-neutralising antibodies to FIX/Furan was unclear. The assay to detect antibodies induced by R</w:t>
      </w:r>
      <w:r>
        <w:t>ixubis</w:t>
      </w:r>
      <w:r w:rsidRPr="00B84944">
        <w:t xml:space="preserve"> appeared non-specific (</w:t>
      </w:r>
      <w:r>
        <w:t xml:space="preserve">that is, </w:t>
      </w:r>
      <w:r w:rsidRPr="00B84944">
        <w:t xml:space="preserve">it detected ‘normally occurring’ or cross-reacting antibodies, at least for </w:t>
      </w:r>
      <w:proofErr w:type="spellStart"/>
      <w:r w:rsidRPr="00B84944">
        <w:t>rFurin</w:t>
      </w:r>
      <w:proofErr w:type="spellEnd"/>
      <w:r w:rsidRPr="00B84944">
        <w:t>).</w:t>
      </w:r>
    </w:p>
    <w:p w:rsidR="00B84944" w:rsidRPr="00B84944" w:rsidRDefault="00B84944" w:rsidP="009A2D89">
      <w:r w:rsidRPr="00B84944">
        <w:t>The generally uncontrolled study design in the R</w:t>
      </w:r>
      <w:r>
        <w:t>ixubis</w:t>
      </w:r>
      <w:r w:rsidRPr="00B84944">
        <w:t xml:space="preserve"> clinical programme does not allow detection of, for example, a higher incidence of inhibitor development than is seen with </w:t>
      </w:r>
      <w:proofErr w:type="spellStart"/>
      <w:r w:rsidRPr="00B84944">
        <w:t>BeneFIX</w:t>
      </w:r>
      <w:proofErr w:type="spellEnd"/>
      <w:r w:rsidRPr="00B84944">
        <w:t>.</w:t>
      </w:r>
    </w:p>
    <w:p w:rsidR="00B84944" w:rsidRPr="00B84944" w:rsidRDefault="00B84944" w:rsidP="009A2D89">
      <w:r w:rsidRPr="00B84944">
        <w:t xml:space="preserve">Given the historical incidence of inhibitors in </w:t>
      </w:r>
      <w:r w:rsidR="00D57CE4">
        <w:t>h</w:t>
      </w:r>
      <w:r w:rsidRPr="00B84944">
        <w:t>aemophilia B (1</w:t>
      </w:r>
      <w:r>
        <w:t xml:space="preserve"> to 6</w:t>
      </w:r>
      <w:r w:rsidRPr="00B84944">
        <w:t>% overall; but 9</w:t>
      </w:r>
      <w:r>
        <w:t xml:space="preserve"> to </w:t>
      </w:r>
      <w:r w:rsidRPr="00B84944">
        <w:t>23% in severe disease), the programme’s sample size (n=91 with at least moderately severe disease) may provide sufficient power to rule out a high incidence of inhibitors, to the extent that patients were followed up (inhib</w:t>
      </w:r>
      <w:r w:rsidR="00D57CE4">
        <w:t xml:space="preserve">itors commonly develop after 10 to </w:t>
      </w:r>
      <w:r w:rsidRPr="00B84944">
        <w:t>20 EDs</w:t>
      </w:r>
      <w:r w:rsidRPr="00B84944">
        <w:rPr>
          <w:vertAlign w:val="superscript"/>
        </w:rPr>
        <w:footnoteReference w:id="5"/>
      </w:r>
      <w:r w:rsidRPr="00B84944">
        <w:t>).</w:t>
      </w:r>
    </w:p>
    <w:p w:rsidR="00B84944" w:rsidRPr="009A2D89" w:rsidRDefault="00B84944" w:rsidP="009A2D89">
      <w:pPr>
        <w:pStyle w:val="Heading5"/>
      </w:pPr>
      <w:r w:rsidRPr="00B84944">
        <w:t>Indication – peri-operative use</w:t>
      </w:r>
    </w:p>
    <w:p w:rsidR="00B84944" w:rsidRPr="00B84944" w:rsidRDefault="00B84944" w:rsidP="009A2D89">
      <w:r w:rsidRPr="00B84944">
        <w:t>The clinical evaluator recommend</w:t>
      </w:r>
      <w:r>
        <w:t>ed</w:t>
      </w:r>
      <w:r w:rsidRPr="00B84944">
        <w:t xml:space="preserve"> excluding use in the peri-operative setting. </w:t>
      </w:r>
      <w:r>
        <w:t xml:space="preserve">The Delegate </w:t>
      </w:r>
      <w:r w:rsidRPr="00B84944">
        <w:t>agree</w:t>
      </w:r>
      <w:r>
        <w:t>d</w:t>
      </w:r>
      <w:r w:rsidRPr="00B84944">
        <w:t xml:space="preserve"> with the clinical evaluator that few subjects undergoing major surgery were evaluated (noting that few subjects are required in this setting according to regulatory guidelines), and that evidence of clinical efficacy was difficult to interpret.</w:t>
      </w:r>
    </w:p>
    <w:p w:rsidR="00B84944" w:rsidRPr="00B84944" w:rsidRDefault="00B84944" w:rsidP="009A2D89">
      <w:r w:rsidRPr="00B84944">
        <w:t xml:space="preserve">Given understanding about the mechanism of action of FIX replacement in </w:t>
      </w:r>
      <w:r w:rsidR="00D57CE4">
        <w:t>h</w:t>
      </w:r>
      <w:r w:rsidRPr="00B84944">
        <w:t>aemophilia B and endorsement of the use of surrogate PK endpoints by TGA-adopted EU guidelines, there is latitude to bridge evidence of efficacy across from the on-demand component of Study 250901 and from PK information in that study and the surgical study.</w:t>
      </w:r>
    </w:p>
    <w:p w:rsidR="00B84944" w:rsidRPr="00B84944" w:rsidRDefault="00B84944" w:rsidP="009A2D89">
      <w:r w:rsidRPr="00B84944">
        <w:t xml:space="preserve">In </w:t>
      </w:r>
      <w:r>
        <w:t xml:space="preserve">the Delegate’s </w:t>
      </w:r>
      <w:r w:rsidRPr="00B84944">
        <w:t>opinion, this provides a sufficient basis to allow use in the peri-operative setting.</w:t>
      </w:r>
    </w:p>
    <w:p w:rsidR="00B84944" w:rsidRPr="009A2D89" w:rsidRDefault="00B84944" w:rsidP="009A2D89">
      <w:pPr>
        <w:pStyle w:val="Heading5"/>
      </w:pPr>
      <w:r w:rsidRPr="00B84944">
        <w:t>Indicat</w:t>
      </w:r>
      <w:r w:rsidR="009A2D89">
        <w:t>ion – use in children</w:t>
      </w:r>
    </w:p>
    <w:p w:rsidR="00B84944" w:rsidRPr="00B84944" w:rsidRDefault="00B84944" w:rsidP="00B26EE3">
      <w:r w:rsidRPr="00B84944">
        <w:t xml:space="preserve">The US PI restricts use to adults. </w:t>
      </w:r>
      <w:r>
        <w:t xml:space="preserve">The Delegate </w:t>
      </w:r>
      <w:r w:rsidRPr="00B84944">
        <w:t>agree</w:t>
      </w:r>
      <w:r>
        <w:t>d</w:t>
      </w:r>
      <w:r w:rsidRPr="00B84944">
        <w:t xml:space="preserve"> with this approach, given the scant evidence for efficacy and safety in children 12</w:t>
      </w:r>
      <w:r>
        <w:t xml:space="preserve"> plus</w:t>
      </w:r>
      <w:r w:rsidRPr="00B84944">
        <w:t xml:space="preserve"> y</w:t>
      </w:r>
      <w:r>
        <w:t>ea</w:t>
      </w:r>
      <w:r w:rsidRPr="00B84944">
        <w:t xml:space="preserve">rs of age, availability of </w:t>
      </w:r>
      <w:proofErr w:type="spellStart"/>
      <w:r w:rsidRPr="00B84944">
        <w:t>BeneFIX</w:t>
      </w:r>
      <w:proofErr w:type="spellEnd"/>
      <w:r w:rsidRPr="00B84944">
        <w:t xml:space="preserve"> in children and the expectation of paediatric data for R</w:t>
      </w:r>
      <w:r>
        <w:t>ixubis</w:t>
      </w:r>
      <w:r w:rsidRPr="00B84944">
        <w:t>.</w:t>
      </w:r>
    </w:p>
    <w:p w:rsidR="00B84944" w:rsidRPr="00B26EE3" w:rsidRDefault="00B84944" w:rsidP="00B26EE3">
      <w:pPr>
        <w:pStyle w:val="Heading5"/>
      </w:pPr>
      <w:r w:rsidRPr="00B84944">
        <w:lastRenderedPageBreak/>
        <w:t>Overall benefit-risk</w:t>
      </w:r>
    </w:p>
    <w:p w:rsidR="00B84944" w:rsidRPr="00B84944" w:rsidRDefault="00B84944" w:rsidP="00B26EE3">
      <w:r w:rsidRPr="00B84944">
        <w:t xml:space="preserve">A key benefit of </w:t>
      </w:r>
      <w:proofErr w:type="spellStart"/>
      <w:r w:rsidRPr="00B84944">
        <w:t>rFIX</w:t>
      </w:r>
      <w:proofErr w:type="spellEnd"/>
      <w:r w:rsidRPr="00B84944">
        <w:t xml:space="preserve"> is reduced risk of transmitting viral infection/prion disease. Given the history of replacement therapy in </w:t>
      </w:r>
      <w:r w:rsidR="00D57CE4">
        <w:t>h</w:t>
      </w:r>
      <w:r w:rsidRPr="00B84944">
        <w:t>aemophilia B, this is a real issue for patients. R</w:t>
      </w:r>
      <w:r>
        <w:t>ixubis</w:t>
      </w:r>
      <w:r w:rsidRPr="00B84944">
        <w:t xml:space="preserve"> appears to offer this benefit.</w:t>
      </w:r>
    </w:p>
    <w:p w:rsidR="00B84944" w:rsidRPr="00B84944" w:rsidRDefault="00B84944" w:rsidP="00B26EE3">
      <w:r w:rsidRPr="00B84944">
        <w:t xml:space="preserve">Development of inhibitory antibodies is a key concern with clotting factor replacement (although this occurs less in </w:t>
      </w:r>
      <w:r w:rsidR="00D57CE4">
        <w:t>h</w:t>
      </w:r>
      <w:r w:rsidRPr="00B84944">
        <w:t xml:space="preserve">aemophilia B than </w:t>
      </w:r>
      <w:r w:rsidR="00D57CE4">
        <w:t>h</w:t>
      </w:r>
      <w:r w:rsidRPr="00B84944">
        <w:t>aemophilia A). R</w:t>
      </w:r>
      <w:r>
        <w:t>ixubis</w:t>
      </w:r>
      <w:r w:rsidRPr="00B84944">
        <w:t xml:space="preserve"> is not likely to induce inhibitory antibodies in the tested population to any unusual degree.</w:t>
      </w:r>
    </w:p>
    <w:p w:rsidR="00B84944" w:rsidRPr="00B26EE3" w:rsidRDefault="00B84944" w:rsidP="00B26EE3">
      <w:pPr>
        <w:pStyle w:val="Heading5"/>
      </w:pPr>
      <w:r w:rsidRPr="00BD30DA">
        <w:t>Nomenclature</w:t>
      </w:r>
    </w:p>
    <w:p w:rsidR="00B84944" w:rsidRDefault="00B84944" w:rsidP="00B26EE3">
      <w:proofErr w:type="spellStart"/>
      <w:r w:rsidRPr="00BD30DA">
        <w:t>Nonacog</w:t>
      </w:r>
      <w:proofErr w:type="spellEnd"/>
      <w:r w:rsidRPr="00BD30DA">
        <w:t xml:space="preserve"> gamma has been accepted as an Australian Approved Biological Name by the TGA’s naming committee. It might suggest lack of interchangeability with </w:t>
      </w:r>
      <w:proofErr w:type="spellStart"/>
      <w:r w:rsidRPr="00BD30DA">
        <w:t>nonacog</w:t>
      </w:r>
      <w:proofErr w:type="spellEnd"/>
      <w:r w:rsidRPr="00BD30DA">
        <w:t xml:space="preserve"> </w:t>
      </w:r>
      <w:proofErr w:type="spellStart"/>
      <w:r w:rsidRPr="00BD30DA">
        <w:t>alfa</w:t>
      </w:r>
      <w:proofErr w:type="spellEnd"/>
      <w:r w:rsidRPr="00BD30DA">
        <w:t xml:space="preserve">. There is some evidence of bioequivalence between </w:t>
      </w:r>
      <w:proofErr w:type="spellStart"/>
      <w:r w:rsidRPr="00BD30DA">
        <w:t>R</w:t>
      </w:r>
      <w:r w:rsidR="00BD30DA">
        <w:t>ixubis</w:t>
      </w:r>
      <w:proofErr w:type="spellEnd"/>
      <w:r w:rsidRPr="00BD30DA">
        <w:t xml:space="preserve"> and </w:t>
      </w:r>
      <w:proofErr w:type="spellStart"/>
      <w:r w:rsidRPr="00BD30DA">
        <w:t>BeneFIX</w:t>
      </w:r>
      <w:proofErr w:type="spellEnd"/>
      <w:r w:rsidRPr="00BD30DA">
        <w:t>, although IR was slightly different across products.</w:t>
      </w:r>
    </w:p>
    <w:p w:rsidR="00BD30DA" w:rsidRPr="00B26EE3" w:rsidRDefault="00BD30DA" w:rsidP="00B26EE3">
      <w:pPr>
        <w:pStyle w:val="Heading4"/>
      </w:pPr>
      <w:r>
        <w:t>Proposed action</w:t>
      </w:r>
    </w:p>
    <w:p w:rsidR="00BD30DA" w:rsidRPr="00BD30DA" w:rsidRDefault="00BD30DA" w:rsidP="00B26EE3">
      <w:r>
        <w:t xml:space="preserve">The Delegate considered that there </w:t>
      </w:r>
      <w:r w:rsidRPr="00BD30DA">
        <w:t xml:space="preserve">is a positive benefit-risk balance for </w:t>
      </w:r>
      <w:r>
        <w:t>Rixubis</w:t>
      </w:r>
      <w:r w:rsidRPr="00BD30DA">
        <w:t xml:space="preserve"> in the population defined as follows:</w:t>
      </w:r>
    </w:p>
    <w:p w:rsidR="00BD30DA" w:rsidRPr="00BD30DA" w:rsidRDefault="00BD30DA" w:rsidP="00B26EE3">
      <w:pPr>
        <w:pStyle w:val="ListBullet"/>
      </w:pPr>
      <w:r w:rsidRPr="00BD30DA">
        <w:t xml:space="preserve">Routine </w:t>
      </w:r>
      <w:r w:rsidRPr="00B26EE3">
        <w:t>prophylaxis</w:t>
      </w:r>
      <w:r w:rsidRPr="00BD30DA">
        <w:t xml:space="preserve"> of bleeding episodes in adults with haemophilia B.</w:t>
      </w:r>
    </w:p>
    <w:p w:rsidR="00BD30DA" w:rsidRPr="00BD30DA" w:rsidRDefault="00BD30DA" w:rsidP="00B26EE3">
      <w:pPr>
        <w:pStyle w:val="ListBullet"/>
      </w:pPr>
      <w:r w:rsidRPr="00BD30DA">
        <w:t xml:space="preserve">Treatment and </w:t>
      </w:r>
      <w:r w:rsidRPr="00B26EE3">
        <w:t>prevention</w:t>
      </w:r>
      <w:r w:rsidRPr="00BD30DA">
        <w:t xml:space="preserve"> of bleeding episodes in adults with haemophilia B (congenital factor IX deficiency).</w:t>
      </w:r>
    </w:p>
    <w:p w:rsidR="00BD30DA" w:rsidRDefault="00BD30DA" w:rsidP="00B26EE3">
      <w:pPr>
        <w:pStyle w:val="ListBullet"/>
      </w:pPr>
      <w:r w:rsidRPr="00BD30DA">
        <w:t xml:space="preserve">Peri-operative </w:t>
      </w:r>
      <w:r w:rsidRPr="00B26EE3">
        <w:t>management</w:t>
      </w:r>
      <w:r w:rsidRPr="00BD30DA">
        <w:t xml:space="preserve"> in adults with haemophilia B.</w:t>
      </w:r>
    </w:p>
    <w:p w:rsidR="00BD30DA" w:rsidRDefault="00BD30DA" w:rsidP="00B26EE3">
      <w:pPr>
        <w:pStyle w:val="Heading4"/>
      </w:pPr>
      <w:r>
        <w:t xml:space="preserve">Request for ACPM </w:t>
      </w:r>
      <w:r w:rsidRPr="00B26EE3">
        <w:t>advice</w:t>
      </w:r>
    </w:p>
    <w:p w:rsidR="00BD30DA" w:rsidRPr="00BD30DA" w:rsidRDefault="00BD30DA" w:rsidP="00B26EE3">
      <w:r w:rsidRPr="00BD30DA">
        <w:t>The committee is requested to provide advice on the following specific issues:</w:t>
      </w:r>
    </w:p>
    <w:p w:rsidR="00BD30DA" w:rsidRPr="00BD30DA" w:rsidRDefault="00BD30DA" w:rsidP="00B26EE3">
      <w:pPr>
        <w:pStyle w:val="Numberbullet0"/>
        <w:numPr>
          <w:ilvl w:val="0"/>
          <w:numId w:val="20"/>
        </w:numPr>
      </w:pPr>
      <w:r w:rsidRPr="00BD30DA">
        <w:t xml:space="preserve">Is there </w:t>
      </w:r>
      <w:r w:rsidRPr="00B26EE3">
        <w:t>sufficient</w:t>
      </w:r>
      <w:r w:rsidRPr="00BD30DA">
        <w:t xml:space="preserve"> evidence for use in peri-operative management of </w:t>
      </w:r>
      <w:r w:rsidR="00D57CE4">
        <w:t>h</w:t>
      </w:r>
      <w:r w:rsidRPr="00BD30DA">
        <w:t>aemophilia B?</w:t>
      </w:r>
    </w:p>
    <w:p w:rsidR="00BD30DA" w:rsidRPr="00BD30DA" w:rsidRDefault="00BD30DA" w:rsidP="00B26EE3">
      <w:pPr>
        <w:pStyle w:val="Numberbullet0"/>
        <w:numPr>
          <w:ilvl w:val="0"/>
          <w:numId w:val="20"/>
        </w:numPr>
      </w:pPr>
      <w:r w:rsidRPr="00BD30DA">
        <w:t xml:space="preserve">Is there </w:t>
      </w:r>
      <w:r w:rsidRPr="00B26EE3">
        <w:t>sufficient</w:t>
      </w:r>
      <w:r w:rsidRPr="00BD30DA">
        <w:t xml:space="preserve"> evidence for use in children 12</w:t>
      </w:r>
      <w:r w:rsidR="00D57CE4">
        <w:t xml:space="preserve"> </w:t>
      </w:r>
      <w:r>
        <w:t xml:space="preserve">plus </w:t>
      </w:r>
      <w:r w:rsidRPr="00BD30DA">
        <w:t>y</w:t>
      </w:r>
      <w:r>
        <w:t>ea</w:t>
      </w:r>
      <w:r w:rsidRPr="00BD30DA">
        <w:t>rs of age?</w:t>
      </w:r>
    </w:p>
    <w:p w:rsidR="00BD30DA" w:rsidRPr="00BD30DA" w:rsidRDefault="00BD30DA" w:rsidP="00BD30DA">
      <w:pPr>
        <w:pStyle w:val="Numberbullet0"/>
        <w:numPr>
          <w:ilvl w:val="0"/>
          <w:numId w:val="20"/>
        </w:numPr>
      </w:pPr>
      <w:r w:rsidRPr="00BD30DA">
        <w:t>Is risk of inhibitor development acceptably low?</w:t>
      </w:r>
    </w:p>
    <w:p w:rsidR="00BD30DA" w:rsidRPr="00BD30DA" w:rsidRDefault="00BD30DA" w:rsidP="00B26EE3">
      <w:pPr>
        <w:pStyle w:val="Numberbullet0"/>
        <w:numPr>
          <w:ilvl w:val="0"/>
          <w:numId w:val="20"/>
        </w:numPr>
      </w:pPr>
      <w:r w:rsidRPr="00BD30DA">
        <w:t xml:space="preserve"> In what patient population is there a positive benefit-risk balance for this product?</w:t>
      </w:r>
    </w:p>
    <w:p w:rsidR="00BD30DA" w:rsidRPr="00BD30DA" w:rsidRDefault="00BD30DA" w:rsidP="00B26EE3">
      <w:r w:rsidRPr="00BD30DA">
        <w:t>The committee is also requested to provide advice on any other issues that it thinks may be relevant to a decision on whether or not to approve this application</w:t>
      </w:r>
      <w:r w:rsidR="00B26EE3">
        <w:t>.</w:t>
      </w:r>
    </w:p>
    <w:bookmarkEnd w:id="362"/>
    <w:bookmarkEnd w:id="363"/>
    <w:p w:rsidR="008E7846" w:rsidRDefault="00B26EE3" w:rsidP="00B26EE3">
      <w:pPr>
        <w:pStyle w:val="Heading4"/>
      </w:pPr>
      <w:r>
        <w:t xml:space="preserve">Response from </w:t>
      </w:r>
      <w:r w:rsidRPr="00B26EE3">
        <w:t>s</w:t>
      </w:r>
      <w:r w:rsidR="008E7846" w:rsidRPr="00B26EE3">
        <w:t>ponsor</w:t>
      </w:r>
    </w:p>
    <w:p w:rsidR="00D478E4" w:rsidRPr="00D478E4" w:rsidRDefault="00D478E4" w:rsidP="00B26EE3">
      <w:r w:rsidRPr="00D478E4">
        <w:t>Baxter overall concurs with the Delegate’s recommendations, in particular with the</w:t>
      </w:r>
      <w:r>
        <w:t xml:space="preserve"> </w:t>
      </w:r>
      <w:r w:rsidRPr="00D478E4">
        <w:t>recommendation to approve the following indications for R</w:t>
      </w:r>
      <w:r>
        <w:t>ixubis</w:t>
      </w:r>
      <w:r w:rsidRPr="00D478E4">
        <w:t>:</w:t>
      </w:r>
    </w:p>
    <w:p w:rsidR="00D478E4" w:rsidRPr="00D478E4" w:rsidRDefault="00D478E4" w:rsidP="00B26EE3">
      <w:pPr>
        <w:pStyle w:val="ListBullet"/>
      </w:pPr>
      <w:r w:rsidRPr="00D478E4">
        <w:t xml:space="preserve">Routine </w:t>
      </w:r>
      <w:r w:rsidRPr="00B26EE3">
        <w:t>prophylaxis</w:t>
      </w:r>
      <w:r w:rsidRPr="00D478E4">
        <w:t xml:space="preserve"> of bleeding episodes in adults with haemophilia B</w:t>
      </w:r>
    </w:p>
    <w:p w:rsidR="00D478E4" w:rsidRPr="00D478E4" w:rsidRDefault="00D478E4" w:rsidP="00B26EE3">
      <w:pPr>
        <w:pStyle w:val="ListBullet"/>
      </w:pPr>
      <w:r w:rsidRPr="00D478E4">
        <w:t xml:space="preserve">Treatment </w:t>
      </w:r>
      <w:r w:rsidRPr="00B26EE3">
        <w:t>and</w:t>
      </w:r>
      <w:r w:rsidRPr="00D478E4">
        <w:t xml:space="preserve"> prevention of bleeding episodes in adults with haemophilia B</w:t>
      </w:r>
      <w:r>
        <w:t xml:space="preserve"> </w:t>
      </w:r>
      <w:r w:rsidRPr="00D478E4">
        <w:t>(congenital factor IX deficiency)</w:t>
      </w:r>
    </w:p>
    <w:p w:rsidR="00D478E4" w:rsidRPr="00D478E4" w:rsidRDefault="00D478E4" w:rsidP="00B26EE3">
      <w:pPr>
        <w:pStyle w:val="ListBullet"/>
      </w:pPr>
      <w:r w:rsidRPr="00D478E4">
        <w:t>Peri-</w:t>
      </w:r>
      <w:r w:rsidRPr="00B26EE3">
        <w:t>operative</w:t>
      </w:r>
      <w:r w:rsidRPr="00D478E4">
        <w:t xml:space="preserve"> management in adults with haemophilia B</w:t>
      </w:r>
    </w:p>
    <w:p w:rsidR="00D478E4" w:rsidRPr="00D478E4" w:rsidRDefault="00D478E4" w:rsidP="00B26EE3">
      <w:r w:rsidRPr="00D478E4">
        <w:t>However, Baxter wishes to provide additional information on the following points:</w:t>
      </w:r>
    </w:p>
    <w:p w:rsidR="00D478E4" w:rsidRPr="00D478E4" w:rsidRDefault="00D478E4" w:rsidP="00B26EE3">
      <w:pPr>
        <w:pStyle w:val="Numberbullet0"/>
        <w:numPr>
          <w:ilvl w:val="0"/>
          <w:numId w:val="21"/>
        </w:numPr>
      </w:pPr>
      <w:r w:rsidRPr="00D478E4">
        <w:t>Evidence for use in peri-operative management of Haemophilia B</w:t>
      </w:r>
    </w:p>
    <w:p w:rsidR="00D478E4" w:rsidRPr="00D478E4" w:rsidRDefault="00D478E4" w:rsidP="00B26EE3">
      <w:pPr>
        <w:pStyle w:val="Numberbullet0"/>
      </w:pPr>
      <w:r w:rsidRPr="00D478E4">
        <w:t xml:space="preserve">Risk of </w:t>
      </w:r>
      <w:r w:rsidRPr="00B26EE3">
        <w:t>inhibitor</w:t>
      </w:r>
      <w:r w:rsidRPr="00D478E4">
        <w:t xml:space="preserve"> development</w:t>
      </w:r>
    </w:p>
    <w:p w:rsidR="00D478E4" w:rsidRPr="00D478E4" w:rsidRDefault="00D478E4" w:rsidP="00D478E4">
      <w:pPr>
        <w:pStyle w:val="Numberbullet0"/>
      </w:pPr>
      <w:r w:rsidRPr="00D478E4">
        <w:t>RMP: request for summary outlining differences</w:t>
      </w:r>
    </w:p>
    <w:p w:rsidR="00D478E4" w:rsidRPr="00D478E4" w:rsidRDefault="00D478E4" w:rsidP="00B26EE3">
      <w:pPr>
        <w:pStyle w:val="Numberbullet0"/>
      </w:pPr>
      <w:r w:rsidRPr="00D478E4">
        <w:t xml:space="preserve">RMP: </w:t>
      </w:r>
      <w:r w:rsidRPr="00B26EE3">
        <w:t>rationale</w:t>
      </w:r>
      <w:r w:rsidRPr="00D478E4">
        <w:t xml:space="preserve"> for not including specific patient groups as missing information</w:t>
      </w:r>
    </w:p>
    <w:p w:rsidR="00D478E4" w:rsidRPr="004332E1" w:rsidRDefault="00D478E4" w:rsidP="004332E1">
      <w:pPr>
        <w:pStyle w:val="Heading5"/>
        <w:rPr>
          <w:rFonts w:eastAsiaTheme="minorHAnsi"/>
        </w:rPr>
      </w:pPr>
      <w:r w:rsidRPr="00D478E4">
        <w:rPr>
          <w:rFonts w:eastAsiaTheme="minorHAnsi"/>
        </w:rPr>
        <w:lastRenderedPageBreak/>
        <w:t>Evidence for use in peri-operative management of Haemophilia B</w:t>
      </w:r>
    </w:p>
    <w:p w:rsidR="00D478E4" w:rsidRPr="00D478E4" w:rsidRDefault="00D478E4" w:rsidP="004332E1">
      <w:r w:rsidRPr="00D478E4">
        <w:t xml:space="preserve">The </w:t>
      </w:r>
      <w:r>
        <w:t>D</w:t>
      </w:r>
      <w:r w:rsidRPr="00D478E4">
        <w:t xml:space="preserve">elegate commented that </w:t>
      </w:r>
      <w:r>
        <w:t>‘</w:t>
      </w:r>
      <w:r w:rsidRPr="00D478E4">
        <w:t>The clinical evaluator recommends excluding use in the perioperative</w:t>
      </w:r>
      <w:r>
        <w:t xml:space="preserve"> </w:t>
      </w:r>
      <w:r w:rsidRPr="00D478E4">
        <w:t>setting….. Given the understanding about the mechanism of action of FIX</w:t>
      </w:r>
      <w:r>
        <w:t xml:space="preserve"> </w:t>
      </w:r>
      <w:r w:rsidRPr="00D478E4">
        <w:t xml:space="preserve">replacement in </w:t>
      </w:r>
      <w:r w:rsidR="00D57CE4">
        <w:t>h</w:t>
      </w:r>
      <w:r w:rsidRPr="00D478E4">
        <w:t>aemophilia B and endorsement of the use of surrogate PK endpoints by</w:t>
      </w:r>
      <w:r>
        <w:t xml:space="preserve"> </w:t>
      </w:r>
      <w:r w:rsidRPr="00D478E4">
        <w:t>TGA-adopted EU guidelines, there is latitude to bridge evidence of efficacy across from the</w:t>
      </w:r>
      <w:r>
        <w:t xml:space="preserve"> </w:t>
      </w:r>
      <w:r w:rsidRPr="00D478E4">
        <w:t>on-demand component of Study 250901 and from PK information in that study and surgical</w:t>
      </w:r>
      <w:r>
        <w:t xml:space="preserve"> </w:t>
      </w:r>
      <w:r w:rsidRPr="00D478E4">
        <w:t>study. In my opinion, this provides sufficient basis to allow use in the peri-operative setting.</w:t>
      </w:r>
      <w:r>
        <w:t>’</w:t>
      </w:r>
    </w:p>
    <w:p w:rsidR="00D478E4" w:rsidRPr="00D478E4" w:rsidRDefault="00D478E4" w:rsidP="004332E1">
      <w:r w:rsidRPr="00D478E4">
        <w:t>Baxter concurs with the Delegate’s intention to recommend registration of R</w:t>
      </w:r>
      <w:r>
        <w:t>ixubis</w:t>
      </w:r>
      <w:r w:rsidRPr="00D478E4">
        <w:t xml:space="preserve"> for use</w:t>
      </w:r>
      <w:r>
        <w:t xml:space="preserve"> </w:t>
      </w:r>
      <w:r w:rsidRPr="00D478E4">
        <w:t>in the peri-operative setting.</w:t>
      </w:r>
    </w:p>
    <w:p w:rsidR="00D478E4" w:rsidRPr="00D478E4" w:rsidRDefault="00D478E4" w:rsidP="00D478E4">
      <w:r w:rsidRPr="00D478E4">
        <w:t>The haemostatic efficacy data obtained so far demonstrate that R</w:t>
      </w:r>
      <w:r>
        <w:t>ixubis</w:t>
      </w:r>
      <w:r w:rsidRPr="00D478E4">
        <w:t xml:space="preserve"> is efficacious,</w:t>
      </w:r>
      <w:r>
        <w:t xml:space="preserve"> </w:t>
      </w:r>
      <w:r w:rsidRPr="00D478E4">
        <w:t>however; they also show the generic difficulties to objectively evaluate a FIX concentrate</w:t>
      </w:r>
      <w:r>
        <w:t xml:space="preserve"> </w:t>
      </w:r>
      <w:r w:rsidRPr="00D478E4">
        <w:t>in</w:t>
      </w:r>
      <w:r>
        <w:t xml:space="preserve"> </w:t>
      </w:r>
      <w:r w:rsidRPr="00D478E4">
        <w:t>the surgical setting where many variables influence intra and postoperative blood loss. This</w:t>
      </w:r>
      <w:r>
        <w:t xml:space="preserve"> </w:t>
      </w:r>
      <w:r w:rsidRPr="00D478E4">
        <w:t>also includes different surgical techniques and postoperative standard of care observed in a</w:t>
      </w:r>
      <w:r>
        <w:t xml:space="preserve"> </w:t>
      </w:r>
      <w:r w:rsidRPr="00D478E4">
        <w:t>multicentr</w:t>
      </w:r>
      <w:r>
        <w:t>e</w:t>
      </w:r>
      <w:r w:rsidRPr="00D478E4">
        <w:t xml:space="preserve"> and multinational study. However, since these data were also regularly reviewed</w:t>
      </w:r>
      <w:r>
        <w:t xml:space="preserve"> </w:t>
      </w:r>
      <w:r w:rsidRPr="00D478E4">
        <w:t>and evaluated by an independent Data Safety Monitoring Board (DSMB) consisting of</w:t>
      </w:r>
      <w:r>
        <w:t xml:space="preserve"> </w:t>
      </w:r>
      <w:r w:rsidRPr="00D478E4">
        <w:t>haemophilia experts who did not at any time express any concerns regarding haemostatic</w:t>
      </w:r>
      <w:r>
        <w:t xml:space="preserve"> </w:t>
      </w:r>
      <w:r w:rsidRPr="00D478E4">
        <w:t>efficacy and safety of R</w:t>
      </w:r>
      <w:r>
        <w:t>ixubis</w:t>
      </w:r>
      <w:r w:rsidRPr="00D478E4">
        <w:t>, Baxter believes that the benefit/risk ratio of R</w:t>
      </w:r>
      <w:r>
        <w:t xml:space="preserve">ixubis </w:t>
      </w:r>
      <w:r w:rsidRPr="00D478E4">
        <w:t>in the</w:t>
      </w:r>
      <w:r>
        <w:t xml:space="preserve"> </w:t>
      </w:r>
      <w:r w:rsidRPr="00D478E4">
        <w:t>peri and postoperative setting is favourable.</w:t>
      </w:r>
    </w:p>
    <w:p w:rsidR="00D478E4" w:rsidRPr="004332E1" w:rsidRDefault="004332E1" w:rsidP="004332E1">
      <w:pPr>
        <w:pStyle w:val="Heading5"/>
      </w:pPr>
      <w:r>
        <w:t>Risk of inhibitor development</w:t>
      </w:r>
    </w:p>
    <w:p w:rsidR="00D478E4" w:rsidRPr="00D478E4" w:rsidRDefault="00D478E4" w:rsidP="004332E1">
      <w:r w:rsidRPr="00D478E4">
        <w:t>Baxter believes that there is an acceptably low risk of inhibitor development in patients</w:t>
      </w:r>
      <w:r>
        <w:t xml:space="preserve"> </w:t>
      </w:r>
      <w:r w:rsidRPr="00D478E4">
        <w:t>treated with R</w:t>
      </w:r>
      <w:r>
        <w:t>ixubis</w:t>
      </w:r>
      <w:r w:rsidRPr="00D478E4">
        <w:t>.</w:t>
      </w:r>
    </w:p>
    <w:p w:rsidR="00D478E4" w:rsidRPr="00D478E4" w:rsidRDefault="00D478E4" w:rsidP="004332E1">
      <w:r>
        <w:t>The D</w:t>
      </w:r>
      <w:r w:rsidRPr="00D478E4">
        <w:t xml:space="preserve">elegate commented that </w:t>
      </w:r>
      <w:r>
        <w:t>‘T</w:t>
      </w:r>
      <w:r w:rsidRPr="00D478E4">
        <w:t>he significance of low titre non-neutralising antibodies to</w:t>
      </w:r>
      <w:r>
        <w:t xml:space="preserve"> </w:t>
      </w:r>
      <w:r w:rsidRPr="00D478E4">
        <w:t>FIX/Furan was unclear. The assay to detect antibodies induced by R</w:t>
      </w:r>
      <w:r>
        <w:t>ixubis</w:t>
      </w:r>
      <w:r w:rsidRPr="00D478E4">
        <w:t xml:space="preserve"> appeared nonspecific….</w:t>
      </w:r>
      <w:r>
        <w:t xml:space="preserve"> </w:t>
      </w:r>
      <w:r w:rsidRPr="00D478E4">
        <w:t>The generally uncontrolled study design in the R</w:t>
      </w:r>
      <w:r>
        <w:t>ixubis</w:t>
      </w:r>
      <w:r w:rsidRPr="00D478E4">
        <w:t xml:space="preserve"> clinical programme does</w:t>
      </w:r>
      <w:r>
        <w:t xml:space="preserve"> </w:t>
      </w:r>
      <w:r w:rsidRPr="00D478E4">
        <w:t>not allow detection of, for example, a higher incidence of inhibitor development than is seen</w:t>
      </w:r>
      <w:r>
        <w:t xml:space="preserve"> </w:t>
      </w:r>
      <w:r w:rsidRPr="00D478E4">
        <w:t xml:space="preserve">with </w:t>
      </w:r>
      <w:proofErr w:type="spellStart"/>
      <w:r w:rsidRPr="00D478E4">
        <w:t>BeneFIX</w:t>
      </w:r>
      <w:proofErr w:type="spellEnd"/>
      <w:r w:rsidRPr="00D478E4">
        <w:t xml:space="preserve">. Given the historical incidence of inhibitors in </w:t>
      </w:r>
      <w:r w:rsidR="00D57CE4">
        <w:t>h</w:t>
      </w:r>
      <w:r w:rsidRPr="00D478E4">
        <w:t>aemophilia B….the</w:t>
      </w:r>
      <w:r>
        <w:t xml:space="preserve"> </w:t>
      </w:r>
      <w:r w:rsidRPr="00D478E4">
        <w:t xml:space="preserve">programme's sample size….may </w:t>
      </w:r>
      <w:proofErr w:type="gramStart"/>
      <w:r w:rsidRPr="00D478E4">
        <w:t>provide</w:t>
      </w:r>
      <w:proofErr w:type="gramEnd"/>
      <w:r w:rsidRPr="00D478E4">
        <w:t xml:space="preserve"> sufficient power to rule out a high incidence of</w:t>
      </w:r>
      <w:r>
        <w:t xml:space="preserve"> </w:t>
      </w:r>
      <w:r w:rsidRPr="00D478E4">
        <w:t>inhibitors…..”</w:t>
      </w:r>
    </w:p>
    <w:p w:rsidR="00D478E4" w:rsidRPr="00D478E4" w:rsidRDefault="00D478E4" w:rsidP="004332E1">
      <w:r w:rsidRPr="00D478E4">
        <w:t xml:space="preserve">The development of antibodies to FIX, </w:t>
      </w:r>
      <w:proofErr w:type="spellStart"/>
      <w:r w:rsidRPr="00D478E4">
        <w:t>rFurin</w:t>
      </w:r>
      <w:proofErr w:type="spellEnd"/>
      <w:r w:rsidRPr="00D478E4">
        <w:t>, and CHO protein is a safety endpoint in pivotal</w:t>
      </w:r>
      <w:r>
        <w:t xml:space="preserve"> S</w:t>
      </w:r>
      <w:r w:rsidRPr="00D478E4">
        <w:t xml:space="preserve">tudy 250901, continuation </w:t>
      </w:r>
      <w:r>
        <w:t>S</w:t>
      </w:r>
      <w:r w:rsidRPr="00D478E4">
        <w:t xml:space="preserve">tudy 251001, and paediatric </w:t>
      </w:r>
      <w:r>
        <w:t>S</w:t>
      </w:r>
      <w:r w:rsidRPr="00D478E4">
        <w:t>tudy 251101 (</w:t>
      </w:r>
      <w:r>
        <w:t>S</w:t>
      </w:r>
      <w:r w:rsidRPr="00D478E4">
        <w:t>tudies 251001 and</w:t>
      </w:r>
      <w:r>
        <w:t xml:space="preserve"> </w:t>
      </w:r>
      <w:r w:rsidRPr="00D478E4">
        <w:t>251101 have not been submitted to the TGA). The presence of binding antibodies to FIX, to</w:t>
      </w:r>
      <w:r>
        <w:t xml:space="preserve"> </w:t>
      </w:r>
      <w:r w:rsidRPr="00D478E4">
        <w:t xml:space="preserve">recombinant human </w:t>
      </w:r>
      <w:proofErr w:type="spellStart"/>
      <w:r w:rsidRPr="00D478E4">
        <w:t>furin</w:t>
      </w:r>
      <w:proofErr w:type="spellEnd"/>
      <w:r w:rsidRPr="00D478E4">
        <w:t xml:space="preserve"> proteins, and to CHO protein was determined by validated highly</w:t>
      </w:r>
      <w:r>
        <w:t xml:space="preserve"> </w:t>
      </w:r>
      <w:r w:rsidRPr="00D478E4">
        <w:t>sensitive</w:t>
      </w:r>
      <w:r>
        <w:t xml:space="preserve"> </w:t>
      </w:r>
      <w:r w:rsidRPr="00D478E4">
        <w:t>and specific in-house ELISA employing</w:t>
      </w:r>
      <w:r>
        <w:t xml:space="preserve"> </w:t>
      </w:r>
      <w:r w:rsidRPr="00D478E4">
        <w:t xml:space="preserve">polyclonal anti-human </w:t>
      </w:r>
      <w:proofErr w:type="spellStart"/>
      <w:r w:rsidRPr="00D478E4">
        <w:t>Ig</w:t>
      </w:r>
      <w:proofErr w:type="spellEnd"/>
      <w:r w:rsidRPr="00D478E4">
        <w:t xml:space="preserve"> antibodies (</w:t>
      </w:r>
      <w:proofErr w:type="spellStart"/>
      <w:r w:rsidRPr="00D478E4">
        <w:t>IgG</w:t>
      </w:r>
      <w:proofErr w:type="spellEnd"/>
      <w:r w:rsidRPr="00D478E4">
        <w:t xml:space="preserve">, </w:t>
      </w:r>
      <w:proofErr w:type="spellStart"/>
      <w:r w:rsidRPr="00D478E4">
        <w:t>IgM</w:t>
      </w:r>
      <w:proofErr w:type="spellEnd"/>
      <w:r w:rsidRPr="00D478E4">
        <w:t xml:space="preserve"> and IgA) as detection antibodies. The assay</w:t>
      </w:r>
      <w:r>
        <w:t xml:space="preserve"> </w:t>
      </w:r>
      <w:r w:rsidRPr="00D478E4">
        <w:t>strategy includes a multi-tiered approach as suggested by regulatory guidelines published by</w:t>
      </w:r>
      <w:r>
        <w:t xml:space="preserve"> </w:t>
      </w:r>
      <w:r w:rsidRPr="00D478E4">
        <w:t>FDA and EMA (EMEA/CHMP/BMWP/14327/2006 “Guideline on immunogenicity</w:t>
      </w:r>
      <w:r>
        <w:t xml:space="preserve"> </w:t>
      </w:r>
      <w:r w:rsidRPr="00D478E4">
        <w:t>assessment of biotechnology-derived therapeutic proteins”, FDA Draft Guidance for Industry</w:t>
      </w:r>
      <w:r>
        <w:t xml:space="preserve"> </w:t>
      </w:r>
      <w:r w:rsidRPr="00D478E4">
        <w:t xml:space="preserve">2009 </w:t>
      </w:r>
      <w:r>
        <w:t>‘</w:t>
      </w:r>
      <w:r w:rsidRPr="00D478E4">
        <w:t>Assay Development for Immunogenicity Testing of Therapeutic Proteins</w:t>
      </w:r>
      <w:r>
        <w:t>’</w:t>
      </w:r>
      <w:r w:rsidRPr="00D478E4">
        <w:t>). This</w:t>
      </w:r>
      <w:r>
        <w:t xml:space="preserve"> </w:t>
      </w:r>
      <w:r w:rsidRPr="00D478E4">
        <w:t>strategy includes a highly sensitive screening assay to differentiate positive and negative</w:t>
      </w:r>
      <w:r>
        <w:t xml:space="preserve"> </w:t>
      </w:r>
      <w:r w:rsidRPr="00D478E4">
        <w:t>antibody signals and subsequently a confirmatory assay to prove specificity of the detected</w:t>
      </w:r>
      <w:r>
        <w:t xml:space="preserve"> </w:t>
      </w:r>
      <w:r w:rsidRPr="00D478E4">
        <w:t>antibody.</w:t>
      </w:r>
    </w:p>
    <w:p w:rsidR="00D478E4" w:rsidRPr="00D478E4" w:rsidRDefault="00D478E4" w:rsidP="004332E1">
      <w:r w:rsidRPr="00D478E4">
        <w:t>None of the subjects in these studies developed treatment-related positive binding antibodies</w:t>
      </w:r>
      <w:r>
        <w:t xml:space="preserve"> </w:t>
      </w:r>
      <w:r w:rsidRPr="00D478E4">
        <w:t>to FIX or to CHO protein.</w:t>
      </w:r>
    </w:p>
    <w:p w:rsidR="00D37FFE" w:rsidRPr="00D37FFE" w:rsidRDefault="00D478E4" w:rsidP="004332E1">
      <w:r w:rsidRPr="00D478E4">
        <w:t>Two subjects developed transiently positive antibodies, which reached the lower limit of</w:t>
      </w:r>
      <w:r>
        <w:t xml:space="preserve"> </w:t>
      </w:r>
      <w:r w:rsidRPr="00D478E4">
        <w:t xml:space="preserve">detection for specific antibodies (1:80) against </w:t>
      </w:r>
      <w:proofErr w:type="spellStart"/>
      <w:r w:rsidRPr="00D478E4">
        <w:t>rFurin</w:t>
      </w:r>
      <w:proofErr w:type="spellEnd"/>
      <w:r w:rsidRPr="00D478E4">
        <w:t>, at one time point in the continuation</w:t>
      </w:r>
      <w:r>
        <w:t xml:space="preserve"> </w:t>
      </w:r>
      <w:r w:rsidRPr="00D478E4">
        <w:t>study but were negative at the time of the data cut-off date. The presence of low titr</w:t>
      </w:r>
      <w:r>
        <w:t>e</w:t>
      </w:r>
      <w:r w:rsidRPr="00D478E4">
        <w:t xml:space="preserve"> (1:80)</w:t>
      </w:r>
      <w:r>
        <w:t xml:space="preserve"> </w:t>
      </w:r>
      <w:r w:rsidRPr="00D478E4">
        <w:t xml:space="preserve">antibodies against </w:t>
      </w:r>
      <w:proofErr w:type="spellStart"/>
      <w:r w:rsidRPr="00D478E4">
        <w:t>rFurin</w:t>
      </w:r>
      <w:proofErr w:type="spellEnd"/>
      <w:r w:rsidRPr="00D478E4">
        <w:t xml:space="preserve"> which were confirmed for specificity had no impact on safety or</w:t>
      </w:r>
      <w:r>
        <w:t xml:space="preserve"> </w:t>
      </w:r>
      <w:r w:rsidRPr="00D478E4">
        <w:t>efficacy of R</w:t>
      </w:r>
      <w:r>
        <w:t>ixubis</w:t>
      </w:r>
      <w:r w:rsidRPr="00D478E4">
        <w:t xml:space="preserve">. There was no temporal association with </w:t>
      </w:r>
      <w:r w:rsidR="00F710E5">
        <w:t>AE</w:t>
      </w:r>
      <w:r w:rsidRPr="00D478E4">
        <w:t>s or abnormal</w:t>
      </w:r>
      <w:r>
        <w:t xml:space="preserve"> </w:t>
      </w:r>
      <w:r w:rsidRPr="00D478E4">
        <w:t xml:space="preserve">laboratory parameters. Also, there was no impact on PK or the efficacy of </w:t>
      </w:r>
      <w:r w:rsidRPr="00D478E4">
        <w:lastRenderedPageBreak/>
        <w:t>R</w:t>
      </w:r>
      <w:r>
        <w:t>ixubis</w:t>
      </w:r>
      <w:r w:rsidRPr="00D478E4">
        <w:t xml:space="preserve"> to</w:t>
      </w:r>
      <w:r>
        <w:t xml:space="preserve"> </w:t>
      </w:r>
      <w:r w:rsidRPr="00D478E4">
        <w:t xml:space="preserve">prevent bleeding episodes. Furthermore, the presence of binding antibodies to </w:t>
      </w:r>
      <w:proofErr w:type="spellStart"/>
      <w:r w:rsidRPr="00D478E4">
        <w:t>rFurin</w:t>
      </w:r>
      <w:proofErr w:type="spellEnd"/>
      <w:r w:rsidRPr="00D478E4">
        <w:t xml:space="preserve"> was</w:t>
      </w:r>
      <w:r>
        <w:t xml:space="preserve"> </w:t>
      </w:r>
      <w:r w:rsidRPr="00D478E4">
        <w:t>considered not clinically significant by the investigators. In addition, a literature review did</w:t>
      </w:r>
      <w:r>
        <w:t xml:space="preserve"> </w:t>
      </w:r>
      <w:r w:rsidRPr="00D478E4">
        <w:t xml:space="preserve">not reveal any reports suggesting a clinical impact of antibodies against </w:t>
      </w:r>
      <w:proofErr w:type="spellStart"/>
      <w:r w:rsidRPr="00D478E4">
        <w:t>rFurin</w:t>
      </w:r>
      <w:proofErr w:type="spellEnd"/>
      <w:r w:rsidRPr="00D478E4">
        <w:t>.</w:t>
      </w:r>
      <w:r>
        <w:t xml:space="preserve"> </w:t>
      </w:r>
      <w:r w:rsidRPr="00D478E4">
        <w:t>Similar low titr</w:t>
      </w:r>
      <w:r>
        <w:t>e</w:t>
      </w:r>
      <w:r w:rsidRPr="00D478E4">
        <w:t xml:space="preserve">s (1:80 to 1:320) of antibodies against </w:t>
      </w:r>
      <w:proofErr w:type="spellStart"/>
      <w:r w:rsidRPr="00D478E4">
        <w:t>rFurin</w:t>
      </w:r>
      <w:proofErr w:type="spellEnd"/>
      <w:r w:rsidRPr="00D478E4">
        <w:t xml:space="preserve"> were found in some healthy</w:t>
      </w:r>
      <w:r>
        <w:t xml:space="preserve"> </w:t>
      </w:r>
      <w:r w:rsidRPr="00D478E4">
        <w:t>individuals, which were observed when we studied a cohort of 500 healthy blood donors. The</w:t>
      </w:r>
      <w:r>
        <w:t xml:space="preserve"> </w:t>
      </w:r>
      <w:r w:rsidRPr="00D478E4">
        <w:t>biological relevance of these low-titr</w:t>
      </w:r>
      <w:r>
        <w:t>e</w:t>
      </w:r>
      <w:r w:rsidRPr="00D478E4">
        <w:t xml:space="preserve"> self-reactive antibodies against </w:t>
      </w:r>
      <w:proofErr w:type="spellStart"/>
      <w:r w:rsidRPr="00D478E4">
        <w:t>rFurin</w:t>
      </w:r>
      <w:proofErr w:type="spellEnd"/>
      <w:r w:rsidRPr="00D478E4">
        <w:t xml:space="preserve"> is not clear.</w:t>
      </w:r>
      <w:r>
        <w:t xml:space="preserve"> </w:t>
      </w:r>
      <w:r w:rsidRPr="00D478E4">
        <w:t>However, they are not associated with any pathology. Recently, it was shown that low-titr</w:t>
      </w:r>
      <w:r>
        <w:t xml:space="preserve">e </w:t>
      </w:r>
      <w:r w:rsidRPr="00D478E4">
        <w:t>self-reactive antibodies have a crucial influence on protecting the body against waste</w:t>
      </w:r>
      <w:r>
        <w:t xml:space="preserve"> </w:t>
      </w:r>
      <w:r w:rsidRPr="00D478E4">
        <w:t>products</w:t>
      </w:r>
      <w:r>
        <w:rPr>
          <w:rStyle w:val="FootnoteReference"/>
        </w:rPr>
        <w:footnoteReference w:id="6"/>
      </w:r>
      <w:r w:rsidRPr="00D478E4">
        <w:t>. They bind apoptotic cells and thereby facilitate uptake by dendritic cells,</w:t>
      </w:r>
      <w:r w:rsidR="00D37FFE">
        <w:t xml:space="preserve"> </w:t>
      </w:r>
      <w:r w:rsidR="00D37FFE" w:rsidRPr="00D37FFE">
        <w:t>preventing the activation of the adaptive immune system by molecules released upon</w:t>
      </w:r>
      <w:r w:rsidR="00D37FFE">
        <w:t xml:space="preserve"> </w:t>
      </w:r>
      <w:r w:rsidR="00D37FFE" w:rsidRPr="00D37FFE">
        <w:t>apoptosis</w:t>
      </w:r>
      <w:r w:rsidR="00D37FFE">
        <w:rPr>
          <w:rStyle w:val="FootnoteReference"/>
        </w:rPr>
        <w:footnoteReference w:id="7"/>
      </w:r>
      <w:r w:rsidR="00D37FFE" w:rsidRPr="00D37FFE">
        <w:t>. These findings provide evidence that low titr</w:t>
      </w:r>
      <w:r w:rsidR="00D46B84">
        <w:t>e</w:t>
      </w:r>
      <w:r w:rsidR="00D37FFE" w:rsidRPr="00D37FFE">
        <w:t xml:space="preserve"> self-reactive antibodies fulfil an</w:t>
      </w:r>
      <w:r w:rsidR="00D37FFE">
        <w:t xml:space="preserve"> </w:t>
      </w:r>
      <w:r w:rsidR="00D37FFE" w:rsidRPr="00D37FFE">
        <w:t>important role in the homeostasis of the immune system.</w:t>
      </w:r>
    </w:p>
    <w:p w:rsidR="00D37FFE" w:rsidRPr="00D37FFE" w:rsidRDefault="00D37FFE" w:rsidP="00D37FFE">
      <w:r w:rsidRPr="00D37FFE">
        <w:t>In addition, the inhibitor response of R</w:t>
      </w:r>
      <w:r>
        <w:t>ixubis</w:t>
      </w:r>
      <w:r w:rsidRPr="00D37FFE">
        <w:t xml:space="preserve"> (assessed in pivotal </w:t>
      </w:r>
      <w:r>
        <w:t>S</w:t>
      </w:r>
      <w:r w:rsidRPr="00D37FFE">
        <w:t>tudy 250901 and</w:t>
      </w:r>
      <w:r>
        <w:t xml:space="preserve"> </w:t>
      </w:r>
      <w:r w:rsidRPr="00D37FFE">
        <w:t xml:space="preserve">paediatric </w:t>
      </w:r>
      <w:r>
        <w:t>S</w:t>
      </w:r>
      <w:r w:rsidRPr="00D37FFE">
        <w:t>tudy 251101) remained constant over time, which suggests no indication of</w:t>
      </w:r>
      <w:r>
        <w:t xml:space="preserve"> </w:t>
      </w:r>
      <w:r w:rsidRPr="00D37FFE">
        <w:t>subclinical inhibitors.</w:t>
      </w:r>
    </w:p>
    <w:p w:rsidR="00D37FFE" w:rsidRPr="00D37FFE" w:rsidRDefault="00D37FFE" w:rsidP="004332E1">
      <w:r w:rsidRPr="00D37FFE">
        <w:t xml:space="preserve">Finally, the structure, identity, purity, potency and functional integrity of </w:t>
      </w:r>
      <w:proofErr w:type="spellStart"/>
      <w:r w:rsidRPr="00D37FFE">
        <w:t>rFIX</w:t>
      </w:r>
      <w:proofErr w:type="spellEnd"/>
      <w:r w:rsidRPr="00D37FFE">
        <w:t xml:space="preserve"> in </w:t>
      </w:r>
      <w:proofErr w:type="spellStart"/>
      <w:r w:rsidRPr="00D37FFE">
        <w:t>R</w:t>
      </w:r>
      <w:r>
        <w:t>ixubis</w:t>
      </w:r>
      <w:proofErr w:type="spellEnd"/>
      <w:r>
        <w:t xml:space="preserve"> </w:t>
      </w:r>
      <w:r w:rsidRPr="00D37FFE">
        <w:t xml:space="preserve">are comparable to the commercially available </w:t>
      </w:r>
      <w:proofErr w:type="spellStart"/>
      <w:r w:rsidRPr="00D37FFE">
        <w:t>rFIX</w:t>
      </w:r>
      <w:proofErr w:type="spellEnd"/>
      <w:r w:rsidRPr="00D37FFE">
        <w:t xml:space="preserve"> in </w:t>
      </w:r>
      <w:proofErr w:type="spellStart"/>
      <w:r w:rsidRPr="00D37FFE">
        <w:t>BeneFIX</w:t>
      </w:r>
      <w:proofErr w:type="spellEnd"/>
      <w:r w:rsidRPr="00D37FFE">
        <w:t>. As such, we would expect</w:t>
      </w:r>
      <w:r>
        <w:t xml:space="preserve"> </w:t>
      </w:r>
      <w:r w:rsidRPr="00D37FFE">
        <w:t>the inhibitor profile in both products to be similar. This is reflected in the clinical trial results</w:t>
      </w:r>
      <w:r>
        <w:t xml:space="preserve"> </w:t>
      </w:r>
      <w:r w:rsidRPr="00D37FFE">
        <w:t xml:space="preserve">where the inhibitor profile of </w:t>
      </w:r>
      <w:proofErr w:type="spellStart"/>
      <w:r w:rsidRPr="00D37FFE">
        <w:t>BeneFIX</w:t>
      </w:r>
      <w:proofErr w:type="spellEnd"/>
      <w:r w:rsidRPr="00D37FFE">
        <w:t xml:space="preserve"> in clinical trials is: one low titre transient inhibitor in</w:t>
      </w:r>
      <w:r>
        <w:t xml:space="preserve"> </w:t>
      </w:r>
      <w:r w:rsidRPr="00D37FFE">
        <w:t>65 PTPs and two high titre inhibitors in 63 Previously Untreated</w:t>
      </w:r>
      <w:r>
        <w:t xml:space="preserve"> </w:t>
      </w:r>
      <w:r w:rsidRPr="00D37FFE">
        <w:t>Patients (PUPs).</w:t>
      </w:r>
      <w:r>
        <w:rPr>
          <w:rStyle w:val="FootnoteReference"/>
        </w:rPr>
        <w:footnoteReference w:id="8"/>
      </w:r>
    </w:p>
    <w:p w:rsidR="00D37FFE" w:rsidRPr="004332E1" w:rsidRDefault="00D37FFE" w:rsidP="004332E1">
      <w:pPr>
        <w:pStyle w:val="Heading5"/>
      </w:pPr>
      <w:r w:rsidRPr="004341DE">
        <w:t>RMP: request for summary outlining differences</w:t>
      </w:r>
    </w:p>
    <w:p w:rsidR="00D478E4" w:rsidRDefault="00D37FFE" w:rsidP="004332E1">
      <w:r w:rsidRPr="00D37FFE">
        <w:t>Please</w:t>
      </w:r>
      <w:r>
        <w:t xml:space="preserve"> note that the request to provide a comprehensive summary outlining any differences between the previous and latest versions of the RMP have already been addressed.</w:t>
      </w:r>
    </w:p>
    <w:p w:rsidR="00DA0539" w:rsidRPr="004332E1" w:rsidRDefault="00DA0539" w:rsidP="004332E1">
      <w:pPr>
        <w:pStyle w:val="Heading5"/>
      </w:pPr>
      <w:r w:rsidRPr="004341DE">
        <w:t>RMP: rationale for not including specific patient groups as missing information</w:t>
      </w:r>
    </w:p>
    <w:p w:rsidR="00DA0539" w:rsidRPr="00DA0539" w:rsidRDefault="00DA0539" w:rsidP="004332E1">
      <w:r w:rsidRPr="00DA0539">
        <w:t>The RMP evaluator recommended that following four patient groups be included as missing</w:t>
      </w:r>
      <w:r>
        <w:t xml:space="preserve"> </w:t>
      </w:r>
      <w:r w:rsidRPr="00DA0539">
        <w:t>information in the RMP with the intent that the safety-related events for these groups would</w:t>
      </w:r>
      <w:r>
        <w:t xml:space="preserve"> </w:t>
      </w:r>
      <w:r w:rsidRPr="00DA0539">
        <w:t>be included in every PSUR. Baxter would like to reassure the TGA that a safety related issue</w:t>
      </w:r>
      <w:r>
        <w:t xml:space="preserve"> </w:t>
      </w:r>
      <w:r w:rsidRPr="00DA0539">
        <w:t>does not have to be important missing information in order to be discussed in the PSUR. Any</w:t>
      </w:r>
      <w:r>
        <w:t xml:space="preserve"> </w:t>
      </w:r>
      <w:r w:rsidRPr="00DA0539">
        <w:t>safety related issue would be included in the PSUR, regardless of medical history/comorbidity.</w:t>
      </w:r>
    </w:p>
    <w:p w:rsidR="00DA0539" w:rsidRPr="00DA0539" w:rsidRDefault="00DA0539" w:rsidP="004332E1">
      <w:pPr>
        <w:pStyle w:val="Numberbullet0"/>
        <w:numPr>
          <w:ilvl w:val="0"/>
          <w:numId w:val="23"/>
        </w:numPr>
      </w:pPr>
      <w:r w:rsidRPr="00DA0539">
        <w:t>Patients with high risk gene mutations</w:t>
      </w:r>
    </w:p>
    <w:p w:rsidR="00DA0539" w:rsidRPr="00DA0539" w:rsidRDefault="00DA0539" w:rsidP="004332E1">
      <w:r w:rsidRPr="00DA0539">
        <w:t>P</w:t>
      </w:r>
      <w:r w:rsidR="005B2F41">
        <w:t>TP</w:t>
      </w:r>
      <w:r w:rsidRPr="00DA0539">
        <w:t>s with high risk gene mutations (</w:t>
      </w:r>
      <w:r>
        <w:t xml:space="preserve">such as </w:t>
      </w:r>
      <w:r w:rsidRPr="00DA0539">
        <w:t>nonsense mutations) were</w:t>
      </w:r>
      <w:r>
        <w:t xml:space="preserve"> </w:t>
      </w:r>
      <w:r w:rsidRPr="00DA0539">
        <w:t>included in clinical studies with R</w:t>
      </w:r>
      <w:r>
        <w:t>ixubis</w:t>
      </w:r>
      <w:r w:rsidRPr="00DA0539">
        <w:t>.</w:t>
      </w:r>
    </w:p>
    <w:p w:rsidR="00DA0539" w:rsidRPr="00DA0539" w:rsidRDefault="00DA0539" w:rsidP="004332E1">
      <w:r w:rsidRPr="00DA0539">
        <w:t>While there is an increased risk of inhibitor development and hypersensitivity reactions in this</w:t>
      </w:r>
      <w:r>
        <w:t xml:space="preserve"> </w:t>
      </w:r>
      <w:r w:rsidRPr="00DA0539">
        <w:t>population, high risk gene mutations are not very common in haemophilia B patients. The risk</w:t>
      </w:r>
      <w:r>
        <w:t xml:space="preserve"> </w:t>
      </w:r>
      <w:r w:rsidRPr="00DA0539">
        <w:t>of hypersensitivity reactions is highest in the early phases of initial exposure. About 30 to</w:t>
      </w:r>
      <w:r>
        <w:t xml:space="preserve"> </w:t>
      </w:r>
      <w:r w:rsidRPr="00DA0539">
        <w:t xml:space="preserve">45% of the haemophilia B subjects have severe form of the disease (&lt; 1% FIX activity) and </w:t>
      </w:r>
      <w:r>
        <w:t xml:space="preserve">in </w:t>
      </w:r>
      <w:r w:rsidRPr="00DA0539">
        <w:t>these subjects the disease is detected early in life much before 12 years. The remaining 55%</w:t>
      </w:r>
      <w:r>
        <w:t xml:space="preserve"> </w:t>
      </w:r>
      <w:r w:rsidRPr="00DA0539">
        <w:t>of the haemophilia B patients have the moderate (1 to 5% FIX activity) and mild forms of the</w:t>
      </w:r>
      <w:r>
        <w:t xml:space="preserve"> </w:t>
      </w:r>
      <w:r w:rsidRPr="00DA0539">
        <w:t>disease (&gt; 5% FIX activity). For a French haemophilia cohort it was reported that the median</w:t>
      </w:r>
      <w:r>
        <w:t xml:space="preserve"> </w:t>
      </w:r>
      <w:r w:rsidRPr="00DA0539">
        <w:t xml:space="preserve">age at diagnosis was 7.7 months, with significant </w:t>
      </w:r>
      <w:r w:rsidRPr="00DA0539">
        <w:lastRenderedPageBreak/>
        <w:t>differences among subgroups: 5.8 months</w:t>
      </w:r>
      <w:r>
        <w:t xml:space="preserve"> </w:t>
      </w:r>
      <w:r w:rsidRPr="00DA0539">
        <w:t xml:space="preserve">in severe haemophilia, 9.0 months in moderate forms, </w:t>
      </w:r>
      <w:proofErr w:type="gramStart"/>
      <w:r w:rsidRPr="00DA0539">
        <w:t>28.6</w:t>
      </w:r>
      <w:proofErr w:type="gramEnd"/>
      <w:r w:rsidRPr="00DA0539">
        <w:t xml:space="preserve"> months in mild forms</w:t>
      </w:r>
      <w:r>
        <w:rPr>
          <w:rStyle w:val="FootnoteReference"/>
        </w:rPr>
        <w:footnoteReference w:id="9"/>
      </w:r>
      <w:r w:rsidRPr="00DA0539">
        <w:t>. At the time</w:t>
      </w:r>
      <w:r>
        <w:t xml:space="preserve"> </w:t>
      </w:r>
      <w:r w:rsidRPr="00DA0539">
        <w:t>of receiving R</w:t>
      </w:r>
      <w:r>
        <w:t>ixubis</w:t>
      </w:r>
      <w:r w:rsidRPr="00DA0539">
        <w:t>, patients should have high risk gene mutations determined.</w:t>
      </w:r>
      <w:r>
        <w:t xml:space="preserve"> </w:t>
      </w:r>
      <w:r w:rsidRPr="00DA0539">
        <w:t>Furthermore, during the first 20 EDs, it is recommended that the patient be</w:t>
      </w:r>
      <w:r>
        <w:t xml:space="preserve"> </w:t>
      </w:r>
      <w:r w:rsidRPr="00DA0539">
        <w:t>monitored in a treatment facility. Moreover, inhibitor development and allergic reactions are</w:t>
      </w:r>
      <w:r>
        <w:t xml:space="preserve"> </w:t>
      </w:r>
      <w:r w:rsidRPr="00DA0539">
        <w:t xml:space="preserve">considered rare in mild and moderate haemophiliacs due to the presence of circulating </w:t>
      </w:r>
      <w:r>
        <w:t>F</w:t>
      </w:r>
      <w:r w:rsidRPr="00DA0539">
        <w:t>IX molecules.</w:t>
      </w:r>
    </w:p>
    <w:p w:rsidR="00DA0539" w:rsidRPr="00DA0539" w:rsidRDefault="00DA0539" w:rsidP="00DA0539">
      <w:r w:rsidRPr="00DA0539">
        <w:t>All 73 subjects participating in R</w:t>
      </w:r>
      <w:r>
        <w:t>ixubis</w:t>
      </w:r>
      <w:r w:rsidRPr="00DA0539">
        <w:t xml:space="preserve"> studies were included in the inhibitor assessment.</w:t>
      </w:r>
      <w:r>
        <w:t xml:space="preserve"> </w:t>
      </w:r>
      <w:r w:rsidRPr="00DA0539">
        <w:t>There were no inhibitors in the study. Therefore, the upper 95% confidence limit is 5.15%.</w:t>
      </w:r>
      <w:r>
        <w:t xml:space="preserve"> </w:t>
      </w:r>
      <w:r w:rsidRPr="00DA0539">
        <w:t>The sample size for the study was adequate to detect the development of inhibitors. All</w:t>
      </w:r>
      <w:r>
        <w:t xml:space="preserve"> </w:t>
      </w:r>
      <w:r w:rsidRPr="00DA0539">
        <w:t xml:space="preserve">subjects had at least 150 </w:t>
      </w:r>
      <w:r>
        <w:t>EDs</w:t>
      </w:r>
      <w:r w:rsidRPr="00DA0539">
        <w:t xml:space="preserve"> before study entry and subjects were treated for a</w:t>
      </w:r>
      <w:r>
        <w:t xml:space="preserve"> </w:t>
      </w:r>
      <w:r w:rsidRPr="00DA0539">
        <w:t>minimum of 50 EDs in clinical studies with R</w:t>
      </w:r>
      <w:r>
        <w:t>ixubis</w:t>
      </w:r>
      <w:r w:rsidRPr="00DA0539">
        <w:t>.</w:t>
      </w:r>
    </w:p>
    <w:p w:rsidR="00DA0539" w:rsidRPr="00DA0539" w:rsidRDefault="00DA0539" w:rsidP="004332E1">
      <w:r w:rsidRPr="00DA0539">
        <w:t>The study included 54 (73.9%) subjects with mutations and of these 14 subjects (19.2%) had</w:t>
      </w:r>
      <w:r w:rsidR="006F299E">
        <w:t xml:space="preserve"> </w:t>
      </w:r>
      <w:r w:rsidRPr="00DA0539">
        <w:t xml:space="preserve">nonsense mutations and </w:t>
      </w:r>
      <w:r w:rsidR="006F299E">
        <w:t>one</w:t>
      </w:r>
      <w:r w:rsidRPr="00DA0539">
        <w:t xml:space="preserve"> subject (1.4%) had a deletion mutation. These 15 subjects experienced a total of </w:t>
      </w:r>
      <w:r w:rsidR="006F299E">
        <w:t>three</w:t>
      </w:r>
      <w:r w:rsidRPr="00DA0539">
        <w:t xml:space="preserve"> unrelated </w:t>
      </w:r>
      <w:r w:rsidR="00F710E5">
        <w:t>SAE</w:t>
      </w:r>
      <w:r w:rsidRPr="00DA0539">
        <w:t>s and 10</w:t>
      </w:r>
      <w:r w:rsidR="006F299E">
        <w:t xml:space="preserve"> </w:t>
      </w:r>
      <w:r w:rsidRPr="00DA0539">
        <w:t>unrelated non-</w:t>
      </w:r>
      <w:r w:rsidR="00F710E5">
        <w:t>SAE</w:t>
      </w:r>
      <w:r w:rsidRPr="00DA0539">
        <w:t>s. Thus, the safety profile of subjects with mutations in</w:t>
      </w:r>
      <w:r w:rsidR="006F299E">
        <w:t xml:space="preserve"> </w:t>
      </w:r>
      <w:r w:rsidRPr="00DA0539">
        <w:t>this study is comparable to subjects without mutations.</w:t>
      </w:r>
    </w:p>
    <w:p w:rsidR="006F299E" w:rsidRPr="006F299E" w:rsidRDefault="00DA0539" w:rsidP="004332E1">
      <w:r w:rsidRPr="00DA0539">
        <w:t xml:space="preserve">Patients with high risk gene mutations are discussed within the context of </w:t>
      </w:r>
      <w:r w:rsidR="006F299E">
        <w:t>H</w:t>
      </w:r>
      <w:r w:rsidRPr="006F299E">
        <w:t>ypersensitivity</w:t>
      </w:r>
      <w:r w:rsidR="006F299E">
        <w:t xml:space="preserve"> </w:t>
      </w:r>
      <w:r w:rsidR="006F299E" w:rsidRPr="006F299E">
        <w:t>Reactions in the Australian PI.</w:t>
      </w:r>
    </w:p>
    <w:p w:rsidR="006F299E" w:rsidRPr="006F299E" w:rsidRDefault="006F299E" w:rsidP="004332E1">
      <w:r w:rsidRPr="006F299E">
        <w:t>Therefore, Baxter believes that patients with high risk gene mutations do not need to be</w:t>
      </w:r>
      <w:r>
        <w:t xml:space="preserve"> </w:t>
      </w:r>
      <w:r w:rsidRPr="006F299E">
        <w:t>included as missing information in the table of ongoing safety concerns of the RMP.</w:t>
      </w:r>
    </w:p>
    <w:p w:rsidR="006F299E" w:rsidRPr="006F299E" w:rsidRDefault="006F299E" w:rsidP="004332E1">
      <w:pPr>
        <w:pStyle w:val="Numberbullet0"/>
      </w:pPr>
      <w:r w:rsidRPr="006F299E">
        <w:t xml:space="preserve">HIV positive and </w:t>
      </w:r>
      <w:proofErr w:type="spellStart"/>
      <w:r w:rsidRPr="006F299E">
        <w:t>immunocompromised</w:t>
      </w:r>
      <w:proofErr w:type="spellEnd"/>
      <w:r w:rsidRPr="006F299E">
        <w:t xml:space="preserve"> patients</w:t>
      </w:r>
    </w:p>
    <w:p w:rsidR="006F299E" w:rsidRPr="006F299E" w:rsidRDefault="006F299E" w:rsidP="004332E1">
      <w:r w:rsidRPr="006F299E">
        <w:t>Patients who are HIV positive (with a viral load &gt;</w:t>
      </w:r>
      <w:r>
        <w:t xml:space="preserve"> </w:t>
      </w:r>
      <w:r w:rsidRPr="006F299E">
        <w:t>200 particles/</w:t>
      </w:r>
      <w:proofErr w:type="spellStart"/>
      <w:r w:rsidRPr="006F299E">
        <w:t>μL</w:t>
      </w:r>
      <w:proofErr w:type="spellEnd"/>
      <w:r w:rsidRPr="006F299E">
        <w:t xml:space="preserve">) or </w:t>
      </w:r>
      <w:proofErr w:type="spellStart"/>
      <w:r w:rsidRPr="006F299E">
        <w:t>immunocompromised</w:t>
      </w:r>
      <w:proofErr w:type="spellEnd"/>
      <w:r>
        <w:t xml:space="preserve"> </w:t>
      </w:r>
      <w:r w:rsidRPr="006F299E">
        <w:t>(as evidenced by a CD4 count ≤</w:t>
      </w:r>
      <w:r>
        <w:t xml:space="preserve"> </w:t>
      </w:r>
      <w:r w:rsidRPr="006F299E">
        <w:t>200 cells/mm</w:t>
      </w:r>
      <w:r w:rsidRPr="006F299E">
        <w:rPr>
          <w:vertAlign w:val="superscript"/>
        </w:rPr>
        <w:t>3</w:t>
      </w:r>
      <w:r w:rsidRPr="006F299E">
        <w:t>) were excluded from clinical trial populations</w:t>
      </w:r>
      <w:r>
        <w:t xml:space="preserve"> </w:t>
      </w:r>
      <w:r w:rsidRPr="006F299E">
        <w:t xml:space="preserve">as it may be difficult to adequately determine the immunogenicity of </w:t>
      </w:r>
      <w:proofErr w:type="spellStart"/>
      <w:r w:rsidRPr="006F299E">
        <w:t>R</w:t>
      </w:r>
      <w:r>
        <w:t>ixubis</w:t>
      </w:r>
      <w:proofErr w:type="spellEnd"/>
      <w:r w:rsidRPr="006F299E">
        <w:t xml:space="preserve"> in</w:t>
      </w:r>
      <w:r>
        <w:t xml:space="preserve"> </w:t>
      </w:r>
      <w:proofErr w:type="spellStart"/>
      <w:r w:rsidRPr="006F299E">
        <w:t>immunocompromised</w:t>
      </w:r>
      <w:proofErr w:type="spellEnd"/>
      <w:r w:rsidRPr="006F299E">
        <w:t xml:space="preserve"> patients.</w:t>
      </w:r>
    </w:p>
    <w:p w:rsidR="006F299E" w:rsidRPr="006F299E" w:rsidRDefault="006F299E" w:rsidP="004332E1">
      <w:r w:rsidRPr="006F299E">
        <w:t>Efficacy and safety of R</w:t>
      </w:r>
      <w:r>
        <w:t>ixubis</w:t>
      </w:r>
      <w:r w:rsidRPr="006F299E">
        <w:t xml:space="preserve"> in these patients is not expected to differ from other patients</w:t>
      </w:r>
      <w:r>
        <w:t xml:space="preserve"> </w:t>
      </w:r>
      <w:r w:rsidRPr="006F299E">
        <w:t>as the intent is to treat bleeding episodes in this patient population. The fact that these subjects</w:t>
      </w:r>
      <w:r>
        <w:t xml:space="preserve"> </w:t>
      </w:r>
      <w:r w:rsidRPr="006F299E">
        <w:t>have HIV infection does not change the mode of action of factor concentrates or influence the</w:t>
      </w:r>
      <w:r>
        <w:t xml:space="preserve"> </w:t>
      </w:r>
      <w:r w:rsidRPr="006F299E">
        <w:t>therapy choice for treating bleeding episodes in these patients. HIV patients with advanced</w:t>
      </w:r>
      <w:r>
        <w:t xml:space="preserve"> </w:t>
      </w:r>
      <w:r w:rsidRPr="006F299E">
        <w:t>disease stage are normally excluded from clinical trials due to the high frequency of signs and</w:t>
      </w:r>
      <w:r>
        <w:t xml:space="preserve"> </w:t>
      </w:r>
      <w:r w:rsidRPr="006F299E">
        <w:t>symptoms attributable to the infection, severely limiting the evaluation of safety in such trials.</w:t>
      </w:r>
      <w:r>
        <w:t xml:space="preserve"> </w:t>
      </w:r>
      <w:r w:rsidRPr="006F299E">
        <w:t xml:space="preserve">There were </w:t>
      </w:r>
      <w:r>
        <w:t>three</w:t>
      </w:r>
      <w:r w:rsidRPr="006F299E">
        <w:t xml:space="preserve"> HIV positive subjects out of the 73 total subjects in the study. These </w:t>
      </w:r>
      <w:r>
        <w:t>three</w:t>
      </w:r>
      <w:r w:rsidRPr="006F299E">
        <w:t xml:space="preserve"> subjects</w:t>
      </w:r>
      <w:r>
        <w:t xml:space="preserve"> </w:t>
      </w:r>
      <w:r w:rsidRPr="006F299E">
        <w:t xml:space="preserve">experienced </w:t>
      </w:r>
      <w:r>
        <w:t>nine</w:t>
      </w:r>
      <w:r w:rsidRPr="006F299E">
        <w:t xml:space="preserve"> unrelated non-</w:t>
      </w:r>
      <w:r w:rsidR="00F710E5">
        <w:t>SAE</w:t>
      </w:r>
      <w:r w:rsidRPr="006F299E">
        <w:t xml:space="preserve">s and did not experience any </w:t>
      </w:r>
      <w:r w:rsidR="00F710E5">
        <w:t>SAE</w:t>
      </w:r>
      <w:r w:rsidRPr="006F299E">
        <w:t>s. Hence the safety and efficacy profile of these subjects is comparable to the</w:t>
      </w:r>
      <w:r>
        <w:t xml:space="preserve"> </w:t>
      </w:r>
      <w:r w:rsidRPr="006F299E">
        <w:t>rest of the subjects in the study.</w:t>
      </w:r>
    </w:p>
    <w:p w:rsidR="006F299E" w:rsidRPr="006F299E" w:rsidRDefault="006F299E" w:rsidP="004332E1">
      <w:r w:rsidRPr="006F299E">
        <w:t xml:space="preserve">Therefore, Baxter believes that patients who are HIV positive and </w:t>
      </w:r>
      <w:proofErr w:type="spellStart"/>
      <w:r w:rsidRPr="006F299E">
        <w:t>immunocompromised</w:t>
      </w:r>
      <w:proofErr w:type="spellEnd"/>
      <w:r w:rsidRPr="006F299E">
        <w:t xml:space="preserve"> do</w:t>
      </w:r>
      <w:r>
        <w:t xml:space="preserve"> </w:t>
      </w:r>
      <w:r w:rsidRPr="006F299E">
        <w:t>not need to be included as missing information in the table of ongoing safety concerns of the</w:t>
      </w:r>
      <w:r>
        <w:t xml:space="preserve"> </w:t>
      </w:r>
      <w:r w:rsidRPr="006F299E">
        <w:t>RMP.</w:t>
      </w:r>
    </w:p>
    <w:p w:rsidR="006F299E" w:rsidRDefault="006F299E" w:rsidP="004332E1">
      <w:pPr>
        <w:pStyle w:val="Numberbullet0"/>
      </w:pPr>
      <w:r>
        <w:t>Patients with hepatic disease</w:t>
      </w:r>
    </w:p>
    <w:p w:rsidR="006F299E" w:rsidRDefault="006F299E" w:rsidP="004332E1">
      <w:r>
        <w:t>In clinical studies with Rixubis, the following groups were included:</w:t>
      </w:r>
    </w:p>
    <w:p w:rsidR="006F299E" w:rsidRDefault="006F299E" w:rsidP="004332E1">
      <w:pPr>
        <w:pStyle w:val="ListBullet"/>
      </w:pPr>
      <w:r>
        <w:t>patients with hepatic disease</w:t>
      </w:r>
    </w:p>
    <w:p w:rsidR="006F299E" w:rsidRDefault="006F299E" w:rsidP="004332E1">
      <w:pPr>
        <w:pStyle w:val="ListBullet"/>
      </w:pPr>
      <w:r>
        <w:t>patients with a medical history of hepatitis (</w:t>
      </w:r>
      <w:r w:rsidRPr="004332E1">
        <w:t>excluding</w:t>
      </w:r>
      <w:r>
        <w:t xml:space="preserve"> those with active disease)</w:t>
      </w:r>
    </w:p>
    <w:p w:rsidR="006F299E" w:rsidRDefault="006F299E" w:rsidP="004332E1">
      <w:pPr>
        <w:pStyle w:val="ListBullet"/>
      </w:pPr>
      <w:proofErr w:type="gramStart"/>
      <w:r>
        <w:t>patients</w:t>
      </w:r>
      <w:proofErr w:type="gramEnd"/>
      <w:r>
        <w:t xml:space="preserve"> with a medical history of hepatitis or </w:t>
      </w:r>
      <w:r w:rsidRPr="004332E1">
        <w:t>active</w:t>
      </w:r>
      <w:r>
        <w:t xml:space="preserve"> hepatitis with ALT and/or AST not exceeding five times the upper limit of normal.</w:t>
      </w:r>
    </w:p>
    <w:p w:rsidR="006F299E" w:rsidRDefault="006F299E" w:rsidP="003A4516">
      <w:r>
        <w:lastRenderedPageBreak/>
        <w:t>In pivotal Study 250901, 63/73 subjects (86%) who received treatment had a medical history of hepatitis (A and/or B and/or C). Of which, 38 had increased liver parameters (ALT and/or AST and/or ALP) at screening or at any time point during study participation.</w:t>
      </w:r>
    </w:p>
    <w:p w:rsidR="006F299E" w:rsidRPr="006F299E" w:rsidRDefault="006F299E" w:rsidP="003A4516">
      <w:proofErr w:type="spellStart"/>
      <w:r>
        <w:t>Northcott</w:t>
      </w:r>
      <w:proofErr w:type="spellEnd"/>
      <w:r>
        <w:t xml:space="preserve"> et al. (2013)</w:t>
      </w:r>
      <w:r>
        <w:rPr>
          <w:rStyle w:val="FootnoteReference"/>
        </w:rPr>
        <w:footnoteReference w:id="10"/>
      </w:r>
      <w:r>
        <w:t xml:space="preserve"> evaluated the prevalence of transfusion acquired hepatitis C in Australian patients with bleeding disorders. Demographic data, virological data and liver disease status from 700 patients with inherited bleeding disorders were analysed. Of these 700 patients, 424 (61%) had been tested for chronic hepatitis C (CHC) infection and 219 (52%) were hepatitis C antibody positive, with the prevalence approaching 100% in patients with severe bleeding disorders. Therefore, the subjects studied in Rixubis clinical studies are reflective of the target population. It is important to note that not all patients with hepatic disease were excluded. Rather, only those subjects with hepatic disease that may alter the assessment of efficacy of Rixubis were excluded. This is consistent with exclusion criteria </w:t>
      </w:r>
      <w:r w:rsidRPr="006F299E">
        <w:t>used in clinical studies for other factor products.</w:t>
      </w:r>
    </w:p>
    <w:p w:rsidR="006F299E" w:rsidRPr="006F299E" w:rsidRDefault="006F299E" w:rsidP="006F299E">
      <w:r w:rsidRPr="006F299E">
        <w:t>As the information has already been included in the study population, Baxter believes that</w:t>
      </w:r>
      <w:r>
        <w:t xml:space="preserve"> </w:t>
      </w:r>
      <w:r w:rsidRPr="006F299E">
        <w:t>patients with liver disease do not need to be included as missing information in the table of</w:t>
      </w:r>
      <w:r>
        <w:t xml:space="preserve"> </w:t>
      </w:r>
      <w:r w:rsidRPr="006F299E">
        <w:t>ongoing safety concerns of the RMP.</w:t>
      </w:r>
    </w:p>
    <w:p w:rsidR="006F299E" w:rsidRPr="006F299E" w:rsidRDefault="006F299E" w:rsidP="003A4516">
      <w:pPr>
        <w:pStyle w:val="Numberbullet0"/>
      </w:pPr>
      <w:r w:rsidRPr="006F299E">
        <w:t>Patients with kidney disease</w:t>
      </w:r>
    </w:p>
    <w:p w:rsidR="006F299E" w:rsidRPr="006F299E" w:rsidRDefault="006F299E" w:rsidP="003A4516">
      <w:r w:rsidRPr="006F299E">
        <w:t>Patients with renal disease were excluded from clinical trial populations for R</w:t>
      </w:r>
      <w:r>
        <w:t>ixubis</w:t>
      </w:r>
      <w:r w:rsidRPr="006F299E">
        <w:t xml:space="preserve"> and are</w:t>
      </w:r>
      <w:r>
        <w:t xml:space="preserve"> </w:t>
      </w:r>
      <w:r w:rsidRPr="006F299E">
        <w:t>routinely excluded from clinical trial populations, as they can present with signs and</w:t>
      </w:r>
      <w:r>
        <w:t xml:space="preserve"> </w:t>
      </w:r>
      <w:r w:rsidRPr="006F299E">
        <w:t>symptoms attributable to these diseases which may severely limit the evaluation of safety in</w:t>
      </w:r>
      <w:r>
        <w:t xml:space="preserve"> </w:t>
      </w:r>
      <w:r w:rsidRPr="006F299E">
        <w:t>such trials.</w:t>
      </w:r>
    </w:p>
    <w:p w:rsidR="006F299E" w:rsidRPr="006F299E" w:rsidRDefault="006F299E" w:rsidP="003A4516">
      <w:r w:rsidRPr="006F299E">
        <w:t>As the haemophilia B population ages, there may be an increased incidence of renal disease: A</w:t>
      </w:r>
      <w:r>
        <w:t xml:space="preserve"> </w:t>
      </w:r>
      <w:r w:rsidRPr="006F299E">
        <w:t>data collection from the medical records of 3422 males with haemophilia showed that the rate</w:t>
      </w:r>
      <w:r>
        <w:t xml:space="preserve"> </w:t>
      </w:r>
      <w:r w:rsidRPr="006F299E">
        <w:t xml:space="preserve">of acute renal disease discharges ranged from 2.4 </w:t>
      </w:r>
      <w:r>
        <w:t>to</w:t>
      </w:r>
      <w:r w:rsidRPr="006F299E">
        <w:t xml:space="preserve"> 4.8 per 1000 patients per year and</w:t>
      </w:r>
      <w:r>
        <w:t xml:space="preserve"> </w:t>
      </w:r>
      <w:r w:rsidRPr="006F299E">
        <w:t xml:space="preserve">averaged 3.4 over the studied </w:t>
      </w:r>
      <w:r>
        <w:t xml:space="preserve">six </w:t>
      </w:r>
      <w:r w:rsidRPr="006F299E">
        <w:t>year period. This rate was higher than the estimated rate of</w:t>
      </w:r>
      <w:r>
        <w:t xml:space="preserve"> </w:t>
      </w:r>
      <w:r w:rsidRPr="006F299E">
        <w:t>1.9 per 1000 males for the general population. In addition, age-specific rates of acute renal</w:t>
      </w:r>
      <w:r>
        <w:t xml:space="preserve"> </w:t>
      </w:r>
      <w:r w:rsidRPr="006F299E">
        <w:t>disease in persons with haemophilia (PWH) were higher in nearly every age group than</w:t>
      </w:r>
      <w:r>
        <w:t xml:space="preserve"> </w:t>
      </w:r>
      <w:r w:rsidRPr="006F299E">
        <w:t>among US males. Likewise, the corresponding average rate of 4.7 chronic renal disease</w:t>
      </w:r>
      <w:r>
        <w:t xml:space="preserve"> </w:t>
      </w:r>
      <w:r w:rsidRPr="006F299E">
        <w:t>discharges per 1000 PWH was higher than the rate of 2.9 per 1000 for US males. Chronic</w:t>
      </w:r>
      <w:r>
        <w:t xml:space="preserve"> </w:t>
      </w:r>
      <w:r w:rsidRPr="006F299E">
        <w:t>renal disease rates were markedly higher in every age group for PWH compared with males</w:t>
      </w:r>
      <w:r>
        <w:t xml:space="preserve"> in </w:t>
      </w:r>
      <w:r w:rsidRPr="006F299E">
        <w:t>renal disease rates were markedly higher in every age group for PWH compared with males in</w:t>
      </w:r>
      <w:r>
        <w:t xml:space="preserve"> </w:t>
      </w:r>
      <w:r w:rsidRPr="006F299E">
        <w:t>the general population. Multivariate analyses showed that several characteristics were</w:t>
      </w:r>
      <w:r>
        <w:t xml:space="preserve"> </w:t>
      </w:r>
      <w:r w:rsidRPr="006F299E">
        <w:t>strongly associated with acute renal disease among PWH. PWH diagnosed with acute renal</w:t>
      </w:r>
      <w:r>
        <w:t xml:space="preserve"> </w:t>
      </w:r>
      <w:r w:rsidRPr="006F299E">
        <w:t>disease were nine times more likely to be HIV infected, five times more likely to have</w:t>
      </w:r>
      <w:r w:rsidR="00312636">
        <w:t xml:space="preserve"> </w:t>
      </w:r>
      <w:r w:rsidRPr="006F299E">
        <w:t>hypertension and three times more likely to have an inhibitor than those without the</w:t>
      </w:r>
      <w:r w:rsidR="00312636">
        <w:t xml:space="preserve"> </w:t>
      </w:r>
      <w:r w:rsidRPr="006F299E">
        <w:t>diagnosis</w:t>
      </w:r>
      <w:r w:rsidR="00312636">
        <w:rPr>
          <w:rStyle w:val="FootnoteReference"/>
        </w:rPr>
        <w:footnoteReference w:id="11"/>
      </w:r>
      <w:r w:rsidRPr="006F299E">
        <w:t xml:space="preserve">. These findings were challenged by later studies, </w:t>
      </w:r>
      <w:r w:rsidR="00312636">
        <w:t xml:space="preserve">for example, </w:t>
      </w:r>
      <w:r w:rsidRPr="006F299E">
        <w:t>a review of medical records</w:t>
      </w:r>
      <w:r w:rsidR="00312636">
        <w:t xml:space="preserve"> </w:t>
      </w:r>
      <w:r w:rsidRPr="006F299E">
        <w:t>of Slovenian haemophiliacs resulted in only one case of mild reduction of renal function of</w:t>
      </w:r>
      <w:r w:rsidR="00312636">
        <w:t xml:space="preserve"> </w:t>
      </w:r>
      <w:r w:rsidRPr="006F299E">
        <w:t>unknown cause, and these authors concluded that haematuria per se did not cause renal</w:t>
      </w:r>
      <w:r w:rsidR="00312636">
        <w:t xml:space="preserve"> </w:t>
      </w:r>
      <w:r w:rsidRPr="006F299E">
        <w:t>disease in none of the 29 PWH studied</w:t>
      </w:r>
      <w:r w:rsidR="00312636">
        <w:rPr>
          <w:rStyle w:val="FootnoteReference"/>
        </w:rPr>
        <w:footnoteReference w:id="12"/>
      </w:r>
      <w:r w:rsidRPr="006F299E">
        <w:t>.</w:t>
      </w:r>
    </w:p>
    <w:p w:rsidR="00312636" w:rsidRPr="00312636" w:rsidRDefault="006F299E" w:rsidP="003A4516">
      <w:r w:rsidRPr="006F299E">
        <w:t xml:space="preserve">However, </w:t>
      </w:r>
      <w:r w:rsidR="00312636">
        <w:t>F</w:t>
      </w:r>
      <w:r w:rsidR="00312636" w:rsidRPr="00312636">
        <w:t xml:space="preserve">IX concentrates do not undergo </w:t>
      </w:r>
      <w:proofErr w:type="spellStart"/>
      <w:r w:rsidR="00312636" w:rsidRPr="00312636">
        <w:t>metaboli</w:t>
      </w:r>
      <w:r w:rsidR="00312636">
        <w:t>s</w:t>
      </w:r>
      <w:r w:rsidR="00312636" w:rsidRPr="00312636">
        <w:t>ation</w:t>
      </w:r>
      <w:proofErr w:type="spellEnd"/>
      <w:r w:rsidR="00312636" w:rsidRPr="00312636">
        <w:t xml:space="preserve"> in the kidneys, and the mode</w:t>
      </w:r>
      <w:r w:rsidR="00312636">
        <w:t xml:space="preserve"> </w:t>
      </w:r>
      <w:r w:rsidR="00312636" w:rsidRPr="00312636">
        <w:t>of action and choice of therapy in haemophiliacs will not be influenced by this co-morbidity.</w:t>
      </w:r>
    </w:p>
    <w:p w:rsidR="00312636" w:rsidRPr="00312636" w:rsidRDefault="00312636" w:rsidP="00312636">
      <w:r w:rsidRPr="00312636">
        <w:t>In summary, while representing an important comorbidity from a clinical perspective, Baxter</w:t>
      </w:r>
      <w:r>
        <w:t xml:space="preserve"> </w:t>
      </w:r>
      <w:r w:rsidRPr="00312636">
        <w:t>does not believe that renal disorders in haemophilia constitute Important Missing Information</w:t>
      </w:r>
      <w:r>
        <w:t xml:space="preserve"> </w:t>
      </w:r>
      <w:r w:rsidRPr="00312636">
        <w:t>for inclusion in the RMP.</w:t>
      </w:r>
    </w:p>
    <w:p w:rsidR="00312636" w:rsidRPr="003A4516" w:rsidRDefault="00312636" w:rsidP="003A4516">
      <w:pPr>
        <w:pStyle w:val="Heading5"/>
      </w:pPr>
      <w:r w:rsidRPr="00312636">
        <w:lastRenderedPageBreak/>
        <w:t>Conclusion</w:t>
      </w:r>
    </w:p>
    <w:p w:rsidR="00312636" w:rsidRDefault="00312636" w:rsidP="003A4516">
      <w:r w:rsidRPr="00312636">
        <w:t>Baxter concurs with the Delegate’s comments, in particular with the recommendation to</w:t>
      </w:r>
      <w:r>
        <w:t xml:space="preserve"> </w:t>
      </w:r>
      <w:r w:rsidRPr="00312636">
        <w:t xml:space="preserve">approve the following indications for </w:t>
      </w:r>
      <w:proofErr w:type="spellStart"/>
      <w:r w:rsidRPr="00312636">
        <w:t>R</w:t>
      </w:r>
      <w:r>
        <w:t>ixubis</w:t>
      </w:r>
      <w:proofErr w:type="spellEnd"/>
      <w:r w:rsidR="003A4516">
        <w:t>:</w:t>
      </w:r>
    </w:p>
    <w:p w:rsidR="00312636" w:rsidRPr="00312636" w:rsidRDefault="00312636" w:rsidP="003A4516">
      <w:pPr>
        <w:pStyle w:val="ListBullet"/>
      </w:pPr>
      <w:r w:rsidRPr="00312636">
        <w:t>Routine prophylaxis of bleeding episodes in adults with haemophilia B</w:t>
      </w:r>
    </w:p>
    <w:p w:rsidR="00312636" w:rsidRPr="00312636" w:rsidRDefault="00312636" w:rsidP="003A4516">
      <w:pPr>
        <w:pStyle w:val="ListBullet"/>
      </w:pPr>
      <w:r w:rsidRPr="00312636">
        <w:t xml:space="preserve">Treatment and prevention of bleeding </w:t>
      </w:r>
      <w:r w:rsidRPr="003A4516">
        <w:t>episodes</w:t>
      </w:r>
      <w:r w:rsidRPr="00312636">
        <w:t xml:space="preserve"> in adults with haemophilia B</w:t>
      </w:r>
      <w:r>
        <w:t xml:space="preserve"> </w:t>
      </w:r>
      <w:r w:rsidRPr="00312636">
        <w:t>(congenital factor IX deficiency)</w:t>
      </w:r>
    </w:p>
    <w:p w:rsidR="00312636" w:rsidRDefault="00312636" w:rsidP="003A4516">
      <w:pPr>
        <w:pStyle w:val="ListBullet"/>
      </w:pPr>
      <w:r>
        <w:t>Peri-operative management in adults with haemophilia B</w:t>
      </w:r>
    </w:p>
    <w:p w:rsidR="00312636" w:rsidRDefault="00312636" w:rsidP="003A4516">
      <w:r>
        <w:t>Baxter has provided further rationale to not include the following as missing information in the RMP and would kindly ask for further consideration on these points:</w:t>
      </w:r>
    </w:p>
    <w:p w:rsidR="00312636" w:rsidRPr="00312636" w:rsidRDefault="00312636" w:rsidP="003A4516">
      <w:pPr>
        <w:pStyle w:val="ListBullet"/>
      </w:pPr>
      <w:r w:rsidRPr="00312636">
        <w:t>Patients with high risk gene mutations</w:t>
      </w:r>
    </w:p>
    <w:p w:rsidR="00312636" w:rsidRPr="00312636" w:rsidRDefault="00312636" w:rsidP="003A4516">
      <w:pPr>
        <w:pStyle w:val="ListBullet"/>
      </w:pPr>
      <w:r w:rsidRPr="00312636">
        <w:t xml:space="preserve">HIV positive and </w:t>
      </w:r>
      <w:proofErr w:type="spellStart"/>
      <w:r w:rsidRPr="00312636">
        <w:t>immunocompromised</w:t>
      </w:r>
      <w:proofErr w:type="spellEnd"/>
      <w:r w:rsidRPr="00312636">
        <w:t xml:space="preserve"> </w:t>
      </w:r>
      <w:r w:rsidRPr="003A4516">
        <w:t>patients</w:t>
      </w:r>
    </w:p>
    <w:p w:rsidR="00312636" w:rsidRPr="00312636" w:rsidRDefault="00312636" w:rsidP="00312636">
      <w:pPr>
        <w:pStyle w:val="ListBullet"/>
      </w:pPr>
      <w:r w:rsidRPr="00312636">
        <w:t>Patients with hepatic disease</w:t>
      </w:r>
    </w:p>
    <w:p w:rsidR="00312636" w:rsidRPr="00312636" w:rsidRDefault="00312636" w:rsidP="003A4516">
      <w:pPr>
        <w:pStyle w:val="ListBullet"/>
      </w:pPr>
      <w:r w:rsidRPr="00312636">
        <w:t>Patients with renal disease</w:t>
      </w:r>
    </w:p>
    <w:p w:rsidR="008E7846" w:rsidRPr="003A4516" w:rsidRDefault="008E7846" w:rsidP="003A4516">
      <w:pPr>
        <w:pStyle w:val="Heading3"/>
      </w:pPr>
      <w:bookmarkStart w:id="366" w:name="_Toc387924302"/>
      <w:r>
        <w:t xml:space="preserve">Advisory </w:t>
      </w:r>
      <w:r w:rsidR="003A4516">
        <w:t>c</w:t>
      </w:r>
      <w:r>
        <w:t xml:space="preserve">ommittee </w:t>
      </w:r>
      <w:r w:rsidR="003A4516">
        <w:t>c</w:t>
      </w:r>
      <w:r>
        <w:t>onsiderations</w:t>
      </w:r>
      <w:bookmarkEnd w:id="366"/>
    </w:p>
    <w:p w:rsidR="008E7846" w:rsidRDefault="008E7846" w:rsidP="003A4516">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8E4712" w:rsidRPr="00C5121E" w:rsidRDefault="008E4712" w:rsidP="003A4516">
      <w:pPr>
        <w:rPr>
          <w:b/>
          <w:lang w:eastAsia="ja-JP"/>
        </w:rPr>
      </w:pPr>
      <w:r w:rsidRPr="00C5121E">
        <w:rPr>
          <w:lang w:eastAsia="ja-JP"/>
        </w:rPr>
        <w:t xml:space="preserve">The ACPM, taking into account the submitted evidence of efficacy, safety and quality, considered </w:t>
      </w:r>
      <w:r w:rsidRPr="00C5121E">
        <w:rPr>
          <w:bCs/>
          <w:lang w:eastAsia="ja-JP"/>
        </w:rPr>
        <w:t>R</w:t>
      </w:r>
      <w:r>
        <w:rPr>
          <w:bCs/>
          <w:lang w:eastAsia="ja-JP"/>
        </w:rPr>
        <w:t>ixubis</w:t>
      </w:r>
      <w:r w:rsidRPr="00C5121E">
        <w:rPr>
          <w:lang w:eastAsia="ja-JP"/>
        </w:rPr>
        <w:t xml:space="preserve"> </w:t>
      </w:r>
      <w:r w:rsidRPr="00C5121E">
        <w:rPr>
          <w:bCs/>
          <w:lang w:eastAsia="ja-JP"/>
        </w:rPr>
        <w:t xml:space="preserve">powder for injection containing 250, 500, 1000, 2000 and 3000 IU of </w:t>
      </w:r>
      <w:proofErr w:type="spellStart"/>
      <w:r w:rsidRPr="00C5121E">
        <w:rPr>
          <w:bCs/>
          <w:lang w:eastAsia="ja-JP"/>
        </w:rPr>
        <w:t>nonacog</w:t>
      </w:r>
      <w:proofErr w:type="spellEnd"/>
      <w:r w:rsidRPr="00C5121E">
        <w:rPr>
          <w:bCs/>
          <w:lang w:eastAsia="ja-JP"/>
        </w:rPr>
        <w:t xml:space="preserve"> gamma</w:t>
      </w:r>
      <w:r w:rsidRPr="00C5121E">
        <w:rPr>
          <w:b/>
          <w:bCs/>
          <w:lang w:eastAsia="ja-JP"/>
        </w:rPr>
        <w:t xml:space="preserve"> </w:t>
      </w:r>
      <w:r w:rsidRPr="00C5121E">
        <w:rPr>
          <w:lang w:eastAsia="ja-JP"/>
        </w:rPr>
        <w:t>to have an overall positive benefit–risk profile for the amended indication</w:t>
      </w:r>
      <w:r w:rsidR="003A4516" w:rsidRPr="003A4516">
        <w:t>;</w:t>
      </w:r>
    </w:p>
    <w:p w:rsidR="008E4712" w:rsidRPr="003A4516" w:rsidRDefault="008E4712" w:rsidP="003A4516">
      <w:pPr>
        <w:ind w:left="720"/>
        <w:rPr>
          <w:i/>
          <w:lang w:eastAsia="ja-JP"/>
        </w:rPr>
      </w:pPr>
      <w:proofErr w:type="gramStart"/>
      <w:r w:rsidRPr="003A4516">
        <w:rPr>
          <w:i/>
          <w:lang w:eastAsia="ja-JP"/>
        </w:rPr>
        <w:t>Routine prophylaxis of bleeding episodes in adults with haemophilia B.</w:t>
      </w:r>
      <w:proofErr w:type="gramEnd"/>
    </w:p>
    <w:p w:rsidR="008E4712" w:rsidRPr="003A4516" w:rsidRDefault="008E4712" w:rsidP="003A4516">
      <w:pPr>
        <w:ind w:left="720"/>
        <w:rPr>
          <w:i/>
          <w:lang w:eastAsia="ja-JP"/>
        </w:rPr>
      </w:pPr>
      <w:proofErr w:type="gramStart"/>
      <w:r w:rsidRPr="003A4516">
        <w:rPr>
          <w:i/>
          <w:lang w:eastAsia="ja-JP"/>
        </w:rPr>
        <w:t>Treatment and prevention of bleeding episodes in adults with haemophilia B (congenital factor IX deficiency).</w:t>
      </w:r>
      <w:proofErr w:type="gramEnd"/>
    </w:p>
    <w:p w:rsidR="008E4712" w:rsidRPr="00C5121E" w:rsidRDefault="008E4712" w:rsidP="003A4516">
      <w:pPr>
        <w:rPr>
          <w:rFonts w:cs="Arial"/>
          <w:iCs/>
          <w:lang w:eastAsia="ja-JP"/>
        </w:rPr>
      </w:pPr>
      <w:r w:rsidRPr="00C5121E">
        <w:rPr>
          <w:lang w:eastAsia="ja-JP"/>
        </w:rPr>
        <w:t>The ACPM concluded that the evidence provided in the sponsor’s submission did not satisfactorily establish the safety and efficacy of R</w:t>
      </w:r>
      <w:r>
        <w:rPr>
          <w:lang w:eastAsia="ja-JP"/>
        </w:rPr>
        <w:t>ixubis</w:t>
      </w:r>
      <w:r w:rsidRPr="00C5121E">
        <w:rPr>
          <w:lang w:eastAsia="ja-JP"/>
        </w:rPr>
        <w:t xml:space="preserve"> powder for injection containing 250, 500, 1000, 2000 and 3000 IU of </w:t>
      </w:r>
      <w:proofErr w:type="spellStart"/>
      <w:r w:rsidRPr="00C5121E">
        <w:rPr>
          <w:lang w:eastAsia="ja-JP"/>
        </w:rPr>
        <w:t>nonacog</w:t>
      </w:r>
      <w:proofErr w:type="spellEnd"/>
      <w:r w:rsidRPr="00C5121E">
        <w:rPr>
          <w:lang w:eastAsia="ja-JP"/>
        </w:rPr>
        <w:t xml:space="preserve"> gamma for the following indication:</w:t>
      </w:r>
    </w:p>
    <w:p w:rsidR="008E4712" w:rsidRPr="003A4516" w:rsidRDefault="008E4712" w:rsidP="003A4516">
      <w:pPr>
        <w:ind w:left="720"/>
        <w:rPr>
          <w:i/>
          <w:lang w:eastAsia="ja-JP"/>
        </w:rPr>
      </w:pPr>
      <w:proofErr w:type="gramStart"/>
      <w:r w:rsidRPr="003A4516">
        <w:rPr>
          <w:i/>
          <w:lang w:eastAsia="ja-JP"/>
        </w:rPr>
        <w:t>Peri-operative management in adults with haemophilia B.</w:t>
      </w:r>
      <w:proofErr w:type="gramEnd"/>
    </w:p>
    <w:p w:rsidR="008E4712" w:rsidRPr="00C5121E" w:rsidRDefault="008E4712" w:rsidP="003A4516">
      <w:pPr>
        <w:pStyle w:val="Heading4"/>
        <w:rPr>
          <w:lang w:eastAsia="ja-JP"/>
        </w:rPr>
      </w:pPr>
      <w:r w:rsidRPr="00C5121E">
        <w:rPr>
          <w:lang w:eastAsia="ja-JP"/>
        </w:rPr>
        <w:t xml:space="preserve">Specific </w:t>
      </w:r>
      <w:r w:rsidR="003A4516">
        <w:rPr>
          <w:lang w:eastAsia="ja-JP"/>
        </w:rPr>
        <w:t>a</w:t>
      </w:r>
      <w:r w:rsidRPr="00C5121E">
        <w:rPr>
          <w:lang w:eastAsia="ja-JP"/>
        </w:rPr>
        <w:t>dvice:</w:t>
      </w:r>
    </w:p>
    <w:p w:rsidR="008E4712" w:rsidRPr="00C5121E" w:rsidRDefault="008E4712" w:rsidP="003A4516">
      <w:pPr>
        <w:rPr>
          <w:lang w:eastAsia="ja-JP"/>
        </w:rPr>
      </w:pPr>
      <w:r w:rsidRPr="00C5121E">
        <w:rPr>
          <w:lang w:eastAsia="ja-JP"/>
        </w:rPr>
        <w:t>The ACPM provided the following specifically requested advice:</w:t>
      </w:r>
    </w:p>
    <w:p w:rsidR="008E4712" w:rsidRPr="00C5121E" w:rsidRDefault="008E4712" w:rsidP="003A4516">
      <w:pPr>
        <w:pStyle w:val="Numberbullet0"/>
        <w:numPr>
          <w:ilvl w:val="0"/>
          <w:numId w:val="27"/>
        </w:numPr>
        <w:rPr>
          <w:lang w:eastAsia="ja-JP"/>
        </w:rPr>
      </w:pPr>
      <w:r w:rsidRPr="00C5121E">
        <w:rPr>
          <w:lang w:eastAsia="ja-JP"/>
        </w:rPr>
        <w:t xml:space="preserve">Is </w:t>
      </w:r>
      <w:r w:rsidRPr="003A4516">
        <w:t>there</w:t>
      </w:r>
      <w:r w:rsidRPr="00C5121E">
        <w:rPr>
          <w:lang w:eastAsia="ja-JP"/>
        </w:rPr>
        <w:t xml:space="preserve"> sufficient evidence for use in peri-operative management of Haemophilia B?</w:t>
      </w:r>
    </w:p>
    <w:p w:rsidR="008E4712" w:rsidRPr="00C5121E" w:rsidRDefault="008E4712" w:rsidP="003A4516">
      <w:pPr>
        <w:rPr>
          <w:bCs/>
          <w:iCs/>
          <w:lang w:eastAsia="ja-JP"/>
        </w:rPr>
      </w:pPr>
      <w:r w:rsidRPr="00C5121E">
        <w:rPr>
          <w:lang w:eastAsia="ja-JP"/>
        </w:rPr>
        <w:t xml:space="preserve">The supportive study was small and uncontrolled. The definition of </w:t>
      </w:r>
      <w:r>
        <w:rPr>
          <w:lang w:eastAsia="ja-JP"/>
        </w:rPr>
        <w:t>‘</w:t>
      </w:r>
      <w:r w:rsidRPr="00C5121E">
        <w:rPr>
          <w:lang w:eastAsia="ja-JP"/>
        </w:rPr>
        <w:t>major</w:t>
      </w:r>
      <w:r>
        <w:rPr>
          <w:lang w:eastAsia="ja-JP"/>
        </w:rPr>
        <w:t>’</w:t>
      </w:r>
      <w:r w:rsidRPr="00C5121E">
        <w:rPr>
          <w:lang w:eastAsia="ja-JP"/>
        </w:rPr>
        <w:t xml:space="preserve"> surgery was considered </w:t>
      </w:r>
      <w:r>
        <w:rPr>
          <w:lang w:eastAsia="ja-JP"/>
        </w:rPr>
        <w:t>in</w:t>
      </w:r>
      <w:r w:rsidRPr="00C5121E">
        <w:rPr>
          <w:lang w:eastAsia="ja-JP"/>
        </w:rPr>
        <w:t xml:space="preserve">accurate. Only 11 patients had </w:t>
      </w:r>
      <w:r>
        <w:rPr>
          <w:lang w:eastAsia="ja-JP"/>
        </w:rPr>
        <w:t>‘</w:t>
      </w:r>
      <w:r w:rsidRPr="00C5121E">
        <w:rPr>
          <w:lang w:eastAsia="ja-JP"/>
        </w:rPr>
        <w:t>major</w:t>
      </w:r>
      <w:r>
        <w:rPr>
          <w:lang w:eastAsia="ja-JP"/>
        </w:rPr>
        <w:t>’</w:t>
      </w:r>
      <w:r w:rsidRPr="00C5121E">
        <w:rPr>
          <w:lang w:eastAsia="ja-JP"/>
        </w:rPr>
        <w:t xml:space="preserve"> surgery; this included </w:t>
      </w:r>
      <w:r>
        <w:rPr>
          <w:lang w:eastAsia="ja-JP"/>
        </w:rPr>
        <w:t>two</w:t>
      </w:r>
      <w:r w:rsidRPr="00C5121E">
        <w:rPr>
          <w:lang w:eastAsia="ja-JP"/>
        </w:rPr>
        <w:t xml:space="preserve"> hernia repairs and </w:t>
      </w:r>
      <w:r>
        <w:rPr>
          <w:lang w:eastAsia="ja-JP"/>
        </w:rPr>
        <w:t>seven</w:t>
      </w:r>
      <w:r w:rsidRPr="00C5121E">
        <w:rPr>
          <w:lang w:eastAsia="ja-JP"/>
        </w:rPr>
        <w:t xml:space="preserve"> had orthopaedic procedures. There was no major intra-abdominal surgery. The small size of the surgery study and the paucity of major surgery mean that this contingency has been inadequately assessed. </w:t>
      </w:r>
      <w:r w:rsidRPr="00C5121E">
        <w:rPr>
          <w:bCs/>
          <w:lang w:eastAsia="ja-JP"/>
        </w:rPr>
        <w:t xml:space="preserve">This could be reassessed when more data from supportive </w:t>
      </w:r>
      <w:r>
        <w:rPr>
          <w:bCs/>
          <w:lang w:eastAsia="ja-JP"/>
        </w:rPr>
        <w:t>S</w:t>
      </w:r>
      <w:r w:rsidRPr="00C5121E">
        <w:rPr>
          <w:bCs/>
          <w:lang w:eastAsia="ja-JP"/>
        </w:rPr>
        <w:t xml:space="preserve">tudy 251002 is available. </w:t>
      </w:r>
      <w:r w:rsidRPr="00C5121E">
        <w:rPr>
          <w:lang w:eastAsia="ja-JP"/>
        </w:rPr>
        <w:t>There are alternative products which can be used peri-operatively.</w:t>
      </w:r>
    </w:p>
    <w:p w:rsidR="008E4712" w:rsidRPr="008E4712" w:rsidRDefault="008E4712" w:rsidP="003A4516">
      <w:pPr>
        <w:pStyle w:val="Numberbullet0"/>
      </w:pPr>
      <w:r w:rsidRPr="008E4712">
        <w:t>Is there sufficient evidence for use in children 12</w:t>
      </w:r>
      <w:r w:rsidR="008E6B22">
        <w:t xml:space="preserve"> </w:t>
      </w:r>
      <w:r>
        <w:t>plus</w:t>
      </w:r>
      <w:r w:rsidRPr="008E4712">
        <w:t xml:space="preserve"> y</w:t>
      </w:r>
      <w:r>
        <w:t>ea</w:t>
      </w:r>
      <w:r w:rsidRPr="008E4712">
        <w:t>rs of age?</w:t>
      </w:r>
    </w:p>
    <w:p w:rsidR="008E4712" w:rsidRPr="00C5121E" w:rsidRDefault="008E4712" w:rsidP="003A4516">
      <w:pPr>
        <w:rPr>
          <w:bCs/>
          <w:iCs/>
          <w:lang w:eastAsia="ja-JP"/>
        </w:rPr>
      </w:pPr>
      <w:r w:rsidRPr="00C5121E">
        <w:rPr>
          <w:lang w:eastAsia="ja-JP"/>
        </w:rPr>
        <w:lastRenderedPageBreak/>
        <w:t xml:space="preserve">The ACPM advised there was insufficient evidence to support use in this population. There were only </w:t>
      </w:r>
      <w:r>
        <w:rPr>
          <w:lang w:eastAsia="ja-JP"/>
        </w:rPr>
        <w:t>three</w:t>
      </w:r>
      <w:r w:rsidRPr="00C5121E">
        <w:rPr>
          <w:lang w:eastAsia="ja-JP"/>
        </w:rPr>
        <w:t xml:space="preserve"> teenagers in the pivotal study. Children have access to other products. The ACPM</w:t>
      </w:r>
      <w:r w:rsidRPr="00C5121E">
        <w:rPr>
          <w:i/>
          <w:color w:val="FF0000"/>
          <w:lang w:eastAsia="ja-JP"/>
        </w:rPr>
        <w:t xml:space="preserve"> </w:t>
      </w:r>
      <w:r w:rsidRPr="00C5121E">
        <w:rPr>
          <w:bCs/>
          <w:iCs/>
          <w:lang w:eastAsia="ja-JP"/>
        </w:rPr>
        <w:t>await publication of the on-going paediatric trial with interest.</w:t>
      </w:r>
    </w:p>
    <w:p w:rsidR="008E4712" w:rsidRPr="008E4712" w:rsidRDefault="008E4712" w:rsidP="003A4516">
      <w:pPr>
        <w:pStyle w:val="Numberbullet0"/>
      </w:pPr>
      <w:r w:rsidRPr="008E4712">
        <w:t>Is risk of inhibitor development acceptably low?</w:t>
      </w:r>
    </w:p>
    <w:p w:rsidR="008E4712" w:rsidRPr="00C5121E" w:rsidRDefault="008E4712" w:rsidP="003A4516">
      <w:pPr>
        <w:rPr>
          <w:bCs/>
          <w:iCs/>
          <w:lang w:eastAsia="ja-JP"/>
        </w:rPr>
      </w:pPr>
      <w:r w:rsidRPr="00C5121E">
        <w:rPr>
          <w:lang w:eastAsia="ja-JP"/>
        </w:rPr>
        <w:t>The large amounts of clotting factors sometimes needed in trauma or surgery are considered to be a risk factor for the development of inhibitors; however, the risk of inhibitor development is considered much lower in Haemophilia B compared to Haemophilia A. The limited evidence available suggests h</w:t>
      </w:r>
      <w:r w:rsidRPr="00C5121E">
        <w:rPr>
          <w:rFonts w:cs="ArialMT"/>
          <w:lang w:eastAsia="en-AU"/>
        </w:rPr>
        <w:t>igh level inhibitor formation seems unlikely. Longer term follow-up is n</w:t>
      </w:r>
      <w:r w:rsidR="003A4516">
        <w:rPr>
          <w:rFonts w:cs="ArialMT"/>
          <w:lang w:eastAsia="en-AU"/>
        </w:rPr>
        <w:t>eeded to be absolutely certain.</w:t>
      </w:r>
    </w:p>
    <w:p w:rsidR="008E4712" w:rsidRPr="008E4712" w:rsidRDefault="008E4712" w:rsidP="003A4516">
      <w:pPr>
        <w:pStyle w:val="Numberbullet0"/>
      </w:pPr>
      <w:r w:rsidRPr="008E4712">
        <w:t>In what patient population is there a positive benefit-risk balance for this product?</w:t>
      </w:r>
    </w:p>
    <w:p w:rsidR="008E4712" w:rsidRPr="008E4712" w:rsidRDefault="008E4712" w:rsidP="003A4516">
      <w:r w:rsidRPr="008E4712">
        <w:t>The ACPM advised there was sufficient evidence to support a positive benefit-risk balance in the indications recommended here, namely:</w:t>
      </w:r>
    </w:p>
    <w:p w:rsidR="008E4712" w:rsidRPr="008E4712" w:rsidRDefault="008E4712" w:rsidP="003A4516">
      <w:pPr>
        <w:pStyle w:val="ListBullet"/>
      </w:pPr>
      <w:r w:rsidRPr="008E4712">
        <w:t>Routine prophylaxis of bleeding episodes in adults with haemophilia B.</w:t>
      </w:r>
    </w:p>
    <w:p w:rsidR="008E4712" w:rsidRPr="008E4712" w:rsidRDefault="008E4712" w:rsidP="003A4516">
      <w:pPr>
        <w:pStyle w:val="ListBullet"/>
      </w:pPr>
      <w:r w:rsidRPr="008E4712">
        <w:t xml:space="preserve">Treatment and prevention of bleeding episodes in adults with </w:t>
      </w:r>
      <w:r w:rsidRPr="003A4516">
        <w:t>haemophilia</w:t>
      </w:r>
      <w:r w:rsidRPr="008E4712">
        <w:t xml:space="preserve"> B (congenital factor IX deficiency).</w:t>
      </w:r>
    </w:p>
    <w:p w:rsidR="008E4712" w:rsidRPr="00C5121E" w:rsidRDefault="008E4712" w:rsidP="003A4516">
      <w:pPr>
        <w:pStyle w:val="Heading4"/>
        <w:rPr>
          <w:lang w:eastAsia="ja-JP"/>
        </w:rPr>
      </w:pPr>
      <w:r w:rsidRPr="00C5121E">
        <w:rPr>
          <w:lang w:eastAsia="ja-JP"/>
        </w:rPr>
        <w:t>Proposed conditions of registration:</w:t>
      </w:r>
    </w:p>
    <w:p w:rsidR="008E4712" w:rsidRPr="00C5121E" w:rsidRDefault="008E4712" w:rsidP="003A4516">
      <w:pPr>
        <w:rPr>
          <w:highlight w:val="yellow"/>
          <w:lang w:eastAsia="ja-JP"/>
        </w:rPr>
      </w:pPr>
      <w:r w:rsidRPr="00C5121E">
        <w:rPr>
          <w:rFonts w:cs="Calibri"/>
          <w:color w:val="000000"/>
          <w:lang w:eastAsia="ja-JP"/>
        </w:rPr>
        <w:t>T</w:t>
      </w:r>
      <w:r w:rsidRPr="00C5121E">
        <w:rPr>
          <w:lang w:eastAsia="ja-JP"/>
        </w:rPr>
        <w:t>he ACPM agreed with the delegate on the proposed conditions of registration and specifically advised on the inclusio</w:t>
      </w:r>
      <w:r w:rsidR="003A4516">
        <w:rPr>
          <w:lang w:eastAsia="ja-JP"/>
        </w:rPr>
        <w:t>n of the following:</w:t>
      </w:r>
    </w:p>
    <w:p w:rsidR="008E4712" w:rsidRPr="00411F1D" w:rsidRDefault="008E4712" w:rsidP="003A4516">
      <w:pPr>
        <w:pStyle w:val="ListBullet"/>
      </w:pPr>
      <w:r w:rsidRPr="00411F1D">
        <w:t xml:space="preserve">Subject to satisfactory implementation of the </w:t>
      </w:r>
      <w:r w:rsidRPr="003A4516">
        <w:t>Risk</w:t>
      </w:r>
      <w:r w:rsidRPr="00411F1D">
        <w:t xml:space="preserve"> Management Plan most </w:t>
      </w:r>
      <w:r w:rsidR="003A4516">
        <w:t>recently negotiated by the TGA,</w:t>
      </w:r>
    </w:p>
    <w:p w:rsidR="008E4712" w:rsidRPr="00411F1D" w:rsidRDefault="008E4712" w:rsidP="00411F1D">
      <w:pPr>
        <w:pStyle w:val="ListBullet"/>
      </w:pPr>
      <w:r w:rsidRPr="00411F1D">
        <w:t>Negotiation of Product Information and Consumer Medicines Information to the satisfaction of the TGA.</w:t>
      </w:r>
    </w:p>
    <w:p w:rsidR="008E4712" w:rsidRPr="00C5121E" w:rsidRDefault="008E4712" w:rsidP="003A4516">
      <w:pPr>
        <w:pStyle w:val="Heading4"/>
        <w:rPr>
          <w:u w:val="single"/>
          <w:lang w:eastAsia="ja-JP"/>
        </w:rPr>
      </w:pPr>
      <w:r w:rsidRPr="00C5121E">
        <w:rPr>
          <w:lang w:eastAsia="ja-JP"/>
        </w:rPr>
        <w:t>Proposed Product Information (PI)/Consumer Medicine Information (CMI) amendments:</w:t>
      </w:r>
    </w:p>
    <w:p w:rsidR="008E4712" w:rsidRPr="00C5121E" w:rsidRDefault="008E4712" w:rsidP="003A4516">
      <w:pPr>
        <w:rPr>
          <w:lang w:eastAsia="ja-JP"/>
        </w:rPr>
      </w:pPr>
      <w:r w:rsidRPr="00C5121E">
        <w:rPr>
          <w:lang w:eastAsia="ja-JP"/>
        </w:rPr>
        <w:t>The ACPM agreed with the delegate to the proposed amendments to the Product Information (PI) and Consumer Medicine Information (CMI).</w:t>
      </w:r>
    </w:p>
    <w:p w:rsidR="008E4712" w:rsidRPr="00C5121E" w:rsidRDefault="008E4712" w:rsidP="003A4516">
      <w:pPr>
        <w:rPr>
          <w:lang w:eastAsia="ja-JP"/>
        </w:rPr>
      </w:pPr>
      <w:r w:rsidRPr="00C5121E">
        <w:rPr>
          <w:lang w:eastAsia="ja-JP"/>
        </w:rPr>
        <w:t>The ACPM advised that the implementation by the sponsor of the recommendations outlined above to the satisfaction of the TGA, in addition to the evidence of efficacy and safety provided would support the safe and e</w:t>
      </w:r>
      <w:r w:rsidR="003A4516">
        <w:rPr>
          <w:lang w:eastAsia="ja-JP"/>
        </w:rPr>
        <w:t>ffective use of these products.</w:t>
      </w:r>
    </w:p>
    <w:p w:rsidR="008E7846" w:rsidRPr="001427FA" w:rsidRDefault="008E7846" w:rsidP="001427FA">
      <w:pPr>
        <w:pStyle w:val="Heading3"/>
      </w:pPr>
      <w:bookmarkStart w:id="367" w:name="_Toc247691532"/>
      <w:bookmarkStart w:id="368" w:name="_Toc314842516"/>
      <w:bookmarkStart w:id="369" w:name="_Toc387924303"/>
      <w:bookmarkEnd w:id="332"/>
      <w:bookmarkEnd w:id="364"/>
      <w:bookmarkEnd w:id="365"/>
      <w:r>
        <w:t>Outcome</w:t>
      </w:r>
      <w:bookmarkEnd w:id="367"/>
      <w:bookmarkEnd w:id="368"/>
      <w:bookmarkEnd w:id="369"/>
    </w:p>
    <w:p w:rsidR="00411F1D" w:rsidRDefault="008E7846" w:rsidP="001427FA">
      <w:r>
        <w:t xml:space="preserve">Based on a review of quality, safety and efficacy, TGA approved the registration of </w:t>
      </w:r>
      <w:r w:rsidR="00411F1D">
        <w:t>Rixubis</w:t>
      </w:r>
      <w:r>
        <w:t xml:space="preserve"> for </w:t>
      </w:r>
      <w:r w:rsidR="006D4AED">
        <w:t xml:space="preserve">lyophilised powder for intravenous injection vial, diluent vial and </w:t>
      </w:r>
      <w:proofErr w:type="spellStart"/>
      <w:r w:rsidR="006D4AED">
        <w:t>B</w:t>
      </w:r>
      <w:r w:rsidR="00D46B84">
        <w:t>axject</w:t>
      </w:r>
      <w:proofErr w:type="spellEnd"/>
      <w:r w:rsidR="006D4AED">
        <w:t xml:space="preserve"> II Transfer device containing </w:t>
      </w:r>
      <w:proofErr w:type="spellStart"/>
      <w:r w:rsidR="006D4AED">
        <w:t>nonacog</w:t>
      </w:r>
      <w:proofErr w:type="spellEnd"/>
      <w:r w:rsidR="006D4AED">
        <w:t xml:space="preserve"> gamma 250, 500, 1000, 2000 and 3000 IU, </w:t>
      </w:r>
      <w:r>
        <w:t>indicated for:</w:t>
      </w:r>
    </w:p>
    <w:p w:rsidR="006D4AED" w:rsidRPr="001427FA" w:rsidRDefault="006D4AED" w:rsidP="001427FA">
      <w:pPr>
        <w:ind w:left="720"/>
        <w:rPr>
          <w:i/>
        </w:rPr>
      </w:pPr>
      <w:r w:rsidRPr="001427FA">
        <w:rPr>
          <w:i/>
        </w:rPr>
        <w:t>Routine prophylaxis of bleeding episodes in adults with haemophilia B</w:t>
      </w:r>
    </w:p>
    <w:p w:rsidR="006D4AED" w:rsidRPr="001427FA" w:rsidRDefault="006D4AED" w:rsidP="001427FA">
      <w:pPr>
        <w:ind w:left="720"/>
        <w:rPr>
          <w:i/>
        </w:rPr>
      </w:pPr>
      <w:r w:rsidRPr="001427FA">
        <w:rPr>
          <w:i/>
        </w:rPr>
        <w:t>Treatment and prevention of bleeding episodes in adults with haemophilia B (congenital factor IX deficiency)</w:t>
      </w:r>
    </w:p>
    <w:p w:rsidR="008E7846" w:rsidRPr="001427FA" w:rsidRDefault="006D4AED" w:rsidP="001427FA">
      <w:pPr>
        <w:ind w:left="720"/>
        <w:rPr>
          <w:i/>
        </w:rPr>
      </w:pPr>
      <w:r w:rsidRPr="001427FA">
        <w:rPr>
          <w:i/>
        </w:rPr>
        <w:t>Peri-operative management in adults with haemophilia B</w:t>
      </w:r>
    </w:p>
    <w:p w:rsidR="006D4AED" w:rsidRDefault="006D4AED" w:rsidP="001427FA">
      <w:pPr>
        <w:pStyle w:val="Heading4"/>
      </w:pPr>
      <w:r>
        <w:t xml:space="preserve">Specific conditions of registration applying to these </w:t>
      </w:r>
      <w:r w:rsidRPr="001427FA">
        <w:t>goods</w:t>
      </w:r>
    </w:p>
    <w:p w:rsidR="006D4AED" w:rsidRDefault="006D4AED" w:rsidP="001427FA">
      <w:pPr>
        <w:pStyle w:val="ListBullet"/>
      </w:pPr>
      <w:r>
        <w:t xml:space="preserve">Implement the </w:t>
      </w:r>
      <w:proofErr w:type="spellStart"/>
      <w:r>
        <w:t>Rixibus</w:t>
      </w:r>
      <w:proofErr w:type="spellEnd"/>
      <w:r>
        <w:t xml:space="preserve"> RMP version 1.0, dated 26 </w:t>
      </w:r>
      <w:r w:rsidRPr="001427FA">
        <w:t>August</w:t>
      </w:r>
      <w:r>
        <w:t xml:space="preserve"> 2013, with Australian specific annex (version 1.0) and any future updates as a condition of registration.</w:t>
      </w:r>
    </w:p>
    <w:p w:rsidR="006D4AED" w:rsidRDefault="006D4AED" w:rsidP="001427FA">
      <w:pPr>
        <w:pStyle w:val="ListBullet"/>
      </w:pPr>
      <w:r>
        <w:lastRenderedPageBreak/>
        <w:t xml:space="preserve">It is a condition of registration that, as a minimum, the first five independent batches of </w:t>
      </w:r>
      <w:proofErr w:type="spellStart"/>
      <w:r>
        <w:t>Rixubis</w:t>
      </w:r>
      <w:proofErr w:type="spellEnd"/>
      <w:r>
        <w:t xml:space="preserve"> </w:t>
      </w:r>
      <w:proofErr w:type="spellStart"/>
      <w:r>
        <w:t>nonacog</w:t>
      </w:r>
      <w:proofErr w:type="spellEnd"/>
      <w:r>
        <w:t xml:space="preserve"> gamma 250 IU, 500 IU, 1000 IU, 2000 IU and 3000 IU imported into</w:t>
      </w:r>
      <w:r w:rsidR="00F44E99">
        <w:t xml:space="preserve"> </w:t>
      </w:r>
      <w:r>
        <w:t>Australia are not released for sale until samples and/or the manufacturer's release data have</w:t>
      </w:r>
      <w:r w:rsidR="00F44E99">
        <w:t xml:space="preserve"> </w:t>
      </w:r>
      <w:r>
        <w:t>been assessed and endorsed for release by the TGA Office of Laboratories and Scientific</w:t>
      </w:r>
      <w:r w:rsidR="00F44E99">
        <w:t xml:space="preserve"> </w:t>
      </w:r>
      <w:r>
        <w:t>Services (OLSS)</w:t>
      </w:r>
    </w:p>
    <w:p w:rsidR="008E7846" w:rsidRDefault="008E7846" w:rsidP="001427FA">
      <w:pPr>
        <w:pStyle w:val="Heading2"/>
      </w:pPr>
      <w:bookmarkStart w:id="370" w:name="_Toc247691533"/>
      <w:bookmarkStart w:id="371" w:name="_Toc314842517"/>
      <w:bookmarkStart w:id="372" w:name="_Toc387924304"/>
      <w:r>
        <w:t>Attachment 1</w:t>
      </w:r>
      <w:r w:rsidR="00D37FFE">
        <w:t>:</w:t>
      </w:r>
      <w:r>
        <w:t xml:space="preserve">.Product </w:t>
      </w:r>
      <w:r w:rsidR="00AA0ED0" w:rsidRPr="001427FA">
        <w:t>I</w:t>
      </w:r>
      <w:r w:rsidRPr="001427FA">
        <w:t>nformation</w:t>
      </w:r>
      <w:bookmarkEnd w:id="370"/>
      <w:bookmarkEnd w:id="371"/>
      <w:bookmarkEnd w:id="372"/>
    </w:p>
    <w:p w:rsidR="00C80137" w:rsidRDefault="00C80137" w:rsidP="001427FA">
      <w:pPr>
        <w:rPr>
          <w:color w:val="000000"/>
          <w:lang w:eastAsia="en-AU"/>
        </w:rPr>
      </w:pPr>
      <w:r w:rsidRPr="0037352E">
        <w:t xml:space="preserve">The Product Information approved at the time this </w:t>
      </w:r>
      <w:proofErr w:type="spellStart"/>
      <w:r w:rsidRPr="0037352E">
        <w:t>AusPAR</w:t>
      </w:r>
      <w:proofErr w:type="spellEnd"/>
      <w:r w:rsidRPr="0037352E">
        <w:t xml:space="preserve">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9" w:history="1">
        <w:r w:rsidR="00722B57" w:rsidRPr="00625A6E">
          <w:rPr>
            <w:rStyle w:val="Hyperlink"/>
          </w:rPr>
          <w:t>http://www.tga.gov.au/hp/information-medicines-pi.htm</w:t>
        </w:r>
      </w:hyperlink>
      <w:hyperlink w:history="1"/>
      <w:r w:rsidR="008F6943">
        <w:rPr>
          <w:color w:val="000000"/>
          <w:lang w:eastAsia="en-AU"/>
        </w:rPr>
        <w:t>&gt;.</w:t>
      </w:r>
    </w:p>
    <w:p w:rsidR="00291957" w:rsidRDefault="00C80137" w:rsidP="001427FA">
      <w:pPr>
        <w:pStyle w:val="Heading2"/>
        <w:rPr>
          <w:lang w:eastAsia="ja-JP"/>
        </w:rPr>
      </w:pPr>
      <w:bookmarkStart w:id="373" w:name="_Toc387924305"/>
      <w:r>
        <w:rPr>
          <w:lang w:eastAsia="en-AU"/>
        </w:rPr>
        <w:t>Attachment 2</w:t>
      </w:r>
      <w:r w:rsidR="00D37FFE">
        <w:rPr>
          <w:lang w:eastAsia="en-AU"/>
        </w:rPr>
        <w:t>:</w:t>
      </w:r>
      <w:r>
        <w:rPr>
          <w:lang w:eastAsia="en-AU"/>
        </w:rPr>
        <w:t xml:space="preserve">.Extract from the </w:t>
      </w:r>
      <w:r w:rsidRPr="001427FA">
        <w:t>Clinical</w:t>
      </w:r>
      <w:r>
        <w:rPr>
          <w:lang w:eastAsia="en-AU"/>
        </w:rPr>
        <w:t xml:space="preserve"> Evaluation Report</w:t>
      </w:r>
      <w:bookmarkEnd w:id="373"/>
    </w:p>
    <w:p w:rsidR="00C80137" w:rsidRPr="001D043B" w:rsidRDefault="00C80137" w:rsidP="003A7F6C">
      <w:pPr>
        <w:pStyle w:val="TableTitle"/>
        <w:sectPr w:rsidR="00C80137"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685261">
        <w:trPr>
          <w:trHeight w:hRule="exact" w:val="704"/>
        </w:trPr>
        <w:tc>
          <w:tcPr>
            <w:tcW w:w="9175" w:type="dxa"/>
          </w:tcPr>
          <w:p w:rsidR="001C32CD" w:rsidRPr="00487162" w:rsidRDefault="001C32CD" w:rsidP="00685261">
            <w:pPr>
              <w:pStyle w:val="TGASignoff"/>
            </w:pPr>
            <w:r w:rsidRPr="00487162">
              <w:lastRenderedPageBreak/>
              <w:t>Therapeutic Goods Administration</w:t>
            </w:r>
          </w:p>
        </w:tc>
      </w:tr>
      <w:tr w:rsidR="001C32CD" w:rsidRPr="004C239D" w:rsidTr="00685261">
        <w:trPr>
          <w:trHeight w:val="1221"/>
        </w:trPr>
        <w:tc>
          <w:tcPr>
            <w:tcW w:w="9175" w:type="dxa"/>
            <w:tcMar>
              <w:top w:w="28" w:type="dxa"/>
            </w:tcMar>
          </w:tcPr>
          <w:p w:rsidR="001C32CD" w:rsidRPr="00487162" w:rsidRDefault="001C32CD" w:rsidP="00685261">
            <w:pPr>
              <w:pStyle w:val="Address"/>
            </w:pPr>
            <w:r w:rsidRPr="00487162">
              <w:t>PO Box 100 Woden ACT 2606 Australia</w:t>
            </w:r>
          </w:p>
          <w:p w:rsidR="001C32CD" w:rsidRPr="00487162" w:rsidRDefault="001C32CD" w:rsidP="00685261">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7B0010" w:rsidP="00685261">
            <w:pPr>
              <w:pStyle w:val="Address"/>
              <w:spacing w:line="260" w:lineRule="atLeast"/>
              <w:rPr>
                <w:b/>
                <w:color w:val="0000FF"/>
                <w:u w:val="single"/>
              </w:rPr>
            </w:pPr>
            <w:hyperlink r:id="rId26"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D4" w:rsidRDefault="006A5FD4" w:rsidP="00C40A36">
      <w:pPr>
        <w:spacing w:after="0"/>
      </w:pPr>
      <w:r>
        <w:separator/>
      </w:r>
    </w:p>
  </w:endnote>
  <w:endnote w:type="continuationSeparator" w:id="0">
    <w:p w:rsidR="006A5FD4" w:rsidRDefault="006A5FD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A5FD4" w:rsidRPr="00487162" w:rsidTr="0053625B">
      <w:trPr>
        <w:trHeight w:val="269"/>
      </w:trPr>
      <w:tc>
        <w:tcPr>
          <w:tcW w:w="7938" w:type="dxa"/>
          <w:tcMar>
            <w:top w:w="142" w:type="dxa"/>
            <w:bottom w:w="0" w:type="dxa"/>
          </w:tcMar>
        </w:tcPr>
        <w:p w:rsidR="006A5FD4" w:rsidRDefault="006A5FD4" w:rsidP="00250D1A">
          <w:pPr>
            <w:pStyle w:val="Footer"/>
          </w:pPr>
          <w:proofErr w:type="spellStart"/>
          <w:r w:rsidRPr="00487162">
            <w:t>AusPAR</w:t>
          </w:r>
          <w:proofErr w:type="spellEnd"/>
          <w:r w:rsidRPr="00487162">
            <w:t xml:space="preserve"> </w:t>
          </w:r>
          <w:proofErr w:type="spellStart"/>
          <w:r>
            <w:t>nonacog</w:t>
          </w:r>
          <w:proofErr w:type="spellEnd"/>
          <w:r>
            <w:t xml:space="preserve"> gamma </w:t>
          </w:r>
          <w:proofErr w:type="spellStart"/>
          <w:r>
            <w:t>Rixubis</w:t>
          </w:r>
          <w:proofErr w:type="spellEnd"/>
          <w:r w:rsidRPr="00487162">
            <w:t xml:space="preserve"> </w:t>
          </w:r>
          <w:r>
            <w:t>Baxter Healthcare Pty Ltd</w:t>
          </w:r>
        </w:p>
        <w:p w:rsidR="006A5FD4" w:rsidRPr="00487162" w:rsidRDefault="006A5FD4" w:rsidP="00880589">
          <w:pPr>
            <w:pStyle w:val="Footer"/>
          </w:pPr>
          <w:r w:rsidRPr="00487162">
            <w:t>PM-20</w:t>
          </w:r>
          <w:r>
            <w:t>12</w:t>
          </w:r>
          <w:r w:rsidRPr="00487162">
            <w:t>-</w:t>
          </w:r>
          <w:r>
            <w:t>03758</w:t>
          </w:r>
          <w:r w:rsidRPr="00487162">
            <w:t>-</w:t>
          </w:r>
          <w:r>
            <w:t>1</w:t>
          </w:r>
          <w:r w:rsidRPr="00487162">
            <w:t>-</w:t>
          </w:r>
          <w:r>
            <w:t>4 Final 14 April 2014</w:t>
          </w:r>
        </w:p>
      </w:tc>
      <w:tc>
        <w:tcPr>
          <w:tcW w:w="923" w:type="dxa"/>
          <w:tcMar>
            <w:top w:w="142" w:type="dxa"/>
            <w:bottom w:w="0" w:type="dxa"/>
          </w:tcMar>
        </w:tcPr>
        <w:p w:rsidR="006A5FD4" w:rsidRPr="00487162" w:rsidRDefault="006A5FD4" w:rsidP="00D855D4">
          <w:pPr>
            <w:pStyle w:val="Footer"/>
            <w:jc w:val="right"/>
          </w:pPr>
          <w:r w:rsidRPr="00487162">
            <w:t xml:space="preserve">Page </w:t>
          </w:r>
          <w:r>
            <w:t>2</w:t>
          </w:r>
          <w:r w:rsidRPr="00487162">
            <w:t xml:space="preserve"> of </w:t>
          </w:r>
          <w:r w:rsidR="007B0010">
            <w:fldChar w:fldCharType="begin"/>
          </w:r>
          <w:r w:rsidR="007B0010">
            <w:instrText xml:space="preserve"> NUMPAGES  \* Arabic </w:instrText>
          </w:r>
          <w:r w:rsidR="007B0010">
            <w:fldChar w:fldCharType="separate"/>
          </w:r>
          <w:r w:rsidR="007B0010">
            <w:rPr>
              <w:noProof/>
            </w:rPr>
            <w:t>4</w:t>
          </w:r>
          <w:r w:rsidR="007B0010">
            <w:rPr>
              <w:noProof/>
            </w:rPr>
            <w:fldChar w:fldCharType="end"/>
          </w:r>
        </w:p>
      </w:tc>
    </w:tr>
  </w:tbl>
  <w:p w:rsidR="006A5FD4" w:rsidRDefault="006A5FD4"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088"/>
      <w:gridCol w:w="1773"/>
    </w:tblGrid>
    <w:tr w:rsidR="006A5FD4" w:rsidRPr="00487162" w:rsidTr="00B17735">
      <w:trPr>
        <w:trHeight w:val="269"/>
      </w:trPr>
      <w:tc>
        <w:tcPr>
          <w:tcW w:w="7088" w:type="dxa"/>
          <w:tcMar>
            <w:top w:w="142" w:type="dxa"/>
            <w:bottom w:w="0" w:type="dxa"/>
          </w:tcMar>
        </w:tcPr>
        <w:p w:rsidR="006A5FD4" w:rsidRDefault="006A5FD4" w:rsidP="00B17735">
          <w:pPr>
            <w:pStyle w:val="Footer"/>
          </w:pPr>
          <w:proofErr w:type="spellStart"/>
          <w:r w:rsidRPr="00487162">
            <w:t>AusPAR</w:t>
          </w:r>
          <w:proofErr w:type="spellEnd"/>
          <w:r w:rsidRPr="00487162">
            <w:t xml:space="preserve"> </w:t>
          </w:r>
          <w:proofErr w:type="spellStart"/>
          <w:r>
            <w:t>nonacog</w:t>
          </w:r>
          <w:proofErr w:type="spellEnd"/>
          <w:r>
            <w:t xml:space="preserve"> gamma </w:t>
          </w:r>
          <w:proofErr w:type="spellStart"/>
          <w:r>
            <w:t>Rixubis</w:t>
          </w:r>
          <w:proofErr w:type="spellEnd"/>
          <w:r w:rsidRPr="00487162">
            <w:t xml:space="preserve"> </w:t>
          </w:r>
          <w:r>
            <w:t>Baxter Healthcare Pty Ltd</w:t>
          </w:r>
        </w:p>
        <w:p w:rsidR="006A5FD4" w:rsidRPr="00487162" w:rsidRDefault="006A5FD4" w:rsidP="00B17735">
          <w:pPr>
            <w:pStyle w:val="Footer"/>
          </w:pPr>
          <w:r w:rsidRPr="00487162">
            <w:t>PM-20</w:t>
          </w:r>
          <w:r>
            <w:t>12</w:t>
          </w:r>
          <w:r w:rsidRPr="00487162">
            <w:t>-</w:t>
          </w:r>
          <w:r>
            <w:t>03758</w:t>
          </w:r>
          <w:r w:rsidRPr="00487162">
            <w:t>-</w:t>
          </w:r>
          <w:r>
            <w:t>1</w:t>
          </w:r>
          <w:r w:rsidRPr="00487162">
            <w:t>-</w:t>
          </w:r>
          <w:r>
            <w:t>4 Final 14 April 2014</w:t>
          </w:r>
        </w:p>
      </w:tc>
      <w:tc>
        <w:tcPr>
          <w:tcW w:w="1773" w:type="dxa"/>
          <w:tcMar>
            <w:top w:w="142" w:type="dxa"/>
            <w:bottom w:w="0" w:type="dxa"/>
          </w:tcMar>
        </w:tcPr>
        <w:p w:rsidR="006A5FD4" w:rsidRPr="00487162" w:rsidRDefault="006A5FD4" w:rsidP="00B17735">
          <w:pPr>
            <w:pStyle w:val="Footer"/>
            <w:jc w:val="right"/>
          </w:pPr>
          <w:r w:rsidRPr="00487162">
            <w:t xml:space="preserve">Page </w:t>
          </w:r>
          <w:r>
            <w:fldChar w:fldCharType="begin"/>
          </w:r>
          <w:r>
            <w:instrText>PAGE</w:instrText>
          </w:r>
          <w:r>
            <w:fldChar w:fldCharType="separate"/>
          </w:r>
          <w:r w:rsidR="007B0010">
            <w:rPr>
              <w:noProof/>
            </w:rPr>
            <w:t>60</w:t>
          </w:r>
          <w:r>
            <w:rPr>
              <w:noProof/>
            </w:rPr>
            <w:fldChar w:fldCharType="end"/>
          </w:r>
          <w:r w:rsidRPr="00487162">
            <w:t xml:space="preserve"> of </w:t>
          </w:r>
          <w:r w:rsidR="007B0010">
            <w:fldChar w:fldCharType="begin"/>
          </w:r>
          <w:r w:rsidR="007B0010">
            <w:instrText xml:space="preserve"> NUMPAGES  \* Arabic </w:instrText>
          </w:r>
          <w:r w:rsidR="007B0010">
            <w:fldChar w:fldCharType="separate"/>
          </w:r>
          <w:r w:rsidR="007B0010">
            <w:rPr>
              <w:noProof/>
            </w:rPr>
            <w:t>60</w:t>
          </w:r>
          <w:r w:rsidR="007B0010">
            <w:rPr>
              <w:noProof/>
            </w:rPr>
            <w:fldChar w:fldCharType="end"/>
          </w:r>
        </w:p>
      </w:tc>
    </w:tr>
  </w:tbl>
  <w:p w:rsidR="006A5FD4" w:rsidRDefault="006A5FD4"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A5FD4" w:rsidRPr="00487162" w:rsidTr="00E45619">
      <w:trPr>
        <w:trHeight w:val="269"/>
      </w:trPr>
      <w:tc>
        <w:tcPr>
          <w:tcW w:w="4519" w:type="dxa"/>
          <w:tcBorders>
            <w:top w:val="single" w:sz="4" w:space="0" w:color="auto"/>
          </w:tcBorders>
          <w:tcMar>
            <w:top w:w="142" w:type="dxa"/>
            <w:bottom w:w="0" w:type="dxa"/>
          </w:tcMar>
        </w:tcPr>
        <w:p w:rsidR="006A5FD4" w:rsidRPr="00487162" w:rsidRDefault="006A5FD4" w:rsidP="00FE1DEE">
          <w:pPr>
            <w:pStyle w:val="Footer"/>
          </w:pPr>
          <w:r w:rsidRPr="00487162">
            <w:t>Document title, Part #, Section # - Section title</w:t>
          </w:r>
        </w:p>
        <w:p w:rsidR="006A5FD4" w:rsidRPr="00487162" w:rsidRDefault="006A5FD4" w:rsidP="00FE1DEE">
          <w:pPr>
            <w:pStyle w:val="Footer"/>
          </w:pPr>
          <w:r w:rsidRPr="00487162">
            <w:t>V1.0 October 2010</w:t>
          </w:r>
        </w:p>
      </w:tc>
      <w:tc>
        <w:tcPr>
          <w:tcW w:w="4342" w:type="dxa"/>
          <w:tcBorders>
            <w:top w:val="single" w:sz="4" w:space="0" w:color="auto"/>
          </w:tcBorders>
          <w:tcMar>
            <w:top w:w="142" w:type="dxa"/>
            <w:bottom w:w="0" w:type="dxa"/>
          </w:tcMar>
        </w:tcPr>
        <w:p w:rsidR="006A5FD4" w:rsidRPr="00487162" w:rsidRDefault="006A5FD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7B0010">
            <w:fldChar w:fldCharType="begin"/>
          </w:r>
          <w:r w:rsidR="007B0010">
            <w:instrText xml:space="preserve"> NUMPAGES  </w:instrText>
          </w:r>
          <w:r w:rsidR="007B0010">
            <w:fldChar w:fldCharType="separate"/>
          </w:r>
          <w:r>
            <w:rPr>
              <w:noProof/>
            </w:rPr>
            <w:t>59</w:t>
          </w:r>
          <w:r w:rsidR="007B0010">
            <w:rPr>
              <w:noProof/>
            </w:rPr>
            <w:fldChar w:fldCharType="end"/>
          </w:r>
        </w:p>
      </w:tc>
    </w:tr>
  </w:tbl>
  <w:p w:rsidR="006A5FD4" w:rsidRDefault="006A5F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Pr="001C32CD" w:rsidRDefault="006A5FD4" w:rsidP="001C32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A5FD4" w:rsidTr="0010601F">
      <w:trPr>
        <w:trHeight w:val="108"/>
      </w:trPr>
      <w:tc>
        <w:tcPr>
          <w:tcW w:w="8875" w:type="dxa"/>
          <w:gridSpan w:val="2"/>
          <w:tcBorders>
            <w:bottom w:val="single" w:sz="4" w:space="0" w:color="auto"/>
          </w:tcBorders>
          <w:tcMar>
            <w:right w:w="284" w:type="dxa"/>
          </w:tcMar>
        </w:tcPr>
        <w:p w:rsidR="006A5FD4" w:rsidRDefault="006A5FD4" w:rsidP="006E08B3">
          <w:pPr>
            <w:pStyle w:val="Heading3"/>
          </w:pPr>
          <w:r>
            <w:t>Copyright</w:t>
          </w:r>
        </w:p>
        <w:p w:rsidR="006A5FD4" w:rsidRDefault="006A5FD4" w:rsidP="006E08B3">
          <w:r>
            <w:rPr>
              <w:rFonts w:cs="Arial"/>
            </w:rPr>
            <w:t>©</w:t>
          </w:r>
          <w:r>
            <w:t xml:space="preserve"> Commonwealth of Australia [add year]</w:t>
          </w:r>
        </w:p>
        <w:p w:rsidR="006A5FD4" w:rsidRDefault="006A5FD4" w:rsidP="006E08B3"/>
        <w:p w:rsidR="006A5FD4" w:rsidRDefault="006A5FD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A5FD4" w:rsidRDefault="006A5FD4" w:rsidP="006E08B3"/>
        <w:p w:rsidR="006A5FD4" w:rsidRDefault="006A5FD4" w:rsidP="006E08B3">
          <w:pPr>
            <w:pStyle w:val="Heading3"/>
          </w:pPr>
          <w:r>
            <w:t>Confidentiality</w:t>
          </w:r>
        </w:p>
        <w:p w:rsidR="006A5FD4" w:rsidRDefault="006A5FD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A5FD4" w:rsidRDefault="006A5FD4" w:rsidP="006E08B3"/>
        <w:p w:rsidR="006A5FD4" w:rsidRDefault="006A5FD4" w:rsidP="006E08B3">
          <w:r>
            <w:t>For submission made by individuals, all personal details, other than your name, will be removed from your submission before it is published on the TGA’s Internet site.</w:t>
          </w:r>
        </w:p>
        <w:p w:rsidR="006A5FD4" w:rsidRDefault="006A5FD4" w:rsidP="006E08B3"/>
        <w:p w:rsidR="006A5FD4" w:rsidRDefault="006A5FD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A5FD4" w:rsidTr="0010601F">
      <w:trPr>
        <w:trHeight w:val="417"/>
      </w:trPr>
      <w:tc>
        <w:tcPr>
          <w:tcW w:w="4519" w:type="dxa"/>
          <w:tcBorders>
            <w:top w:val="single" w:sz="4" w:space="0" w:color="auto"/>
          </w:tcBorders>
          <w:tcMar>
            <w:top w:w="142" w:type="dxa"/>
            <w:bottom w:w="0" w:type="dxa"/>
          </w:tcMar>
        </w:tcPr>
        <w:p w:rsidR="006A5FD4" w:rsidRDefault="006A5FD4" w:rsidP="006E08B3">
          <w:r>
            <w:t>Document title, Part #, Section # - Section title</w:t>
          </w:r>
        </w:p>
        <w:p w:rsidR="006A5FD4" w:rsidRDefault="006A5FD4" w:rsidP="006E08B3">
          <w:r>
            <w:t>V1.0 October 2010</w:t>
          </w:r>
        </w:p>
      </w:tc>
      <w:tc>
        <w:tcPr>
          <w:tcW w:w="4356" w:type="dxa"/>
          <w:tcBorders>
            <w:top w:val="single" w:sz="4" w:space="0" w:color="auto"/>
          </w:tcBorders>
          <w:tcMar>
            <w:top w:w="142" w:type="dxa"/>
            <w:bottom w:w="0" w:type="dxa"/>
          </w:tcMar>
        </w:tcPr>
        <w:p w:rsidR="006A5FD4" w:rsidRDefault="006A5FD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7B0010">
            <w:fldChar w:fldCharType="begin"/>
          </w:r>
          <w:r w:rsidR="007B0010">
            <w:instrText xml:space="preserve"> NUMPAGES  \* Arabic </w:instrText>
          </w:r>
          <w:r w:rsidR="007B0010">
            <w:fldChar w:fldCharType="separate"/>
          </w:r>
          <w:r>
            <w:rPr>
              <w:noProof/>
            </w:rPr>
            <w:t>59</w:t>
          </w:r>
          <w:r w:rsidR="007B0010">
            <w:rPr>
              <w:noProof/>
            </w:rPr>
            <w:fldChar w:fldCharType="end"/>
          </w:r>
          <w:r>
            <w:t xml:space="preserve">  </w:t>
          </w:r>
        </w:p>
      </w:tc>
    </w:tr>
  </w:tbl>
  <w:p w:rsidR="006A5FD4" w:rsidRDefault="006A5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D4" w:rsidRDefault="006A5FD4" w:rsidP="00C40A36">
      <w:pPr>
        <w:spacing w:after="0"/>
      </w:pPr>
      <w:r>
        <w:separator/>
      </w:r>
    </w:p>
  </w:footnote>
  <w:footnote w:type="continuationSeparator" w:id="0">
    <w:p w:rsidR="006A5FD4" w:rsidRDefault="006A5FD4" w:rsidP="00C40A36">
      <w:pPr>
        <w:spacing w:after="0"/>
      </w:pPr>
      <w:r>
        <w:continuationSeparator/>
      </w:r>
    </w:p>
  </w:footnote>
  <w:footnote w:id="1">
    <w:p w:rsidR="006A5FD4" w:rsidRDefault="006A5FD4" w:rsidP="00064889">
      <w:pPr>
        <w:pStyle w:val="FootnoteText"/>
      </w:pPr>
      <w:r>
        <w:rPr>
          <w:rStyle w:val="FootnoteReference"/>
        </w:rPr>
        <w:footnoteRef/>
      </w:r>
      <w:r>
        <w:t xml:space="preserve"> </w:t>
      </w:r>
      <w:proofErr w:type="spellStart"/>
      <w:r>
        <w:t>Ghaderi</w:t>
      </w:r>
      <w:proofErr w:type="spellEnd"/>
      <w:r>
        <w:t xml:space="preserve"> D et al 2010. </w:t>
      </w:r>
      <w:proofErr w:type="gramStart"/>
      <w:r>
        <w:t xml:space="preserve">Implications of </w:t>
      </w:r>
      <w:r w:rsidRPr="00064889">
        <w:t>the</w:t>
      </w:r>
      <w:r>
        <w:t xml:space="preserve"> presence of N-</w:t>
      </w:r>
      <w:proofErr w:type="spellStart"/>
      <w:r>
        <w:t>glycolylneuraminic</w:t>
      </w:r>
      <w:proofErr w:type="spellEnd"/>
      <w:r>
        <w:t xml:space="preserve"> acid in recombinant therapeutic glycoproteins.</w:t>
      </w:r>
      <w:proofErr w:type="gramEnd"/>
      <w:r>
        <w:t xml:space="preserve"> Nature Biotechnology 28(8):863-7</w:t>
      </w:r>
    </w:p>
  </w:footnote>
  <w:footnote w:id="2">
    <w:p w:rsidR="006A5FD4" w:rsidRDefault="006A5FD4" w:rsidP="00064889">
      <w:pPr>
        <w:pStyle w:val="FootnoteText"/>
      </w:pPr>
      <w:r>
        <w:rPr>
          <w:rStyle w:val="FootnoteReference"/>
        </w:rPr>
        <w:footnoteRef/>
      </w:r>
      <w:r>
        <w:t xml:space="preserve"> Noguchi, </w:t>
      </w:r>
      <w:proofErr w:type="gramStart"/>
      <w:r>
        <w:t>A</w:t>
      </w:r>
      <w:proofErr w:type="gramEnd"/>
      <w:r>
        <w:t xml:space="preserve"> et al. 1996. </w:t>
      </w:r>
      <w:proofErr w:type="gramStart"/>
      <w:r w:rsidRPr="000E41C0">
        <w:t xml:space="preserve">Failure of human </w:t>
      </w:r>
      <w:proofErr w:type="spellStart"/>
      <w:r w:rsidRPr="000E41C0">
        <w:t>immunoresponse</w:t>
      </w:r>
      <w:proofErr w:type="spellEnd"/>
      <w:r w:rsidRPr="000E41C0">
        <w:t xml:space="preserve"> to N-</w:t>
      </w:r>
      <w:proofErr w:type="spellStart"/>
      <w:r w:rsidRPr="000E41C0">
        <w:t>glycolylneuraminic</w:t>
      </w:r>
      <w:proofErr w:type="spellEnd"/>
      <w:r w:rsidRPr="000E41C0">
        <w:t xml:space="preserve"> acid epitope contained in recombinant human erythropoietin</w:t>
      </w:r>
      <w:r>
        <w:t>.</w:t>
      </w:r>
      <w:proofErr w:type="gramEnd"/>
      <w:r>
        <w:t xml:space="preserve"> Nephron; 72(4):599-603</w:t>
      </w:r>
    </w:p>
  </w:footnote>
  <w:footnote w:id="3">
    <w:p w:rsidR="006A5FD4" w:rsidRDefault="006A5FD4" w:rsidP="006A5FD4">
      <w:pPr>
        <w:pStyle w:val="FootnoteText"/>
      </w:pPr>
      <w:r>
        <w:rPr>
          <w:rStyle w:val="FootnoteReference"/>
        </w:rPr>
        <w:footnoteRef/>
      </w:r>
      <w:r>
        <w:t xml:space="preserve"> </w:t>
      </w:r>
      <w:proofErr w:type="spellStart"/>
      <w:r w:rsidRPr="00610315">
        <w:t>Hardwidge</w:t>
      </w:r>
      <w:proofErr w:type="spellEnd"/>
      <w:r w:rsidRPr="00610315">
        <w:t xml:space="preserve">, E.A. et al. 1984. </w:t>
      </w:r>
      <w:proofErr w:type="gramStart"/>
      <w:r w:rsidRPr="00610315">
        <w:t>Validation of Filtration Processes Used for Sterilization of Liquids.</w:t>
      </w:r>
      <w:proofErr w:type="gramEnd"/>
      <w:r w:rsidRPr="00610315">
        <w:t xml:space="preserve"> </w:t>
      </w:r>
      <w:proofErr w:type="gramStart"/>
      <w:r w:rsidRPr="00610315">
        <w:t>Journal of P</w:t>
      </w:r>
      <w:r>
        <w:t xml:space="preserve">harmaceutical </w:t>
      </w:r>
      <w:r w:rsidRPr="00610315">
        <w:t>Science and Technology.</w:t>
      </w:r>
      <w:proofErr w:type="gramEnd"/>
      <w:r w:rsidRPr="00610315">
        <w:t xml:space="preserve"> Vol. 38, No. 1</w:t>
      </w:r>
      <w:r>
        <w:t>:37-43</w:t>
      </w:r>
    </w:p>
  </w:footnote>
  <w:footnote w:id="4">
    <w:p w:rsidR="006A5FD4" w:rsidRDefault="006A5FD4" w:rsidP="00304513">
      <w:pPr>
        <w:pStyle w:val="FootnoteText"/>
      </w:pPr>
      <w:r>
        <w:rPr>
          <w:rStyle w:val="FootnoteReference"/>
        </w:rPr>
        <w:footnoteRef/>
      </w:r>
      <w:r>
        <w:t xml:space="preserve"> </w:t>
      </w:r>
      <w:proofErr w:type="spellStart"/>
      <w:proofErr w:type="gramStart"/>
      <w:r w:rsidRPr="00562A4D">
        <w:t>Kingdon</w:t>
      </w:r>
      <w:proofErr w:type="spellEnd"/>
      <w:r w:rsidRPr="00562A4D">
        <w:t xml:space="preserve"> et al. </w:t>
      </w:r>
      <w:r>
        <w:t>1975.</w:t>
      </w:r>
      <w:proofErr w:type="gramEnd"/>
      <w:r>
        <w:t xml:space="preserve"> </w:t>
      </w:r>
      <w:proofErr w:type="spellStart"/>
      <w:proofErr w:type="gramStart"/>
      <w:r>
        <w:t>T</w:t>
      </w:r>
      <w:r w:rsidRPr="00562A4D">
        <w:t>hrombos</w:t>
      </w:r>
      <w:proofErr w:type="spellEnd"/>
      <w:r w:rsidRPr="00562A4D">
        <w:t>.</w:t>
      </w:r>
      <w:proofErr w:type="gramEnd"/>
      <w:r w:rsidRPr="00562A4D">
        <w:t xml:space="preserve"> </w:t>
      </w:r>
      <w:proofErr w:type="spellStart"/>
      <w:proofErr w:type="gramStart"/>
      <w:r w:rsidRPr="00562A4D">
        <w:t>Diathes</w:t>
      </w:r>
      <w:proofErr w:type="spellEnd"/>
      <w:r w:rsidRPr="00562A4D">
        <w:t>.</w:t>
      </w:r>
      <w:proofErr w:type="gramEnd"/>
      <w:r w:rsidRPr="00562A4D">
        <w:t xml:space="preserve"> </w:t>
      </w:r>
      <w:proofErr w:type="spellStart"/>
      <w:proofErr w:type="gramStart"/>
      <w:r w:rsidRPr="00304513">
        <w:t>Haemorrh</w:t>
      </w:r>
      <w:proofErr w:type="spellEnd"/>
      <w:r w:rsidRPr="00562A4D">
        <w:t>.</w:t>
      </w:r>
      <w:proofErr w:type="gramEnd"/>
      <w:r w:rsidRPr="00562A4D">
        <w:t xml:space="preserve"> </w:t>
      </w:r>
      <w:proofErr w:type="gramStart"/>
      <w:r w:rsidRPr="00562A4D">
        <w:t>(</w:t>
      </w:r>
      <w:proofErr w:type="spellStart"/>
      <w:r w:rsidRPr="00562A4D">
        <w:t>Stuttg</w:t>
      </w:r>
      <w:proofErr w:type="spellEnd"/>
      <w:r w:rsidRPr="00562A4D">
        <w:t>.)</w:t>
      </w:r>
      <w:proofErr w:type="gramEnd"/>
      <w:r w:rsidRPr="00562A4D">
        <w:t xml:space="preserve"> 33:617-631</w:t>
      </w:r>
    </w:p>
  </w:footnote>
  <w:footnote w:id="5">
    <w:p w:rsidR="006A5FD4" w:rsidRPr="00B26EE3" w:rsidRDefault="006A5FD4" w:rsidP="00B26EE3">
      <w:pPr>
        <w:pStyle w:val="FootnoteText"/>
      </w:pPr>
      <w:r>
        <w:rPr>
          <w:rStyle w:val="FootnoteReference"/>
        </w:rPr>
        <w:footnoteRef/>
      </w:r>
      <w:r>
        <w:t xml:space="preserve"> </w:t>
      </w:r>
      <w:proofErr w:type="spellStart"/>
      <w:proofErr w:type="gramStart"/>
      <w:r>
        <w:t>DiMichele</w:t>
      </w:r>
      <w:proofErr w:type="spellEnd"/>
      <w:r>
        <w:t xml:space="preserve"> D. 2007.</w:t>
      </w:r>
      <w:proofErr w:type="gramEnd"/>
      <w:r>
        <w:t xml:space="preserve"> Inhibitor development in haemophilia B: an orphan disease in need of attention. B</w:t>
      </w:r>
      <w:r w:rsidRPr="00717B5C">
        <w:t>ritish Journal of Haematology, 138, 305–315</w:t>
      </w:r>
    </w:p>
  </w:footnote>
  <w:footnote w:id="6">
    <w:p w:rsidR="006A5FD4" w:rsidRDefault="006A5FD4" w:rsidP="004332E1">
      <w:pPr>
        <w:pStyle w:val="FootnoteText"/>
      </w:pPr>
      <w:r>
        <w:rPr>
          <w:rStyle w:val="FootnoteReference"/>
        </w:rPr>
        <w:footnoteRef/>
      </w:r>
      <w:r>
        <w:t xml:space="preserve"> Chou MY, </w:t>
      </w:r>
      <w:proofErr w:type="spellStart"/>
      <w:r>
        <w:t>Fogelstrand</w:t>
      </w:r>
      <w:proofErr w:type="spellEnd"/>
      <w:r>
        <w:t xml:space="preserve"> L, </w:t>
      </w:r>
      <w:proofErr w:type="spellStart"/>
      <w:r>
        <w:t>Hartvigsen</w:t>
      </w:r>
      <w:proofErr w:type="spellEnd"/>
      <w:r>
        <w:t xml:space="preserve"> K, Hansen LF, </w:t>
      </w:r>
      <w:proofErr w:type="spellStart"/>
      <w:r>
        <w:t>Woelkers</w:t>
      </w:r>
      <w:proofErr w:type="spellEnd"/>
      <w:r>
        <w:t xml:space="preserve"> D, Shaw PX, Choi J, </w:t>
      </w:r>
      <w:proofErr w:type="spellStart"/>
      <w:r>
        <w:t>Perkmann</w:t>
      </w:r>
      <w:proofErr w:type="spellEnd"/>
      <w:r>
        <w:t xml:space="preserve"> T, </w:t>
      </w:r>
      <w:proofErr w:type="spellStart"/>
      <w:r>
        <w:t>Bäckhed</w:t>
      </w:r>
      <w:proofErr w:type="spellEnd"/>
      <w:r>
        <w:t xml:space="preserve"> F, Miller YI, </w:t>
      </w:r>
      <w:proofErr w:type="spellStart"/>
      <w:r>
        <w:t>Hörkkö</w:t>
      </w:r>
      <w:proofErr w:type="spellEnd"/>
      <w:r>
        <w:t xml:space="preserve"> S, </w:t>
      </w:r>
      <w:proofErr w:type="spellStart"/>
      <w:r>
        <w:t>Corr</w:t>
      </w:r>
      <w:proofErr w:type="spellEnd"/>
      <w:r>
        <w:t xml:space="preserve"> M, </w:t>
      </w:r>
      <w:proofErr w:type="spellStart"/>
      <w:r>
        <w:t>Witztum</w:t>
      </w:r>
      <w:proofErr w:type="spellEnd"/>
      <w:r>
        <w:t xml:space="preserve"> JL, Binder CJ. 2009. Oxidation-specific epitopes are dominant targets of innate natural antibodies in mice and humans. J </w:t>
      </w:r>
      <w:proofErr w:type="spellStart"/>
      <w:r>
        <w:t>Clin</w:t>
      </w:r>
      <w:proofErr w:type="spellEnd"/>
      <w:r>
        <w:t xml:space="preserve"> Invest.119:1335-1349</w:t>
      </w:r>
    </w:p>
  </w:footnote>
  <w:footnote w:id="7">
    <w:p w:rsidR="006A5FD4" w:rsidRPr="004332E1" w:rsidRDefault="006A5FD4" w:rsidP="004332E1">
      <w:pPr>
        <w:pStyle w:val="FootnoteText"/>
      </w:pPr>
      <w:r>
        <w:rPr>
          <w:rStyle w:val="FootnoteReference"/>
        </w:rPr>
        <w:footnoteRef/>
      </w:r>
      <w:r>
        <w:t xml:space="preserve"> </w:t>
      </w:r>
      <w:proofErr w:type="spellStart"/>
      <w:r>
        <w:t>Elluru</w:t>
      </w:r>
      <w:proofErr w:type="spellEnd"/>
      <w:r>
        <w:t xml:space="preserve"> SR, </w:t>
      </w:r>
      <w:proofErr w:type="spellStart"/>
      <w:r>
        <w:t>Vani</w:t>
      </w:r>
      <w:proofErr w:type="spellEnd"/>
      <w:r>
        <w:t xml:space="preserve"> J, </w:t>
      </w:r>
      <w:proofErr w:type="spellStart"/>
      <w:r>
        <w:t>Delignat</w:t>
      </w:r>
      <w:proofErr w:type="spellEnd"/>
      <w:r>
        <w:t xml:space="preserve"> S, Bloch MF, </w:t>
      </w:r>
      <w:proofErr w:type="spellStart"/>
      <w:r>
        <w:t>Lacroix-Desmazes</w:t>
      </w:r>
      <w:proofErr w:type="spellEnd"/>
      <w:r>
        <w:t xml:space="preserve"> S, </w:t>
      </w:r>
      <w:proofErr w:type="spellStart"/>
      <w:r>
        <w:t>Kazatchkine</w:t>
      </w:r>
      <w:proofErr w:type="spellEnd"/>
      <w:r>
        <w:t xml:space="preserve"> </w:t>
      </w:r>
      <w:r w:rsidRPr="004332E1">
        <w:t>MD</w:t>
      </w:r>
      <w:r>
        <w:t xml:space="preserve">, </w:t>
      </w:r>
      <w:proofErr w:type="spellStart"/>
      <w:r>
        <w:t>Kaveri</w:t>
      </w:r>
      <w:proofErr w:type="spellEnd"/>
      <w:r>
        <w:t xml:space="preserve"> SV, </w:t>
      </w:r>
      <w:proofErr w:type="spellStart"/>
      <w:r>
        <w:t>Bayry</w:t>
      </w:r>
      <w:proofErr w:type="spellEnd"/>
      <w:r>
        <w:t xml:space="preserve"> J. 2008. </w:t>
      </w:r>
      <w:proofErr w:type="gramStart"/>
      <w:r>
        <w:t xml:space="preserve">Modulation of human dendritic cell maturation and function by natural </w:t>
      </w:r>
      <w:proofErr w:type="spellStart"/>
      <w:r>
        <w:t>IgG</w:t>
      </w:r>
      <w:proofErr w:type="spellEnd"/>
      <w:r>
        <w:t xml:space="preserve"> antibodies.</w:t>
      </w:r>
      <w:proofErr w:type="gramEnd"/>
      <w:r>
        <w:t xml:space="preserve"> </w:t>
      </w:r>
      <w:proofErr w:type="spellStart"/>
      <w:r>
        <w:t>Autoimmun</w:t>
      </w:r>
      <w:proofErr w:type="spellEnd"/>
      <w:r>
        <w:t xml:space="preserve"> Rev. 7:487-490</w:t>
      </w:r>
    </w:p>
  </w:footnote>
  <w:footnote w:id="8">
    <w:p w:rsidR="006A5FD4" w:rsidRDefault="006A5FD4">
      <w:pPr>
        <w:pStyle w:val="FootnoteText"/>
      </w:pPr>
      <w:r>
        <w:rPr>
          <w:rStyle w:val="FootnoteReference"/>
        </w:rPr>
        <w:footnoteRef/>
      </w:r>
      <w:r>
        <w:t xml:space="preserve"> </w:t>
      </w:r>
      <w:r w:rsidRPr="00D37FFE">
        <w:t xml:space="preserve">Australian </w:t>
      </w:r>
      <w:proofErr w:type="spellStart"/>
      <w:r w:rsidRPr="00D37FFE">
        <w:t>BeneFIX</w:t>
      </w:r>
      <w:proofErr w:type="spellEnd"/>
      <w:r w:rsidRPr="00D37FFE">
        <w:t xml:space="preserve"> PI (15 Aug 2013)</w:t>
      </w:r>
    </w:p>
  </w:footnote>
  <w:footnote w:id="9">
    <w:p w:rsidR="006A5FD4" w:rsidRDefault="006A5FD4" w:rsidP="004332E1">
      <w:pPr>
        <w:pStyle w:val="FootnoteText"/>
      </w:pPr>
      <w:r>
        <w:rPr>
          <w:rStyle w:val="FootnoteReference"/>
        </w:rPr>
        <w:footnoteRef/>
      </w:r>
      <w:r>
        <w:t xml:space="preserve"> </w:t>
      </w:r>
      <w:proofErr w:type="spellStart"/>
      <w:r>
        <w:t>Chambost</w:t>
      </w:r>
      <w:proofErr w:type="spellEnd"/>
      <w:r>
        <w:t xml:space="preserve"> H et al. 2002. What factors influence the age at </w:t>
      </w:r>
      <w:r w:rsidRPr="004332E1">
        <w:t>diagnosis</w:t>
      </w:r>
      <w:r>
        <w:t xml:space="preserve"> of </w:t>
      </w:r>
      <w:proofErr w:type="spellStart"/>
      <w:r>
        <w:t>hemophilia</w:t>
      </w:r>
      <w:proofErr w:type="spellEnd"/>
      <w:r>
        <w:t xml:space="preserve">? </w:t>
      </w:r>
      <w:proofErr w:type="gramStart"/>
      <w:r>
        <w:t xml:space="preserve">Results of the French </w:t>
      </w:r>
      <w:proofErr w:type="spellStart"/>
      <w:r>
        <w:t>hemophilia</w:t>
      </w:r>
      <w:proofErr w:type="spellEnd"/>
      <w:r>
        <w:t xml:space="preserve"> cohort.</w:t>
      </w:r>
      <w:proofErr w:type="gramEnd"/>
      <w:r>
        <w:t xml:space="preserve"> The Journal of </w:t>
      </w:r>
      <w:proofErr w:type="spellStart"/>
      <w:r>
        <w:t>Pediatrics</w:t>
      </w:r>
      <w:proofErr w:type="spellEnd"/>
      <w:r>
        <w:t xml:space="preserve"> 141: 548-552.</w:t>
      </w:r>
    </w:p>
  </w:footnote>
  <w:footnote w:id="10">
    <w:p w:rsidR="006A5FD4" w:rsidRDefault="006A5FD4" w:rsidP="003A4516">
      <w:pPr>
        <w:pStyle w:val="FootnoteText"/>
      </w:pPr>
      <w:r>
        <w:rPr>
          <w:rStyle w:val="FootnoteReference"/>
        </w:rPr>
        <w:footnoteRef/>
      </w:r>
      <w:r>
        <w:t xml:space="preserve"> </w:t>
      </w:r>
      <w:proofErr w:type="spellStart"/>
      <w:proofErr w:type="gramStart"/>
      <w:r>
        <w:t>Northcott</w:t>
      </w:r>
      <w:proofErr w:type="spellEnd"/>
      <w:r>
        <w:t xml:space="preserve"> et al. 2013.</w:t>
      </w:r>
      <w:proofErr w:type="gramEnd"/>
      <w:r>
        <w:t xml:space="preserve"> Prevalence of transfusion acquired hepatitis C in </w:t>
      </w:r>
      <w:r w:rsidRPr="003A4516">
        <w:t>an</w:t>
      </w:r>
      <w:r>
        <w:t xml:space="preserve"> Australian bleeding disorder population. Haemophilia 19: 847-852.</w:t>
      </w:r>
    </w:p>
  </w:footnote>
  <w:footnote w:id="11">
    <w:p w:rsidR="006A5FD4" w:rsidRDefault="006A5FD4" w:rsidP="003A4516">
      <w:pPr>
        <w:pStyle w:val="FootnoteText"/>
      </w:pPr>
      <w:r>
        <w:rPr>
          <w:rStyle w:val="FootnoteReference"/>
        </w:rPr>
        <w:footnoteRef/>
      </w:r>
      <w:r>
        <w:t xml:space="preserve"> </w:t>
      </w:r>
      <w:r w:rsidRPr="00312636">
        <w:t xml:space="preserve">Kulkarni R et al. </w:t>
      </w:r>
      <w:r>
        <w:t xml:space="preserve">2003. </w:t>
      </w:r>
      <w:proofErr w:type="gramStart"/>
      <w:r w:rsidRPr="00312636">
        <w:t>Renal disease among males with haemophilia.</w:t>
      </w:r>
      <w:proofErr w:type="gramEnd"/>
      <w:r w:rsidRPr="00312636">
        <w:t xml:space="preserve"> </w:t>
      </w:r>
      <w:r w:rsidRPr="003A4516">
        <w:t>Haemophilia</w:t>
      </w:r>
      <w:r w:rsidRPr="00312636">
        <w:t xml:space="preserve"> 9(6): 703-710.</w:t>
      </w:r>
    </w:p>
  </w:footnote>
  <w:footnote w:id="12">
    <w:p w:rsidR="006A5FD4" w:rsidRDefault="006A5FD4" w:rsidP="003A4516">
      <w:pPr>
        <w:pStyle w:val="FootnoteText"/>
      </w:pPr>
      <w:r>
        <w:rPr>
          <w:rStyle w:val="FootnoteReference"/>
        </w:rPr>
        <w:footnoteRef/>
      </w:r>
      <w:r>
        <w:t xml:space="preserve"> </w:t>
      </w:r>
      <w:proofErr w:type="spellStart"/>
      <w:proofErr w:type="gramStart"/>
      <w:r>
        <w:t>Benedik-Dolincar</w:t>
      </w:r>
      <w:proofErr w:type="spellEnd"/>
      <w:r>
        <w:t xml:space="preserve"> M and </w:t>
      </w:r>
      <w:proofErr w:type="spellStart"/>
      <w:r>
        <w:t>Benedik</w:t>
      </w:r>
      <w:proofErr w:type="spellEnd"/>
      <w:r>
        <w:t xml:space="preserve"> M. 2007.</w:t>
      </w:r>
      <w:proofErr w:type="gramEnd"/>
      <w:r>
        <w:t xml:space="preserve"> </w:t>
      </w:r>
      <w:proofErr w:type="gramStart"/>
      <w:r>
        <w:t xml:space="preserve">Haematuria in patients with </w:t>
      </w:r>
      <w:r w:rsidRPr="003A4516">
        <w:t>haemophilia</w:t>
      </w:r>
      <w:r>
        <w:t xml:space="preserve"> and its influence on renal function and proteinuria.</w:t>
      </w:r>
      <w:proofErr w:type="gramEnd"/>
      <w:r>
        <w:t xml:space="preserve"> Haemophilia 13(5), 489-492.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pPr>
      <w:rPr>
        <w:noProof/>
        <w:lang w:eastAsia="en-AU"/>
      </w:rPr>
    </w:pPr>
    <w:r w:rsidRPr="00347824">
      <w:rPr>
        <w:noProof/>
        <w:lang w:eastAsia="en-AU"/>
      </w:rPr>
      <w:drawing>
        <wp:anchor distT="0" distB="0" distL="114300" distR="114300" simplePos="0" relativeHeight="251659264" behindDoc="1" locked="0" layoutInCell="1" allowOverlap="1" wp14:anchorId="23D2DBFE" wp14:editId="6B4E6FF8">
          <wp:simplePos x="0" y="0"/>
          <wp:positionH relativeFrom="column">
            <wp:posOffset>-1081709</wp:posOffset>
          </wp:positionH>
          <wp:positionV relativeFrom="paragraph">
            <wp:posOffset>-585470</wp:posOffset>
          </wp:positionV>
          <wp:extent cx="7572375" cy="10706100"/>
          <wp:effectExtent l="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6A5FD4" w:rsidRDefault="006A5FD4" w:rsidP="00593AD1">
    <w:pPr>
      <w:pStyle w:val="HeaderNoLine"/>
    </w:pPr>
    <w:r>
      <w:rPr>
        <w:noProof/>
        <w:lang w:eastAsia="en-AU"/>
      </w:rPr>
      <w:drawing>
        <wp:inline distT="0" distB="0" distL="0" distR="0" wp14:anchorId="3B2A6EFC" wp14:editId="65F096FB">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4" w:rsidRDefault="006A5FD4" w:rsidP="006E08B3">
    <w:r>
      <w:t>Therapeutic Goods Administration</w:t>
    </w:r>
  </w:p>
  <w:p w:rsidR="006A5FD4" w:rsidRDefault="006A5FD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A4331C"/>
    <w:lvl w:ilvl="0">
      <w:start w:val="1"/>
      <w:numFmt w:val="decimal"/>
      <w:lvlText w:val="%1."/>
      <w:lvlJc w:val="left"/>
      <w:pPr>
        <w:tabs>
          <w:tab w:val="num" w:pos="1492"/>
        </w:tabs>
        <w:ind w:left="1492" w:hanging="360"/>
      </w:pPr>
    </w:lvl>
  </w:abstractNum>
  <w:abstractNum w:abstractNumId="1">
    <w:nsid w:val="FFFFFF7D"/>
    <w:multiLevelType w:val="singleLevel"/>
    <w:tmpl w:val="F5B23FB0"/>
    <w:lvl w:ilvl="0">
      <w:start w:val="1"/>
      <w:numFmt w:val="decimal"/>
      <w:lvlText w:val="%1."/>
      <w:lvlJc w:val="left"/>
      <w:pPr>
        <w:tabs>
          <w:tab w:val="num" w:pos="1209"/>
        </w:tabs>
        <w:ind w:left="1209" w:hanging="360"/>
      </w:pPr>
    </w:lvl>
  </w:abstractNum>
  <w:abstractNum w:abstractNumId="2">
    <w:nsid w:val="FFFFFF7E"/>
    <w:multiLevelType w:val="singleLevel"/>
    <w:tmpl w:val="24AC2CBE"/>
    <w:lvl w:ilvl="0">
      <w:start w:val="1"/>
      <w:numFmt w:val="decimal"/>
      <w:lvlText w:val="%1."/>
      <w:lvlJc w:val="left"/>
      <w:pPr>
        <w:tabs>
          <w:tab w:val="num" w:pos="926"/>
        </w:tabs>
        <w:ind w:left="926" w:hanging="360"/>
      </w:pPr>
    </w:lvl>
  </w:abstractNum>
  <w:abstractNum w:abstractNumId="3">
    <w:nsid w:val="FFFFFF7F"/>
    <w:multiLevelType w:val="singleLevel"/>
    <w:tmpl w:val="856AD692"/>
    <w:lvl w:ilvl="0">
      <w:start w:val="1"/>
      <w:numFmt w:val="decimal"/>
      <w:lvlText w:val="%1."/>
      <w:lvlJc w:val="left"/>
      <w:pPr>
        <w:tabs>
          <w:tab w:val="num" w:pos="643"/>
        </w:tabs>
        <w:ind w:left="643" w:hanging="360"/>
      </w:pPr>
    </w:lvl>
  </w:abstractNum>
  <w:abstractNum w:abstractNumId="4">
    <w:nsid w:val="FFFFFF80"/>
    <w:multiLevelType w:val="singleLevel"/>
    <w:tmpl w:val="FB9C33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561AB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661CD62A"/>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1FD2D57"/>
    <w:multiLevelType w:val="hybridMultilevel"/>
    <w:tmpl w:val="20FCD9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cs="Times New Roman" w:hint="default"/>
      </w:rPr>
    </w:lvl>
    <w:lvl w:ilvl="3" w:tplc="0C090001">
      <w:start w:val="1"/>
      <w:numFmt w:val="bullet"/>
      <w:lvlText w:val=""/>
      <w:lvlJc w:val="left"/>
      <w:pPr>
        <w:tabs>
          <w:tab w:val="num" w:pos="3164"/>
        </w:tabs>
        <w:ind w:left="3164" w:hanging="360"/>
      </w:pPr>
      <w:rPr>
        <w:rFonts w:ascii="Symbol" w:hAnsi="Symbol" w:cs="Times New Roman"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cs="Times New Roman" w:hint="default"/>
      </w:rPr>
    </w:lvl>
    <w:lvl w:ilvl="6" w:tplc="0C090001">
      <w:start w:val="1"/>
      <w:numFmt w:val="bullet"/>
      <w:lvlText w:val=""/>
      <w:lvlJc w:val="left"/>
      <w:pPr>
        <w:tabs>
          <w:tab w:val="num" w:pos="5324"/>
        </w:tabs>
        <w:ind w:left="5324" w:hanging="360"/>
      </w:pPr>
      <w:rPr>
        <w:rFonts w:ascii="Symbol" w:hAnsi="Symbol" w:cs="Times New Roman"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cs="Times New Roman" w:hint="default"/>
      </w:rPr>
    </w:lvl>
  </w:abstractNum>
  <w:abstractNum w:abstractNumId="1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BC23C63"/>
    <w:multiLevelType w:val="hybridMultilevel"/>
    <w:tmpl w:val="3DBE1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E311665"/>
    <w:multiLevelType w:val="hybridMultilevel"/>
    <w:tmpl w:val="B40CBC7A"/>
    <w:lvl w:ilvl="0" w:tplc="A788A310">
      <w:numFmt w:val="bullet"/>
      <w:lvlText w:val="•"/>
      <w:lvlJc w:val="left"/>
      <w:pPr>
        <w:ind w:left="1287" w:hanging="360"/>
      </w:pPr>
      <w:rPr>
        <w:rFonts w:ascii="Cambria" w:eastAsia="MS Mincho" w:hAnsi="Cambria"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711757D6"/>
    <w:multiLevelType w:val="hybridMultilevel"/>
    <w:tmpl w:val="3EC22818"/>
    <w:lvl w:ilvl="0" w:tplc="C3F416FC">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7D4807B2"/>
    <w:multiLevelType w:val="hybridMultilevel"/>
    <w:tmpl w:val="F57C4610"/>
    <w:lvl w:ilvl="0" w:tplc="96780D20">
      <w:start w:val="1"/>
      <w:numFmt w:val="bullet"/>
      <w:pStyle w:val="Tabletextbullet"/>
      <w:lvlText w:val="•"/>
      <w:lvlJc w:val="left"/>
      <w:pPr>
        <w:ind w:left="777" w:hanging="360"/>
      </w:pPr>
      <w:rPr>
        <w:rFonts w:ascii="Cambria" w:hAnsi="Cambria"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abstractNumId w:val="9"/>
  </w:num>
  <w:num w:numId="2">
    <w:abstractNumId w:val="7"/>
  </w:num>
  <w:num w:numId="3">
    <w:abstractNumId w:val="9"/>
  </w:num>
  <w:num w:numId="4">
    <w:abstractNumId w:val="7"/>
  </w:num>
  <w:num w:numId="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7">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8">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9">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0">
    <w:abstractNumId w:val="13"/>
  </w:num>
  <w:num w:numId="11">
    <w:abstractNumId w:val="10"/>
  </w:num>
  <w:num w:numId="12">
    <w:abstractNumId w:val="17"/>
  </w:num>
  <w:num w:numId="13">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4">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5">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5"/>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11"/>
  </w:num>
  <w:num w:numId="32">
    <w:abstractNumId w:val="5"/>
  </w:num>
  <w:num w:numId="33">
    <w:abstractNumId w:val="4"/>
  </w:num>
  <w:num w:numId="34">
    <w:abstractNumId w:val="6"/>
  </w:num>
  <w:num w:numId="35">
    <w:abstractNumId w:val="3"/>
  </w:num>
  <w:num w:numId="36">
    <w:abstractNumId w:val="2"/>
  </w:num>
  <w:num w:numId="37">
    <w:abstractNumId w:val="1"/>
  </w:num>
  <w:num w:numId="3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685B42"/>
    <w:rsid w:val="00001C89"/>
    <w:rsid w:val="00002031"/>
    <w:rsid w:val="00004734"/>
    <w:rsid w:val="00006B22"/>
    <w:rsid w:val="0001276A"/>
    <w:rsid w:val="0001352D"/>
    <w:rsid w:val="000246AE"/>
    <w:rsid w:val="00025C67"/>
    <w:rsid w:val="0005559E"/>
    <w:rsid w:val="00057190"/>
    <w:rsid w:val="00064889"/>
    <w:rsid w:val="00066978"/>
    <w:rsid w:val="00074710"/>
    <w:rsid w:val="000768FF"/>
    <w:rsid w:val="00077775"/>
    <w:rsid w:val="0008066F"/>
    <w:rsid w:val="00090471"/>
    <w:rsid w:val="00096AA7"/>
    <w:rsid w:val="000A3AED"/>
    <w:rsid w:val="000A5BB5"/>
    <w:rsid w:val="000B3532"/>
    <w:rsid w:val="000B3A75"/>
    <w:rsid w:val="000C690F"/>
    <w:rsid w:val="000D1295"/>
    <w:rsid w:val="000D27A5"/>
    <w:rsid w:val="000D391B"/>
    <w:rsid w:val="000D3D6D"/>
    <w:rsid w:val="000D4FC7"/>
    <w:rsid w:val="000E5B57"/>
    <w:rsid w:val="000F0978"/>
    <w:rsid w:val="000F4869"/>
    <w:rsid w:val="000F5B42"/>
    <w:rsid w:val="000F6E6F"/>
    <w:rsid w:val="0010601F"/>
    <w:rsid w:val="0010788A"/>
    <w:rsid w:val="00107A31"/>
    <w:rsid w:val="00110EA5"/>
    <w:rsid w:val="00112F56"/>
    <w:rsid w:val="00113A01"/>
    <w:rsid w:val="001140C3"/>
    <w:rsid w:val="00125318"/>
    <w:rsid w:val="001305A2"/>
    <w:rsid w:val="00133238"/>
    <w:rsid w:val="0013367B"/>
    <w:rsid w:val="0014197B"/>
    <w:rsid w:val="001427FA"/>
    <w:rsid w:val="001447CD"/>
    <w:rsid w:val="001516B1"/>
    <w:rsid w:val="00154EBB"/>
    <w:rsid w:val="00156316"/>
    <w:rsid w:val="00162D14"/>
    <w:rsid w:val="00165389"/>
    <w:rsid w:val="0017693F"/>
    <w:rsid w:val="00180AE4"/>
    <w:rsid w:val="0018110E"/>
    <w:rsid w:val="00181684"/>
    <w:rsid w:val="001819BA"/>
    <w:rsid w:val="001843C6"/>
    <w:rsid w:val="001850E0"/>
    <w:rsid w:val="001A2158"/>
    <w:rsid w:val="001A290F"/>
    <w:rsid w:val="001A525F"/>
    <w:rsid w:val="001B09F9"/>
    <w:rsid w:val="001B5C90"/>
    <w:rsid w:val="001B6448"/>
    <w:rsid w:val="001C32CD"/>
    <w:rsid w:val="001E07CF"/>
    <w:rsid w:val="001E59F1"/>
    <w:rsid w:val="001F242F"/>
    <w:rsid w:val="001F49EB"/>
    <w:rsid w:val="001F5A20"/>
    <w:rsid w:val="001F6CBA"/>
    <w:rsid w:val="00201D4E"/>
    <w:rsid w:val="002076C9"/>
    <w:rsid w:val="00220B8A"/>
    <w:rsid w:val="002257F3"/>
    <w:rsid w:val="00233456"/>
    <w:rsid w:val="002339A5"/>
    <w:rsid w:val="00250D1A"/>
    <w:rsid w:val="00257848"/>
    <w:rsid w:val="0027084A"/>
    <w:rsid w:val="00276C87"/>
    <w:rsid w:val="00286434"/>
    <w:rsid w:val="00286C59"/>
    <w:rsid w:val="00291957"/>
    <w:rsid w:val="002942D1"/>
    <w:rsid w:val="00294D18"/>
    <w:rsid w:val="0029501A"/>
    <w:rsid w:val="002953DA"/>
    <w:rsid w:val="002A5793"/>
    <w:rsid w:val="002B1638"/>
    <w:rsid w:val="002C2FDF"/>
    <w:rsid w:val="002C3B77"/>
    <w:rsid w:val="002C5F2B"/>
    <w:rsid w:val="002D02AF"/>
    <w:rsid w:val="002D3B13"/>
    <w:rsid w:val="002D4898"/>
    <w:rsid w:val="002E4C9A"/>
    <w:rsid w:val="002F11F8"/>
    <w:rsid w:val="002F3F56"/>
    <w:rsid w:val="002F44B5"/>
    <w:rsid w:val="00304513"/>
    <w:rsid w:val="0031032E"/>
    <w:rsid w:val="00311AC0"/>
    <w:rsid w:val="00312636"/>
    <w:rsid w:val="00315FC8"/>
    <w:rsid w:val="0032583B"/>
    <w:rsid w:val="003274B3"/>
    <w:rsid w:val="00327883"/>
    <w:rsid w:val="00335504"/>
    <w:rsid w:val="00347824"/>
    <w:rsid w:val="00350567"/>
    <w:rsid w:val="003521E8"/>
    <w:rsid w:val="003728F3"/>
    <w:rsid w:val="0037496E"/>
    <w:rsid w:val="00386150"/>
    <w:rsid w:val="003874CE"/>
    <w:rsid w:val="00390900"/>
    <w:rsid w:val="003A3591"/>
    <w:rsid w:val="003A4516"/>
    <w:rsid w:val="003A7F6C"/>
    <w:rsid w:val="003B3187"/>
    <w:rsid w:val="003B4D60"/>
    <w:rsid w:val="003B7E39"/>
    <w:rsid w:val="003C58DC"/>
    <w:rsid w:val="003D1E62"/>
    <w:rsid w:val="003E2486"/>
    <w:rsid w:val="003E2FA2"/>
    <w:rsid w:val="003E3208"/>
    <w:rsid w:val="003F0B04"/>
    <w:rsid w:val="0040134E"/>
    <w:rsid w:val="00411F1D"/>
    <w:rsid w:val="0041732A"/>
    <w:rsid w:val="004332E1"/>
    <w:rsid w:val="004341DE"/>
    <w:rsid w:val="00440A2D"/>
    <w:rsid w:val="004564A7"/>
    <w:rsid w:val="004617BF"/>
    <w:rsid w:val="00463658"/>
    <w:rsid w:val="00466709"/>
    <w:rsid w:val="004706A9"/>
    <w:rsid w:val="004722CC"/>
    <w:rsid w:val="00486076"/>
    <w:rsid w:val="00490CC9"/>
    <w:rsid w:val="004936E4"/>
    <w:rsid w:val="00494E57"/>
    <w:rsid w:val="00494E60"/>
    <w:rsid w:val="00494FB7"/>
    <w:rsid w:val="00497487"/>
    <w:rsid w:val="004B7B76"/>
    <w:rsid w:val="004C1994"/>
    <w:rsid w:val="004C239D"/>
    <w:rsid w:val="004C2DCA"/>
    <w:rsid w:val="004E656F"/>
    <w:rsid w:val="004F0F38"/>
    <w:rsid w:val="00501921"/>
    <w:rsid w:val="00506DE5"/>
    <w:rsid w:val="0051223A"/>
    <w:rsid w:val="00525C11"/>
    <w:rsid w:val="00530354"/>
    <w:rsid w:val="0053625B"/>
    <w:rsid w:val="00541E5B"/>
    <w:rsid w:val="005434C6"/>
    <w:rsid w:val="00543B39"/>
    <w:rsid w:val="00546E3C"/>
    <w:rsid w:val="00550096"/>
    <w:rsid w:val="00557FF9"/>
    <w:rsid w:val="00571645"/>
    <w:rsid w:val="00576378"/>
    <w:rsid w:val="00577130"/>
    <w:rsid w:val="00577945"/>
    <w:rsid w:val="00577E38"/>
    <w:rsid w:val="00585322"/>
    <w:rsid w:val="005857C6"/>
    <w:rsid w:val="00592F6E"/>
    <w:rsid w:val="00593AD1"/>
    <w:rsid w:val="00595369"/>
    <w:rsid w:val="005A0B9B"/>
    <w:rsid w:val="005A68B6"/>
    <w:rsid w:val="005B07BF"/>
    <w:rsid w:val="005B2F41"/>
    <w:rsid w:val="005C23D9"/>
    <w:rsid w:val="005C5570"/>
    <w:rsid w:val="005C79A4"/>
    <w:rsid w:val="005D5442"/>
    <w:rsid w:val="00603F32"/>
    <w:rsid w:val="00605489"/>
    <w:rsid w:val="00606DDB"/>
    <w:rsid w:val="00610315"/>
    <w:rsid w:val="00625A6E"/>
    <w:rsid w:val="006276D6"/>
    <w:rsid w:val="00632398"/>
    <w:rsid w:val="00640FC3"/>
    <w:rsid w:val="00642020"/>
    <w:rsid w:val="0065337B"/>
    <w:rsid w:val="0065419D"/>
    <w:rsid w:val="006604D8"/>
    <w:rsid w:val="00662086"/>
    <w:rsid w:val="006626E7"/>
    <w:rsid w:val="0066459D"/>
    <w:rsid w:val="00664A5B"/>
    <w:rsid w:val="006763D2"/>
    <w:rsid w:val="00680C08"/>
    <w:rsid w:val="00685261"/>
    <w:rsid w:val="00685B42"/>
    <w:rsid w:val="006931B1"/>
    <w:rsid w:val="006978CD"/>
    <w:rsid w:val="006A15C0"/>
    <w:rsid w:val="006A5FD4"/>
    <w:rsid w:val="006B08FD"/>
    <w:rsid w:val="006C3E2A"/>
    <w:rsid w:val="006C642F"/>
    <w:rsid w:val="006D03E5"/>
    <w:rsid w:val="006D4AED"/>
    <w:rsid w:val="006D4DDB"/>
    <w:rsid w:val="006D5D3E"/>
    <w:rsid w:val="006E08B3"/>
    <w:rsid w:val="006E2204"/>
    <w:rsid w:val="006E52F4"/>
    <w:rsid w:val="006F17AC"/>
    <w:rsid w:val="006F299E"/>
    <w:rsid w:val="006F572E"/>
    <w:rsid w:val="007046D6"/>
    <w:rsid w:val="00705DB0"/>
    <w:rsid w:val="007064FD"/>
    <w:rsid w:val="00717B5C"/>
    <w:rsid w:val="00722B57"/>
    <w:rsid w:val="00723DE8"/>
    <w:rsid w:val="0074253D"/>
    <w:rsid w:val="007436B2"/>
    <w:rsid w:val="0074429B"/>
    <w:rsid w:val="007452D9"/>
    <w:rsid w:val="0074753A"/>
    <w:rsid w:val="00761299"/>
    <w:rsid w:val="007615BC"/>
    <w:rsid w:val="00762F05"/>
    <w:rsid w:val="007652FF"/>
    <w:rsid w:val="00770EF1"/>
    <w:rsid w:val="00773EF7"/>
    <w:rsid w:val="00774E1D"/>
    <w:rsid w:val="0077675A"/>
    <w:rsid w:val="00780355"/>
    <w:rsid w:val="00783830"/>
    <w:rsid w:val="00785721"/>
    <w:rsid w:val="00793A59"/>
    <w:rsid w:val="007A4C0C"/>
    <w:rsid w:val="007A5E2D"/>
    <w:rsid w:val="007B0010"/>
    <w:rsid w:val="007B6E9F"/>
    <w:rsid w:val="007C1216"/>
    <w:rsid w:val="007C1AF7"/>
    <w:rsid w:val="007D50BD"/>
    <w:rsid w:val="007E1D40"/>
    <w:rsid w:val="007F5D36"/>
    <w:rsid w:val="00805D27"/>
    <w:rsid w:val="00816EDD"/>
    <w:rsid w:val="00821776"/>
    <w:rsid w:val="00830A83"/>
    <w:rsid w:val="008321F5"/>
    <w:rsid w:val="00832369"/>
    <w:rsid w:val="00834660"/>
    <w:rsid w:val="00836BC2"/>
    <w:rsid w:val="008418E7"/>
    <w:rsid w:val="00844AD3"/>
    <w:rsid w:val="00855C4F"/>
    <w:rsid w:val="0085641B"/>
    <w:rsid w:val="00856E13"/>
    <w:rsid w:val="00857136"/>
    <w:rsid w:val="00867359"/>
    <w:rsid w:val="00880589"/>
    <w:rsid w:val="008809CB"/>
    <w:rsid w:val="00884E72"/>
    <w:rsid w:val="00885B11"/>
    <w:rsid w:val="00886D15"/>
    <w:rsid w:val="00887DD8"/>
    <w:rsid w:val="00896018"/>
    <w:rsid w:val="008960DD"/>
    <w:rsid w:val="0089635C"/>
    <w:rsid w:val="008A2B9D"/>
    <w:rsid w:val="008A5E0B"/>
    <w:rsid w:val="008A6D59"/>
    <w:rsid w:val="008B4B03"/>
    <w:rsid w:val="008B596F"/>
    <w:rsid w:val="008B5B04"/>
    <w:rsid w:val="008C159F"/>
    <w:rsid w:val="008C1623"/>
    <w:rsid w:val="008C1850"/>
    <w:rsid w:val="008C51A9"/>
    <w:rsid w:val="008E0F2F"/>
    <w:rsid w:val="008E4712"/>
    <w:rsid w:val="008E6B22"/>
    <w:rsid w:val="008E7846"/>
    <w:rsid w:val="008F1CCC"/>
    <w:rsid w:val="008F2967"/>
    <w:rsid w:val="008F6943"/>
    <w:rsid w:val="008F78E5"/>
    <w:rsid w:val="00902A21"/>
    <w:rsid w:val="00920330"/>
    <w:rsid w:val="009219D7"/>
    <w:rsid w:val="00922D53"/>
    <w:rsid w:val="00923B70"/>
    <w:rsid w:val="00924482"/>
    <w:rsid w:val="00930237"/>
    <w:rsid w:val="00932335"/>
    <w:rsid w:val="00935EFC"/>
    <w:rsid w:val="0094012C"/>
    <w:rsid w:val="00946EA5"/>
    <w:rsid w:val="00963C08"/>
    <w:rsid w:val="009701E8"/>
    <w:rsid w:val="00976FA3"/>
    <w:rsid w:val="00981F1D"/>
    <w:rsid w:val="0098585A"/>
    <w:rsid w:val="009935E4"/>
    <w:rsid w:val="009A2D89"/>
    <w:rsid w:val="009A2DA3"/>
    <w:rsid w:val="009A4CED"/>
    <w:rsid w:val="009A690D"/>
    <w:rsid w:val="009B1D12"/>
    <w:rsid w:val="009B416B"/>
    <w:rsid w:val="009B53CC"/>
    <w:rsid w:val="009C232F"/>
    <w:rsid w:val="009C4BD5"/>
    <w:rsid w:val="009D32A6"/>
    <w:rsid w:val="009D7B77"/>
    <w:rsid w:val="009E0BB0"/>
    <w:rsid w:val="009E3FBB"/>
    <w:rsid w:val="009E49DD"/>
    <w:rsid w:val="009F6A6C"/>
    <w:rsid w:val="00A102E4"/>
    <w:rsid w:val="00A1120A"/>
    <w:rsid w:val="00A12C42"/>
    <w:rsid w:val="00A14433"/>
    <w:rsid w:val="00A14DF7"/>
    <w:rsid w:val="00A263F3"/>
    <w:rsid w:val="00A31D74"/>
    <w:rsid w:val="00A3246D"/>
    <w:rsid w:val="00A36FA7"/>
    <w:rsid w:val="00A475B7"/>
    <w:rsid w:val="00A47AF7"/>
    <w:rsid w:val="00A47C3E"/>
    <w:rsid w:val="00A50226"/>
    <w:rsid w:val="00A510E4"/>
    <w:rsid w:val="00A60BAD"/>
    <w:rsid w:val="00A82B9D"/>
    <w:rsid w:val="00A84E36"/>
    <w:rsid w:val="00A964D1"/>
    <w:rsid w:val="00AA0ED0"/>
    <w:rsid w:val="00AC2B40"/>
    <w:rsid w:val="00AC2BB2"/>
    <w:rsid w:val="00AC2C3C"/>
    <w:rsid w:val="00AC512D"/>
    <w:rsid w:val="00AD0083"/>
    <w:rsid w:val="00AD5282"/>
    <w:rsid w:val="00AE65EB"/>
    <w:rsid w:val="00AE67A7"/>
    <w:rsid w:val="00AF1D94"/>
    <w:rsid w:val="00AF60C5"/>
    <w:rsid w:val="00AF7876"/>
    <w:rsid w:val="00B009C6"/>
    <w:rsid w:val="00B01548"/>
    <w:rsid w:val="00B11252"/>
    <w:rsid w:val="00B151C3"/>
    <w:rsid w:val="00B17735"/>
    <w:rsid w:val="00B21D29"/>
    <w:rsid w:val="00B25034"/>
    <w:rsid w:val="00B26EE3"/>
    <w:rsid w:val="00B33588"/>
    <w:rsid w:val="00B33863"/>
    <w:rsid w:val="00B36A00"/>
    <w:rsid w:val="00B37D17"/>
    <w:rsid w:val="00B4175E"/>
    <w:rsid w:val="00B452CE"/>
    <w:rsid w:val="00B54C25"/>
    <w:rsid w:val="00B72C5C"/>
    <w:rsid w:val="00B76050"/>
    <w:rsid w:val="00B76B91"/>
    <w:rsid w:val="00B77EB1"/>
    <w:rsid w:val="00B811C6"/>
    <w:rsid w:val="00B84944"/>
    <w:rsid w:val="00B855B0"/>
    <w:rsid w:val="00B92E08"/>
    <w:rsid w:val="00BB6684"/>
    <w:rsid w:val="00BC0DCC"/>
    <w:rsid w:val="00BC622A"/>
    <w:rsid w:val="00BD30DA"/>
    <w:rsid w:val="00BE0A78"/>
    <w:rsid w:val="00BE79F0"/>
    <w:rsid w:val="00BF046D"/>
    <w:rsid w:val="00BF0AD1"/>
    <w:rsid w:val="00BF1190"/>
    <w:rsid w:val="00BF5D04"/>
    <w:rsid w:val="00C1164D"/>
    <w:rsid w:val="00C16861"/>
    <w:rsid w:val="00C206D2"/>
    <w:rsid w:val="00C215EC"/>
    <w:rsid w:val="00C21710"/>
    <w:rsid w:val="00C23EE1"/>
    <w:rsid w:val="00C24627"/>
    <w:rsid w:val="00C404A6"/>
    <w:rsid w:val="00C40A36"/>
    <w:rsid w:val="00C42BD8"/>
    <w:rsid w:val="00C44419"/>
    <w:rsid w:val="00C45E7B"/>
    <w:rsid w:val="00C471B1"/>
    <w:rsid w:val="00C50D3C"/>
    <w:rsid w:val="00C6316B"/>
    <w:rsid w:val="00C6334D"/>
    <w:rsid w:val="00C634A9"/>
    <w:rsid w:val="00C64586"/>
    <w:rsid w:val="00C70D53"/>
    <w:rsid w:val="00C73D0B"/>
    <w:rsid w:val="00C772FF"/>
    <w:rsid w:val="00C80137"/>
    <w:rsid w:val="00C801AF"/>
    <w:rsid w:val="00C80256"/>
    <w:rsid w:val="00C80EA2"/>
    <w:rsid w:val="00C81F17"/>
    <w:rsid w:val="00C84D5D"/>
    <w:rsid w:val="00CB4566"/>
    <w:rsid w:val="00CB6BC0"/>
    <w:rsid w:val="00CC1B7C"/>
    <w:rsid w:val="00CC727F"/>
    <w:rsid w:val="00CF15C3"/>
    <w:rsid w:val="00CF2B6F"/>
    <w:rsid w:val="00CF4B68"/>
    <w:rsid w:val="00CF58B6"/>
    <w:rsid w:val="00CF70A4"/>
    <w:rsid w:val="00D017ED"/>
    <w:rsid w:val="00D040D3"/>
    <w:rsid w:val="00D04C65"/>
    <w:rsid w:val="00D224FE"/>
    <w:rsid w:val="00D3013C"/>
    <w:rsid w:val="00D33934"/>
    <w:rsid w:val="00D37FFE"/>
    <w:rsid w:val="00D46B84"/>
    <w:rsid w:val="00D47277"/>
    <w:rsid w:val="00D478E4"/>
    <w:rsid w:val="00D5460C"/>
    <w:rsid w:val="00D57CE4"/>
    <w:rsid w:val="00D6493E"/>
    <w:rsid w:val="00D65709"/>
    <w:rsid w:val="00D7195D"/>
    <w:rsid w:val="00D7301E"/>
    <w:rsid w:val="00D81A26"/>
    <w:rsid w:val="00D83AE1"/>
    <w:rsid w:val="00D855D4"/>
    <w:rsid w:val="00D915D4"/>
    <w:rsid w:val="00D93466"/>
    <w:rsid w:val="00DA0539"/>
    <w:rsid w:val="00DA1124"/>
    <w:rsid w:val="00DB6124"/>
    <w:rsid w:val="00DB75B7"/>
    <w:rsid w:val="00DC6E02"/>
    <w:rsid w:val="00DE02AE"/>
    <w:rsid w:val="00DF0429"/>
    <w:rsid w:val="00DF13DC"/>
    <w:rsid w:val="00DF1CAE"/>
    <w:rsid w:val="00DF1D7F"/>
    <w:rsid w:val="00DF4BE4"/>
    <w:rsid w:val="00E02FB4"/>
    <w:rsid w:val="00E0342F"/>
    <w:rsid w:val="00E0354F"/>
    <w:rsid w:val="00E1097C"/>
    <w:rsid w:val="00E20571"/>
    <w:rsid w:val="00E20ACD"/>
    <w:rsid w:val="00E235F7"/>
    <w:rsid w:val="00E23659"/>
    <w:rsid w:val="00E239D4"/>
    <w:rsid w:val="00E26130"/>
    <w:rsid w:val="00E34951"/>
    <w:rsid w:val="00E40B22"/>
    <w:rsid w:val="00E45619"/>
    <w:rsid w:val="00E4588F"/>
    <w:rsid w:val="00E46DA3"/>
    <w:rsid w:val="00E51BB1"/>
    <w:rsid w:val="00E624A5"/>
    <w:rsid w:val="00E6644D"/>
    <w:rsid w:val="00E7344E"/>
    <w:rsid w:val="00E7458B"/>
    <w:rsid w:val="00E91EE1"/>
    <w:rsid w:val="00EA07AA"/>
    <w:rsid w:val="00EA0CC1"/>
    <w:rsid w:val="00EB0798"/>
    <w:rsid w:val="00EB40AD"/>
    <w:rsid w:val="00EB586E"/>
    <w:rsid w:val="00EB5FC8"/>
    <w:rsid w:val="00EC44D2"/>
    <w:rsid w:val="00EC7A85"/>
    <w:rsid w:val="00EC7D25"/>
    <w:rsid w:val="00ED3C54"/>
    <w:rsid w:val="00ED3CAD"/>
    <w:rsid w:val="00ED5A41"/>
    <w:rsid w:val="00EE1DE8"/>
    <w:rsid w:val="00EE251D"/>
    <w:rsid w:val="00F033EC"/>
    <w:rsid w:val="00F04F68"/>
    <w:rsid w:val="00F12670"/>
    <w:rsid w:val="00F14B27"/>
    <w:rsid w:val="00F20175"/>
    <w:rsid w:val="00F3148D"/>
    <w:rsid w:val="00F325C5"/>
    <w:rsid w:val="00F32FE0"/>
    <w:rsid w:val="00F35298"/>
    <w:rsid w:val="00F44E99"/>
    <w:rsid w:val="00F46077"/>
    <w:rsid w:val="00F47333"/>
    <w:rsid w:val="00F47E37"/>
    <w:rsid w:val="00F52927"/>
    <w:rsid w:val="00F53C07"/>
    <w:rsid w:val="00F54B65"/>
    <w:rsid w:val="00F640B6"/>
    <w:rsid w:val="00F6600C"/>
    <w:rsid w:val="00F710E5"/>
    <w:rsid w:val="00F80E40"/>
    <w:rsid w:val="00F848D9"/>
    <w:rsid w:val="00FA5B82"/>
    <w:rsid w:val="00FA639E"/>
    <w:rsid w:val="00FB54A6"/>
    <w:rsid w:val="00FC25E4"/>
    <w:rsid w:val="00FC30D1"/>
    <w:rsid w:val="00FC4EF7"/>
    <w:rsid w:val="00FD30DA"/>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4889"/>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qFormat/>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styleId="DocumentMap">
    <w:name w:val="Document Map"/>
    <w:basedOn w:val="Normal"/>
    <w:link w:val="DocumentMapChar"/>
    <w:uiPriority w:val="99"/>
    <w:semiHidden/>
    <w:unhideWhenUsed/>
    <w:rsid w:val="0068526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5261"/>
    <w:rPr>
      <w:rFonts w:ascii="Tahoma" w:eastAsia="Cambria" w:hAnsi="Tahoma" w:cs="Tahoma"/>
      <w:sz w:val="16"/>
      <w:szCs w:val="16"/>
    </w:rPr>
  </w:style>
  <w:style w:type="character" w:styleId="CommentReference">
    <w:name w:val="annotation reference"/>
    <w:basedOn w:val="DefaultParagraphFont"/>
    <w:uiPriority w:val="99"/>
    <w:semiHidden/>
    <w:unhideWhenUsed/>
    <w:rsid w:val="00EA07AA"/>
    <w:rPr>
      <w:rFonts w:cs="Times New Roman"/>
      <w:sz w:val="16"/>
      <w:szCs w:val="16"/>
    </w:rPr>
  </w:style>
  <w:style w:type="paragraph" w:styleId="CommentText">
    <w:name w:val="annotation text"/>
    <w:basedOn w:val="Normal"/>
    <w:link w:val="CommentTextChar"/>
    <w:uiPriority w:val="99"/>
    <w:semiHidden/>
    <w:unhideWhenUsed/>
    <w:rsid w:val="00EA07AA"/>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EA07AA"/>
    <w:rPr>
      <w:rFonts w:ascii="Cambria" w:eastAsia="Times New Roman" w:hAnsi="Cambria" w:cs="Times New Roman"/>
      <w:sz w:val="20"/>
      <w:szCs w:val="20"/>
    </w:rPr>
  </w:style>
  <w:style w:type="paragraph" w:customStyle="1" w:styleId="Standard">
    <w:name w:val="Standard"/>
    <w:basedOn w:val="Normal"/>
    <w:link w:val="StandardChar"/>
    <w:qFormat/>
    <w:rsid w:val="00C6334D"/>
    <w:pPr>
      <w:spacing w:before="0" w:after="220" w:line="252" w:lineRule="auto"/>
    </w:pPr>
    <w:rPr>
      <w:rFonts w:eastAsia="Times New Roman"/>
      <w:snapToGrid w:val="0"/>
      <w:kern w:val="16"/>
      <w:sz w:val="23"/>
      <w:szCs w:val="24"/>
    </w:rPr>
  </w:style>
  <w:style w:type="paragraph" w:customStyle="1" w:styleId="WhiteSpace">
    <w:name w:val="White Space"/>
    <w:basedOn w:val="Standard"/>
    <w:link w:val="WhiteSpaceChar"/>
    <w:rsid w:val="00C6334D"/>
    <w:pPr>
      <w:spacing w:after="0"/>
    </w:pPr>
    <w:rPr>
      <w:sz w:val="16"/>
      <w:szCs w:val="16"/>
    </w:rPr>
  </w:style>
  <w:style w:type="character" w:customStyle="1" w:styleId="StandardChar">
    <w:name w:val="Standard Char"/>
    <w:basedOn w:val="DefaultParagraphFont"/>
    <w:link w:val="Standard"/>
    <w:rsid w:val="00C6334D"/>
    <w:rPr>
      <w:rFonts w:ascii="Cambria" w:eastAsia="Times New Roman" w:hAnsi="Cambria" w:cs="Times New Roman"/>
      <w:snapToGrid w:val="0"/>
      <w:kern w:val="16"/>
      <w:sz w:val="23"/>
      <w:szCs w:val="24"/>
    </w:rPr>
  </w:style>
  <w:style w:type="character" w:customStyle="1" w:styleId="TableTitleChar">
    <w:name w:val="Table Title Char"/>
    <w:basedOn w:val="StandardChar"/>
    <w:link w:val="TableTitle"/>
    <w:rsid w:val="00C6334D"/>
    <w:rPr>
      <w:rFonts w:ascii="Cambria" w:eastAsia="Cambria" w:hAnsi="Cambria" w:cs="Times New Roman"/>
      <w:b/>
      <w:snapToGrid/>
      <w:kern w:val="16"/>
      <w:sz w:val="20"/>
      <w:szCs w:val="24"/>
    </w:rPr>
  </w:style>
  <w:style w:type="character" w:customStyle="1" w:styleId="WhiteSpaceChar">
    <w:name w:val="White Space Char"/>
    <w:basedOn w:val="DefaultParagraphFont"/>
    <w:link w:val="WhiteSpace"/>
    <w:rsid w:val="00C6334D"/>
    <w:rPr>
      <w:rFonts w:ascii="Cambria" w:eastAsia="Times New Roman" w:hAnsi="Cambria" w:cs="Times New Roman"/>
      <w:snapToGrid w:val="0"/>
      <w:kern w:val="16"/>
      <w:sz w:val="16"/>
      <w:szCs w:val="16"/>
    </w:rPr>
  </w:style>
  <w:style w:type="paragraph" w:customStyle="1" w:styleId="Bulletpoint">
    <w:name w:val="Bullet point"/>
    <w:basedOn w:val="Standard"/>
    <w:rsid w:val="00C6334D"/>
    <w:pPr>
      <w:numPr>
        <w:numId w:val="10"/>
      </w:numPr>
      <w:tabs>
        <w:tab w:val="clear" w:pos="369"/>
        <w:tab w:val="left" w:pos="397"/>
        <w:tab w:val="num" w:pos="511"/>
        <w:tab w:val="num" w:pos="926"/>
      </w:tabs>
      <w:spacing w:after="180"/>
      <w:ind w:left="397" w:firstLine="0"/>
    </w:pPr>
  </w:style>
  <w:style w:type="paragraph" w:customStyle="1" w:styleId="TableCaption">
    <w:name w:val="Table Caption"/>
    <w:basedOn w:val="Standard"/>
    <w:next w:val="Standard"/>
    <w:link w:val="TableCaptionChar"/>
    <w:qFormat/>
    <w:rsid w:val="00830A83"/>
    <w:pPr>
      <w:spacing w:before="60" w:after="440" w:line="215" w:lineRule="exact"/>
      <w:ind w:left="170"/>
    </w:pPr>
    <w:rPr>
      <w:rFonts w:eastAsia="Cambria"/>
      <w:snapToGrid/>
      <w:kern w:val="0"/>
      <w:sz w:val="19"/>
      <w:szCs w:val="22"/>
    </w:rPr>
  </w:style>
  <w:style w:type="character" w:customStyle="1" w:styleId="TabletextChar">
    <w:name w:val="Table text Char"/>
    <w:basedOn w:val="DefaultParagraphFont"/>
    <w:link w:val="Tabletext"/>
    <w:rsid w:val="00830A83"/>
    <w:rPr>
      <w:rFonts w:ascii="Cambria" w:eastAsia="Cambria" w:hAnsi="Cambria" w:cs="Times New Roman"/>
      <w:sz w:val="19"/>
    </w:rPr>
  </w:style>
  <w:style w:type="character" w:customStyle="1" w:styleId="TableCaptionChar">
    <w:name w:val="Table Caption Char"/>
    <w:basedOn w:val="TabletextChar"/>
    <w:link w:val="TableCaption"/>
    <w:rsid w:val="00830A83"/>
    <w:rPr>
      <w:rFonts w:ascii="Cambria" w:eastAsia="Cambria" w:hAnsi="Cambria" w:cs="Times New Roman"/>
      <w:sz w:val="19"/>
    </w:rPr>
  </w:style>
  <w:style w:type="numbering" w:styleId="1ai">
    <w:name w:val="Outline List 1"/>
    <w:basedOn w:val="NoList"/>
    <w:semiHidden/>
    <w:rsid w:val="00830A83"/>
    <w:pPr>
      <w:numPr>
        <w:numId w:val="11"/>
      </w:numPr>
    </w:pPr>
  </w:style>
  <w:style w:type="paragraph" w:customStyle="1" w:styleId="Tabletextbullet">
    <w:name w:val="Table text (bullet)"/>
    <w:basedOn w:val="Tabletext"/>
    <w:rsid w:val="00830A83"/>
    <w:pPr>
      <w:numPr>
        <w:numId w:val="12"/>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AssessmentSubsection">
    <w:name w:val="Assessment Subsection"/>
    <w:basedOn w:val="Standard"/>
    <w:next w:val="Standard"/>
    <w:uiPriority w:val="99"/>
    <w:rsid w:val="00CF70A4"/>
    <w:pPr>
      <w:keepNext/>
      <w:spacing w:after="110"/>
      <w:outlineLvl w:val="2"/>
    </w:pPr>
    <w:rPr>
      <w:b/>
      <w:i/>
    </w:rPr>
  </w:style>
  <w:style w:type="paragraph" w:customStyle="1" w:styleId="AssessmentSubsection2">
    <w:name w:val="Assessment Subsection 2"/>
    <w:basedOn w:val="AssessmentSubsection"/>
    <w:next w:val="Standard"/>
    <w:rsid w:val="00605489"/>
    <w:pPr>
      <w:outlineLvl w:val="3"/>
    </w:pPr>
    <w:rPr>
      <w:b w:val="0"/>
    </w:rPr>
  </w:style>
  <w:style w:type="paragraph" w:customStyle="1" w:styleId="AssessmentSection">
    <w:name w:val="Assessment Section"/>
    <w:basedOn w:val="AssessmentSubsection"/>
    <w:next w:val="Standard"/>
    <w:rsid w:val="00FB54A6"/>
    <w:pPr>
      <w:outlineLvl w:val="1"/>
    </w:pPr>
    <w:rPr>
      <w:i w:val="0"/>
    </w:rPr>
  </w:style>
  <w:style w:type="paragraph" w:styleId="ListParagraph">
    <w:name w:val="List Paragraph"/>
    <w:basedOn w:val="Normal"/>
    <w:uiPriority w:val="34"/>
    <w:qFormat/>
    <w:rsid w:val="004E656F"/>
    <w:pPr>
      <w:adjustRightInd w:val="0"/>
      <w:snapToGrid w:val="0"/>
      <w:spacing w:before="180" w:after="180"/>
      <w:ind w:left="720"/>
      <w:contextualSpacing/>
    </w:pPr>
    <w:rPr>
      <w:rFonts w:ascii="Arial" w:hAnsi="Arial" w:cs="Arial"/>
    </w:rPr>
  </w:style>
  <w:style w:type="paragraph" w:customStyle="1" w:styleId="Default">
    <w:name w:val="Default"/>
    <w:rsid w:val="00D657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1">
    <w:name w:val="Bullet 1"/>
    <w:basedOn w:val="Normal"/>
    <w:rsid w:val="00DF1CAE"/>
    <w:pPr>
      <w:numPr>
        <w:numId w:val="18"/>
      </w:numPr>
      <w:spacing w:after="0" w:line="240" w:lineRule="auto"/>
    </w:pPr>
    <w:rPr>
      <w:rFonts w:eastAsia="Times New Roman"/>
      <w:kern w:val="24"/>
      <w:lang w:eastAsia="en-AU"/>
    </w:rPr>
  </w:style>
  <w:style w:type="paragraph" w:styleId="CommentSubject">
    <w:name w:val="annotation subject"/>
    <w:basedOn w:val="CommentText"/>
    <w:next w:val="CommentText"/>
    <w:link w:val="CommentSubjectChar"/>
    <w:uiPriority w:val="99"/>
    <w:semiHidden/>
    <w:unhideWhenUsed/>
    <w:rsid w:val="0031032E"/>
    <w:rPr>
      <w:rFonts w:eastAsia="Cambria"/>
      <w:b/>
      <w:bCs/>
    </w:rPr>
  </w:style>
  <w:style w:type="character" w:customStyle="1" w:styleId="CommentSubjectChar">
    <w:name w:val="Comment Subject Char"/>
    <w:basedOn w:val="CommentTextChar"/>
    <w:link w:val="CommentSubject"/>
    <w:uiPriority w:val="99"/>
    <w:semiHidden/>
    <w:rsid w:val="0031032E"/>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numbering" w:customStyle="1" w:styleId="DocumentMap">
    <w:name w:val="1ai"/>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rmp.coordinator@tga.gov.au" TargetMode="External"/><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hyperlink" Target="http://www.tga.gov.au/hp/information-medicines-pi.htm"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07B2A-A6C5-4D00-B44B-C8ABCFB8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Aclasta(2).dotx</Template>
  <TotalTime>118</TotalTime>
  <Pages>61</Pages>
  <Words>22978</Words>
  <Characters>130980</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Australian public assessment for nonacog gamma</vt:lpstr>
    </vt:vector>
  </TitlesOfParts>
  <Company>Department of Health Therapeutic Goods Administration</Company>
  <LinksUpToDate>false</LinksUpToDate>
  <CharactersWithSpaces>153651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nonacog gamma</dc:title>
  <dc:subject>prescription medicine regulation</dc:subject>
  <dc:creator>Therapeutic Goods Administration</dc:creator>
  <cp:keywords>auspar, prescription, medicine, assessment, regulation, australia, nonacog, gamma, rixubis, baxter, healthcare</cp:keywords>
  <cp:lastModifiedBy>dixonj</cp:lastModifiedBy>
  <cp:revision>46</cp:revision>
  <cp:lastPrinted>2014-03-18T05:12:00Z</cp:lastPrinted>
  <dcterms:created xsi:type="dcterms:W3CDTF">2014-04-11T06:33:00Z</dcterms:created>
  <dcterms:modified xsi:type="dcterms:W3CDTF">2014-05-21T03:58:00Z</dcterms:modified>
  <cp:category>external publication</cp:category>
</cp:coreProperties>
</file>