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1F9C2" w14:textId="5216BE84" w:rsidR="00467044" w:rsidRDefault="00467044" w:rsidP="00467044">
      <w:pPr>
        <w:pStyle w:val="Heading1"/>
      </w:pPr>
      <w:r w:rsidRPr="008F3287">
        <w:rPr>
          <w:rFonts w:asciiTheme="minorHAnsi" w:eastAsia="Times New Roman" w:hAnsiTheme="minorHAnsi" w:cs="Arial"/>
          <w:b w:val="0"/>
          <w:bCs w:val="0"/>
          <w:noProof/>
          <w:sz w:val="22"/>
          <w:szCs w:val="22"/>
          <w:lang w:eastAsia="en-AU"/>
        </w:rPr>
        <mc:AlternateContent>
          <mc:Choice Requires="wps">
            <w:drawing>
              <wp:inline distT="0" distB="0" distL="0" distR="0" wp14:anchorId="6BA74B0F" wp14:editId="0BF77883">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A664C" w14:textId="77777777" w:rsidR="009F5CDA" w:rsidRPr="00BE2A26" w:rsidRDefault="009F5CDA" w:rsidP="00467044">
                            <w:pPr>
                              <w:rPr>
                                <w:rFonts w:ascii="Wingdings 3" w:hAnsi="Wingdings 3"/>
                              </w:rPr>
                            </w:pPr>
                            <w:r w:rsidRPr="00BE2A26">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6BA74B0F"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7CFA664C" w14:textId="77777777" w:rsidR="009F5CDA" w:rsidRPr="00BE2A26" w:rsidRDefault="009F5CDA" w:rsidP="00467044">
                      <w:pPr>
                        <w:rPr>
                          <w:rFonts w:ascii="Wingdings 3" w:hAnsi="Wingdings 3"/>
                        </w:rPr>
                      </w:pPr>
                      <w:r w:rsidRPr="00BE2A26">
                        <w:rPr>
                          <w:rFonts w:ascii="SimSun" w:eastAsia="SimSun" w:hAnsi="SimSun" w:hint="eastAsia"/>
                          <w:sz w:val="40"/>
                        </w:rPr>
                        <w:t>▼</w:t>
                      </w:r>
                    </w:p>
                  </w:txbxContent>
                </v:textbox>
                <w10:anchorlock/>
              </v:shape>
            </w:pict>
          </mc:Fallback>
        </mc:AlternateContent>
      </w:r>
      <w:r w:rsidRPr="008F3287">
        <w:rPr>
          <w:rFonts w:asciiTheme="majorHAnsi" w:eastAsia="Times New Roman" w:hAnsiTheme="majorHAnsi" w:cs="Arial"/>
          <w:b w:val="0"/>
          <w:bCs w:val="0"/>
          <w:sz w:val="22"/>
          <w:szCs w:val="22"/>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8F3287">
          <w:rPr>
            <w:rFonts w:asciiTheme="majorHAnsi" w:eastAsia="Times New Roman" w:hAnsiTheme="majorHAnsi" w:cs="Arial"/>
            <w:b w:val="0"/>
            <w:bCs w:val="0"/>
            <w:color w:val="0000FF" w:themeColor="hyperlink"/>
            <w:sz w:val="22"/>
            <w:szCs w:val="22"/>
            <w:u w:val="single"/>
          </w:rPr>
          <w:t>https://www.tga.gov.au/reporting-problems</w:t>
        </w:r>
      </w:hyperlink>
      <w:r w:rsidRPr="008F3287">
        <w:rPr>
          <w:rFonts w:asciiTheme="majorHAnsi" w:eastAsia="Times New Roman" w:hAnsiTheme="majorHAnsi" w:cs="Arial"/>
          <w:b w:val="0"/>
          <w:bCs w:val="0"/>
          <w:sz w:val="22"/>
          <w:szCs w:val="22"/>
        </w:rPr>
        <w:t>.</w:t>
      </w:r>
    </w:p>
    <w:p w14:paraId="705B44BD" w14:textId="47D762C5" w:rsidR="003F6359" w:rsidRDefault="003F6359" w:rsidP="00222422">
      <w:pPr>
        <w:pStyle w:val="Heading1"/>
      </w:pPr>
      <w:r w:rsidRPr="003F6359">
        <w:t>A</w:t>
      </w:r>
      <w:r>
        <w:t>USTRALIAN PRODUCT INFORMATION</w:t>
      </w:r>
    </w:p>
    <w:p w14:paraId="705B44BE" w14:textId="08C70444" w:rsidR="00AB3CBC" w:rsidRPr="00D42632" w:rsidRDefault="00D5043E" w:rsidP="00222422">
      <w:pPr>
        <w:pStyle w:val="Heading1"/>
      </w:pPr>
      <w:r w:rsidRPr="00D42632">
        <w:t>Refixia</w:t>
      </w:r>
      <w:r w:rsidR="0096463B" w:rsidRPr="00D42632">
        <w:rPr>
          <w:vertAlign w:val="superscript"/>
        </w:rPr>
        <w:t>®</w:t>
      </w:r>
      <w:r w:rsidR="003F6359" w:rsidRPr="00D42632">
        <w:t xml:space="preserve"> </w:t>
      </w:r>
      <w:r w:rsidRPr="00D42632">
        <w:t>(nonacog beta pegol)</w:t>
      </w:r>
    </w:p>
    <w:p w14:paraId="705B44BF" w14:textId="77777777" w:rsidR="003F6359" w:rsidRPr="00D42632" w:rsidRDefault="003F6359" w:rsidP="00222422">
      <w:pPr>
        <w:pStyle w:val="Heading2"/>
      </w:pPr>
    </w:p>
    <w:p w14:paraId="705B44C0" w14:textId="77777777" w:rsidR="003F6359" w:rsidRDefault="003F6359" w:rsidP="003003D2">
      <w:pPr>
        <w:pStyle w:val="Heading2"/>
        <w:spacing w:before="240" w:after="240"/>
      </w:pPr>
      <w:r>
        <w:t>1.</w:t>
      </w:r>
      <w:r>
        <w:tab/>
        <w:t>NAME OF THE MEDICINE</w:t>
      </w:r>
    </w:p>
    <w:p w14:paraId="705B44C1" w14:textId="3098F5A8" w:rsidR="00D5043E" w:rsidRDefault="00BB1C19" w:rsidP="00222422">
      <w:r>
        <w:t>N</w:t>
      </w:r>
      <w:r w:rsidR="001B7697">
        <w:t>onacog beta pegol</w:t>
      </w:r>
      <w:r w:rsidR="00D5043E">
        <w:t xml:space="preserve"> 500 IU powder and solvent for solution for injection</w:t>
      </w:r>
    </w:p>
    <w:p w14:paraId="705B44C2" w14:textId="0919047D" w:rsidR="00D5043E" w:rsidRDefault="00BB1C19" w:rsidP="00222422">
      <w:r>
        <w:t>N</w:t>
      </w:r>
      <w:r w:rsidR="001B7697">
        <w:t xml:space="preserve">onacog beta pegol </w:t>
      </w:r>
      <w:r w:rsidR="00D5043E">
        <w:t>1000 IU powder and solvent for solution for injection</w:t>
      </w:r>
    </w:p>
    <w:p w14:paraId="705B44C3" w14:textId="150DDD0C" w:rsidR="003F6359" w:rsidRDefault="00BB1C19" w:rsidP="00222422">
      <w:r>
        <w:t>N</w:t>
      </w:r>
      <w:r w:rsidR="001B7697">
        <w:t xml:space="preserve">onacog beta pegol </w:t>
      </w:r>
      <w:r w:rsidR="00D5043E">
        <w:t>2000 IU powder and solvent for solution for injection</w:t>
      </w:r>
    </w:p>
    <w:p w14:paraId="705B44C4" w14:textId="77777777" w:rsidR="003F6359" w:rsidRDefault="003F6359" w:rsidP="00222422"/>
    <w:p w14:paraId="705B44C5" w14:textId="77777777" w:rsidR="003F6359" w:rsidRDefault="003F6359" w:rsidP="003003D2">
      <w:pPr>
        <w:pStyle w:val="Heading2"/>
        <w:spacing w:after="240"/>
      </w:pPr>
      <w:r>
        <w:t>2.</w:t>
      </w:r>
      <w:r>
        <w:tab/>
        <w:t>QUALITATIVE AND QUANTITATIVE COMPOSITION</w:t>
      </w:r>
    </w:p>
    <w:p w14:paraId="705B44C6" w14:textId="55FB4B37" w:rsidR="00D5043E" w:rsidRDefault="00D5043E" w:rsidP="00222422">
      <w:r>
        <w:t>Each vial contains nominally 500 IU, 1000 IU or 2000 IU nonacog beta pegol.</w:t>
      </w:r>
    </w:p>
    <w:p w14:paraId="705B44C7" w14:textId="77777777" w:rsidR="00D5043E" w:rsidRDefault="00D5043E" w:rsidP="00222422"/>
    <w:p w14:paraId="705B44C8" w14:textId="248164C2" w:rsidR="00D5043E" w:rsidRDefault="00D5043E" w:rsidP="00222422">
      <w:r>
        <w:t>One ml of the solution contains approximately 125 IU, 250 IU or 500 IU nonacog beta pegol, respectively after reconstitution with the accompanying histidine solvent.</w:t>
      </w:r>
    </w:p>
    <w:p w14:paraId="705B44C9" w14:textId="77777777" w:rsidR="00D5043E" w:rsidRDefault="00D5043E" w:rsidP="00222422"/>
    <w:p w14:paraId="705B44CA" w14:textId="13032FE9" w:rsidR="00D5043E" w:rsidRDefault="00D5043E" w:rsidP="00222422">
      <w:r>
        <w:t>The potency (IU) is determined using European Pharmacopoeia one stage clotting assay. The nominal specific activity of Refixia is 152 IU/mg protein.</w:t>
      </w:r>
    </w:p>
    <w:p w14:paraId="705B44CB" w14:textId="77777777" w:rsidR="00D5043E" w:rsidRDefault="00D5043E" w:rsidP="00222422"/>
    <w:p w14:paraId="705B44CC" w14:textId="77777777" w:rsidR="00D56FBE" w:rsidRDefault="00D5043E" w:rsidP="00222422">
      <w:r>
        <w:t>Powder and solvent for solution for injection.</w:t>
      </w:r>
    </w:p>
    <w:p w14:paraId="705B44CD" w14:textId="77777777" w:rsidR="00D5043E" w:rsidRDefault="00D5043E" w:rsidP="00222422"/>
    <w:p w14:paraId="705B44CE" w14:textId="77777777" w:rsidR="00D5043E" w:rsidRDefault="00D5043E" w:rsidP="00222422">
      <w:r>
        <w:t xml:space="preserve">Refixia is a purified recombinant human factor IX (rFIX) with a 40 </w:t>
      </w:r>
      <w:proofErr w:type="spellStart"/>
      <w:r>
        <w:t>kDa</w:t>
      </w:r>
      <w:proofErr w:type="spellEnd"/>
      <w:r>
        <w:t xml:space="preserve"> polyethylene-glycol (PEG) conjugated to the protein. The average molecular weight of Refixia is approximately 98 </w:t>
      </w:r>
      <w:proofErr w:type="spellStart"/>
      <w:r>
        <w:t>kDa</w:t>
      </w:r>
      <w:proofErr w:type="spellEnd"/>
      <w:r>
        <w:t xml:space="preserve"> and the molecular weight of the protein moiety alone is 56 </w:t>
      </w:r>
      <w:proofErr w:type="spellStart"/>
      <w:r>
        <w:t>kDa</w:t>
      </w:r>
      <w:proofErr w:type="spellEnd"/>
      <w:r>
        <w:t>. The rFIX protein in</w:t>
      </w:r>
    </w:p>
    <w:p w14:paraId="705B44CF" w14:textId="77777777" w:rsidR="00D5043E" w:rsidRDefault="00D5043E" w:rsidP="00222422">
      <w:r>
        <w:t>Refixia consists of a gamma-</w:t>
      </w:r>
      <w:proofErr w:type="spellStart"/>
      <w:r>
        <w:t>carboxylated</w:t>
      </w:r>
      <w:proofErr w:type="spellEnd"/>
      <w:r>
        <w:t xml:space="preserve"> domain (</w:t>
      </w:r>
      <w:proofErr w:type="spellStart"/>
      <w:r>
        <w:t>Gla</w:t>
      </w:r>
      <w:proofErr w:type="spellEnd"/>
      <w:r>
        <w:t xml:space="preserve"> domain), two epidermal growth factor-like (EGF-like) domains, an activation peptide (which is cleaved off upon activation) and a protease domain. A 40 </w:t>
      </w:r>
      <w:proofErr w:type="spellStart"/>
      <w:r>
        <w:t>kDa</w:t>
      </w:r>
      <w:proofErr w:type="spellEnd"/>
      <w:r>
        <w:t xml:space="preserve"> PEG-group is selectively attached to specific N-linked glycans in the rFIX</w:t>
      </w:r>
      <w:r w:rsidR="00011129">
        <w:t xml:space="preserve"> a</w:t>
      </w:r>
      <w:r>
        <w:t xml:space="preserve">ctivation peptide, with </w:t>
      </w:r>
      <w:proofErr w:type="spellStart"/>
      <w:r>
        <w:t>monoPEGylated</w:t>
      </w:r>
      <w:proofErr w:type="spellEnd"/>
      <w:r>
        <w:t xml:space="preserve"> </w:t>
      </w:r>
      <w:proofErr w:type="spellStart"/>
      <w:r>
        <w:t>rFIX</w:t>
      </w:r>
      <w:proofErr w:type="spellEnd"/>
      <w:r>
        <w:t xml:space="preserve"> as the predominant form of</w:t>
      </w:r>
    </w:p>
    <w:p w14:paraId="705B44D0" w14:textId="7C51B16B" w:rsidR="00D5043E" w:rsidRDefault="00011129" w:rsidP="00222422">
      <w:r>
        <w:t>Refixia</w:t>
      </w:r>
      <w:r w:rsidR="00D5043E">
        <w:t>. Once activated, the resulting rFIX has structural and</w:t>
      </w:r>
      <w:r>
        <w:t xml:space="preserve"> </w:t>
      </w:r>
      <w:r w:rsidR="00D5043E">
        <w:t>functional properties similar to those of plasma derived factor IX.</w:t>
      </w:r>
    </w:p>
    <w:p w14:paraId="705B44D1" w14:textId="77777777" w:rsidR="00011129" w:rsidRDefault="00011129" w:rsidP="00222422"/>
    <w:p w14:paraId="705B44D2" w14:textId="6510436A" w:rsidR="00D5043E" w:rsidRDefault="00011129" w:rsidP="00222422">
      <w:r>
        <w:t>Refixia</w:t>
      </w:r>
      <w:r w:rsidR="00D5043E">
        <w:t xml:space="preserve"> is produced by recombinant DNA technology in Chinese</w:t>
      </w:r>
      <w:r>
        <w:t xml:space="preserve"> </w:t>
      </w:r>
      <w:r w:rsidR="00D5043E">
        <w:t>Hamster Ovary (CHO) cells.</w:t>
      </w:r>
    </w:p>
    <w:p w14:paraId="705B44D3" w14:textId="77777777" w:rsidR="00011129" w:rsidRDefault="00011129" w:rsidP="00222422"/>
    <w:p w14:paraId="705B44D4" w14:textId="77777777" w:rsidR="00011129" w:rsidRDefault="00011129" w:rsidP="00222422">
      <w:r>
        <w:t>No additives of human or animal origin are used in the cell culture, purification, conjugation and formulation of Refixia.</w:t>
      </w:r>
    </w:p>
    <w:p w14:paraId="705B44D5" w14:textId="77777777" w:rsidR="00011129" w:rsidRDefault="00011129" w:rsidP="00222422"/>
    <w:p w14:paraId="705B44D6" w14:textId="3BF728ED" w:rsidR="00011129" w:rsidRDefault="00011129" w:rsidP="00222422">
      <w:r>
        <w:lastRenderedPageBreak/>
        <w:t>The rFIX protein is purified by a series of chromatographic steps, including an affinity chromatography step using a monoclonal antibody, expressed in CHO cells, to selectively isolate rFIX from the cell culture medium. The conjugation of the PEG-group is done by an enzymatic reaction during the purification of Refixia. The production process includes two dedicated and validated viral clearance steps, namely a detergent treatment step for inactivation and a 20 nm filtration step for removal of viruses.</w:t>
      </w:r>
    </w:p>
    <w:p w14:paraId="705B44D7" w14:textId="77777777" w:rsidR="00D56FBE" w:rsidRDefault="00D56FBE" w:rsidP="003003D2">
      <w:pPr>
        <w:pStyle w:val="Heading2"/>
        <w:spacing w:after="240"/>
      </w:pPr>
      <w:r>
        <w:t xml:space="preserve">3. </w:t>
      </w:r>
      <w:r>
        <w:tab/>
        <w:t>PHARMACEUTICAL FORM</w:t>
      </w:r>
    </w:p>
    <w:p w14:paraId="705B44D8" w14:textId="77777777" w:rsidR="004F1160" w:rsidRDefault="004F1160" w:rsidP="00222422">
      <w:r>
        <w:t>Powder and solvent for solution for injection.</w:t>
      </w:r>
      <w:r w:rsidR="007471E9">
        <w:t xml:space="preserve"> For intravenous use.</w:t>
      </w:r>
    </w:p>
    <w:p w14:paraId="705B44D9" w14:textId="77777777" w:rsidR="004F1160" w:rsidRDefault="004F1160" w:rsidP="00222422"/>
    <w:p w14:paraId="705B44DA" w14:textId="13E9E9C3" w:rsidR="004F1160" w:rsidRDefault="004F1160" w:rsidP="00222422">
      <w:r>
        <w:t xml:space="preserve">The </w:t>
      </w:r>
      <w:r w:rsidR="00A40BEE">
        <w:t xml:space="preserve">lyophilised </w:t>
      </w:r>
      <w:r>
        <w:t>powder is white to off-white.</w:t>
      </w:r>
    </w:p>
    <w:p w14:paraId="705B44DB" w14:textId="77777777" w:rsidR="004F1160" w:rsidRDefault="004F1160" w:rsidP="00222422"/>
    <w:p w14:paraId="705B44DC" w14:textId="0FB99344" w:rsidR="004F1160" w:rsidRDefault="004F1160" w:rsidP="00222422">
      <w:r>
        <w:t>The solvent is clear and colourless</w:t>
      </w:r>
      <w:r w:rsidR="007471E9">
        <w:t>, free from visible particles</w:t>
      </w:r>
      <w:r>
        <w:t xml:space="preserve">. </w:t>
      </w:r>
    </w:p>
    <w:p w14:paraId="705B44DD" w14:textId="77777777" w:rsidR="007471E9" w:rsidRDefault="007471E9" w:rsidP="00222422"/>
    <w:p w14:paraId="705B44DE" w14:textId="77777777" w:rsidR="00D56FBE" w:rsidRDefault="007471E9" w:rsidP="00222422">
      <w:r>
        <w:t>Refixia is sterile, pyrogen-free and free of preservatives.</w:t>
      </w:r>
    </w:p>
    <w:p w14:paraId="705B44DF" w14:textId="77777777" w:rsidR="00D56FBE" w:rsidRDefault="00D56FBE" w:rsidP="00222422">
      <w:pPr>
        <w:pStyle w:val="Heading2"/>
      </w:pPr>
      <w:r>
        <w:t xml:space="preserve">4. </w:t>
      </w:r>
      <w:r>
        <w:tab/>
        <w:t>CLINICAL PARTICULARS</w:t>
      </w:r>
    </w:p>
    <w:p w14:paraId="705B44E0" w14:textId="5D535EBC" w:rsidR="00D56FBE" w:rsidRDefault="00D56FBE" w:rsidP="00222422">
      <w:pPr>
        <w:pStyle w:val="Heading3"/>
      </w:pPr>
      <w:r w:rsidRPr="00D56FBE">
        <w:t>4.1</w:t>
      </w:r>
      <w:r>
        <w:tab/>
        <w:t>Therapeutic Indications</w:t>
      </w:r>
    </w:p>
    <w:p w14:paraId="705B44E4" w14:textId="2840231F" w:rsidR="00D56FBE" w:rsidRDefault="004F1160" w:rsidP="00222422">
      <w:r>
        <w:t xml:space="preserve">Treatment and prophylaxis of bleeding in patients </w:t>
      </w:r>
      <w:r w:rsidR="00B732FB">
        <w:t>1</w:t>
      </w:r>
      <w:r w:rsidR="00B732FB" w:rsidRPr="00B732FB">
        <w:t xml:space="preserve">2 years and above </w:t>
      </w:r>
      <w:r>
        <w:t>with haemophilia B (congenital factor IX deficiency).</w:t>
      </w:r>
    </w:p>
    <w:p w14:paraId="705B44E5" w14:textId="77777777" w:rsidR="00D56FBE" w:rsidRDefault="00D56FBE" w:rsidP="00222422">
      <w:pPr>
        <w:pStyle w:val="Heading3"/>
      </w:pPr>
      <w:r>
        <w:t xml:space="preserve">4.2 </w:t>
      </w:r>
      <w:r>
        <w:tab/>
        <w:t>Dose and Method of Administration</w:t>
      </w:r>
    </w:p>
    <w:p w14:paraId="705B44E6" w14:textId="77777777" w:rsidR="00D56FBE" w:rsidRDefault="00D56FBE" w:rsidP="003003D2">
      <w:pPr>
        <w:pStyle w:val="Heading4"/>
        <w:spacing w:before="0"/>
      </w:pPr>
      <w:r>
        <w:t>Dosage</w:t>
      </w:r>
    </w:p>
    <w:p w14:paraId="705B44E7" w14:textId="77777777" w:rsidR="002C52F2" w:rsidRDefault="002C52F2" w:rsidP="00222422">
      <w:r>
        <w:t>Treatment should be initiated under the supervision of a health care professional experienced in the treatment of haemophilia.</w:t>
      </w:r>
    </w:p>
    <w:p w14:paraId="705B44E8" w14:textId="77777777" w:rsidR="002C52F2" w:rsidRPr="002C52F2" w:rsidRDefault="002C52F2" w:rsidP="00222422">
      <w:pPr>
        <w:pStyle w:val="Heading6"/>
      </w:pPr>
      <w:r w:rsidRPr="002C52F2">
        <w:t>Routine prophylaxis:</w:t>
      </w:r>
    </w:p>
    <w:p w14:paraId="705B44E9" w14:textId="626633A0" w:rsidR="002C52F2" w:rsidRDefault="002C52F2" w:rsidP="00222422">
      <w:r>
        <w:t>40 IU/kg body weight once weekly.</w:t>
      </w:r>
      <w:r w:rsidR="00B732FB">
        <w:t xml:space="preserve"> </w:t>
      </w:r>
    </w:p>
    <w:p w14:paraId="7B2645DC" w14:textId="77777777" w:rsidR="00B732FB" w:rsidRDefault="00B732FB" w:rsidP="00222422"/>
    <w:p w14:paraId="225747C4" w14:textId="77777777" w:rsidR="0080118F" w:rsidRDefault="002C52F2" w:rsidP="00222422">
      <w:r>
        <w:t xml:space="preserve">Routine monitoring of factor IX activity levels for the purpose of dose adjustment is not required. In the clinical trial programme, dose adjustment was not performed. Mean steady state factor IX trough levels above 15% were observed for all age groups, </w:t>
      </w:r>
      <w:r w:rsidRPr="00E638E3">
        <w:t xml:space="preserve">see section </w:t>
      </w:r>
      <w:r w:rsidR="00E638E3">
        <w:t>5.2</w:t>
      </w:r>
      <w:r>
        <w:t xml:space="preserve"> for details.</w:t>
      </w:r>
      <w:r w:rsidR="0080118F">
        <w:t xml:space="preserve"> </w:t>
      </w:r>
    </w:p>
    <w:p w14:paraId="1BE6F604" w14:textId="77777777" w:rsidR="0080118F" w:rsidRDefault="0080118F" w:rsidP="00222422"/>
    <w:p w14:paraId="705B44EA" w14:textId="076FA270" w:rsidR="002C52F2" w:rsidRDefault="0080118F" w:rsidP="00222422">
      <w:r>
        <w:t>Ad</w:t>
      </w:r>
      <w:r w:rsidRPr="00B732FB">
        <w:t xml:space="preserve">justments of doses and administration intervals may be considered based on achieved FIX levels </w:t>
      </w:r>
      <w:r w:rsidR="00796612">
        <w:t xml:space="preserve">(see section 5.2 for guidance on monitoring assays) </w:t>
      </w:r>
      <w:r w:rsidRPr="00B732FB">
        <w:t>and individual bleeding tendency.</w:t>
      </w:r>
    </w:p>
    <w:p w14:paraId="705B44EB" w14:textId="05D77F75" w:rsidR="002C52F2" w:rsidRDefault="002C52F2" w:rsidP="00222422">
      <w:pPr>
        <w:pStyle w:val="Heading6"/>
      </w:pPr>
      <w:r>
        <w:t>Bleeding episodes:</w:t>
      </w:r>
    </w:p>
    <w:p w14:paraId="705B44ED" w14:textId="3F9020AC" w:rsidR="002C52F2" w:rsidRDefault="002C52F2" w:rsidP="00222422">
      <w:r>
        <w:t>The dose and duration of the replacement therapy depends on the location and severity of the bleeding, see Table 1.</w:t>
      </w:r>
    </w:p>
    <w:p w14:paraId="33191274" w14:textId="77777777" w:rsidR="005F081D" w:rsidRDefault="005F081D" w:rsidP="00222422"/>
    <w:p w14:paraId="705B44EE" w14:textId="7BBA3F3D" w:rsidR="002C52F2" w:rsidRDefault="002C52F2" w:rsidP="00222422">
      <w:r>
        <w:t xml:space="preserve">Table </w:t>
      </w:r>
      <w:r w:rsidR="00331E13" w:rsidRPr="00121E71">
        <w:rPr>
          <w:lang w:val="en-GB"/>
        </w:rPr>
        <w:fldChar w:fldCharType="begin"/>
      </w:r>
      <w:r w:rsidR="00331E13" w:rsidRPr="00121E71">
        <w:rPr>
          <w:lang w:val="en-GB"/>
        </w:rPr>
        <w:instrText xml:space="preserve"> SEQ Table \* ARABIC </w:instrText>
      </w:r>
      <w:r w:rsidR="00331E13" w:rsidRPr="00121E71">
        <w:rPr>
          <w:lang w:val="en-GB"/>
        </w:rPr>
        <w:fldChar w:fldCharType="separate"/>
      </w:r>
      <w:r w:rsidR="00331E13">
        <w:rPr>
          <w:noProof/>
          <w:lang w:val="en-GB"/>
        </w:rPr>
        <w:t>1</w:t>
      </w:r>
      <w:r w:rsidR="00331E13" w:rsidRPr="00121E71">
        <w:rPr>
          <w:lang w:val="en-GB"/>
        </w:rPr>
        <w:fldChar w:fldCharType="end"/>
      </w:r>
      <w:r>
        <w:t>: Treatment of bleeding episodes with Refixia</w:t>
      </w:r>
    </w:p>
    <w:tbl>
      <w:tblPr>
        <w:tblStyle w:val="TableGrid"/>
        <w:tblW w:w="0" w:type="auto"/>
        <w:tblLook w:val="04A0" w:firstRow="1" w:lastRow="0" w:firstColumn="1" w:lastColumn="0" w:noHBand="0" w:noVBand="1"/>
      </w:tblPr>
      <w:tblGrid>
        <w:gridCol w:w="3944"/>
        <w:gridCol w:w="2528"/>
        <w:gridCol w:w="2544"/>
      </w:tblGrid>
      <w:tr w:rsidR="002C52F2" w14:paraId="705B44F2" w14:textId="77777777" w:rsidTr="002C52F2">
        <w:tc>
          <w:tcPr>
            <w:tcW w:w="4077" w:type="dxa"/>
          </w:tcPr>
          <w:p w14:paraId="705B44EF" w14:textId="77777777" w:rsidR="002C52F2" w:rsidRPr="002C52F2" w:rsidRDefault="002C52F2" w:rsidP="00222422">
            <w:r>
              <w:t>Type of bleeding</w:t>
            </w:r>
          </w:p>
        </w:tc>
        <w:tc>
          <w:tcPr>
            <w:tcW w:w="2582" w:type="dxa"/>
          </w:tcPr>
          <w:p w14:paraId="705B44F0" w14:textId="77777777" w:rsidR="002C52F2" w:rsidRPr="002C52F2" w:rsidRDefault="002C52F2" w:rsidP="00222422">
            <w:r w:rsidRPr="002C52F2">
              <w:t>Recommended dose IU/kg body weight</w:t>
            </w:r>
          </w:p>
        </w:tc>
        <w:tc>
          <w:tcPr>
            <w:tcW w:w="2583" w:type="dxa"/>
          </w:tcPr>
          <w:p w14:paraId="705B44F1" w14:textId="77777777" w:rsidR="002C52F2" w:rsidRPr="002C52F2" w:rsidRDefault="002C52F2" w:rsidP="00222422">
            <w:r>
              <w:t>Dosing recommendations</w:t>
            </w:r>
          </w:p>
        </w:tc>
      </w:tr>
      <w:tr w:rsidR="002C52F2" w14:paraId="705B44F7" w14:textId="77777777" w:rsidTr="002C52F2">
        <w:tc>
          <w:tcPr>
            <w:tcW w:w="4077" w:type="dxa"/>
          </w:tcPr>
          <w:p w14:paraId="705B44F3" w14:textId="77777777" w:rsidR="002C52F2" w:rsidRDefault="002C52F2" w:rsidP="00222422">
            <w:r>
              <w:t>Mild and moderate:</w:t>
            </w:r>
          </w:p>
          <w:p w14:paraId="705B44F4" w14:textId="77777777" w:rsidR="002C52F2" w:rsidRDefault="002C52F2" w:rsidP="00222422">
            <w:r>
              <w:t xml:space="preserve">Uncomplicated </w:t>
            </w:r>
            <w:proofErr w:type="spellStart"/>
            <w:r>
              <w:t>haemarthrosis</w:t>
            </w:r>
            <w:proofErr w:type="spellEnd"/>
            <w:r>
              <w:t>, muscle bleed, oral bleed or haematoma.</w:t>
            </w:r>
          </w:p>
        </w:tc>
        <w:tc>
          <w:tcPr>
            <w:tcW w:w="2582" w:type="dxa"/>
          </w:tcPr>
          <w:p w14:paraId="705B44F5" w14:textId="77777777" w:rsidR="002C52F2" w:rsidRDefault="002C52F2" w:rsidP="00222422">
            <w:r>
              <w:t>40</w:t>
            </w:r>
          </w:p>
        </w:tc>
        <w:tc>
          <w:tcPr>
            <w:tcW w:w="2583" w:type="dxa"/>
          </w:tcPr>
          <w:p w14:paraId="705B44F6" w14:textId="14CDE4FD" w:rsidR="002C52F2" w:rsidRDefault="002C52F2" w:rsidP="002779D2">
            <w:r>
              <w:t>A single dose is recommended.</w:t>
            </w:r>
          </w:p>
        </w:tc>
      </w:tr>
      <w:tr w:rsidR="002C52F2" w14:paraId="705B44FE" w14:textId="77777777" w:rsidTr="002C52F2">
        <w:tc>
          <w:tcPr>
            <w:tcW w:w="4077" w:type="dxa"/>
          </w:tcPr>
          <w:p w14:paraId="705B44F8" w14:textId="77777777" w:rsidR="002C52F2" w:rsidRDefault="002C52F2" w:rsidP="00222422">
            <w:r>
              <w:lastRenderedPageBreak/>
              <w:t>Severe and life</w:t>
            </w:r>
          </w:p>
          <w:p w14:paraId="705B44F9" w14:textId="77777777" w:rsidR="002C52F2" w:rsidRDefault="002C52F2" w:rsidP="00222422">
            <w:r>
              <w:t>threatening:</w:t>
            </w:r>
          </w:p>
          <w:p w14:paraId="705B44FA" w14:textId="77777777" w:rsidR="002C52F2" w:rsidRDefault="002C52F2" w:rsidP="00222422">
            <w:r>
              <w:t>Iliopsoas, significant muscle</w:t>
            </w:r>
          </w:p>
          <w:p w14:paraId="705B44FB" w14:textId="77777777" w:rsidR="002C52F2" w:rsidRDefault="002C52F2" w:rsidP="00222422">
            <w:r>
              <w:t>bleed, pharyngeal, retroperitoneal, retropharyngeal, CNS.</w:t>
            </w:r>
          </w:p>
        </w:tc>
        <w:tc>
          <w:tcPr>
            <w:tcW w:w="2582" w:type="dxa"/>
          </w:tcPr>
          <w:p w14:paraId="705B44FC" w14:textId="77777777" w:rsidR="002C52F2" w:rsidRDefault="002C52F2" w:rsidP="00222422">
            <w:r>
              <w:t>80</w:t>
            </w:r>
          </w:p>
        </w:tc>
        <w:tc>
          <w:tcPr>
            <w:tcW w:w="2583" w:type="dxa"/>
          </w:tcPr>
          <w:p w14:paraId="705B44FD" w14:textId="77777777" w:rsidR="002C52F2" w:rsidRDefault="002C52F2" w:rsidP="00222422">
            <w:r>
              <w:t>Additional doses of 40 IU/kg can be given.</w:t>
            </w:r>
          </w:p>
        </w:tc>
      </w:tr>
    </w:tbl>
    <w:p w14:paraId="705B44FF" w14:textId="3741686C" w:rsidR="002C52F2" w:rsidRPr="00A56E03" w:rsidRDefault="002C52F2" w:rsidP="00222422">
      <w:pPr>
        <w:pStyle w:val="Heading6"/>
      </w:pPr>
      <w:r w:rsidRPr="00467044">
        <w:t>Surgery:</w:t>
      </w:r>
    </w:p>
    <w:p w14:paraId="705B4500" w14:textId="77777777" w:rsidR="002C52F2" w:rsidRPr="00467044" w:rsidRDefault="002C52F2" w:rsidP="00222422">
      <w:r w:rsidRPr="00467044">
        <w:t>The dose level and dosing intervals for surgery depend on the procedure and local practice. General recommendations are provided in Table 2.</w:t>
      </w:r>
    </w:p>
    <w:p w14:paraId="705B4501" w14:textId="77777777" w:rsidR="002C52F2" w:rsidRPr="00467044" w:rsidRDefault="002C52F2" w:rsidP="00222422"/>
    <w:p w14:paraId="705B4502" w14:textId="4FC2E2FD" w:rsidR="002C52F2" w:rsidRPr="00467044" w:rsidRDefault="002C52F2" w:rsidP="00222422">
      <w:r w:rsidRPr="00467044">
        <w:t xml:space="preserve">Table </w:t>
      </w:r>
      <w:r w:rsidR="00331E13" w:rsidRPr="00121E71">
        <w:rPr>
          <w:lang w:val="en-GB"/>
        </w:rPr>
        <w:fldChar w:fldCharType="begin"/>
      </w:r>
      <w:r w:rsidR="00331E13" w:rsidRPr="00121E71">
        <w:rPr>
          <w:lang w:val="en-GB"/>
        </w:rPr>
        <w:instrText xml:space="preserve"> SEQ Table \* ARABIC </w:instrText>
      </w:r>
      <w:r w:rsidR="00331E13" w:rsidRPr="00121E71">
        <w:rPr>
          <w:lang w:val="en-GB"/>
        </w:rPr>
        <w:fldChar w:fldCharType="separate"/>
      </w:r>
      <w:r w:rsidR="00331E13">
        <w:rPr>
          <w:noProof/>
          <w:lang w:val="en-GB"/>
        </w:rPr>
        <w:t>2</w:t>
      </w:r>
      <w:r w:rsidR="00331E13" w:rsidRPr="00121E71">
        <w:rPr>
          <w:lang w:val="en-GB"/>
        </w:rPr>
        <w:fldChar w:fldCharType="end"/>
      </w:r>
      <w:r w:rsidRPr="00467044">
        <w:t>: Treatment in surgery with Refixia</w:t>
      </w:r>
    </w:p>
    <w:tbl>
      <w:tblPr>
        <w:tblStyle w:val="TableGrid"/>
        <w:tblW w:w="0" w:type="auto"/>
        <w:tblLook w:val="04A0" w:firstRow="1" w:lastRow="0" w:firstColumn="1" w:lastColumn="0" w:noHBand="0" w:noVBand="1"/>
      </w:tblPr>
      <w:tblGrid>
        <w:gridCol w:w="2265"/>
        <w:gridCol w:w="2288"/>
        <w:gridCol w:w="4463"/>
      </w:tblGrid>
      <w:tr w:rsidR="002C52F2" w:rsidRPr="00A56E03" w14:paraId="705B4506" w14:textId="77777777" w:rsidTr="000040DB">
        <w:tc>
          <w:tcPr>
            <w:tcW w:w="2322" w:type="dxa"/>
          </w:tcPr>
          <w:p w14:paraId="705B4503" w14:textId="77777777" w:rsidR="002C52F2" w:rsidRPr="00467044" w:rsidRDefault="002C52F2" w:rsidP="00222422">
            <w:r w:rsidRPr="00467044">
              <w:t>Type of surgical procedure</w:t>
            </w:r>
          </w:p>
        </w:tc>
        <w:tc>
          <w:tcPr>
            <w:tcW w:w="2322" w:type="dxa"/>
          </w:tcPr>
          <w:p w14:paraId="705B4504" w14:textId="77777777" w:rsidR="002C52F2" w:rsidRPr="00467044" w:rsidRDefault="002C52F2" w:rsidP="00222422">
            <w:r w:rsidRPr="00467044">
              <w:t>Recommended dose IU/kg body we</w:t>
            </w:r>
            <w:r w:rsidR="00A40BEE" w:rsidRPr="00467044">
              <w:t>i</w:t>
            </w:r>
            <w:r w:rsidRPr="00467044">
              <w:t>ght</w:t>
            </w:r>
          </w:p>
        </w:tc>
        <w:tc>
          <w:tcPr>
            <w:tcW w:w="4598" w:type="dxa"/>
          </w:tcPr>
          <w:p w14:paraId="705B4505" w14:textId="77777777" w:rsidR="002C52F2" w:rsidRPr="00467044" w:rsidRDefault="002C52F2" w:rsidP="00222422">
            <w:r w:rsidRPr="00467044">
              <w:t>Dosing recommendations</w:t>
            </w:r>
          </w:p>
        </w:tc>
      </w:tr>
      <w:tr w:rsidR="002C52F2" w:rsidRPr="00A56E03" w14:paraId="705B450A" w14:textId="77777777" w:rsidTr="000040DB">
        <w:tc>
          <w:tcPr>
            <w:tcW w:w="2322" w:type="dxa"/>
          </w:tcPr>
          <w:p w14:paraId="705B4507" w14:textId="77777777" w:rsidR="002C52F2" w:rsidRPr="00467044" w:rsidRDefault="002C52F2" w:rsidP="00222422">
            <w:r w:rsidRPr="00467044">
              <w:t>Minor including tooth extraction</w:t>
            </w:r>
          </w:p>
        </w:tc>
        <w:tc>
          <w:tcPr>
            <w:tcW w:w="2322" w:type="dxa"/>
          </w:tcPr>
          <w:p w14:paraId="705B4508" w14:textId="77777777" w:rsidR="002C52F2" w:rsidRPr="00467044" w:rsidRDefault="002C52F2" w:rsidP="00222422">
            <w:r w:rsidRPr="00467044">
              <w:t>40</w:t>
            </w:r>
          </w:p>
        </w:tc>
        <w:tc>
          <w:tcPr>
            <w:tcW w:w="4598" w:type="dxa"/>
          </w:tcPr>
          <w:p w14:paraId="705B4509" w14:textId="77777777" w:rsidR="002C52F2" w:rsidRPr="00467044" w:rsidRDefault="002C52F2" w:rsidP="00222422">
            <w:r w:rsidRPr="00467044">
              <w:t>Additional doses can be given if needed.</w:t>
            </w:r>
          </w:p>
        </w:tc>
      </w:tr>
      <w:tr w:rsidR="002C52F2" w:rsidRPr="00A56E03" w14:paraId="705B450E" w14:textId="77777777" w:rsidTr="000040DB">
        <w:tc>
          <w:tcPr>
            <w:tcW w:w="2322" w:type="dxa"/>
            <w:vMerge w:val="restart"/>
          </w:tcPr>
          <w:p w14:paraId="705B450B" w14:textId="77777777" w:rsidR="002C52F2" w:rsidRPr="00467044" w:rsidRDefault="002C52F2" w:rsidP="00222422">
            <w:r w:rsidRPr="00467044">
              <w:t>Major</w:t>
            </w:r>
          </w:p>
        </w:tc>
        <w:tc>
          <w:tcPr>
            <w:tcW w:w="2322" w:type="dxa"/>
          </w:tcPr>
          <w:p w14:paraId="705B450C" w14:textId="77777777" w:rsidR="002C52F2" w:rsidRPr="00467044" w:rsidRDefault="002C52F2" w:rsidP="00222422">
            <w:r w:rsidRPr="00467044">
              <w:t>80</w:t>
            </w:r>
          </w:p>
        </w:tc>
        <w:tc>
          <w:tcPr>
            <w:tcW w:w="4598" w:type="dxa"/>
          </w:tcPr>
          <w:p w14:paraId="705B450D" w14:textId="77777777" w:rsidR="002C52F2" w:rsidRPr="00467044" w:rsidRDefault="002C52F2" w:rsidP="00A40BEE">
            <w:r w:rsidRPr="00467044">
              <w:t>Pr</w:t>
            </w:r>
            <w:r w:rsidR="00A40BEE" w:rsidRPr="00467044">
              <w:t>e-</w:t>
            </w:r>
            <w:r w:rsidRPr="00467044">
              <w:t>operative</w:t>
            </w:r>
          </w:p>
        </w:tc>
      </w:tr>
      <w:tr w:rsidR="002C52F2" w14:paraId="705B4514" w14:textId="77777777" w:rsidTr="000040DB">
        <w:tc>
          <w:tcPr>
            <w:tcW w:w="2322" w:type="dxa"/>
            <w:vMerge/>
          </w:tcPr>
          <w:p w14:paraId="705B450F" w14:textId="77777777" w:rsidR="002C52F2" w:rsidRPr="00D42632" w:rsidRDefault="002C52F2" w:rsidP="00222422"/>
        </w:tc>
        <w:tc>
          <w:tcPr>
            <w:tcW w:w="2322" w:type="dxa"/>
          </w:tcPr>
          <w:p w14:paraId="705B4510" w14:textId="77777777" w:rsidR="002C52F2" w:rsidRPr="00D42632" w:rsidRDefault="002C52F2" w:rsidP="00222422">
            <w:r w:rsidRPr="00D42632">
              <w:t>40</w:t>
            </w:r>
          </w:p>
        </w:tc>
        <w:tc>
          <w:tcPr>
            <w:tcW w:w="4598" w:type="dxa"/>
          </w:tcPr>
          <w:p w14:paraId="705B4511" w14:textId="77777777" w:rsidR="002C52F2" w:rsidRPr="00D42632" w:rsidRDefault="002C52F2" w:rsidP="00222422">
            <w:r w:rsidRPr="00D42632">
              <w:t>Consider two repeated doses of</w:t>
            </w:r>
            <w:r w:rsidR="000040DB" w:rsidRPr="00D42632">
              <w:t xml:space="preserve"> </w:t>
            </w:r>
            <w:r w:rsidRPr="00D42632">
              <w:t>40 IU/kg (in 1-3 day intervals)</w:t>
            </w:r>
            <w:r w:rsidR="000040DB" w:rsidRPr="00D42632">
              <w:t xml:space="preserve"> </w:t>
            </w:r>
            <w:r w:rsidRPr="00D42632">
              <w:t>within the first week after surgery.</w:t>
            </w:r>
          </w:p>
          <w:p w14:paraId="705B4512" w14:textId="77777777" w:rsidR="000040DB" w:rsidRPr="00D42632" w:rsidRDefault="000040DB" w:rsidP="00222422"/>
          <w:p w14:paraId="705B4513" w14:textId="77777777" w:rsidR="002C52F2" w:rsidRPr="002C52F2" w:rsidRDefault="002C52F2" w:rsidP="00222422">
            <w:r w:rsidRPr="00D42632">
              <w:t>Due to the long half-life of</w:t>
            </w:r>
            <w:r w:rsidR="000040DB" w:rsidRPr="00D42632">
              <w:t xml:space="preserve"> Refixia</w:t>
            </w:r>
            <w:r w:rsidRPr="00D42632">
              <w:t xml:space="preserve"> the frequency of</w:t>
            </w:r>
            <w:r w:rsidR="000040DB" w:rsidRPr="00D42632">
              <w:t xml:space="preserve"> </w:t>
            </w:r>
            <w:r w:rsidRPr="00D42632">
              <w:t>dosing in the post-surgical period</w:t>
            </w:r>
            <w:r w:rsidR="000040DB" w:rsidRPr="00D42632">
              <w:t xml:space="preserve"> </w:t>
            </w:r>
            <w:r w:rsidRPr="00D42632">
              <w:t>may be extended to once weekly</w:t>
            </w:r>
            <w:r w:rsidR="000040DB" w:rsidRPr="00D42632">
              <w:t xml:space="preserve"> </w:t>
            </w:r>
            <w:r w:rsidRPr="00D42632">
              <w:t>after the first week until bleeding</w:t>
            </w:r>
            <w:r w:rsidR="000040DB" w:rsidRPr="00D42632">
              <w:t xml:space="preserve"> </w:t>
            </w:r>
            <w:r w:rsidRPr="00D42632">
              <w:t>stops and healing is achieved.</w:t>
            </w:r>
          </w:p>
        </w:tc>
      </w:tr>
    </w:tbl>
    <w:p w14:paraId="705B4515" w14:textId="77777777" w:rsidR="002C52F2" w:rsidRDefault="002C52F2" w:rsidP="00222422"/>
    <w:p w14:paraId="15A731E6" w14:textId="14ED661A" w:rsidR="00EF1251" w:rsidRDefault="00EF1251" w:rsidP="00222422">
      <w:r w:rsidRPr="00EF1251">
        <w:t>Maximum dose of nonacog beta pegol within 24 hours is to be 200</w:t>
      </w:r>
      <w:r w:rsidR="0080118F">
        <w:t xml:space="preserve"> </w:t>
      </w:r>
      <w:r w:rsidRPr="00EF1251">
        <w:t xml:space="preserve">IU/kg and dosage should be conducted with an interval of 1 hour or longer. In case of administration for </w:t>
      </w:r>
      <w:r w:rsidR="00467044">
        <w:t xml:space="preserve">a </w:t>
      </w:r>
      <w:r w:rsidRPr="00EF1251">
        <w:t>bleeding episode and surgery, maximum single dose is to be 80</w:t>
      </w:r>
      <w:r w:rsidR="0080118F">
        <w:t xml:space="preserve"> </w:t>
      </w:r>
      <w:r w:rsidRPr="00EF1251">
        <w:t xml:space="preserve">IU/kg. </w:t>
      </w:r>
    </w:p>
    <w:p w14:paraId="00DD547A" w14:textId="77777777" w:rsidR="00EF1251" w:rsidRDefault="00EF1251" w:rsidP="00222422"/>
    <w:p w14:paraId="705B4516" w14:textId="634FC48F" w:rsidR="000040DB" w:rsidRDefault="000040DB" w:rsidP="00222422">
      <w:r w:rsidRPr="000040DB">
        <w:t>When monitoring of the factor IX activity is performed, a chromogenic</w:t>
      </w:r>
      <w:r>
        <w:t xml:space="preserve"> </w:t>
      </w:r>
      <w:r w:rsidRPr="000040DB">
        <w:t xml:space="preserve">assay is </w:t>
      </w:r>
      <w:r>
        <w:t>r</w:t>
      </w:r>
      <w:r w:rsidRPr="000040DB">
        <w:t>ecommended. Alternatively, a one-stage clotting assay can be used</w:t>
      </w:r>
      <w:r>
        <w:t xml:space="preserve"> </w:t>
      </w:r>
      <w:r w:rsidRPr="000040DB">
        <w:t xml:space="preserve">with an aPTT reagent qualified for use with </w:t>
      </w:r>
      <w:r>
        <w:t>Refixia</w:t>
      </w:r>
      <w:r w:rsidRPr="000040DB">
        <w:t xml:space="preserve"> </w:t>
      </w:r>
      <w:r w:rsidRPr="00E638E3">
        <w:t>see section 4.</w:t>
      </w:r>
      <w:r w:rsidR="00E638E3">
        <w:t>4</w:t>
      </w:r>
      <w:r w:rsidRPr="000040DB">
        <w:t>.</w:t>
      </w:r>
    </w:p>
    <w:p w14:paraId="705B4517" w14:textId="77777777" w:rsidR="00AE0788" w:rsidRDefault="00AE0788" w:rsidP="00222422">
      <w:pPr>
        <w:pStyle w:val="Heading6"/>
      </w:pPr>
      <w:r>
        <w:t>Elderly people</w:t>
      </w:r>
    </w:p>
    <w:p w14:paraId="705B4518" w14:textId="77777777" w:rsidR="00AE0788" w:rsidRDefault="00AE0788" w:rsidP="00222422">
      <w:r>
        <w:t>There is limited experience with Refixia in patients of 65 years and above.</w:t>
      </w:r>
    </w:p>
    <w:p w14:paraId="705B4519" w14:textId="06348D2D" w:rsidR="00AE0788" w:rsidRDefault="00AE0788" w:rsidP="00222422">
      <w:pPr>
        <w:pStyle w:val="Heading6"/>
      </w:pPr>
      <w:r>
        <w:t xml:space="preserve">Paediatric patients </w:t>
      </w:r>
    </w:p>
    <w:p w14:paraId="705B451A" w14:textId="17423A1B" w:rsidR="00AE0788" w:rsidRDefault="000464C9" w:rsidP="00222422">
      <w:r>
        <w:t>Refixia is not recommended for use in children below 12 years of age.</w:t>
      </w:r>
    </w:p>
    <w:p w14:paraId="705B451B" w14:textId="2918A80E" w:rsidR="00AE0788" w:rsidRDefault="00AE0788" w:rsidP="00222422">
      <w:pPr>
        <w:pStyle w:val="Heading6"/>
      </w:pPr>
      <w:r>
        <w:t xml:space="preserve">Previously Untreated Patients </w:t>
      </w:r>
    </w:p>
    <w:p w14:paraId="705B451C" w14:textId="0AA025C5" w:rsidR="00AE0788" w:rsidRPr="000040DB" w:rsidRDefault="00AE0788" w:rsidP="00222422">
      <w:r>
        <w:t>The safety and efficacy of Refixia in previously untreated patients have not yet been established. Currently, the data are limited.</w:t>
      </w:r>
    </w:p>
    <w:p w14:paraId="705B451D" w14:textId="77777777" w:rsidR="00D56FBE" w:rsidRDefault="00D56FBE" w:rsidP="00FF622D">
      <w:pPr>
        <w:pStyle w:val="Heading4"/>
      </w:pPr>
      <w:r>
        <w:t>Method of Administration</w:t>
      </w:r>
    </w:p>
    <w:p w14:paraId="705B451E" w14:textId="77777777" w:rsidR="00145A70" w:rsidRDefault="00145A70" w:rsidP="00222422">
      <w:r>
        <w:t>Refixia is administered by intravenous bolus injection over several minutes after reconstitution of the lyophilised powder for injection with the histidine solvent. The rate of administration should be determined by the patient’s comfort level up to a maximum injection rate of 4 ml/min.</w:t>
      </w:r>
    </w:p>
    <w:p w14:paraId="705B451F" w14:textId="77777777" w:rsidR="00145A70" w:rsidRDefault="00145A70" w:rsidP="00222422"/>
    <w:p w14:paraId="705B4520" w14:textId="77777777" w:rsidR="00145A70" w:rsidRDefault="00145A70" w:rsidP="00222422">
      <w:r>
        <w:lastRenderedPageBreak/>
        <w:t xml:space="preserve">For instructions on the reconstitution process prior to administration, </w:t>
      </w:r>
      <w:r w:rsidR="00A3007B" w:rsidRPr="00A3007B">
        <w:t>refer to the Consumer Medicine Information</w:t>
      </w:r>
      <w:r w:rsidRPr="00A51844">
        <w:t>.</w:t>
      </w:r>
    </w:p>
    <w:p w14:paraId="705B4521" w14:textId="77777777" w:rsidR="00145A70" w:rsidRDefault="00145A70" w:rsidP="00222422"/>
    <w:p w14:paraId="705B4522" w14:textId="77777777" w:rsidR="00D56FBE" w:rsidRDefault="00145A70" w:rsidP="00222422">
      <w:r>
        <w:t>Refixia should not be mixed or reconstituted with infusion solutions other than the contained histidine solvent. Do not administer reconstituted Refixia in the same tubing or container with other medications.</w:t>
      </w:r>
    </w:p>
    <w:p w14:paraId="705B4523" w14:textId="77777777" w:rsidR="00145A70" w:rsidRDefault="00145A70" w:rsidP="00222422"/>
    <w:p w14:paraId="705B4524" w14:textId="77777777" w:rsidR="00145A70" w:rsidRDefault="00145A70" w:rsidP="00222422">
      <w:r>
        <w:t>Appropriate training is recommended before administering the product.</w:t>
      </w:r>
    </w:p>
    <w:p w14:paraId="705B4525" w14:textId="77777777" w:rsidR="00D56FBE" w:rsidRDefault="00A40BEE" w:rsidP="00FF622D">
      <w:pPr>
        <w:pStyle w:val="Heading4"/>
      </w:pPr>
      <w:r>
        <w:t>Missed Dose</w:t>
      </w:r>
    </w:p>
    <w:p w14:paraId="705B4526" w14:textId="77777777" w:rsidR="00D56FBE" w:rsidRDefault="00145A70" w:rsidP="00222422">
      <w:r>
        <w:t>Patients in routine prophylaxis, who forget a dose, are advised to take their dose upon discovery and thereafter continue with the usual once weekly dosing schedule. A double dose should be avoided.</w:t>
      </w:r>
    </w:p>
    <w:p w14:paraId="705B4527" w14:textId="77777777" w:rsidR="00D56FBE" w:rsidRDefault="00F17541" w:rsidP="00222422">
      <w:pPr>
        <w:pStyle w:val="Heading3"/>
      </w:pPr>
      <w:r>
        <w:t>4.3</w:t>
      </w:r>
      <w:r>
        <w:tab/>
      </w:r>
      <w:r w:rsidR="00D56FBE">
        <w:t>Contraindications</w:t>
      </w:r>
    </w:p>
    <w:p w14:paraId="705B4529" w14:textId="7F061594" w:rsidR="0080642B" w:rsidRDefault="0080642B" w:rsidP="005F081D">
      <w:r>
        <w:t xml:space="preserve">Hypersensitivity to the active substance or to any of the excipients listed in </w:t>
      </w:r>
      <w:r w:rsidRPr="00E638E3">
        <w:t>section</w:t>
      </w:r>
      <w:r w:rsidR="005F081D">
        <w:t xml:space="preserve"> </w:t>
      </w:r>
      <w:r w:rsidR="00E638E3" w:rsidRPr="00E638E3">
        <w:t>6.1</w:t>
      </w:r>
      <w:r w:rsidRPr="00E638E3">
        <w:t>.</w:t>
      </w:r>
    </w:p>
    <w:p w14:paraId="705B452A" w14:textId="77777777" w:rsidR="00E638E3" w:rsidRDefault="00E638E3" w:rsidP="00222422"/>
    <w:p w14:paraId="705B452B" w14:textId="77777777" w:rsidR="00D56FBE" w:rsidRDefault="0080642B" w:rsidP="00222422">
      <w:r>
        <w:t>Known allergic reaction to hamster protein.</w:t>
      </w:r>
    </w:p>
    <w:p w14:paraId="705B452C" w14:textId="77777777" w:rsidR="00D56FBE" w:rsidRDefault="00D56FBE" w:rsidP="00222422"/>
    <w:p w14:paraId="705B452D" w14:textId="77777777" w:rsidR="00D56FBE" w:rsidRDefault="00F17541" w:rsidP="00222422">
      <w:pPr>
        <w:pStyle w:val="Heading3"/>
      </w:pPr>
      <w:r>
        <w:t>4.4</w:t>
      </w:r>
      <w:r>
        <w:tab/>
      </w:r>
      <w:r w:rsidR="00D56FBE">
        <w:t>Special Warnings and Precautions for Use</w:t>
      </w:r>
    </w:p>
    <w:p w14:paraId="705B452E" w14:textId="31F3D71C" w:rsidR="005609BB" w:rsidRPr="005609BB" w:rsidRDefault="005609BB" w:rsidP="003003D2">
      <w:pPr>
        <w:pStyle w:val="Heading4"/>
        <w:spacing w:before="0"/>
      </w:pPr>
      <w:r w:rsidRPr="005609BB">
        <w:t>Hypersensitivity</w:t>
      </w:r>
    </w:p>
    <w:p w14:paraId="705B452F" w14:textId="77777777" w:rsidR="005609BB" w:rsidRDefault="005609BB" w:rsidP="00222422">
      <w:r w:rsidRPr="005609BB">
        <w:t>As with any intravenous protein product, allergic type hypersensitivity</w:t>
      </w:r>
      <w:r>
        <w:t xml:space="preserve"> </w:t>
      </w:r>
      <w:r w:rsidRPr="005609BB">
        <w:t>reactions including anaphylactic reactions are possible with</w:t>
      </w:r>
      <w:r>
        <w:t xml:space="preserve"> Refixia</w:t>
      </w:r>
      <w:r w:rsidRPr="005609BB">
        <w:t>. The product may contain traces of hamster proteins which</w:t>
      </w:r>
      <w:r>
        <w:t xml:space="preserve"> </w:t>
      </w:r>
      <w:r w:rsidRPr="005609BB">
        <w:t>in some patients may cause allergic reactions. If symptoms of</w:t>
      </w:r>
      <w:r>
        <w:t xml:space="preserve"> </w:t>
      </w:r>
      <w:r w:rsidRPr="005609BB">
        <w:t>hypersensitivity occur, patients should be advised to discontinue use of the</w:t>
      </w:r>
      <w:r>
        <w:t xml:space="preserve"> </w:t>
      </w:r>
      <w:r w:rsidRPr="005609BB">
        <w:t>medicinal product immediately and contact their physician who should</w:t>
      </w:r>
      <w:r>
        <w:t xml:space="preserve"> </w:t>
      </w:r>
      <w:r w:rsidRPr="005609BB">
        <w:t>ensure appropriate treatment.</w:t>
      </w:r>
    </w:p>
    <w:p w14:paraId="705B4530" w14:textId="77777777" w:rsidR="005609BB" w:rsidRPr="005609BB" w:rsidRDefault="005609BB" w:rsidP="00222422"/>
    <w:p w14:paraId="705B4531" w14:textId="77777777" w:rsidR="005609BB" w:rsidRDefault="005609BB" w:rsidP="00222422">
      <w:r w:rsidRPr="005609BB">
        <w:t>In case of anaphylactic shock, standard medical treatment should be</w:t>
      </w:r>
      <w:r>
        <w:t xml:space="preserve"> </w:t>
      </w:r>
      <w:r w:rsidRPr="005609BB">
        <w:t>implemented.</w:t>
      </w:r>
    </w:p>
    <w:p w14:paraId="705B4532" w14:textId="77777777" w:rsidR="005609BB" w:rsidRPr="005609BB" w:rsidRDefault="005609BB" w:rsidP="00222422"/>
    <w:p w14:paraId="705B4533" w14:textId="77777777" w:rsidR="005609BB" w:rsidRDefault="005609BB" w:rsidP="00222422">
      <w:r w:rsidRPr="005609BB">
        <w:t>Patients should be informed of the early signs of hypersensitivity reactions.</w:t>
      </w:r>
      <w:r>
        <w:t xml:space="preserve"> </w:t>
      </w:r>
    </w:p>
    <w:p w14:paraId="705B4534" w14:textId="77777777" w:rsidR="005609BB" w:rsidRDefault="005609BB" w:rsidP="00222422"/>
    <w:p w14:paraId="705B4535" w14:textId="72902596" w:rsidR="00D56FBE" w:rsidRDefault="005609BB" w:rsidP="00222422">
      <w:r w:rsidRPr="005609BB">
        <w:t>Because of the risk of severe allergic reactions seen in relation to inhibitor</w:t>
      </w:r>
      <w:r>
        <w:t xml:space="preserve"> </w:t>
      </w:r>
      <w:r w:rsidRPr="005609BB">
        <w:t>development with any factor IX products, the initial administrations of</w:t>
      </w:r>
      <w:r>
        <w:t xml:space="preserve"> </w:t>
      </w:r>
      <w:r w:rsidRPr="005609BB">
        <w:t>factor IX should be performed under medical observation where proper</w:t>
      </w:r>
      <w:r>
        <w:t xml:space="preserve"> </w:t>
      </w:r>
      <w:r w:rsidRPr="005609BB">
        <w:t>medical care for allergic reactions can be provided.</w:t>
      </w:r>
    </w:p>
    <w:p w14:paraId="705B4536" w14:textId="1EFED239" w:rsidR="005609BB" w:rsidRDefault="005609BB" w:rsidP="00FF622D">
      <w:pPr>
        <w:pStyle w:val="Heading4"/>
      </w:pPr>
      <w:r>
        <w:t>Inhibitors</w:t>
      </w:r>
    </w:p>
    <w:p w14:paraId="705B4537" w14:textId="77777777" w:rsidR="005609BB" w:rsidRDefault="005609BB" w:rsidP="00222422">
      <w:r>
        <w:t>The formation of inhibitors (neutralising antibodies) to factor IX may occur in connection with factor replacement therapy in the treatment of haemophilia B. All patients should be monitored regularly for the development of inhibitors that should be quantified in Bethesda Units (BU) using appropriate biological testing.</w:t>
      </w:r>
    </w:p>
    <w:p w14:paraId="705B4538" w14:textId="77777777" w:rsidR="005609BB" w:rsidRDefault="005609BB" w:rsidP="00222422"/>
    <w:p w14:paraId="705B4539" w14:textId="30D38962" w:rsidR="005609BB" w:rsidRDefault="005609BB" w:rsidP="00222422">
      <w:r>
        <w:t>An association between the occurrence of a factor IX inhibitor and allergic reactions has been reported. Therefore, patients experiencing allergic reactions should be evaluated for the presence of an inhibitor. It should be noted that patients with factor IX inhibitors may be at an increased risk of severe allergic reactions with subsequent challenge with factor IX.</w:t>
      </w:r>
    </w:p>
    <w:p w14:paraId="705B453A" w14:textId="3E4A42AD" w:rsidR="005609BB" w:rsidRDefault="005609BB" w:rsidP="00FF622D">
      <w:pPr>
        <w:pStyle w:val="Heading4"/>
      </w:pPr>
      <w:r>
        <w:t>Thromboembolic events</w:t>
      </w:r>
    </w:p>
    <w:p w14:paraId="705B453B" w14:textId="77777777" w:rsidR="005609BB" w:rsidRDefault="005609BB" w:rsidP="00222422">
      <w:r>
        <w:t xml:space="preserve">The use of factor IX containing products has been associated with thrombotic complications. Due to the potential risk of thrombotic complications, it is recommended to monitor patients </w:t>
      </w:r>
      <w:r>
        <w:lastRenderedPageBreak/>
        <w:t>for early signs of thrombotic and consumptive coagulopathy when administering this product to patients with liver disease, post-operatively, new-born infants or patients at risk of thrombotic phenomena or DIC. In each of these situations, the benefit of treatment with Refixia should be weighed against the risk of these complications.</w:t>
      </w:r>
    </w:p>
    <w:p w14:paraId="705B453C" w14:textId="77777777" w:rsidR="00452832" w:rsidRDefault="00452832" w:rsidP="00FF622D">
      <w:pPr>
        <w:pStyle w:val="Heading4"/>
      </w:pPr>
      <w:r>
        <w:t>Immune tolerance induction</w:t>
      </w:r>
    </w:p>
    <w:p w14:paraId="705B453D" w14:textId="77777777" w:rsidR="005609BB" w:rsidRDefault="00452832" w:rsidP="00222422">
      <w:r>
        <w:t>The safety and efficacy of using Refixia for immune tolerance induction has not been established.</w:t>
      </w:r>
    </w:p>
    <w:p w14:paraId="705B453E" w14:textId="41ECCB07" w:rsidR="00452832" w:rsidRDefault="00452832" w:rsidP="00FF622D">
      <w:pPr>
        <w:pStyle w:val="Heading4"/>
      </w:pPr>
      <w:r>
        <w:t>Nephrotic syndrome</w:t>
      </w:r>
    </w:p>
    <w:p w14:paraId="705B453F" w14:textId="77777777" w:rsidR="00452832" w:rsidRDefault="00452832" w:rsidP="00222422">
      <w:r>
        <w:t>Nephrotic syndrome has been reported following attempted immune tolerance induction therapy in haemophilia B patients with factor IX inhibitors often with a history of allergic reaction.</w:t>
      </w:r>
    </w:p>
    <w:p w14:paraId="705B4540" w14:textId="77777777" w:rsidR="00452832" w:rsidRDefault="00452832" w:rsidP="00FF622D">
      <w:pPr>
        <w:pStyle w:val="Heading4"/>
      </w:pPr>
      <w:r>
        <w:t>Monitoring factor IX activity</w:t>
      </w:r>
    </w:p>
    <w:p w14:paraId="705B4541" w14:textId="77777777" w:rsidR="00452832" w:rsidRDefault="00452832" w:rsidP="00222422">
      <w:r>
        <w:t>If monitoring is needed, it is recommended to use a chromogenic assay. When a chromogenic assay is not available, use a one-stage clotting assay with an aPTT reagent qualified for use with Refixia.</w:t>
      </w:r>
    </w:p>
    <w:p w14:paraId="705B4542" w14:textId="77777777" w:rsidR="00452832" w:rsidRDefault="00452832" w:rsidP="00222422"/>
    <w:p w14:paraId="705B4543" w14:textId="77777777" w:rsidR="00452832" w:rsidRDefault="00452832" w:rsidP="00222422">
      <w:r>
        <w:t>For modified long-acting factor products it is known that the one-stage clotting assay results are highly dependent on the aPTT reagent used causing under- or overestimation of the factor IX activity. Silica based reagents may result in a significant overestimation of the activity of</w:t>
      </w:r>
    </w:p>
    <w:p w14:paraId="705B4544" w14:textId="77777777" w:rsidR="00452832" w:rsidRDefault="00452832" w:rsidP="00222422">
      <w:r>
        <w:t>Refixia and should therefore be avoided.</w:t>
      </w:r>
    </w:p>
    <w:p w14:paraId="705B4545" w14:textId="77777777" w:rsidR="00452832" w:rsidRDefault="00452832" w:rsidP="00222422"/>
    <w:p w14:paraId="705B4546" w14:textId="77777777" w:rsidR="00452832" w:rsidRPr="005609BB" w:rsidRDefault="00452832" w:rsidP="00222422">
      <w:r>
        <w:t>Use of a reference laboratory is recommended when a chromogenic assay or a qualified one-stage clotting assay is not available locally.</w:t>
      </w:r>
    </w:p>
    <w:p w14:paraId="705B4547" w14:textId="77777777" w:rsidR="00D56FBE" w:rsidRDefault="00D56FBE" w:rsidP="00FF622D">
      <w:pPr>
        <w:pStyle w:val="Heading4"/>
      </w:pPr>
      <w:r>
        <w:t>Use in elderly</w:t>
      </w:r>
    </w:p>
    <w:p w14:paraId="705B4548" w14:textId="77777777" w:rsidR="00D56FBE" w:rsidRDefault="00355D2F" w:rsidP="00222422">
      <w:r>
        <w:t>There is limited experience with Refixia in patients of 65 years and above.</w:t>
      </w:r>
    </w:p>
    <w:p w14:paraId="705B4549" w14:textId="34359FC3" w:rsidR="00D56FBE" w:rsidRDefault="00D56FBE" w:rsidP="00FF622D">
      <w:pPr>
        <w:pStyle w:val="Heading4"/>
      </w:pPr>
      <w:r>
        <w:t>Paediatric use</w:t>
      </w:r>
    </w:p>
    <w:p w14:paraId="705B454A" w14:textId="5E6F001D" w:rsidR="00F17541" w:rsidRDefault="000464C9" w:rsidP="00222422">
      <w:r>
        <w:t>Refixia is not recommended for use in children below 12 years of age.</w:t>
      </w:r>
    </w:p>
    <w:p w14:paraId="705B454B" w14:textId="77777777" w:rsidR="00F17541" w:rsidRDefault="00F17541" w:rsidP="00FF622D">
      <w:pPr>
        <w:pStyle w:val="Heading4"/>
      </w:pPr>
      <w:r w:rsidRPr="00A51844">
        <w:t>Effects on laboratory tests</w:t>
      </w:r>
    </w:p>
    <w:p w14:paraId="705B454C" w14:textId="77777777" w:rsidR="00F17541" w:rsidRDefault="00A51844" w:rsidP="00222422">
      <w:r>
        <w:t>No data available</w:t>
      </w:r>
    </w:p>
    <w:p w14:paraId="705B454D" w14:textId="77777777" w:rsidR="00F17541" w:rsidRDefault="00F17541" w:rsidP="00222422">
      <w:pPr>
        <w:pStyle w:val="Heading3"/>
      </w:pPr>
      <w:r>
        <w:t>4.5</w:t>
      </w:r>
      <w:r>
        <w:tab/>
        <w:t>Interaction with Other Medicines and Other Form of Interactions</w:t>
      </w:r>
    </w:p>
    <w:p w14:paraId="705B454E" w14:textId="77777777" w:rsidR="00F17541" w:rsidRDefault="00355D2F" w:rsidP="00222422">
      <w:r>
        <w:t>No interaction studies have been performed and no interactions of Refixia with other medicinal products have been reported.</w:t>
      </w:r>
    </w:p>
    <w:p w14:paraId="705B454F" w14:textId="77777777" w:rsidR="00F17541" w:rsidRDefault="00F17541" w:rsidP="00222422">
      <w:pPr>
        <w:pStyle w:val="Heading3"/>
      </w:pPr>
      <w:r>
        <w:t>4.6</w:t>
      </w:r>
      <w:r>
        <w:tab/>
        <w:t>Fertility, Pregnancy and Lactation</w:t>
      </w:r>
    </w:p>
    <w:p w14:paraId="705B4550" w14:textId="77777777" w:rsidR="00355D2F" w:rsidRDefault="00355D2F" w:rsidP="00222422">
      <w:r>
        <w:t>No animal fertility, developmental or reproductive studies have been conducted with Refixia.</w:t>
      </w:r>
    </w:p>
    <w:p w14:paraId="705B4551" w14:textId="77777777" w:rsidR="00F17541" w:rsidRDefault="00F17541" w:rsidP="00FF622D">
      <w:pPr>
        <w:pStyle w:val="Heading4"/>
      </w:pPr>
      <w:r>
        <w:t>Effects on fertility</w:t>
      </w:r>
    </w:p>
    <w:p w14:paraId="705B4552" w14:textId="77777777" w:rsidR="00F17541" w:rsidRDefault="00355D2F" w:rsidP="00222422">
      <w:r w:rsidRPr="00355D2F">
        <w:t xml:space="preserve">It is not known if </w:t>
      </w:r>
      <w:r>
        <w:t>Refixia</w:t>
      </w:r>
      <w:r w:rsidRPr="00355D2F">
        <w:t xml:space="preserve"> can affect fertility.</w:t>
      </w:r>
    </w:p>
    <w:p w14:paraId="705B4553" w14:textId="77777777" w:rsidR="00355D2F" w:rsidRDefault="00355D2F" w:rsidP="00FF622D">
      <w:pPr>
        <w:pStyle w:val="Heading4"/>
      </w:pPr>
      <w:r>
        <w:t>Women of childbearing potential/contraception in males and females</w:t>
      </w:r>
    </w:p>
    <w:p w14:paraId="705B4554" w14:textId="77777777" w:rsidR="00355D2F" w:rsidRDefault="00355D2F" w:rsidP="00222422">
      <w:r>
        <w:t>No information available.</w:t>
      </w:r>
    </w:p>
    <w:p w14:paraId="705B4555" w14:textId="77777777" w:rsidR="00F17541" w:rsidRDefault="00F17541" w:rsidP="00FF622D">
      <w:pPr>
        <w:pStyle w:val="Heading4"/>
      </w:pPr>
      <w:r w:rsidRPr="0030370B">
        <w:t>U</w:t>
      </w:r>
      <w:r>
        <w:t>se in pregnancy</w:t>
      </w:r>
    </w:p>
    <w:p w14:paraId="705B4556" w14:textId="77777777" w:rsidR="00E638E3" w:rsidRDefault="00E638E3" w:rsidP="00222422">
      <w:pPr>
        <w:rPr>
          <w:lang w:val="en-GB"/>
        </w:rPr>
      </w:pPr>
      <w:r w:rsidRPr="00E638E3">
        <w:rPr>
          <w:lang w:val="en-GB"/>
        </w:rPr>
        <w:t>Pregnancy category: B2</w:t>
      </w:r>
    </w:p>
    <w:p w14:paraId="705B4557" w14:textId="77777777" w:rsidR="00E638E3" w:rsidRDefault="00E638E3" w:rsidP="00222422">
      <w:pPr>
        <w:rPr>
          <w:lang w:val="en-GB"/>
        </w:rPr>
      </w:pPr>
    </w:p>
    <w:p w14:paraId="705B4558" w14:textId="083EDBFA" w:rsidR="00F17541" w:rsidRDefault="00355D2F" w:rsidP="00222422">
      <w:r>
        <w:lastRenderedPageBreak/>
        <w:t>Based on the rare occurrence of haemophilia B (an X-linked recessive disorder) in women, experience regarding the use of factor IX during pregnancy is not available. Therefore, Refixia should only be used during pregnancy if clearly indicated.</w:t>
      </w:r>
    </w:p>
    <w:p w14:paraId="705B4559" w14:textId="77777777" w:rsidR="00F17541" w:rsidRDefault="00F17541" w:rsidP="00FF622D">
      <w:pPr>
        <w:pStyle w:val="Heading4"/>
      </w:pPr>
      <w:r>
        <w:t>Use in lactation</w:t>
      </w:r>
    </w:p>
    <w:p w14:paraId="705B455A" w14:textId="6E89BB04" w:rsidR="00F17541" w:rsidRDefault="00355D2F" w:rsidP="00222422">
      <w:r>
        <w:t>It is not known if Refixia is excreted in human milk. Based on the rare occurrence of haemophilia B in women, experience regarding the use of factor IX during breastfeeding is not available. Therefore, Refixia should only be used during breastfeeding if clearly indicated.</w:t>
      </w:r>
    </w:p>
    <w:p w14:paraId="705B455B" w14:textId="77777777" w:rsidR="00F17541" w:rsidRDefault="00F17541" w:rsidP="00222422">
      <w:pPr>
        <w:pStyle w:val="Heading3"/>
      </w:pPr>
      <w:r>
        <w:t>4.7</w:t>
      </w:r>
      <w:r>
        <w:tab/>
        <w:t>Effects on Ability to Drive and Use Machines</w:t>
      </w:r>
    </w:p>
    <w:p w14:paraId="705B455C" w14:textId="77777777" w:rsidR="00F17541" w:rsidRDefault="00355D2F" w:rsidP="00222422">
      <w:r>
        <w:t>No studies on the effect on the ability to drive and use machines have been performed. Refixia has no influence on the ability to drive and use machines.</w:t>
      </w:r>
    </w:p>
    <w:p w14:paraId="705B455D" w14:textId="77777777" w:rsidR="00F17541" w:rsidRDefault="00F17541" w:rsidP="00222422">
      <w:pPr>
        <w:pStyle w:val="Heading3"/>
      </w:pPr>
      <w:r>
        <w:t>4.8</w:t>
      </w:r>
      <w:r>
        <w:tab/>
        <w:t>Adverse Effects</w:t>
      </w:r>
    </w:p>
    <w:p w14:paraId="705B455E" w14:textId="77777777" w:rsidR="002D0E58" w:rsidRDefault="002D0E58" w:rsidP="003003D2">
      <w:pPr>
        <w:pStyle w:val="Heading4"/>
        <w:spacing w:before="0"/>
      </w:pPr>
      <w:r>
        <w:t>Summary of the safety profile</w:t>
      </w:r>
    </w:p>
    <w:p w14:paraId="705B455F" w14:textId="77777777" w:rsidR="002D0E58" w:rsidRDefault="002D0E58" w:rsidP="002D0E58">
      <w:r>
        <w:t>Adverse drug reactions listed in this section are considered expected with Refixia.</w:t>
      </w:r>
    </w:p>
    <w:p w14:paraId="705B4560" w14:textId="77777777" w:rsidR="002D0E58" w:rsidRDefault="002D0E58" w:rsidP="002D0E58"/>
    <w:p w14:paraId="705B4561" w14:textId="34D8874F" w:rsidR="002D0E58" w:rsidRDefault="002D0E58" w:rsidP="002D0E58">
      <w:r>
        <w:t xml:space="preserve">Rarely, hypersensitivity and/or allergic reactions have been observed and may in some cases progress to severe anaphylaxis (including anaphylactic shock). Occasionally, these reactions have occurred in close temporal association with development of factor IX inhibitors (see also </w:t>
      </w:r>
      <w:r w:rsidRPr="0030370B">
        <w:t>section 4.</w:t>
      </w:r>
      <w:r>
        <w:t>4). On rare occasions, patients with haemophilia B may develop inhibitors</w:t>
      </w:r>
    </w:p>
    <w:p w14:paraId="705B4562" w14:textId="71CBA91A" w:rsidR="002D0E58" w:rsidRDefault="002D0E58" w:rsidP="002D0E58">
      <w:r>
        <w:t>(neutralising antibodies) to factor IX. In such cases, the presence of inhibitors will manifest itself as an insufficient or lack of clinical response and it is recommended that a haemophilia centre is contacted.</w:t>
      </w:r>
    </w:p>
    <w:p w14:paraId="705B4563" w14:textId="77777777" w:rsidR="0050667A" w:rsidRDefault="0050667A" w:rsidP="0050667A">
      <w:pPr>
        <w:pStyle w:val="Heading4"/>
      </w:pPr>
      <w:r>
        <w:t>Adverse events from completed clinical trials</w:t>
      </w:r>
    </w:p>
    <w:p w14:paraId="2CC4AC4E" w14:textId="2D234E9F" w:rsidR="000C24C8" w:rsidRDefault="00265C7D" w:rsidP="000C24C8">
      <w:r w:rsidRPr="00265C7D">
        <w:t>During the clinical development program</w:t>
      </w:r>
      <w:r w:rsidR="000C24C8">
        <w:t xml:space="preserve">, </w:t>
      </w:r>
      <w:r w:rsidR="000C24C8" w:rsidRPr="000C24C8">
        <w:t xml:space="preserve">115 previously treated male patients </w:t>
      </w:r>
      <w:r w:rsidR="000C24C8">
        <w:t>were exposed to Refixia for a total of 8801 exposure days equivalent to 170 patient years. A total of 40 patients (35%) were treated for more than 2 years.</w:t>
      </w:r>
    </w:p>
    <w:p w14:paraId="72E544ED" w14:textId="77777777" w:rsidR="00467044" w:rsidRDefault="00467044" w:rsidP="000C24C8"/>
    <w:p w14:paraId="705B4564" w14:textId="3E8BED1F" w:rsidR="0050667A" w:rsidRDefault="000C24C8" w:rsidP="000C24C8">
      <w:r>
        <w:t>In the completed clinical trials, 98 patients (85.2%) experienced a total of 647 adverse events</w:t>
      </w:r>
      <w:r w:rsidR="0050667A">
        <w:t>. The most commonly reported adverse events were nasopharyngitis, upper respiratory tract infection, contusion and cough.</w:t>
      </w:r>
    </w:p>
    <w:p w14:paraId="705B4565" w14:textId="77777777" w:rsidR="0050667A" w:rsidRDefault="0050667A" w:rsidP="0050667A">
      <w:pPr>
        <w:pStyle w:val="Heading6"/>
      </w:pPr>
      <w:r>
        <w:t>Tabulated list of adverse events</w:t>
      </w:r>
    </w:p>
    <w:p w14:paraId="705B4566" w14:textId="77777777" w:rsidR="0050667A" w:rsidRPr="0050667A" w:rsidRDefault="0050667A" w:rsidP="0050667A">
      <w:r w:rsidRPr="0050667A">
        <w:t xml:space="preserve">Adverse events reported by more than </w:t>
      </w:r>
      <w:r w:rsidR="005E4DCF">
        <w:t>10</w:t>
      </w:r>
      <w:r w:rsidRPr="0050667A">
        <w:t xml:space="preserve">% of the patients who participated in clinical trials are presented in Table </w:t>
      </w:r>
      <w:r w:rsidR="005E4DCF">
        <w:t>3</w:t>
      </w:r>
      <w:r w:rsidRPr="0050667A">
        <w:t>.</w:t>
      </w:r>
    </w:p>
    <w:p w14:paraId="705B4567" w14:textId="77777777" w:rsidR="008A5FB1" w:rsidRDefault="008A5FB1" w:rsidP="0050667A">
      <w:pPr>
        <w:rPr>
          <w:b/>
        </w:rPr>
      </w:pPr>
    </w:p>
    <w:p w14:paraId="705B4568" w14:textId="1914A36B" w:rsidR="0050667A" w:rsidRPr="005E4DCF" w:rsidRDefault="0050667A" w:rsidP="0050667A">
      <w:r w:rsidRPr="005E4DCF">
        <w:t xml:space="preserve">Table </w:t>
      </w:r>
      <w:r w:rsidR="00331E13" w:rsidRPr="00121E71">
        <w:rPr>
          <w:lang w:val="en-GB"/>
        </w:rPr>
        <w:fldChar w:fldCharType="begin"/>
      </w:r>
      <w:r w:rsidR="00331E13" w:rsidRPr="00121E71">
        <w:rPr>
          <w:lang w:val="en-GB"/>
        </w:rPr>
        <w:instrText xml:space="preserve"> SEQ Table \* ARABIC </w:instrText>
      </w:r>
      <w:r w:rsidR="00331E13" w:rsidRPr="00121E71">
        <w:rPr>
          <w:lang w:val="en-GB"/>
        </w:rPr>
        <w:fldChar w:fldCharType="separate"/>
      </w:r>
      <w:r w:rsidR="00331E13">
        <w:rPr>
          <w:noProof/>
          <w:lang w:val="en-GB"/>
        </w:rPr>
        <w:t>3</w:t>
      </w:r>
      <w:r w:rsidR="00331E13" w:rsidRPr="00121E71">
        <w:rPr>
          <w:lang w:val="en-GB"/>
        </w:rPr>
        <w:fldChar w:fldCharType="end"/>
      </w:r>
      <w:r w:rsidRPr="005E4DCF">
        <w:t>: Tabulated list of advers</w:t>
      </w:r>
      <w:r w:rsidR="008A5FB1" w:rsidRPr="005E4DCF">
        <w:t xml:space="preserve">e events reported in more than </w:t>
      </w:r>
      <w:r w:rsidR="005E4DCF" w:rsidRPr="005E4DCF">
        <w:t>10</w:t>
      </w:r>
      <w:r w:rsidRPr="005E4DCF">
        <w:t>% of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263"/>
        <w:gridCol w:w="1415"/>
        <w:gridCol w:w="1415"/>
        <w:gridCol w:w="1416"/>
      </w:tblGrid>
      <w:tr w:rsidR="008A5FB1" w:rsidRPr="008A5FB1" w14:paraId="705B456E" w14:textId="77777777" w:rsidTr="005E4DCF">
        <w:tc>
          <w:tcPr>
            <w:tcW w:w="2518" w:type="dxa"/>
            <w:shd w:val="clear" w:color="auto" w:fill="auto"/>
          </w:tcPr>
          <w:p w14:paraId="705B4569" w14:textId="77777777" w:rsidR="008A5FB1" w:rsidRPr="0030370B" w:rsidRDefault="008A5FB1" w:rsidP="007471E9">
            <w:pPr>
              <w:rPr>
                <w:b/>
              </w:rPr>
            </w:pPr>
            <w:r w:rsidRPr="0030370B">
              <w:rPr>
                <w:b/>
              </w:rPr>
              <w:t>SOC</w:t>
            </w:r>
          </w:p>
        </w:tc>
        <w:tc>
          <w:tcPr>
            <w:tcW w:w="2268" w:type="dxa"/>
            <w:shd w:val="clear" w:color="auto" w:fill="auto"/>
          </w:tcPr>
          <w:p w14:paraId="705B456A" w14:textId="77777777" w:rsidR="008A5FB1" w:rsidRPr="0030370B" w:rsidRDefault="008A5FB1" w:rsidP="007471E9">
            <w:pPr>
              <w:rPr>
                <w:b/>
              </w:rPr>
            </w:pPr>
            <w:r w:rsidRPr="0030370B">
              <w:rPr>
                <w:b/>
              </w:rPr>
              <w:t>Preferred term</w:t>
            </w:r>
          </w:p>
        </w:tc>
        <w:tc>
          <w:tcPr>
            <w:tcW w:w="1419" w:type="dxa"/>
            <w:shd w:val="clear" w:color="auto" w:fill="auto"/>
            <w:vAlign w:val="center"/>
          </w:tcPr>
          <w:p w14:paraId="705B456B" w14:textId="77777777" w:rsidR="008A5FB1" w:rsidRPr="008A5FB1" w:rsidRDefault="008A5FB1" w:rsidP="008A5FB1">
            <w:pPr>
              <w:rPr>
                <w:b/>
                <w:lang w:val="en-GB"/>
              </w:rPr>
            </w:pPr>
            <w:r w:rsidRPr="008A5FB1">
              <w:rPr>
                <w:b/>
                <w:lang w:val="en-GB"/>
              </w:rPr>
              <w:t>Number of patients</w:t>
            </w:r>
          </w:p>
        </w:tc>
        <w:tc>
          <w:tcPr>
            <w:tcW w:w="1419" w:type="dxa"/>
            <w:shd w:val="clear" w:color="auto" w:fill="auto"/>
            <w:vAlign w:val="center"/>
          </w:tcPr>
          <w:p w14:paraId="705B456C" w14:textId="77777777" w:rsidR="008A5FB1" w:rsidRPr="008A5FB1" w:rsidRDefault="008A5FB1" w:rsidP="008A5FB1">
            <w:pPr>
              <w:rPr>
                <w:b/>
                <w:lang w:val="en-GB"/>
              </w:rPr>
            </w:pPr>
            <w:r w:rsidRPr="008A5FB1">
              <w:rPr>
                <w:b/>
                <w:lang w:val="en-GB"/>
              </w:rPr>
              <w:t xml:space="preserve">% of patients </w:t>
            </w:r>
          </w:p>
        </w:tc>
        <w:tc>
          <w:tcPr>
            <w:tcW w:w="1420" w:type="dxa"/>
            <w:shd w:val="clear" w:color="auto" w:fill="auto"/>
            <w:vAlign w:val="center"/>
          </w:tcPr>
          <w:p w14:paraId="705B456D" w14:textId="77777777" w:rsidR="008A5FB1" w:rsidRPr="008A5FB1" w:rsidRDefault="008A5FB1" w:rsidP="008A5FB1">
            <w:pPr>
              <w:rPr>
                <w:b/>
                <w:lang w:val="en-GB"/>
              </w:rPr>
            </w:pPr>
            <w:r w:rsidRPr="008A5FB1">
              <w:rPr>
                <w:b/>
                <w:lang w:val="en-GB"/>
              </w:rPr>
              <w:t>Number of events</w:t>
            </w:r>
          </w:p>
        </w:tc>
      </w:tr>
      <w:tr w:rsidR="008A5FB1" w:rsidRPr="008A5FB1" w14:paraId="705B4574" w14:textId="77777777" w:rsidTr="005E4DCF">
        <w:trPr>
          <w:trHeight w:val="383"/>
        </w:trPr>
        <w:tc>
          <w:tcPr>
            <w:tcW w:w="2518" w:type="dxa"/>
            <w:vMerge w:val="restart"/>
            <w:shd w:val="clear" w:color="auto" w:fill="auto"/>
            <w:vAlign w:val="center"/>
          </w:tcPr>
          <w:p w14:paraId="705B456F" w14:textId="77777777" w:rsidR="008A5FB1" w:rsidRPr="008A5FB1" w:rsidRDefault="008A5FB1" w:rsidP="008A5FB1">
            <w:pPr>
              <w:rPr>
                <w:lang w:val="en-GB"/>
              </w:rPr>
            </w:pPr>
            <w:r w:rsidRPr="008A5FB1">
              <w:rPr>
                <w:lang w:val="en-GB"/>
              </w:rPr>
              <w:t>Infections and infestations</w:t>
            </w:r>
          </w:p>
        </w:tc>
        <w:tc>
          <w:tcPr>
            <w:tcW w:w="2268" w:type="dxa"/>
            <w:shd w:val="clear" w:color="auto" w:fill="auto"/>
            <w:vAlign w:val="center"/>
          </w:tcPr>
          <w:p w14:paraId="705B4570" w14:textId="77777777" w:rsidR="008A5FB1" w:rsidRPr="008A5FB1" w:rsidRDefault="008A5FB1" w:rsidP="008A5FB1">
            <w:pPr>
              <w:rPr>
                <w:lang w:val="en-GB"/>
              </w:rPr>
            </w:pPr>
            <w:r>
              <w:rPr>
                <w:lang w:val="en-GB"/>
              </w:rPr>
              <w:t>Nasopharyngitis</w:t>
            </w:r>
          </w:p>
        </w:tc>
        <w:tc>
          <w:tcPr>
            <w:tcW w:w="1419" w:type="dxa"/>
            <w:shd w:val="clear" w:color="auto" w:fill="auto"/>
            <w:vAlign w:val="center"/>
          </w:tcPr>
          <w:p w14:paraId="705B4571" w14:textId="77777777" w:rsidR="008A5FB1" w:rsidRPr="008A5FB1" w:rsidRDefault="008A5FB1" w:rsidP="008A5FB1">
            <w:pPr>
              <w:rPr>
                <w:lang w:val="en-GB"/>
              </w:rPr>
            </w:pPr>
            <w:r>
              <w:rPr>
                <w:lang w:val="en-GB"/>
              </w:rPr>
              <w:t>19</w:t>
            </w:r>
          </w:p>
        </w:tc>
        <w:tc>
          <w:tcPr>
            <w:tcW w:w="1419" w:type="dxa"/>
            <w:shd w:val="clear" w:color="auto" w:fill="auto"/>
            <w:vAlign w:val="center"/>
          </w:tcPr>
          <w:p w14:paraId="705B4572" w14:textId="77777777" w:rsidR="008A5FB1" w:rsidRPr="008A5FB1" w:rsidRDefault="008A5FB1" w:rsidP="008A5FB1">
            <w:pPr>
              <w:rPr>
                <w:lang w:val="en-GB"/>
              </w:rPr>
            </w:pPr>
            <w:r>
              <w:rPr>
                <w:lang w:val="en-GB"/>
              </w:rPr>
              <w:t>16.5</w:t>
            </w:r>
          </w:p>
        </w:tc>
        <w:tc>
          <w:tcPr>
            <w:tcW w:w="1420" w:type="dxa"/>
            <w:shd w:val="clear" w:color="auto" w:fill="auto"/>
            <w:vAlign w:val="center"/>
          </w:tcPr>
          <w:p w14:paraId="705B4573" w14:textId="77777777" w:rsidR="008A5FB1" w:rsidRPr="008A5FB1" w:rsidRDefault="008A5FB1" w:rsidP="008A5FB1">
            <w:pPr>
              <w:rPr>
                <w:lang w:val="en-GB"/>
              </w:rPr>
            </w:pPr>
            <w:r>
              <w:rPr>
                <w:lang w:val="en-GB"/>
              </w:rPr>
              <w:t>35</w:t>
            </w:r>
          </w:p>
        </w:tc>
      </w:tr>
      <w:tr w:rsidR="008A5FB1" w:rsidRPr="008A5FB1" w14:paraId="705B457A" w14:textId="77777777" w:rsidTr="005E4DCF">
        <w:tc>
          <w:tcPr>
            <w:tcW w:w="2518" w:type="dxa"/>
            <w:vMerge/>
            <w:shd w:val="clear" w:color="auto" w:fill="auto"/>
            <w:vAlign w:val="center"/>
          </w:tcPr>
          <w:p w14:paraId="705B4575" w14:textId="77777777" w:rsidR="008A5FB1" w:rsidRPr="008A5FB1" w:rsidRDefault="008A5FB1" w:rsidP="008A5FB1">
            <w:pPr>
              <w:rPr>
                <w:lang w:val="en-GB"/>
              </w:rPr>
            </w:pPr>
          </w:p>
        </w:tc>
        <w:tc>
          <w:tcPr>
            <w:tcW w:w="2268" w:type="dxa"/>
            <w:shd w:val="clear" w:color="auto" w:fill="auto"/>
            <w:vAlign w:val="center"/>
          </w:tcPr>
          <w:p w14:paraId="705B4576" w14:textId="77777777" w:rsidR="008A5FB1" w:rsidRDefault="008A5FB1" w:rsidP="008A5FB1">
            <w:pPr>
              <w:rPr>
                <w:lang w:val="en-GB"/>
              </w:rPr>
            </w:pPr>
            <w:r>
              <w:rPr>
                <w:lang w:val="en-GB"/>
              </w:rPr>
              <w:t>Upper respiratory tract infection</w:t>
            </w:r>
          </w:p>
        </w:tc>
        <w:tc>
          <w:tcPr>
            <w:tcW w:w="1419" w:type="dxa"/>
            <w:shd w:val="clear" w:color="auto" w:fill="auto"/>
            <w:vAlign w:val="center"/>
          </w:tcPr>
          <w:p w14:paraId="705B4577" w14:textId="77777777" w:rsidR="008A5FB1" w:rsidRDefault="008A5FB1" w:rsidP="008A5FB1">
            <w:pPr>
              <w:rPr>
                <w:lang w:val="en-GB"/>
              </w:rPr>
            </w:pPr>
            <w:r>
              <w:rPr>
                <w:lang w:val="en-GB"/>
              </w:rPr>
              <w:t>13</w:t>
            </w:r>
          </w:p>
        </w:tc>
        <w:tc>
          <w:tcPr>
            <w:tcW w:w="1419" w:type="dxa"/>
            <w:shd w:val="clear" w:color="auto" w:fill="auto"/>
            <w:vAlign w:val="center"/>
          </w:tcPr>
          <w:p w14:paraId="705B4578" w14:textId="77777777" w:rsidR="008A5FB1" w:rsidRDefault="008A5FB1" w:rsidP="008A5FB1">
            <w:pPr>
              <w:rPr>
                <w:lang w:val="en-GB"/>
              </w:rPr>
            </w:pPr>
            <w:r>
              <w:rPr>
                <w:lang w:val="en-GB"/>
              </w:rPr>
              <w:t>11.3</w:t>
            </w:r>
          </w:p>
        </w:tc>
        <w:tc>
          <w:tcPr>
            <w:tcW w:w="1420" w:type="dxa"/>
            <w:shd w:val="clear" w:color="auto" w:fill="auto"/>
            <w:vAlign w:val="center"/>
          </w:tcPr>
          <w:p w14:paraId="705B4579" w14:textId="77777777" w:rsidR="008A5FB1" w:rsidRDefault="008A5FB1" w:rsidP="008A5FB1">
            <w:pPr>
              <w:rPr>
                <w:lang w:val="en-GB"/>
              </w:rPr>
            </w:pPr>
            <w:r>
              <w:rPr>
                <w:lang w:val="en-GB"/>
              </w:rPr>
              <w:t>20</w:t>
            </w:r>
          </w:p>
        </w:tc>
      </w:tr>
      <w:tr w:rsidR="008A5FB1" w:rsidRPr="008A5FB1" w14:paraId="705B4580" w14:textId="77777777" w:rsidTr="005E4DCF">
        <w:tc>
          <w:tcPr>
            <w:tcW w:w="2518" w:type="dxa"/>
            <w:shd w:val="clear" w:color="auto" w:fill="auto"/>
            <w:vAlign w:val="center"/>
          </w:tcPr>
          <w:p w14:paraId="705B457B" w14:textId="77777777" w:rsidR="008A5FB1" w:rsidRPr="008A5FB1" w:rsidRDefault="008A5FB1" w:rsidP="008A5FB1">
            <w:pPr>
              <w:rPr>
                <w:lang w:val="en-GB"/>
              </w:rPr>
            </w:pPr>
            <w:r>
              <w:rPr>
                <w:lang w:val="en-GB"/>
              </w:rPr>
              <w:t>Injury, poisoning and procedural complications</w:t>
            </w:r>
          </w:p>
        </w:tc>
        <w:tc>
          <w:tcPr>
            <w:tcW w:w="2268" w:type="dxa"/>
            <w:shd w:val="clear" w:color="auto" w:fill="auto"/>
            <w:vAlign w:val="center"/>
          </w:tcPr>
          <w:p w14:paraId="705B457C" w14:textId="77777777" w:rsidR="008A5FB1" w:rsidRDefault="008A5FB1" w:rsidP="008A5FB1">
            <w:pPr>
              <w:rPr>
                <w:lang w:val="en-GB"/>
              </w:rPr>
            </w:pPr>
            <w:r>
              <w:rPr>
                <w:lang w:val="en-GB"/>
              </w:rPr>
              <w:t>Contusion</w:t>
            </w:r>
          </w:p>
        </w:tc>
        <w:tc>
          <w:tcPr>
            <w:tcW w:w="1419" w:type="dxa"/>
            <w:shd w:val="clear" w:color="auto" w:fill="auto"/>
            <w:vAlign w:val="center"/>
          </w:tcPr>
          <w:p w14:paraId="705B457D" w14:textId="77777777" w:rsidR="008A5FB1" w:rsidRDefault="008A5FB1" w:rsidP="008A5FB1">
            <w:pPr>
              <w:rPr>
                <w:lang w:val="en-GB"/>
              </w:rPr>
            </w:pPr>
            <w:r>
              <w:rPr>
                <w:lang w:val="en-GB"/>
              </w:rPr>
              <w:t>15</w:t>
            </w:r>
          </w:p>
        </w:tc>
        <w:tc>
          <w:tcPr>
            <w:tcW w:w="1419" w:type="dxa"/>
            <w:shd w:val="clear" w:color="auto" w:fill="auto"/>
            <w:vAlign w:val="center"/>
          </w:tcPr>
          <w:p w14:paraId="705B457E" w14:textId="77777777" w:rsidR="008A5FB1" w:rsidRDefault="008A5FB1" w:rsidP="008A5FB1">
            <w:pPr>
              <w:rPr>
                <w:lang w:val="en-GB"/>
              </w:rPr>
            </w:pPr>
            <w:r>
              <w:rPr>
                <w:lang w:val="en-GB"/>
              </w:rPr>
              <w:t>13.0</w:t>
            </w:r>
          </w:p>
        </w:tc>
        <w:tc>
          <w:tcPr>
            <w:tcW w:w="1420" w:type="dxa"/>
            <w:shd w:val="clear" w:color="auto" w:fill="auto"/>
            <w:vAlign w:val="center"/>
          </w:tcPr>
          <w:p w14:paraId="705B457F" w14:textId="77777777" w:rsidR="008A5FB1" w:rsidRDefault="008A5FB1" w:rsidP="008A5FB1">
            <w:pPr>
              <w:rPr>
                <w:lang w:val="en-GB"/>
              </w:rPr>
            </w:pPr>
            <w:r>
              <w:rPr>
                <w:lang w:val="en-GB"/>
              </w:rPr>
              <w:t>27</w:t>
            </w:r>
          </w:p>
        </w:tc>
      </w:tr>
      <w:tr w:rsidR="008A5FB1" w:rsidRPr="008A5FB1" w14:paraId="705B4586" w14:textId="77777777" w:rsidTr="005E4DCF">
        <w:tc>
          <w:tcPr>
            <w:tcW w:w="2518" w:type="dxa"/>
            <w:shd w:val="clear" w:color="auto" w:fill="auto"/>
            <w:vAlign w:val="center"/>
          </w:tcPr>
          <w:p w14:paraId="705B4581" w14:textId="77777777" w:rsidR="008A5FB1" w:rsidRDefault="005E4DCF" w:rsidP="005E4DCF">
            <w:pPr>
              <w:rPr>
                <w:lang w:val="en-GB"/>
              </w:rPr>
            </w:pPr>
            <w:r>
              <w:rPr>
                <w:lang w:val="en-GB"/>
              </w:rPr>
              <w:lastRenderedPageBreak/>
              <w:t>Respiratory, thoracic and mediastinal disorders</w:t>
            </w:r>
          </w:p>
        </w:tc>
        <w:tc>
          <w:tcPr>
            <w:tcW w:w="2268" w:type="dxa"/>
            <w:shd w:val="clear" w:color="auto" w:fill="auto"/>
            <w:vAlign w:val="center"/>
          </w:tcPr>
          <w:p w14:paraId="705B4582" w14:textId="77777777" w:rsidR="008A5FB1" w:rsidRDefault="005E4DCF" w:rsidP="008A5FB1">
            <w:pPr>
              <w:rPr>
                <w:lang w:val="en-GB"/>
              </w:rPr>
            </w:pPr>
            <w:r>
              <w:rPr>
                <w:lang w:val="en-GB"/>
              </w:rPr>
              <w:t>Cough</w:t>
            </w:r>
          </w:p>
        </w:tc>
        <w:tc>
          <w:tcPr>
            <w:tcW w:w="1419" w:type="dxa"/>
            <w:shd w:val="clear" w:color="auto" w:fill="auto"/>
            <w:vAlign w:val="center"/>
          </w:tcPr>
          <w:p w14:paraId="705B4583" w14:textId="77777777" w:rsidR="008A5FB1" w:rsidRDefault="005E4DCF" w:rsidP="008A5FB1">
            <w:pPr>
              <w:rPr>
                <w:lang w:val="en-GB"/>
              </w:rPr>
            </w:pPr>
            <w:r>
              <w:rPr>
                <w:lang w:val="en-GB"/>
              </w:rPr>
              <w:t>15</w:t>
            </w:r>
          </w:p>
        </w:tc>
        <w:tc>
          <w:tcPr>
            <w:tcW w:w="1419" w:type="dxa"/>
            <w:shd w:val="clear" w:color="auto" w:fill="auto"/>
            <w:vAlign w:val="center"/>
          </w:tcPr>
          <w:p w14:paraId="705B4584" w14:textId="77777777" w:rsidR="008A5FB1" w:rsidRDefault="005E4DCF" w:rsidP="008A5FB1">
            <w:pPr>
              <w:rPr>
                <w:lang w:val="en-GB"/>
              </w:rPr>
            </w:pPr>
            <w:r>
              <w:rPr>
                <w:lang w:val="en-GB"/>
              </w:rPr>
              <w:t>13.0</w:t>
            </w:r>
          </w:p>
        </w:tc>
        <w:tc>
          <w:tcPr>
            <w:tcW w:w="1420" w:type="dxa"/>
            <w:shd w:val="clear" w:color="auto" w:fill="auto"/>
            <w:vAlign w:val="center"/>
          </w:tcPr>
          <w:p w14:paraId="705B4585" w14:textId="77777777" w:rsidR="008A5FB1" w:rsidRDefault="005E4DCF" w:rsidP="008A5FB1">
            <w:pPr>
              <w:rPr>
                <w:lang w:val="en-GB"/>
              </w:rPr>
            </w:pPr>
            <w:r>
              <w:rPr>
                <w:lang w:val="en-GB"/>
              </w:rPr>
              <w:t>24</w:t>
            </w:r>
          </w:p>
        </w:tc>
      </w:tr>
      <w:tr w:rsidR="008A5FB1" w:rsidRPr="008A5FB1" w14:paraId="705B458C" w14:textId="77777777" w:rsidTr="005E4DCF">
        <w:tc>
          <w:tcPr>
            <w:tcW w:w="2518" w:type="dxa"/>
            <w:shd w:val="clear" w:color="auto" w:fill="auto"/>
            <w:vAlign w:val="center"/>
          </w:tcPr>
          <w:p w14:paraId="705B4587" w14:textId="77777777" w:rsidR="008A5FB1" w:rsidRDefault="005E4DCF" w:rsidP="008A5FB1">
            <w:pPr>
              <w:rPr>
                <w:lang w:val="en-GB"/>
              </w:rPr>
            </w:pPr>
            <w:r>
              <w:rPr>
                <w:lang w:val="en-GB"/>
              </w:rPr>
              <w:t>General disorders and administration site conditions</w:t>
            </w:r>
          </w:p>
        </w:tc>
        <w:tc>
          <w:tcPr>
            <w:tcW w:w="2268" w:type="dxa"/>
            <w:shd w:val="clear" w:color="auto" w:fill="auto"/>
            <w:vAlign w:val="center"/>
          </w:tcPr>
          <w:p w14:paraId="705B4588" w14:textId="77777777" w:rsidR="008A5FB1" w:rsidRDefault="005E4DCF" w:rsidP="008A5FB1">
            <w:pPr>
              <w:rPr>
                <w:lang w:val="en-GB"/>
              </w:rPr>
            </w:pPr>
            <w:r>
              <w:rPr>
                <w:lang w:val="en-GB"/>
              </w:rPr>
              <w:t>Pyrexia</w:t>
            </w:r>
          </w:p>
        </w:tc>
        <w:tc>
          <w:tcPr>
            <w:tcW w:w="1419" w:type="dxa"/>
            <w:shd w:val="clear" w:color="auto" w:fill="auto"/>
            <w:vAlign w:val="center"/>
          </w:tcPr>
          <w:p w14:paraId="705B4589" w14:textId="77777777" w:rsidR="008A5FB1" w:rsidRDefault="005E4DCF" w:rsidP="008A5FB1">
            <w:pPr>
              <w:rPr>
                <w:lang w:val="en-GB"/>
              </w:rPr>
            </w:pPr>
            <w:r>
              <w:rPr>
                <w:lang w:val="en-GB"/>
              </w:rPr>
              <w:t>13</w:t>
            </w:r>
          </w:p>
        </w:tc>
        <w:tc>
          <w:tcPr>
            <w:tcW w:w="1419" w:type="dxa"/>
            <w:shd w:val="clear" w:color="auto" w:fill="auto"/>
            <w:vAlign w:val="center"/>
          </w:tcPr>
          <w:p w14:paraId="705B458A" w14:textId="77777777" w:rsidR="008A5FB1" w:rsidRDefault="005E4DCF" w:rsidP="008A5FB1">
            <w:pPr>
              <w:rPr>
                <w:lang w:val="en-GB"/>
              </w:rPr>
            </w:pPr>
            <w:r>
              <w:rPr>
                <w:lang w:val="en-GB"/>
              </w:rPr>
              <w:t>11.3</w:t>
            </w:r>
          </w:p>
        </w:tc>
        <w:tc>
          <w:tcPr>
            <w:tcW w:w="1420" w:type="dxa"/>
            <w:shd w:val="clear" w:color="auto" w:fill="auto"/>
            <w:vAlign w:val="center"/>
          </w:tcPr>
          <w:p w14:paraId="705B458B" w14:textId="77777777" w:rsidR="008A5FB1" w:rsidRDefault="005E4DCF" w:rsidP="008A5FB1">
            <w:pPr>
              <w:rPr>
                <w:lang w:val="en-GB"/>
              </w:rPr>
            </w:pPr>
            <w:r>
              <w:rPr>
                <w:lang w:val="en-GB"/>
              </w:rPr>
              <w:t>24</w:t>
            </w:r>
          </w:p>
        </w:tc>
      </w:tr>
      <w:tr w:rsidR="00A16738" w:rsidRPr="008A5FB1" w14:paraId="705B4592" w14:textId="77777777" w:rsidTr="005E4DCF">
        <w:tc>
          <w:tcPr>
            <w:tcW w:w="2518" w:type="dxa"/>
            <w:shd w:val="clear" w:color="auto" w:fill="auto"/>
            <w:vAlign w:val="center"/>
          </w:tcPr>
          <w:p w14:paraId="705B458D" w14:textId="77777777" w:rsidR="00A16738" w:rsidRDefault="005E4DCF" w:rsidP="008A5FB1">
            <w:pPr>
              <w:rPr>
                <w:lang w:val="en-GB"/>
              </w:rPr>
            </w:pPr>
            <w:r>
              <w:rPr>
                <w:lang w:val="en-GB"/>
              </w:rPr>
              <w:t>Nervous system disorders</w:t>
            </w:r>
          </w:p>
        </w:tc>
        <w:tc>
          <w:tcPr>
            <w:tcW w:w="2268" w:type="dxa"/>
            <w:shd w:val="clear" w:color="auto" w:fill="auto"/>
            <w:vAlign w:val="center"/>
          </w:tcPr>
          <w:p w14:paraId="705B458E" w14:textId="77777777" w:rsidR="00A16738" w:rsidRDefault="005E4DCF" w:rsidP="008A5FB1">
            <w:pPr>
              <w:rPr>
                <w:lang w:val="en-GB"/>
              </w:rPr>
            </w:pPr>
            <w:r>
              <w:rPr>
                <w:lang w:val="en-GB"/>
              </w:rPr>
              <w:t>Headache</w:t>
            </w:r>
          </w:p>
        </w:tc>
        <w:tc>
          <w:tcPr>
            <w:tcW w:w="1419" w:type="dxa"/>
            <w:shd w:val="clear" w:color="auto" w:fill="auto"/>
            <w:vAlign w:val="center"/>
          </w:tcPr>
          <w:p w14:paraId="705B458F" w14:textId="77777777" w:rsidR="00A16738" w:rsidRDefault="005E4DCF" w:rsidP="008A5FB1">
            <w:pPr>
              <w:rPr>
                <w:lang w:val="en-GB"/>
              </w:rPr>
            </w:pPr>
            <w:r>
              <w:rPr>
                <w:lang w:val="en-GB"/>
              </w:rPr>
              <w:t>12</w:t>
            </w:r>
          </w:p>
        </w:tc>
        <w:tc>
          <w:tcPr>
            <w:tcW w:w="1419" w:type="dxa"/>
            <w:shd w:val="clear" w:color="auto" w:fill="auto"/>
            <w:vAlign w:val="center"/>
          </w:tcPr>
          <w:p w14:paraId="705B4590" w14:textId="77777777" w:rsidR="00A16738" w:rsidRDefault="005E4DCF" w:rsidP="008A5FB1">
            <w:pPr>
              <w:rPr>
                <w:lang w:val="en-GB"/>
              </w:rPr>
            </w:pPr>
            <w:r>
              <w:rPr>
                <w:lang w:val="en-GB"/>
              </w:rPr>
              <w:t>10.4</w:t>
            </w:r>
          </w:p>
        </w:tc>
        <w:tc>
          <w:tcPr>
            <w:tcW w:w="1420" w:type="dxa"/>
            <w:shd w:val="clear" w:color="auto" w:fill="auto"/>
            <w:vAlign w:val="center"/>
          </w:tcPr>
          <w:p w14:paraId="705B4591" w14:textId="77777777" w:rsidR="00A16738" w:rsidRDefault="005E4DCF" w:rsidP="008A5FB1">
            <w:pPr>
              <w:rPr>
                <w:lang w:val="en-GB"/>
              </w:rPr>
            </w:pPr>
            <w:r>
              <w:rPr>
                <w:lang w:val="en-GB"/>
              </w:rPr>
              <w:t>23</w:t>
            </w:r>
          </w:p>
        </w:tc>
      </w:tr>
    </w:tbl>
    <w:p w14:paraId="705B4593" w14:textId="77777777" w:rsidR="0050667A" w:rsidRPr="0050667A" w:rsidRDefault="0050667A" w:rsidP="0050667A"/>
    <w:p w14:paraId="705B4594" w14:textId="77777777" w:rsidR="006D1384" w:rsidRDefault="00AC0338" w:rsidP="00FF622D">
      <w:pPr>
        <w:pStyle w:val="Heading4"/>
      </w:pPr>
      <w:r>
        <w:t>Adverse drug reactions from clinical trials</w:t>
      </w:r>
    </w:p>
    <w:p w14:paraId="705B4596" w14:textId="47CDFB97" w:rsidR="00AC0338" w:rsidRDefault="00AC0338" w:rsidP="00147CF9">
      <w:pPr>
        <w:pStyle w:val="Heading6"/>
        <w:spacing w:before="0"/>
      </w:pPr>
      <w:r>
        <w:t>Previously treated patients</w:t>
      </w:r>
    </w:p>
    <w:tbl>
      <w:tblPr>
        <w:tblStyle w:val="TableGrid"/>
        <w:tblW w:w="0" w:type="auto"/>
        <w:tblLook w:val="04A0" w:firstRow="1" w:lastRow="0" w:firstColumn="1" w:lastColumn="0" w:noHBand="0" w:noVBand="1"/>
      </w:tblPr>
      <w:tblGrid>
        <w:gridCol w:w="2997"/>
        <w:gridCol w:w="3009"/>
        <w:gridCol w:w="3010"/>
      </w:tblGrid>
      <w:tr w:rsidR="00AC0338" w14:paraId="705B459A" w14:textId="77777777" w:rsidTr="00467044">
        <w:tc>
          <w:tcPr>
            <w:tcW w:w="2997" w:type="dxa"/>
          </w:tcPr>
          <w:p w14:paraId="705B4597" w14:textId="77777777" w:rsidR="00AC0338" w:rsidRPr="0030370B" w:rsidRDefault="00AC0338" w:rsidP="00222422">
            <w:pPr>
              <w:rPr>
                <w:b/>
              </w:rPr>
            </w:pPr>
            <w:r w:rsidRPr="0030370B">
              <w:rPr>
                <w:b/>
              </w:rPr>
              <w:t>SOC</w:t>
            </w:r>
          </w:p>
        </w:tc>
        <w:tc>
          <w:tcPr>
            <w:tcW w:w="3009" w:type="dxa"/>
          </w:tcPr>
          <w:p w14:paraId="705B4598" w14:textId="77777777" w:rsidR="00AC0338" w:rsidRPr="0030370B" w:rsidRDefault="00AC0338" w:rsidP="00222422">
            <w:pPr>
              <w:rPr>
                <w:b/>
              </w:rPr>
            </w:pPr>
            <w:r w:rsidRPr="0030370B">
              <w:rPr>
                <w:b/>
              </w:rPr>
              <w:t>Preferred term</w:t>
            </w:r>
          </w:p>
        </w:tc>
        <w:tc>
          <w:tcPr>
            <w:tcW w:w="3010" w:type="dxa"/>
          </w:tcPr>
          <w:p w14:paraId="705B4599" w14:textId="77777777" w:rsidR="00AC0338" w:rsidRPr="0030370B" w:rsidRDefault="00AC0338" w:rsidP="00222422">
            <w:pPr>
              <w:rPr>
                <w:b/>
              </w:rPr>
            </w:pPr>
            <w:r w:rsidRPr="0030370B">
              <w:rPr>
                <w:b/>
              </w:rPr>
              <w:t>Frequency* (%)</w:t>
            </w:r>
          </w:p>
        </w:tc>
      </w:tr>
      <w:tr w:rsidR="00AC0338" w14:paraId="705B459E" w14:textId="77777777" w:rsidTr="00467044">
        <w:tc>
          <w:tcPr>
            <w:tcW w:w="2997" w:type="dxa"/>
          </w:tcPr>
          <w:p w14:paraId="705B459B" w14:textId="77777777" w:rsidR="00AC0338" w:rsidRDefault="00AC0338" w:rsidP="00222422">
            <w:r>
              <w:t>Immune system disorders</w:t>
            </w:r>
          </w:p>
        </w:tc>
        <w:tc>
          <w:tcPr>
            <w:tcW w:w="3009" w:type="dxa"/>
          </w:tcPr>
          <w:p w14:paraId="14D06BFE" w14:textId="77777777" w:rsidR="00AC0338" w:rsidRDefault="00AC0338" w:rsidP="00222422">
            <w:r>
              <w:t>Hypersensitivity</w:t>
            </w:r>
          </w:p>
          <w:p w14:paraId="3F279407" w14:textId="77777777" w:rsidR="00467044" w:rsidRPr="00467044" w:rsidRDefault="00467044" w:rsidP="00467044">
            <w:r w:rsidRPr="00467044">
              <w:t>Anaphylaxis</w:t>
            </w:r>
          </w:p>
          <w:p w14:paraId="705B459C" w14:textId="6C66ABF4" w:rsidR="00467044" w:rsidRDefault="00467044" w:rsidP="00467044">
            <w:r w:rsidRPr="00467044">
              <w:t>Inhibitors</w:t>
            </w:r>
          </w:p>
        </w:tc>
        <w:tc>
          <w:tcPr>
            <w:tcW w:w="3010" w:type="dxa"/>
          </w:tcPr>
          <w:p w14:paraId="7827780D" w14:textId="77777777" w:rsidR="00AC0338" w:rsidRDefault="00AC0338" w:rsidP="00222422">
            <w:r>
              <w:t>0.9 (1/115, uncommon)</w:t>
            </w:r>
          </w:p>
          <w:p w14:paraId="39A6F10F" w14:textId="77777777" w:rsidR="00467044" w:rsidRPr="00467044" w:rsidRDefault="00467044" w:rsidP="00467044">
            <w:r w:rsidRPr="00467044">
              <w:t>Unknown</w:t>
            </w:r>
          </w:p>
          <w:p w14:paraId="705B459D" w14:textId="547AA2B1" w:rsidR="00467044" w:rsidRDefault="00467044" w:rsidP="00467044">
            <w:r w:rsidRPr="00467044">
              <w:t>Unknown</w:t>
            </w:r>
          </w:p>
        </w:tc>
      </w:tr>
      <w:tr w:rsidR="00467044" w14:paraId="66DF32D2" w14:textId="77777777" w:rsidTr="00467044">
        <w:tc>
          <w:tcPr>
            <w:tcW w:w="2997" w:type="dxa"/>
          </w:tcPr>
          <w:p w14:paraId="1502668A" w14:textId="3AD4B73F" w:rsidR="00467044" w:rsidRDefault="00467044" w:rsidP="00467044">
            <w:r w:rsidRPr="00725440">
              <w:t>Cardiac disorders</w:t>
            </w:r>
          </w:p>
        </w:tc>
        <w:tc>
          <w:tcPr>
            <w:tcW w:w="3009" w:type="dxa"/>
          </w:tcPr>
          <w:p w14:paraId="18246712" w14:textId="0D86B133" w:rsidR="00467044" w:rsidRDefault="00467044" w:rsidP="00467044">
            <w:r w:rsidRPr="00725440">
              <w:t>Palpitations</w:t>
            </w:r>
          </w:p>
        </w:tc>
        <w:tc>
          <w:tcPr>
            <w:tcW w:w="3010" w:type="dxa"/>
          </w:tcPr>
          <w:p w14:paraId="4792D416" w14:textId="0348A5AE" w:rsidR="00467044" w:rsidRDefault="00467044" w:rsidP="00467044">
            <w:r w:rsidRPr="00725440">
              <w:t>Uncommon</w:t>
            </w:r>
          </w:p>
        </w:tc>
      </w:tr>
      <w:tr w:rsidR="00467044" w14:paraId="4B7BEB74" w14:textId="77777777" w:rsidTr="00467044">
        <w:tc>
          <w:tcPr>
            <w:tcW w:w="2997" w:type="dxa"/>
          </w:tcPr>
          <w:p w14:paraId="1B74A524" w14:textId="1508C7E0" w:rsidR="00467044" w:rsidRDefault="00467044" w:rsidP="00467044">
            <w:r w:rsidRPr="00725440">
              <w:t>Gastrointestinal disorders</w:t>
            </w:r>
          </w:p>
        </w:tc>
        <w:tc>
          <w:tcPr>
            <w:tcW w:w="3009" w:type="dxa"/>
          </w:tcPr>
          <w:p w14:paraId="64F01B4F" w14:textId="0CE890AE" w:rsidR="00467044" w:rsidRDefault="00467044" w:rsidP="00467044">
            <w:r w:rsidRPr="00725440">
              <w:t>Nausea</w:t>
            </w:r>
          </w:p>
        </w:tc>
        <w:tc>
          <w:tcPr>
            <w:tcW w:w="3010" w:type="dxa"/>
          </w:tcPr>
          <w:p w14:paraId="6A549F9B" w14:textId="51032572" w:rsidR="00467044" w:rsidRDefault="00467044" w:rsidP="00467044">
            <w:r w:rsidRPr="00725440">
              <w:t>Common</w:t>
            </w:r>
          </w:p>
        </w:tc>
      </w:tr>
      <w:tr w:rsidR="00467044" w14:paraId="705B45A2" w14:textId="77777777" w:rsidTr="00467044">
        <w:tc>
          <w:tcPr>
            <w:tcW w:w="2997" w:type="dxa"/>
          </w:tcPr>
          <w:p w14:paraId="705B459F" w14:textId="77777777" w:rsidR="00467044" w:rsidRDefault="00467044" w:rsidP="00467044">
            <w:r>
              <w:t>Skin and subcutaneous tissue disorders</w:t>
            </w:r>
          </w:p>
        </w:tc>
        <w:tc>
          <w:tcPr>
            <w:tcW w:w="3009" w:type="dxa"/>
          </w:tcPr>
          <w:p w14:paraId="705B45A0" w14:textId="77777777" w:rsidR="00467044" w:rsidRDefault="00467044" w:rsidP="00467044">
            <w:r>
              <w:t>Pruritus**</w:t>
            </w:r>
          </w:p>
        </w:tc>
        <w:tc>
          <w:tcPr>
            <w:tcW w:w="3010" w:type="dxa"/>
          </w:tcPr>
          <w:p w14:paraId="705B45A1" w14:textId="77777777" w:rsidR="00467044" w:rsidRDefault="00467044" w:rsidP="00467044">
            <w:r>
              <w:t>2.6 (3/115, common)</w:t>
            </w:r>
          </w:p>
        </w:tc>
      </w:tr>
      <w:tr w:rsidR="00467044" w14:paraId="705B45A6" w14:textId="77777777" w:rsidTr="00467044">
        <w:tc>
          <w:tcPr>
            <w:tcW w:w="2997" w:type="dxa"/>
          </w:tcPr>
          <w:p w14:paraId="705B45A3" w14:textId="77777777" w:rsidR="00467044" w:rsidRDefault="00467044" w:rsidP="00467044">
            <w:r>
              <w:t>General disorders and administration site conditions</w:t>
            </w:r>
          </w:p>
        </w:tc>
        <w:tc>
          <w:tcPr>
            <w:tcW w:w="3009" w:type="dxa"/>
          </w:tcPr>
          <w:p w14:paraId="03833BA7" w14:textId="77777777" w:rsidR="00467044" w:rsidRPr="00467044" w:rsidRDefault="00467044" w:rsidP="00467044">
            <w:r w:rsidRPr="00467044">
              <w:t>Fatigue</w:t>
            </w:r>
          </w:p>
          <w:p w14:paraId="5C941DAE" w14:textId="77777777" w:rsidR="00467044" w:rsidRPr="00467044" w:rsidRDefault="00467044" w:rsidP="00467044">
            <w:r w:rsidRPr="00467044">
              <w:t>Hot flush</w:t>
            </w:r>
          </w:p>
          <w:p w14:paraId="705B45A4" w14:textId="77777777" w:rsidR="00467044" w:rsidRDefault="00467044" w:rsidP="00467044">
            <w:r>
              <w:t>Injection site reactions***</w:t>
            </w:r>
          </w:p>
        </w:tc>
        <w:tc>
          <w:tcPr>
            <w:tcW w:w="3010" w:type="dxa"/>
          </w:tcPr>
          <w:p w14:paraId="3CE2FD1B" w14:textId="77777777" w:rsidR="00467044" w:rsidRPr="00467044" w:rsidRDefault="00467044" w:rsidP="00467044">
            <w:r w:rsidRPr="00467044">
              <w:t>Common</w:t>
            </w:r>
          </w:p>
          <w:p w14:paraId="1019590C" w14:textId="77777777" w:rsidR="00467044" w:rsidRDefault="00467044" w:rsidP="00467044">
            <w:r w:rsidRPr="00467044">
              <w:t>Uncommon</w:t>
            </w:r>
          </w:p>
          <w:p w14:paraId="705B45A5" w14:textId="213BD9A5" w:rsidR="00467044" w:rsidRDefault="00467044" w:rsidP="00467044">
            <w:r>
              <w:t>3.5 (4/115, common)</w:t>
            </w:r>
          </w:p>
        </w:tc>
      </w:tr>
    </w:tbl>
    <w:p w14:paraId="705B45A7" w14:textId="77777777" w:rsidR="00AC0338" w:rsidRPr="0030370B" w:rsidRDefault="00106FB1" w:rsidP="00222422">
      <w:pPr>
        <w:rPr>
          <w:sz w:val="20"/>
          <w:szCs w:val="20"/>
        </w:rPr>
      </w:pPr>
      <w:r w:rsidRPr="0030370B">
        <w:rPr>
          <w:sz w:val="20"/>
          <w:szCs w:val="20"/>
        </w:rPr>
        <w:t xml:space="preserve">*Number of patients with reaction by total number of unique patients exposed in all clinical studies (115) **Pruritus includes the terms pruritus and ear pruritus ***Injection site reactions includes injection site pain, </w:t>
      </w:r>
      <w:r w:rsidR="009F1ED2">
        <w:rPr>
          <w:sz w:val="20"/>
          <w:szCs w:val="20"/>
        </w:rPr>
        <w:t xml:space="preserve">infusion site pain, </w:t>
      </w:r>
      <w:r w:rsidRPr="0030370B">
        <w:rPr>
          <w:sz w:val="20"/>
          <w:szCs w:val="20"/>
        </w:rPr>
        <w:t>injection site swelling, injection site erythema and injection site rash.</w:t>
      </w:r>
    </w:p>
    <w:p w14:paraId="705B45A8" w14:textId="77777777" w:rsidR="00AC0338" w:rsidRDefault="00106FB1" w:rsidP="00222422">
      <w:pPr>
        <w:pStyle w:val="Heading6"/>
      </w:pPr>
      <w:r>
        <w:t>Previously untreated patients</w:t>
      </w:r>
    </w:p>
    <w:p w14:paraId="705B45A9" w14:textId="4439A0C7" w:rsidR="00106FB1" w:rsidRDefault="00106FB1" w:rsidP="00222422">
      <w:r>
        <w:t>In an ongoing trial in previously untreated patients, anaphylaxis has occurred in close temporal association with development of factor IX inhibitor following treatment with Refixia</w:t>
      </w:r>
      <w:r w:rsidR="00222422">
        <w:t xml:space="preserve">. Inhibitor development and anaphylactic reactions are more likely to occur during the early phases of replacement therapy. See </w:t>
      </w:r>
      <w:r w:rsidR="00222422" w:rsidRPr="0030370B">
        <w:t>section 4.</w:t>
      </w:r>
      <w:r w:rsidR="0030370B">
        <w:t>4</w:t>
      </w:r>
      <w:r w:rsidR="00222422">
        <w:t>.</w:t>
      </w:r>
    </w:p>
    <w:p w14:paraId="705B45AA" w14:textId="3DB09E38" w:rsidR="00222422" w:rsidRDefault="00222422" w:rsidP="00FF622D">
      <w:pPr>
        <w:pStyle w:val="Heading4"/>
      </w:pPr>
      <w:r>
        <w:t>Paediatric population</w:t>
      </w:r>
    </w:p>
    <w:p w14:paraId="705B45AB" w14:textId="6F40E4F9" w:rsidR="00222422" w:rsidRDefault="00222422" w:rsidP="00147CF9">
      <w:pPr>
        <w:pStyle w:val="Heading6"/>
        <w:spacing w:before="0"/>
      </w:pPr>
      <w:r>
        <w:t>Previously treated patients</w:t>
      </w:r>
    </w:p>
    <w:p w14:paraId="705B45AC" w14:textId="4E563C07" w:rsidR="00222422" w:rsidRDefault="005D03F6" w:rsidP="00222422">
      <w:r>
        <w:t xml:space="preserve">Refixia is indicated for patients 12 years and above. </w:t>
      </w:r>
      <w:r w:rsidR="00222422">
        <w:t>No difference in the safety profile of Refixia was observed between previously treated paediatric patient</w:t>
      </w:r>
      <w:r w:rsidR="00CD16CC">
        <w:t>s</w:t>
      </w:r>
      <w:r w:rsidR="00222422">
        <w:t xml:space="preserve"> and adults.</w:t>
      </w:r>
    </w:p>
    <w:p w14:paraId="705B45AD" w14:textId="44D172A5" w:rsidR="00222422" w:rsidRDefault="00222422" w:rsidP="00222422">
      <w:pPr>
        <w:pStyle w:val="Heading6"/>
      </w:pPr>
      <w:r>
        <w:t>Previously untreated patients</w:t>
      </w:r>
    </w:p>
    <w:p w14:paraId="0FF37AA4" w14:textId="77777777" w:rsidR="00375E2D" w:rsidRDefault="00222422" w:rsidP="00375E2D">
      <w:r w:rsidRPr="00222422">
        <w:t>See adverse drug reactions described above.</w:t>
      </w:r>
    </w:p>
    <w:p w14:paraId="705B45AF" w14:textId="52E756A3" w:rsidR="006057CC" w:rsidRPr="00147CF9" w:rsidRDefault="006057CC" w:rsidP="006057CC">
      <w:pPr>
        <w:pStyle w:val="Heading6"/>
        <w:rPr>
          <w:i w:val="0"/>
          <w:iCs w:val="0"/>
          <w:u w:val="single"/>
        </w:rPr>
      </w:pPr>
      <w:r w:rsidRPr="00147CF9">
        <w:rPr>
          <w:i w:val="0"/>
          <w:iCs w:val="0"/>
          <w:u w:val="single"/>
        </w:rPr>
        <w:t>Reporting suspected adverse effects</w:t>
      </w:r>
    </w:p>
    <w:p w14:paraId="705B45B0" w14:textId="77777777" w:rsidR="00F17541" w:rsidRDefault="00F17541" w:rsidP="00222422">
      <w:r w:rsidRPr="00C44B67">
        <w:t>Reporting suspected adverse reactions after registration of the medicinal product is important. It allows continued monitoring of the benefit-risk balance of the medicinal product.</w:t>
      </w:r>
      <w:r w:rsidR="00C44B67" w:rsidRPr="00C44B67">
        <w:t xml:space="preserve"> Healthcare professionals are as</w:t>
      </w:r>
      <w:r w:rsidRPr="00C44B67">
        <w:t xml:space="preserve">ked to report any suspected adverse reactions at </w:t>
      </w:r>
      <w:hyperlink r:id="rId12" w:history="1">
        <w:r w:rsidR="00C44B67" w:rsidRPr="00C44B67">
          <w:rPr>
            <w:rStyle w:val="Hyperlink"/>
            <w:color w:val="auto"/>
            <w:u w:val="none"/>
          </w:rPr>
          <w:t>http://www.tga.gov.au/reporting-problems</w:t>
        </w:r>
      </w:hyperlink>
      <w:r w:rsidRPr="00C44B67">
        <w:t>.</w:t>
      </w:r>
    </w:p>
    <w:p w14:paraId="705B45B1" w14:textId="77777777" w:rsidR="00C44B67" w:rsidRDefault="00C44B67" w:rsidP="00222422"/>
    <w:p w14:paraId="705B45B2" w14:textId="71D9D2B9" w:rsidR="00C44B67" w:rsidRDefault="00C44B67" w:rsidP="00222422">
      <w:pPr>
        <w:pStyle w:val="Heading3"/>
      </w:pPr>
      <w:r>
        <w:lastRenderedPageBreak/>
        <w:t>4.9</w:t>
      </w:r>
      <w:r>
        <w:tab/>
        <w:t>Overdose</w:t>
      </w:r>
    </w:p>
    <w:p w14:paraId="705B45B3" w14:textId="77777777" w:rsidR="00C44B67" w:rsidRDefault="00222422" w:rsidP="00222422">
      <w:r>
        <w:t>Overdoses up to 169 IU/kg have been reported in clinical trials. No</w:t>
      </w:r>
      <w:r w:rsidR="00485570">
        <w:t xml:space="preserve"> </w:t>
      </w:r>
      <w:r>
        <w:t>symptoms associated with overdoses have been reported.</w:t>
      </w:r>
    </w:p>
    <w:p w14:paraId="705B45B4" w14:textId="77777777" w:rsidR="00485570" w:rsidRDefault="00485570" w:rsidP="00222422"/>
    <w:p w14:paraId="705B45B5" w14:textId="77777777" w:rsidR="00C44B67" w:rsidRDefault="00C44B67" w:rsidP="00222422">
      <w:r>
        <w:t>For information on the management of overdose, contact the Poisons Information Centre on 13 11 26 (Australia).</w:t>
      </w:r>
    </w:p>
    <w:p w14:paraId="705B45B6" w14:textId="77777777" w:rsidR="00C44B67" w:rsidRDefault="00C44B67" w:rsidP="00222422"/>
    <w:p w14:paraId="705B45B7" w14:textId="77777777" w:rsidR="00C44B67" w:rsidRDefault="00C44B67" w:rsidP="00222422">
      <w:pPr>
        <w:pStyle w:val="Heading2"/>
      </w:pPr>
      <w:r>
        <w:t>5.</w:t>
      </w:r>
      <w:r>
        <w:tab/>
        <w:t>PHAMACOLOGICAL PROPERTIES</w:t>
      </w:r>
    </w:p>
    <w:p w14:paraId="705B45B8" w14:textId="77777777" w:rsidR="00C44B67" w:rsidRDefault="00C44B67" w:rsidP="00222422">
      <w:pPr>
        <w:pStyle w:val="Heading3"/>
      </w:pPr>
      <w:r>
        <w:t>5.1</w:t>
      </w:r>
      <w:r>
        <w:tab/>
        <w:t>Pharmacodynamic Properties</w:t>
      </w:r>
    </w:p>
    <w:p w14:paraId="705B45B9" w14:textId="77777777" w:rsidR="00485570" w:rsidRPr="00485570" w:rsidRDefault="00485570" w:rsidP="00485570">
      <w:proofErr w:type="spellStart"/>
      <w:r>
        <w:t>Pharmacotherapeutic</w:t>
      </w:r>
      <w:proofErr w:type="spellEnd"/>
      <w:r>
        <w:t xml:space="preserve"> group: </w:t>
      </w:r>
      <w:proofErr w:type="spellStart"/>
      <w:r>
        <w:t>Antihaemorrhagics</w:t>
      </w:r>
      <w:proofErr w:type="spellEnd"/>
      <w:r>
        <w:t>: blood coagulation factor IX; ATC code B02BD04.</w:t>
      </w:r>
    </w:p>
    <w:p w14:paraId="705B45BA" w14:textId="77777777" w:rsidR="00C44B67" w:rsidRDefault="00C44B67" w:rsidP="00FF622D">
      <w:pPr>
        <w:pStyle w:val="Heading4"/>
      </w:pPr>
      <w:r>
        <w:t>Mechanism of action</w:t>
      </w:r>
    </w:p>
    <w:p w14:paraId="705B45BB" w14:textId="4C75FAA4" w:rsidR="00485570" w:rsidRDefault="00485570" w:rsidP="00485570">
      <w:r w:rsidRPr="00485570">
        <w:t xml:space="preserve">Factor IX is activated by factor </w:t>
      </w:r>
      <w:proofErr w:type="spellStart"/>
      <w:r w:rsidRPr="00485570">
        <w:t>XIa</w:t>
      </w:r>
      <w:proofErr w:type="spellEnd"/>
      <w:r w:rsidRPr="00485570">
        <w:t xml:space="preserve"> and by factor VII/tissue factor complex.</w:t>
      </w:r>
      <w:r>
        <w:t xml:space="preserve"> </w:t>
      </w:r>
      <w:r w:rsidRPr="00485570">
        <w:t xml:space="preserve">Upon activation of </w:t>
      </w:r>
      <w:r>
        <w:t>Refixia</w:t>
      </w:r>
      <w:r w:rsidRPr="00485570">
        <w:t>, the activation peptide including the</w:t>
      </w:r>
      <w:r>
        <w:t xml:space="preserve"> </w:t>
      </w:r>
      <w:r w:rsidRPr="00485570">
        <w:t xml:space="preserve">40 </w:t>
      </w:r>
      <w:proofErr w:type="spellStart"/>
      <w:r w:rsidRPr="00485570">
        <w:t>kDa</w:t>
      </w:r>
      <w:proofErr w:type="spellEnd"/>
      <w:r w:rsidRPr="00485570">
        <w:t xml:space="preserve"> polyethylene-glycol moiety is cleaved off, leaving the native</w:t>
      </w:r>
      <w:r>
        <w:t xml:space="preserve"> </w:t>
      </w:r>
      <w:r w:rsidRPr="00485570">
        <w:t>factor IX molecule. Activated factor IX, in combination with activated</w:t>
      </w:r>
      <w:r>
        <w:t xml:space="preserve"> </w:t>
      </w:r>
      <w:r w:rsidRPr="00485570">
        <w:t>factor VIII, activates facto</w:t>
      </w:r>
      <w:r>
        <w:t>r X. Activated factor X convert</w:t>
      </w:r>
      <w:r w:rsidRPr="00485570">
        <w:t>s prothrombin</w:t>
      </w:r>
      <w:r>
        <w:t xml:space="preserve"> </w:t>
      </w:r>
      <w:r w:rsidRPr="00485570">
        <w:t>into thrombin. Thrombin then converts fibrinogen into fibrin and a clot is</w:t>
      </w:r>
      <w:r>
        <w:t xml:space="preserve"> </w:t>
      </w:r>
      <w:r w:rsidRPr="00485570">
        <w:t>formed.</w:t>
      </w:r>
    </w:p>
    <w:p w14:paraId="705B45BC" w14:textId="77777777" w:rsidR="00485570" w:rsidRPr="00485570" w:rsidRDefault="00485570" w:rsidP="00485570"/>
    <w:p w14:paraId="705B45BD" w14:textId="651D5418" w:rsidR="00485570" w:rsidRDefault="00485570" w:rsidP="00485570">
      <w:pPr>
        <w:rPr>
          <w:bCs/>
          <w:iCs/>
        </w:rPr>
      </w:pPr>
      <w:r w:rsidRPr="00485570">
        <w:t xml:space="preserve">The administration of </w:t>
      </w:r>
      <w:r>
        <w:t>Refixia</w:t>
      </w:r>
      <w:r w:rsidRPr="00485570">
        <w:t xml:space="preserve"> increases plasma levels of factor IX</w:t>
      </w:r>
      <w:r>
        <w:t xml:space="preserve"> </w:t>
      </w:r>
      <w:r w:rsidRPr="00485570">
        <w:t>and can temporarily correct the coagulation defect in haemophilia B</w:t>
      </w:r>
      <w:r>
        <w:t xml:space="preserve"> </w:t>
      </w:r>
      <w:r w:rsidRPr="00485570">
        <w:t>patients.</w:t>
      </w:r>
    </w:p>
    <w:p w14:paraId="705B45BE" w14:textId="77777777" w:rsidR="00C44B67" w:rsidRDefault="00C44B67" w:rsidP="00FF622D">
      <w:pPr>
        <w:pStyle w:val="Heading4"/>
      </w:pPr>
      <w:r>
        <w:t>Clinical trials</w:t>
      </w:r>
    </w:p>
    <w:p w14:paraId="705B45BF" w14:textId="313019DA" w:rsidR="00485570" w:rsidRDefault="00485570" w:rsidP="00485570">
      <w:r>
        <w:t>Clinical efficacy, with regards to prophylaxis and treatment of bleeds, was</w:t>
      </w:r>
      <w:r w:rsidR="00791816">
        <w:t xml:space="preserve"> </w:t>
      </w:r>
      <w:r>
        <w:t xml:space="preserve">investigated and the prophylactic effect of </w:t>
      </w:r>
      <w:r w:rsidR="00791816">
        <w:t>Refixia</w:t>
      </w:r>
      <w:r>
        <w:t xml:space="preserve"> was confirmed</w:t>
      </w:r>
      <w:r w:rsidR="00791816">
        <w:t xml:space="preserve"> </w:t>
      </w:r>
      <w:r>
        <w:t>in children and adults. The median annualised bleeding rate (ABR) was 1.00</w:t>
      </w:r>
      <w:r w:rsidR="00791816">
        <w:t xml:space="preserve"> </w:t>
      </w:r>
      <w:r>
        <w:t>and the median annualised spontaneous bleeding rate (</w:t>
      </w:r>
      <w:proofErr w:type="spellStart"/>
      <w:r>
        <w:t>AsBR</w:t>
      </w:r>
      <w:proofErr w:type="spellEnd"/>
      <w:r>
        <w:t>) was 0.00.</w:t>
      </w:r>
    </w:p>
    <w:p w14:paraId="705B45C0" w14:textId="77777777" w:rsidR="00791816" w:rsidRDefault="00791816" w:rsidP="00485570"/>
    <w:p w14:paraId="705B45C1" w14:textId="77777777" w:rsidR="00C44B67" w:rsidRDefault="00485570" w:rsidP="00485570">
      <w:r>
        <w:t>Bleedings were evaluated according to a 4-point scale of excellent, good,</w:t>
      </w:r>
      <w:r w:rsidR="00791816">
        <w:t xml:space="preserve"> </w:t>
      </w:r>
      <w:r>
        <w:t>moderate, or poor and the overall success rate (defined as excellent or good)</w:t>
      </w:r>
      <w:r w:rsidR="00791816">
        <w:t xml:space="preserve"> </w:t>
      </w:r>
      <w:r>
        <w:t>for treatment of bleeds was 93%.</w:t>
      </w:r>
    </w:p>
    <w:p w14:paraId="705B45C2" w14:textId="77777777" w:rsidR="00791816" w:rsidRDefault="00791816" w:rsidP="00485570"/>
    <w:p w14:paraId="705B45C5" w14:textId="1D5C80B6" w:rsidR="00791816" w:rsidRDefault="00791816" w:rsidP="00791816">
      <w:r>
        <w:t>The completed clinical trial programme included one phase 1 trial and four phase 3 multicentre, non-controlled trials. The objectives of the phase 3 trials were to evaluate the safety and efficacy of Refixia in routine prophylaxis, control and prevention of bleeding episodes, and perioperative management in previously treated male patients with haemophilia B (factor IX activity ≤ 2%).</w:t>
      </w:r>
    </w:p>
    <w:p w14:paraId="705B45C6" w14:textId="77777777" w:rsidR="00791816" w:rsidRDefault="00791816" w:rsidP="00791816"/>
    <w:p w14:paraId="705B45C7" w14:textId="00C288A8" w:rsidR="00791816" w:rsidRDefault="00791816" w:rsidP="00791816">
      <w:r>
        <w:t>The total number of patients included in the clinical trial programme was 115; 72 adult patients (aged 18 years and above), 18 adolescent patients (between 13 and 17 years) and 25 paediatric patients (between 0 and 12 years). Ten patients participated in a single dose PK trial only. The total exposure in the clinical trial programme was 8801 exposure days to Refixia and 40 (35%) of the 115 patients were treated for more than 2 years. Among these patients, 21 paediatric patients continued into the extension phase of the ongoing paediatric trial with at least 2 years</w:t>
      </w:r>
      <w:r w:rsidR="00B4431D">
        <w:t>’</w:t>
      </w:r>
      <w:r>
        <w:t xml:space="preserve"> treatment.</w:t>
      </w:r>
    </w:p>
    <w:p w14:paraId="705B45C8" w14:textId="77777777" w:rsidR="00791816" w:rsidRDefault="00791816" w:rsidP="00791816"/>
    <w:p w14:paraId="705B45C9" w14:textId="1B0663D6" w:rsidR="00791816" w:rsidRDefault="00791816" w:rsidP="00791816">
      <w:r>
        <w:t>Fifty-four (47%) of the patients were treated with a weekly prophylactic dose of 40 IU/kg</w:t>
      </w:r>
      <w:r w:rsidR="00CD3C46">
        <w:t xml:space="preserve"> </w:t>
      </w:r>
      <w:r>
        <w:t xml:space="preserve">and 23 (43%) of these patients had no bleeding episodes. The median annualised bleeding rates for these patients are shown </w:t>
      </w:r>
      <w:r w:rsidRPr="0030370B">
        <w:t xml:space="preserve">in Table </w:t>
      </w:r>
      <w:r w:rsidR="006B577D">
        <w:t>4</w:t>
      </w:r>
      <w:r w:rsidRPr="0030370B">
        <w:t>.</w:t>
      </w:r>
    </w:p>
    <w:p w14:paraId="705B45CA" w14:textId="77777777" w:rsidR="00791816" w:rsidRDefault="00791816" w:rsidP="00791816"/>
    <w:p w14:paraId="705B45CB" w14:textId="420153E5" w:rsidR="00791816" w:rsidRDefault="00791816" w:rsidP="00791816">
      <w:r>
        <w:t xml:space="preserve">Table </w:t>
      </w:r>
      <w:r w:rsidR="00331E13" w:rsidRPr="00121E71">
        <w:rPr>
          <w:lang w:val="en-GB"/>
        </w:rPr>
        <w:fldChar w:fldCharType="begin"/>
      </w:r>
      <w:r w:rsidR="00331E13" w:rsidRPr="00121E71">
        <w:rPr>
          <w:lang w:val="en-GB"/>
        </w:rPr>
        <w:instrText xml:space="preserve"> SEQ Table \* ARABIC </w:instrText>
      </w:r>
      <w:r w:rsidR="00331E13" w:rsidRPr="00121E71">
        <w:rPr>
          <w:lang w:val="en-GB"/>
        </w:rPr>
        <w:fldChar w:fldCharType="separate"/>
      </w:r>
      <w:r w:rsidR="00331E13">
        <w:rPr>
          <w:noProof/>
          <w:lang w:val="en-GB"/>
        </w:rPr>
        <w:t>4</w:t>
      </w:r>
      <w:r w:rsidR="00331E13" w:rsidRPr="00121E71">
        <w:rPr>
          <w:lang w:val="en-GB"/>
        </w:rPr>
        <w:fldChar w:fldCharType="end"/>
      </w:r>
      <w:r>
        <w:t>: Annualised bleeding rate in clinical trials</w:t>
      </w:r>
      <w:r w:rsidR="00CD3C46">
        <w:t xml:space="preserve"> </w:t>
      </w:r>
      <w:r w:rsidR="00CD3C46" w:rsidRPr="008B4961">
        <w:t>NN7999-3774 and NN7999-3747</w:t>
      </w:r>
      <w:r w:rsidRPr="008B4961">
        <w:t xml:space="preserve"> </w:t>
      </w:r>
      <w:r>
        <w:t>with 40 IU/kg (Median (IQR))</w:t>
      </w:r>
    </w:p>
    <w:tbl>
      <w:tblPr>
        <w:tblStyle w:val="TableGrid"/>
        <w:tblW w:w="0" w:type="auto"/>
        <w:tblLook w:val="04A0" w:firstRow="1" w:lastRow="0" w:firstColumn="1" w:lastColumn="0" w:noHBand="0" w:noVBand="1"/>
      </w:tblPr>
      <w:tblGrid>
        <w:gridCol w:w="3640"/>
        <w:gridCol w:w="1792"/>
        <w:gridCol w:w="1792"/>
        <w:gridCol w:w="1792"/>
      </w:tblGrid>
      <w:tr w:rsidR="00791816" w14:paraId="705B45D6" w14:textId="77777777" w:rsidTr="0036388F">
        <w:tc>
          <w:tcPr>
            <w:tcW w:w="3794" w:type="dxa"/>
          </w:tcPr>
          <w:p w14:paraId="705B45CC" w14:textId="77777777" w:rsidR="00791816" w:rsidRPr="00791816" w:rsidRDefault="00791816" w:rsidP="00791816">
            <w:pPr>
              <w:rPr>
                <w:b/>
              </w:rPr>
            </w:pPr>
          </w:p>
        </w:tc>
        <w:tc>
          <w:tcPr>
            <w:tcW w:w="1816" w:type="dxa"/>
          </w:tcPr>
          <w:p w14:paraId="705B45CD" w14:textId="77777777" w:rsidR="00791816" w:rsidRDefault="00791816" w:rsidP="00791816">
            <w:pPr>
              <w:rPr>
                <w:b/>
              </w:rPr>
            </w:pPr>
            <w:r>
              <w:rPr>
                <w:b/>
              </w:rPr>
              <w:t>Prophylaxis &lt;13 years</w:t>
            </w:r>
          </w:p>
          <w:p w14:paraId="705B45CE" w14:textId="77777777" w:rsidR="00791816" w:rsidRPr="00791816" w:rsidRDefault="00791816" w:rsidP="00791816">
            <w:pPr>
              <w:rPr>
                <w:b/>
              </w:rPr>
            </w:pPr>
            <w:r>
              <w:rPr>
                <w:b/>
              </w:rPr>
              <w:t>N=25</w:t>
            </w:r>
          </w:p>
        </w:tc>
        <w:tc>
          <w:tcPr>
            <w:tcW w:w="1816" w:type="dxa"/>
          </w:tcPr>
          <w:p w14:paraId="705B45CF" w14:textId="77777777" w:rsidR="00791816" w:rsidRPr="00791816" w:rsidRDefault="00791816" w:rsidP="00791816">
            <w:pPr>
              <w:rPr>
                <w:b/>
              </w:rPr>
            </w:pPr>
            <w:r w:rsidRPr="00791816">
              <w:rPr>
                <w:b/>
              </w:rPr>
              <w:t>Prophylaxis</w:t>
            </w:r>
          </w:p>
          <w:p w14:paraId="705B45D0" w14:textId="77777777" w:rsidR="00791816" w:rsidRPr="00791816" w:rsidRDefault="00791816" w:rsidP="00791816">
            <w:pPr>
              <w:rPr>
                <w:b/>
              </w:rPr>
            </w:pPr>
            <w:r w:rsidRPr="00791816">
              <w:rPr>
                <w:b/>
              </w:rPr>
              <w:t>13 to 65 years</w:t>
            </w:r>
          </w:p>
          <w:p w14:paraId="705B45D1" w14:textId="77777777" w:rsidR="00791816" w:rsidRPr="00791816" w:rsidRDefault="00791816" w:rsidP="00791816">
            <w:pPr>
              <w:rPr>
                <w:b/>
              </w:rPr>
            </w:pPr>
            <w:r w:rsidRPr="00791816">
              <w:rPr>
                <w:b/>
              </w:rPr>
              <w:t>N=29</w:t>
            </w:r>
          </w:p>
        </w:tc>
        <w:tc>
          <w:tcPr>
            <w:tcW w:w="1816" w:type="dxa"/>
          </w:tcPr>
          <w:p w14:paraId="705B45D2" w14:textId="77777777" w:rsidR="00791816" w:rsidRPr="00791816" w:rsidRDefault="00791816" w:rsidP="00791816">
            <w:pPr>
              <w:rPr>
                <w:b/>
              </w:rPr>
            </w:pPr>
            <w:r w:rsidRPr="00791816">
              <w:rPr>
                <w:b/>
              </w:rPr>
              <w:t>Prophylaxis</w:t>
            </w:r>
          </w:p>
          <w:p w14:paraId="705B45D3" w14:textId="77777777" w:rsidR="00791816" w:rsidRPr="00791816" w:rsidRDefault="00791816" w:rsidP="00791816">
            <w:pPr>
              <w:rPr>
                <w:b/>
              </w:rPr>
            </w:pPr>
            <w:r w:rsidRPr="00791816">
              <w:rPr>
                <w:b/>
              </w:rPr>
              <w:t>all patients</w:t>
            </w:r>
          </w:p>
          <w:p w14:paraId="705B45D4" w14:textId="77777777" w:rsidR="00791816" w:rsidRPr="00791816" w:rsidRDefault="00791816" w:rsidP="00791816">
            <w:pPr>
              <w:rPr>
                <w:b/>
              </w:rPr>
            </w:pPr>
            <w:r w:rsidRPr="00791816">
              <w:rPr>
                <w:b/>
              </w:rPr>
              <w:t>0 to 65 years</w:t>
            </w:r>
          </w:p>
          <w:p w14:paraId="705B45D5" w14:textId="77777777" w:rsidR="00791816" w:rsidRPr="00791816" w:rsidRDefault="00791816" w:rsidP="00791816">
            <w:pPr>
              <w:rPr>
                <w:b/>
              </w:rPr>
            </w:pPr>
            <w:r w:rsidRPr="00791816">
              <w:rPr>
                <w:b/>
              </w:rPr>
              <w:t>N=54</w:t>
            </w:r>
          </w:p>
        </w:tc>
      </w:tr>
      <w:tr w:rsidR="00791816" w14:paraId="705B45DE" w14:textId="77777777" w:rsidTr="0036388F">
        <w:tc>
          <w:tcPr>
            <w:tcW w:w="3794" w:type="dxa"/>
          </w:tcPr>
          <w:p w14:paraId="705B45D7" w14:textId="77777777" w:rsidR="00791816" w:rsidRDefault="00791816" w:rsidP="0036388F">
            <w:r>
              <w:t>Median annualised</w:t>
            </w:r>
            <w:r w:rsidR="0036388F">
              <w:t xml:space="preserve"> </w:t>
            </w:r>
            <w:r>
              <w:t>spontaneous bleeding rate</w:t>
            </w:r>
          </w:p>
        </w:tc>
        <w:tc>
          <w:tcPr>
            <w:tcW w:w="1816" w:type="dxa"/>
          </w:tcPr>
          <w:p w14:paraId="705B45D8" w14:textId="77777777" w:rsidR="00791816" w:rsidRDefault="00791816" w:rsidP="00791816">
            <w:r>
              <w:t>0.00</w:t>
            </w:r>
          </w:p>
          <w:p w14:paraId="705B45D9" w14:textId="77777777" w:rsidR="00791816" w:rsidRDefault="00791816" w:rsidP="00791816">
            <w:r>
              <w:t>(0.00; 0.00)</w:t>
            </w:r>
          </w:p>
        </w:tc>
        <w:tc>
          <w:tcPr>
            <w:tcW w:w="1816" w:type="dxa"/>
          </w:tcPr>
          <w:p w14:paraId="705B45DA" w14:textId="77777777" w:rsidR="00791816" w:rsidRDefault="00791816" w:rsidP="00791816">
            <w:r>
              <w:t>0.00</w:t>
            </w:r>
          </w:p>
          <w:p w14:paraId="705B45DB" w14:textId="77777777" w:rsidR="00791816" w:rsidRDefault="00791816" w:rsidP="00791816">
            <w:r>
              <w:t>(0.00; 0.99)</w:t>
            </w:r>
          </w:p>
        </w:tc>
        <w:tc>
          <w:tcPr>
            <w:tcW w:w="1816" w:type="dxa"/>
          </w:tcPr>
          <w:p w14:paraId="705B45DC" w14:textId="77777777" w:rsidR="00791816" w:rsidRDefault="00791816" w:rsidP="00791816">
            <w:r>
              <w:t>0.00</w:t>
            </w:r>
          </w:p>
          <w:p w14:paraId="705B45DD" w14:textId="77777777" w:rsidR="00791816" w:rsidRDefault="00791816" w:rsidP="00791816">
            <w:r>
              <w:t>(0.00; 0.80)</w:t>
            </w:r>
          </w:p>
        </w:tc>
      </w:tr>
      <w:tr w:rsidR="00791816" w14:paraId="705B45E6" w14:textId="77777777" w:rsidTr="0036388F">
        <w:tc>
          <w:tcPr>
            <w:tcW w:w="3794" w:type="dxa"/>
          </w:tcPr>
          <w:p w14:paraId="705B45DF" w14:textId="77777777" w:rsidR="00791816" w:rsidRDefault="00791816" w:rsidP="0036388F">
            <w:r>
              <w:t>Median annualised</w:t>
            </w:r>
            <w:r w:rsidR="0036388F">
              <w:t xml:space="preserve"> </w:t>
            </w:r>
            <w:r>
              <w:t>traumatic bleeding rate</w:t>
            </w:r>
          </w:p>
        </w:tc>
        <w:tc>
          <w:tcPr>
            <w:tcW w:w="1816" w:type="dxa"/>
          </w:tcPr>
          <w:p w14:paraId="705B45E0" w14:textId="77777777" w:rsidR="0036388F" w:rsidRDefault="0036388F" w:rsidP="0036388F">
            <w:r>
              <w:t>0.68</w:t>
            </w:r>
          </w:p>
          <w:p w14:paraId="705B45E1" w14:textId="77777777" w:rsidR="00791816" w:rsidRDefault="0036388F" w:rsidP="0036388F">
            <w:r>
              <w:t>(0.00; 1.93)</w:t>
            </w:r>
          </w:p>
        </w:tc>
        <w:tc>
          <w:tcPr>
            <w:tcW w:w="1816" w:type="dxa"/>
          </w:tcPr>
          <w:p w14:paraId="705B45E2" w14:textId="77777777" w:rsidR="0036388F" w:rsidRDefault="0036388F" w:rsidP="0036388F">
            <w:r>
              <w:t>0.00</w:t>
            </w:r>
          </w:p>
          <w:p w14:paraId="705B45E3" w14:textId="77777777" w:rsidR="00791816" w:rsidRDefault="0036388F" w:rsidP="0036388F">
            <w:r>
              <w:t>(0.00; 2.05)</w:t>
            </w:r>
          </w:p>
        </w:tc>
        <w:tc>
          <w:tcPr>
            <w:tcW w:w="1816" w:type="dxa"/>
          </w:tcPr>
          <w:p w14:paraId="705B45E4" w14:textId="77777777" w:rsidR="0036388F" w:rsidRDefault="0036388F" w:rsidP="0036388F">
            <w:r>
              <w:t>0.00</w:t>
            </w:r>
          </w:p>
          <w:p w14:paraId="705B45E5" w14:textId="77777777" w:rsidR="00791816" w:rsidRDefault="0036388F" w:rsidP="0036388F">
            <w:r>
              <w:t>(0.00; 1.96)</w:t>
            </w:r>
          </w:p>
        </w:tc>
      </w:tr>
      <w:tr w:rsidR="00791816" w14:paraId="705B45EE" w14:textId="77777777" w:rsidTr="0036388F">
        <w:tc>
          <w:tcPr>
            <w:tcW w:w="3794" w:type="dxa"/>
          </w:tcPr>
          <w:p w14:paraId="705B45E7" w14:textId="77777777" w:rsidR="00791816" w:rsidRDefault="00791816" w:rsidP="0036388F">
            <w:r>
              <w:t>Median annualised joint</w:t>
            </w:r>
            <w:r w:rsidR="0036388F">
              <w:t xml:space="preserve"> </w:t>
            </w:r>
            <w:r>
              <w:t>bleeding rate</w:t>
            </w:r>
          </w:p>
        </w:tc>
        <w:tc>
          <w:tcPr>
            <w:tcW w:w="1816" w:type="dxa"/>
          </w:tcPr>
          <w:p w14:paraId="705B45E8" w14:textId="77777777" w:rsidR="0036388F" w:rsidRDefault="0036388F" w:rsidP="0036388F">
            <w:r>
              <w:t>0.00</w:t>
            </w:r>
          </w:p>
          <w:p w14:paraId="705B45E9" w14:textId="77777777" w:rsidR="00791816" w:rsidRDefault="0036388F" w:rsidP="0036388F">
            <w:r>
              <w:t>(0.00; 0.80)</w:t>
            </w:r>
          </w:p>
        </w:tc>
        <w:tc>
          <w:tcPr>
            <w:tcW w:w="1816" w:type="dxa"/>
          </w:tcPr>
          <w:p w14:paraId="705B45EA" w14:textId="77777777" w:rsidR="0036388F" w:rsidRDefault="0036388F" w:rsidP="0036388F">
            <w:r>
              <w:t>0.97</w:t>
            </w:r>
          </w:p>
          <w:p w14:paraId="705B45EB" w14:textId="77777777" w:rsidR="00791816" w:rsidRDefault="0036388F" w:rsidP="0036388F">
            <w:r>
              <w:t>(0.00; 2.07)</w:t>
            </w:r>
          </w:p>
        </w:tc>
        <w:tc>
          <w:tcPr>
            <w:tcW w:w="1816" w:type="dxa"/>
          </w:tcPr>
          <w:p w14:paraId="705B45EC" w14:textId="77777777" w:rsidR="0036388F" w:rsidRDefault="0036388F" w:rsidP="0036388F">
            <w:r>
              <w:t>0.00</w:t>
            </w:r>
          </w:p>
          <w:p w14:paraId="705B45ED" w14:textId="77777777" w:rsidR="00791816" w:rsidRDefault="0036388F" w:rsidP="0036388F">
            <w:r>
              <w:t>(0.00; 1.97)</w:t>
            </w:r>
          </w:p>
        </w:tc>
      </w:tr>
      <w:tr w:rsidR="00791816" w14:paraId="705B45F6" w14:textId="77777777" w:rsidTr="0036388F">
        <w:tc>
          <w:tcPr>
            <w:tcW w:w="3794" w:type="dxa"/>
          </w:tcPr>
          <w:p w14:paraId="705B45EF" w14:textId="77777777" w:rsidR="00791816" w:rsidRDefault="00791816" w:rsidP="0036388F">
            <w:r>
              <w:t>Median annualised overall</w:t>
            </w:r>
            <w:r w:rsidR="0036388F">
              <w:t xml:space="preserve"> </w:t>
            </w:r>
            <w:r>
              <w:t>bleeding rate</w:t>
            </w:r>
          </w:p>
        </w:tc>
        <w:tc>
          <w:tcPr>
            <w:tcW w:w="1816" w:type="dxa"/>
          </w:tcPr>
          <w:p w14:paraId="705B45F0" w14:textId="77777777" w:rsidR="0036388F" w:rsidRDefault="0036388F" w:rsidP="0036388F">
            <w:r>
              <w:t>1.00</w:t>
            </w:r>
          </w:p>
          <w:p w14:paraId="705B45F1" w14:textId="77777777" w:rsidR="00791816" w:rsidRDefault="0036388F" w:rsidP="0036388F">
            <w:r>
              <w:t>(0.00; 2.06)</w:t>
            </w:r>
          </w:p>
        </w:tc>
        <w:tc>
          <w:tcPr>
            <w:tcW w:w="1816" w:type="dxa"/>
          </w:tcPr>
          <w:p w14:paraId="705B45F2" w14:textId="77777777" w:rsidR="0036388F" w:rsidRDefault="0036388F" w:rsidP="0036388F">
            <w:r>
              <w:t>1.04</w:t>
            </w:r>
          </w:p>
          <w:p w14:paraId="705B45F3" w14:textId="77777777" w:rsidR="00791816" w:rsidRDefault="0036388F" w:rsidP="0036388F">
            <w:r>
              <w:t>(0.00; 4.01)</w:t>
            </w:r>
          </w:p>
        </w:tc>
        <w:tc>
          <w:tcPr>
            <w:tcW w:w="1816" w:type="dxa"/>
          </w:tcPr>
          <w:p w14:paraId="705B45F4" w14:textId="77777777" w:rsidR="0036388F" w:rsidRDefault="0036388F" w:rsidP="0036388F">
            <w:r>
              <w:t>1.03</w:t>
            </w:r>
          </w:p>
          <w:p w14:paraId="705B45F5" w14:textId="77777777" w:rsidR="00791816" w:rsidRDefault="0036388F" w:rsidP="0036388F">
            <w:r>
              <w:t>(0.00; 2.89)</w:t>
            </w:r>
          </w:p>
        </w:tc>
      </w:tr>
    </w:tbl>
    <w:p w14:paraId="705B45F7" w14:textId="77777777" w:rsidR="00791816" w:rsidRDefault="00791816" w:rsidP="00791816"/>
    <w:p w14:paraId="705B45F8" w14:textId="61E48ECB" w:rsidR="0036388F" w:rsidRDefault="0036388F" w:rsidP="0036388F">
      <w:r>
        <w:t>An overall assessment of efficacy was performed by the patient (for home treatment) or study site investigator (for treatment under health care professional supervision) using a 4-point scale of excellent, good, moderate, or poor. The overall success rate (defined as excellent or good) for treatment of bleeds when pooling all trials</w:t>
      </w:r>
      <w:r w:rsidR="00CD3C46">
        <w:t xml:space="preserve"> (NN7999-3774, NN7999-3747, NN7999-3773, NN7999-3775</w:t>
      </w:r>
      <w:r w:rsidR="00F9499F">
        <w:t xml:space="preserve"> [extension trial]</w:t>
      </w:r>
      <w:r w:rsidR="00CD3C46">
        <w:t>)</w:t>
      </w:r>
      <w:r>
        <w:t xml:space="preserve"> was 93% (551 out of 591) (See</w:t>
      </w:r>
      <w:r w:rsidR="006D2393">
        <w:t xml:space="preserve"> Table 5</w:t>
      </w:r>
      <w:r>
        <w:t>). Of the 597 treated bleeds observed in 79 (75%) of the 105 patients, 521 (87%) of the bleeds were resolved with 1 injection and additional 60 (10%) of the bleeds were resolved with 2 injections of Refixia (See</w:t>
      </w:r>
      <w:r w:rsidR="006D2393">
        <w:t xml:space="preserve"> Table 6</w:t>
      </w:r>
      <w:r>
        <w:t>).</w:t>
      </w:r>
    </w:p>
    <w:p w14:paraId="705B45F9" w14:textId="77777777" w:rsidR="0036388F" w:rsidRDefault="0036388F" w:rsidP="0036388F"/>
    <w:p w14:paraId="705B45FA" w14:textId="77777777" w:rsidR="0036388F" w:rsidRDefault="0036388F" w:rsidP="0036388F">
      <w:r>
        <w:t>The success rate and dose needed for treatment of the bleeding episodes were independent of the localisation of the bleed. The success rate for treatment of bleeding episodes was also independent of whether the bleed was traumatic or spontaneous of nature.</w:t>
      </w:r>
    </w:p>
    <w:p w14:paraId="705B45FB" w14:textId="77777777" w:rsidR="0036388F" w:rsidRDefault="0036388F" w:rsidP="0036388F"/>
    <w:p w14:paraId="705B45FC" w14:textId="382B5FCA" w:rsidR="0036388F" w:rsidRDefault="0005293E" w:rsidP="0036388F">
      <w:bookmarkStart w:id="0" w:name="_Ref17711027"/>
      <w:r>
        <w:t xml:space="preserve">Table </w:t>
      </w:r>
      <w:r w:rsidR="00331E13" w:rsidRPr="00121E71">
        <w:rPr>
          <w:lang w:val="en-GB"/>
        </w:rPr>
        <w:fldChar w:fldCharType="begin"/>
      </w:r>
      <w:r w:rsidR="00331E13" w:rsidRPr="00121E71">
        <w:rPr>
          <w:lang w:val="en-GB"/>
        </w:rPr>
        <w:instrText xml:space="preserve"> SEQ Table \* ARABIC </w:instrText>
      </w:r>
      <w:r w:rsidR="00331E13" w:rsidRPr="00121E71">
        <w:rPr>
          <w:lang w:val="en-GB"/>
        </w:rPr>
        <w:fldChar w:fldCharType="separate"/>
      </w:r>
      <w:r w:rsidR="00331E13">
        <w:rPr>
          <w:noProof/>
          <w:lang w:val="en-GB"/>
        </w:rPr>
        <w:t>5</w:t>
      </w:r>
      <w:r w:rsidR="00331E13" w:rsidRPr="00121E71">
        <w:rPr>
          <w:lang w:val="en-GB"/>
        </w:rPr>
        <w:fldChar w:fldCharType="end"/>
      </w:r>
      <w:bookmarkEnd w:id="0"/>
      <w:r w:rsidR="0036388F">
        <w:t>:</w:t>
      </w:r>
      <w:r w:rsidR="0036388F" w:rsidRPr="0036388F">
        <w:t xml:space="preserve"> Efficacy in control of bleeding episodes</w:t>
      </w:r>
    </w:p>
    <w:tbl>
      <w:tblPr>
        <w:tblStyle w:val="TableGrid"/>
        <w:tblW w:w="0" w:type="auto"/>
        <w:tblLook w:val="04A0" w:firstRow="1" w:lastRow="0" w:firstColumn="1" w:lastColumn="0" w:noHBand="0" w:noVBand="1"/>
      </w:tblPr>
      <w:tblGrid>
        <w:gridCol w:w="4510"/>
        <w:gridCol w:w="4506"/>
      </w:tblGrid>
      <w:tr w:rsidR="0036388F" w14:paraId="705B45FF" w14:textId="77777777" w:rsidTr="0036388F">
        <w:tc>
          <w:tcPr>
            <w:tcW w:w="4621" w:type="dxa"/>
          </w:tcPr>
          <w:p w14:paraId="705B45FD" w14:textId="77777777" w:rsidR="0036388F" w:rsidRPr="0036388F" w:rsidRDefault="0036388F" w:rsidP="0036388F">
            <w:pPr>
              <w:rPr>
                <w:b/>
              </w:rPr>
            </w:pPr>
            <w:r w:rsidRPr="0036388F">
              <w:rPr>
                <w:b/>
              </w:rPr>
              <w:t xml:space="preserve">Success </w:t>
            </w:r>
            <w:r>
              <w:rPr>
                <w:b/>
              </w:rPr>
              <w:t>r</w:t>
            </w:r>
            <w:r w:rsidRPr="0036388F">
              <w:rPr>
                <w:b/>
              </w:rPr>
              <w:t xml:space="preserve">ate </w:t>
            </w:r>
          </w:p>
        </w:tc>
        <w:tc>
          <w:tcPr>
            <w:tcW w:w="4621" w:type="dxa"/>
          </w:tcPr>
          <w:p w14:paraId="705B45FE" w14:textId="77777777" w:rsidR="0036388F" w:rsidRPr="0036388F" w:rsidRDefault="0036388F" w:rsidP="0036388F">
            <w:pPr>
              <w:rPr>
                <w:b/>
              </w:rPr>
            </w:pPr>
            <w:r w:rsidRPr="0036388F">
              <w:rPr>
                <w:b/>
              </w:rPr>
              <w:t>N=591*</w:t>
            </w:r>
          </w:p>
        </w:tc>
      </w:tr>
      <w:tr w:rsidR="0036388F" w14:paraId="705B4602" w14:textId="77777777" w:rsidTr="0036388F">
        <w:tc>
          <w:tcPr>
            <w:tcW w:w="4621" w:type="dxa"/>
          </w:tcPr>
          <w:p w14:paraId="705B4600" w14:textId="77777777" w:rsidR="0036388F" w:rsidRDefault="0036388F" w:rsidP="0036388F">
            <w:r>
              <w:t>Excellent or good</w:t>
            </w:r>
          </w:p>
        </w:tc>
        <w:tc>
          <w:tcPr>
            <w:tcW w:w="4621" w:type="dxa"/>
          </w:tcPr>
          <w:p w14:paraId="705B4601" w14:textId="77777777" w:rsidR="0036388F" w:rsidRDefault="0036388F" w:rsidP="0036388F">
            <w:r>
              <w:t>551 (93%)</w:t>
            </w:r>
          </w:p>
        </w:tc>
      </w:tr>
      <w:tr w:rsidR="0036388F" w14:paraId="705B4605" w14:textId="77777777" w:rsidTr="0036388F">
        <w:tc>
          <w:tcPr>
            <w:tcW w:w="4621" w:type="dxa"/>
          </w:tcPr>
          <w:p w14:paraId="705B4603" w14:textId="77777777" w:rsidR="0036388F" w:rsidRDefault="0036388F" w:rsidP="0036388F">
            <w:r>
              <w:t>Moderate or poor</w:t>
            </w:r>
          </w:p>
        </w:tc>
        <w:tc>
          <w:tcPr>
            <w:tcW w:w="4621" w:type="dxa"/>
          </w:tcPr>
          <w:p w14:paraId="705B4604" w14:textId="77777777" w:rsidR="0036388F" w:rsidRDefault="0036388F" w:rsidP="0036388F">
            <w:r>
              <w:t>40 (7%)</w:t>
            </w:r>
          </w:p>
        </w:tc>
      </w:tr>
    </w:tbl>
    <w:p w14:paraId="705B4606" w14:textId="77777777" w:rsidR="0036388F" w:rsidRPr="0036388F" w:rsidRDefault="0036388F" w:rsidP="0036388F">
      <w:pPr>
        <w:rPr>
          <w:sz w:val="20"/>
          <w:szCs w:val="20"/>
        </w:rPr>
      </w:pPr>
      <w:r w:rsidRPr="0036388F">
        <w:rPr>
          <w:sz w:val="20"/>
          <w:szCs w:val="20"/>
        </w:rPr>
        <w:t>*six bleeding episodes with missing haemostatic response.</w:t>
      </w:r>
    </w:p>
    <w:p w14:paraId="705B4607" w14:textId="77777777" w:rsidR="0036388F" w:rsidRDefault="0036388F" w:rsidP="0036388F"/>
    <w:p w14:paraId="705B4608" w14:textId="7306A12C" w:rsidR="0036388F" w:rsidRDefault="0036388F" w:rsidP="0036388F">
      <w:bookmarkStart w:id="1" w:name="_Ref17711045"/>
      <w:r w:rsidRPr="0036388F">
        <w:t xml:space="preserve">Table </w:t>
      </w:r>
      <w:r w:rsidR="00331E13" w:rsidRPr="00121E71">
        <w:rPr>
          <w:lang w:val="en-GB"/>
        </w:rPr>
        <w:fldChar w:fldCharType="begin"/>
      </w:r>
      <w:r w:rsidR="00331E13" w:rsidRPr="00121E71">
        <w:rPr>
          <w:lang w:val="en-GB"/>
        </w:rPr>
        <w:instrText xml:space="preserve"> SEQ Table \* ARABIC </w:instrText>
      </w:r>
      <w:r w:rsidR="00331E13" w:rsidRPr="00121E71">
        <w:rPr>
          <w:lang w:val="en-GB"/>
        </w:rPr>
        <w:fldChar w:fldCharType="separate"/>
      </w:r>
      <w:r w:rsidR="00331E13">
        <w:rPr>
          <w:noProof/>
          <w:lang w:val="en-GB"/>
        </w:rPr>
        <w:t>6</w:t>
      </w:r>
      <w:r w:rsidR="00331E13" w:rsidRPr="00121E71">
        <w:rPr>
          <w:lang w:val="en-GB"/>
        </w:rPr>
        <w:fldChar w:fldCharType="end"/>
      </w:r>
      <w:bookmarkEnd w:id="1"/>
      <w:r>
        <w:t>:</w:t>
      </w:r>
      <w:r w:rsidRPr="0036388F">
        <w:t xml:space="preserve"> Number of injections to treat bleeding episodes</w:t>
      </w:r>
    </w:p>
    <w:tbl>
      <w:tblPr>
        <w:tblStyle w:val="TableGrid"/>
        <w:tblW w:w="0" w:type="auto"/>
        <w:tblLook w:val="04A0" w:firstRow="1" w:lastRow="0" w:firstColumn="1" w:lastColumn="0" w:noHBand="0" w:noVBand="1"/>
      </w:tblPr>
      <w:tblGrid>
        <w:gridCol w:w="4512"/>
        <w:gridCol w:w="4504"/>
      </w:tblGrid>
      <w:tr w:rsidR="0036388F" w14:paraId="705B460B" w14:textId="77777777" w:rsidTr="0036388F">
        <w:tc>
          <w:tcPr>
            <w:tcW w:w="4621" w:type="dxa"/>
          </w:tcPr>
          <w:p w14:paraId="705B4609" w14:textId="77777777" w:rsidR="0036388F" w:rsidRPr="0036388F" w:rsidRDefault="0036388F" w:rsidP="0036388F">
            <w:pPr>
              <w:rPr>
                <w:b/>
              </w:rPr>
            </w:pPr>
            <w:r w:rsidRPr="0036388F">
              <w:rPr>
                <w:b/>
              </w:rPr>
              <w:t>New bleeding episodes</w:t>
            </w:r>
          </w:p>
        </w:tc>
        <w:tc>
          <w:tcPr>
            <w:tcW w:w="4621" w:type="dxa"/>
          </w:tcPr>
          <w:p w14:paraId="705B460A" w14:textId="77777777" w:rsidR="0036388F" w:rsidRPr="0036388F" w:rsidRDefault="0036388F" w:rsidP="0036388F">
            <w:pPr>
              <w:rPr>
                <w:b/>
              </w:rPr>
            </w:pPr>
            <w:r w:rsidRPr="0036388F">
              <w:rPr>
                <w:b/>
              </w:rPr>
              <w:t>N=597</w:t>
            </w:r>
          </w:p>
        </w:tc>
      </w:tr>
      <w:tr w:rsidR="0036388F" w14:paraId="705B460E" w14:textId="77777777" w:rsidTr="0036388F">
        <w:tc>
          <w:tcPr>
            <w:tcW w:w="4621" w:type="dxa"/>
          </w:tcPr>
          <w:p w14:paraId="705B460C" w14:textId="77777777" w:rsidR="0036388F" w:rsidRDefault="0036388F" w:rsidP="0036388F">
            <w:r>
              <w:t>1 injection</w:t>
            </w:r>
          </w:p>
        </w:tc>
        <w:tc>
          <w:tcPr>
            <w:tcW w:w="4621" w:type="dxa"/>
          </w:tcPr>
          <w:p w14:paraId="705B460D" w14:textId="77777777" w:rsidR="0036388F" w:rsidRDefault="0036388F" w:rsidP="0036388F">
            <w:r>
              <w:t>521 (87%)</w:t>
            </w:r>
          </w:p>
        </w:tc>
      </w:tr>
      <w:tr w:rsidR="0036388F" w14:paraId="705B4611" w14:textId="77777777" w:rsidTr="0036388F">
        <w:tc>
          <w:tcPr>
            <w:tcW w:w="4621" w:type="dxa"/>
          </w:tcPr>
          <w:p w14:paraId="705B460F" w14:textId="77777777" w:rsidR="0036388F" w:rsidRDefault="0036388F" w:rsidP="0036388F">
            <w:r>
              <w:t>2 injections</w:t>
            </w:r>
          </w:p>
        </w:tc>
        <w:tc>
          <w:tcPr>
            <w:tcW w:w="4621" w:type="dxa"/>
          </w:tcPr>
          <w:p w14:paraId="705B4610" w14:textId="77777777" w:rsidR="0036388F" w:rsidRDefault="0036388F" w:rsidP="0036388F">
            <w:r>
              <w:t>60 (10%)</w:t>
            </w:r>
          </w:p>
        </w:tc>
      </w:tr>
      <w:tr w:rsidR="0036388F" w14:paraId="705B4614" w14:textId="77777777" w:rsidTr="0036388F">
        <w:tc>
          <w:tcPr>
            <w:tcW w:w="4621" w:type="dxa"/>
          </w:tcPr>
          <w:p w14:paraId="705B4612" w14:textId="77777777" w:rsidR="0036388F" w:rsidRDefault="0036388F" w:rsidP="0036388F">
            <w:r>
              <w:t>3 or more injections</w:t>
            </w:r>
          </w:p>
        </w:tc>
        <w:tc>
          <w:tcPr>
            <w:tcW w:w="4621" w:type="dxa"/>
          </w:tcPr>
          <w:p w14:paraId="705B4613" w14:textId="77777777" w:rsidR="0036388F" w:rsidRDefault="0036388F" w:rsidP="0036388F">
            <w:r>
              <w:t>16 (3%)</w:t>
            </w:r>
          </w:p>
        </w:tc>
      </w:tr>
    </w:tbl>
    <w:p w14:paraId="705B4615" w14:textId="6061F830" w:rsidR="0036388F" w:rsidRDefault="0036388F" w:rsidP="00FF622D">
      <w:pPr>
        <w:pStyle w:val="Heading4"/>
      </w:pPr>
      <w:r>
        <w:t>Target joints</w:t>
      </w:r>
    </w:p>
    <w:p w14:paraId="705B4616" w14:textId="48F971DD" w:rsidR="0036388F" w:rsidRDefault="0036388F" w:rsidP="0036388F">
      <w:r>
        <w:t>Of 29 adult and adolescent patients</w:t>
      </w:r>
      <w:r w:rsidR="00CD3C46">
        <w:t xml:space="preserve"> (trial NN7999-3747)</w:t>
      </w:r>
      <w:r>
        <w:t>, 13 patients with 20 target joints were treated for one year with a weekly prophylactic dose of 40 IU/kg. Eighteen out of these 20 joints (90%) were no longer considered target joints at the end of the trial.</w:t>
      </w:r>
    </w:p>
    <w:p w14:paraId="705B4617" w14:textId="77777777" w:rsidR="0036388F" w:rsidRPr="008B4961" w:rsidRDefault="0036388F" w:rsidP="00FF622D">
      <w:pPr>
        <w:pStyle w:val="Heading4"/>
      </w:pPr>
      <w:r w:rsidRPr="008B4961">
        <w:t>Surgery</w:t>
      </w:r>
    </w:p>
    <w:p w14:paraId="705B4618" w14:textId="527692E1" w:rsidR="0036388F" w:rsidRPr="008B4961" w:rsidRDefault="0036388F" w:rsidP="0036388F">
      <w:r w:rsidRPr="008B4961">
        <w:t>T</w:t>
      </w:r>
      <w:r w:rsidR="000C54E6" w:rsidRPr="008B4961">
        <w:t>wo</w:t>
      </w:r>
      <w:r w:rsidRPr="008B4961">
        <w:t xml:space="preserve"> trials</w:t>
      </w:r>
      <w:r w:rsidR="000C54E6" w:rsidRPr="008B4961">
        <w:t xml:space="preserve"> investigated the haemostatic effect in surgery</w:t>
      </w:r>
      <w:r w:rsidR="00D61A78" w:rsidRPr="008B4961">
        <w:t xml:space="preserve">, </w:t>
      </w:r>
      <w:r w:rsidRPr="008B4961">
        <w:t xml:space="preserve"> </w:t>
      </w:r>
      <w:r w:rsidR="00D61A78" w:rsidRPr="008B4961">
        <w:t xml:space="preserve">and </w:t>
      </w:r>
      <w:r w:rsidRPr="008B4961">
        <w:t xml:space="preserve">included in total 16 major surgeries. Haemostatic effect of Refixia during surgery was confirmed with a success rate of </w:t>
      </w:r>
      <w:r w:rsidRPr="008B4961">
        <w:lastRenderedPageBreak/>
        <w:t>100% in all major surgeries. In addition, the haemostatic effect was assessed in 18 minor surgeries</w:t>
      </w:r>
      <w:r w:rsidR="000C54E6" w:rsidRPr="008B4961">
        <w:t xml:space="preserve"> and</w:t>
      </w:r>
      <w:r w:rsidRPr="008B4961">
        <w:t xml:space="preserve"> rated as successful</w:t>
      </w:r>
      <w:r w:rsidR="000C54E6" w:rsidRPr="008B4961">
        <w:t xml:space="preserve">, and </w:t>
      </w:r>
      <w:r w:rsidR="000C54E6" w:rsidRPr="00A56E03">
        <w:t xml:space="preserve">2 minor surgeries were not evaluated regarding haemostatic </w:t>
      </w:r>
      <w:r w:rsidR="00375E2D" w:rsidRPr="00A56E03">
        <w:t>effect.</w:t>
      </w:r>
    </w:p>
    <w:p w14:paraId="78AE7DEA" w14:textId="59216B13" w:rsidR="00350699" w:rsidRPr="00A56E03" w:rsidRDefault="00350699" w:rsidP="0036388F"/>
    <w:p w14:paraId="2B7A4A63" w14:textId="12D7E712" w:rsidR="00350699" w:rsidRDefault="00350699" w:rsidP="00350699">
      <w:r w:rsidRPr="008B4961">
        <w:t xml:space="preserve">In </w:t>
      </w:r>
      <w:r w:rsidR="00D61A78" w:rsidRPr="008B4961">
        <w:t>the</w:t>
      </w:r>
      <w:r w:rsidRPr="008B4961">
        <w:t xml:space="preserve"> dedicated surgery trial</w:t>
      </w:r>
      <w:r w:rsidR="00D61A78" w:rsidRPr="008B4961">
        <w:t xml:space="preserve"> (NN7999-3773)</w:t>
      </w:r>
      <w:r w:rsidRPr="008B4961">
        <w:t xml:space="preserve">, the efficacy analysis of Refixia in perioperative management included 13 major surgical procedures performed in 13 previous treated adult and adolescent patients. The procedures included 9 orthopaedic, 1 gastrointestinal and 3 surgeries in the oral cavity. The patients received 1 pre-operative injection of Refixia 80 IU/kg on the day of surgery, and post-operatively, injections of 40 IU/kg.  A pre-operative dose of 80 IU/kg Refixia was effective and no patients required additional doses on the day of surgery. In the post-surgery period </w:t>
      </w:r>
      <w:r w:rsidR="00D61A78" w:rsidRPr="008B4961">
        <w:t>d</w:t>
      </w:r>
      <w:r w:rsidRPr="008B4961">
        <w:t xml:space="preserve">ay 1 to 6 and </w:t>
      </w:r>
      <w:r w:rsidR="00D61A78" w:rsidRPr="008B4961">
        <w:t>d</w:t>
      </w:r>
      <w:r w:rsidRPr="008B4961">
        <w:t>ay 7 to 13, the median number of additional 40 IU/kg doses administered was 2.0 and 1.5, respectively. The mean total consumption of Refixia during and after surgery was 241 IU/kg (range: 81 to 460 IU/kg).</w:t>
      </w:r>
    </w:p>
    <w:p w14:paraId="705B4619" w14:textId="77777777" w:rsidR="00A834EF" w:rsidRDefault="00A834EF" w:rsidP="00FF622D">
      <w:pPr>
        <w:pStyle w:val="Heading4"/>
      </w:pPr>
      <w:r>
        <w:t>Pivotal clinical trial</w:t>
      </w:r>
    </w:p>
    <w:p w14:paraId="705B461A" w14:textId="56F04413" w:rsidR="00A834EF" w:rsidRDefault="00A834EF" w:rsidP="009410E9">
      <w:r>
        <w:t>The pivotal trial</w:t>
      </w:r>
      <w:r w:rsidR="00CD3C46">
        <w:t xml:space="preserve"> (NN7999-3747)</w:t>
      </w:r>
      <w:r>
        <w:t xml:space="preserve"> included 74 adolescent (13 to 17 years) and adult (18 to 65 years) previously treated patients. The trial included one open-label on demand arm with treatment for approximately 28 weeks and two prophylaxis treatment arms, with single-blind randomisation to either 10 IU/kg or 40 IU/kg once-weekly for approximately 52 weeks. Only the 40 IU/kg prophylactic dose met the pre-specified reduction in annualised bleeding rate compared to a clinically relevant historical annualised bleeding rate. </w:t>
      </w:r>
      <w:r w:rsidR="009410E9">
        <w:t xml:space="preserve">The difference between the annualised bleeding rates was not statistically significant (p=0.097). </w:t>
      </w:r>
    </w:p>
    <w:p w14:paraId="0BE6A6BA" w14:textId="773EF24F" w:rsidR="00DF134F" w:rsidRDefault="00DF134F" w:rsidP="009410E9"/>
    <w:p w14:paraId="44E2A6FA" w14:textId="0C1DB00B" w:rsidR="00DF134F" w:rsidRDefault="00DF134F" w:rsidP="009410E9">
      <w:r>
        <w:t>Table 7</w:t>
      </w:r>
      <w:r w:rsidR="00587678">
        <w:t>:</w:t>
      </w:r>
      <w:r>
        <w:t xml:space="preserve"> Annualised bleeding rate – full analysis set</w:t>
      </w:r>
    </w:p>
    <w:tbl>
      <w:tblPr>
        <w:tblStyle w:val="TableGrid"/>
        <w:tblW w:w="0" w:type="auto"/>
        <w:tblLook w:val="04A0" w:firstRow="1" w:lastRow="0" w:firstColumn="1" w:lastColumn="0" w:noHBand="0" w:noVBand="1"/>
      </w:tblPr>
      <w:tblGrid>
        <w:gridCol w:w="4300"/>
        <w:gridCol w:w="1536"/>
        <w:gridCol w:w="1593"/>
        <w:gridCol w:w="1587"/>
      </w:tblGrid>
      <w:tr w:rsidR="004E4664" w:rsidRPr="008B3114" w14:paraId="5754DBE7" w14:textId="77777777" w:rsidTr="009B2AFE">
        <w:tc>
          <w:tcPr>
            <w:tcW w:w="4595" w:type="dxa"/>
            <w:vMerge w:val="restart"/>
          </w:tcPr>
          <w:p w14:paraId="03FC52AF" w14:textId="77777777" w:rsidR="004E4664" w:rsidRPr="008B3114" w:rsidRDefault="004E4664" w:rsidP="009B2AFE">
            <w:pPr>
              <w:rPr>
                <w:rFonts w:asciiTheme="majorBidi" w:hAnsiTheme="majorBidi" w:cstheme="majorBidi"/>
              </w:rPr>
            </w:pPr>
          </w:p>
        </w:tc>
        <w:tc>
          <w:tcPr>
            <w:tcW w:w="5033" w:type="dxa"/>
            <w:gridSpan w:val="3"/>
          </w:tcPr>
          <w:p w14:paraId="01FCB914" w14:textId="77777777" w:rsidR="004E4664" w:rsidRPr="008B3114" w:rsidRDefault="004E4664" w:rsidP="009B2AFE">
            <w:pPr>
              <w:jc w:val="center"/>
              <w:rPr>
                <w:rFonts w:asciiTheme="majorBidi" w:hAnsiTheme="majorBidi" w:cstheme="majorBidi"/>
                <w:b/>
                <w:bCs/>
              </w:rPr>
            </w:pPr>
            <w:r w:rsidRPr="008B3114">
              <w:rPr>
                <w:rFonts w:asciiTheme="majorBidi" w:hAnsiTheme="majorBidi" w:cstheme="majorBidi"/>
                <w:b/>
                <w:bCs/>
              </w:rPr>
              <w:t>Prophylaxis</w:t>
            </w:r>
          </w:p>
        </w:tc>
      </w:tr>
      <w:tr w:rsidR="004E4664" w:rsidRPr="008B3114" w14:paraId="743DBEB7" w14:textId="77777777" w:rsidTr="009B2AFE">
        <w:tc>
          <w:tcPr>
            <w:tcW w:w="4595" w:type="dxa"/>
            <w:vMerge/>
          </w:tcPr>
          <w:p w14:paraId="6D850A21" w14:textId="77777777" w:rsidR="004E4664" w:rsidRPr="008B3114" w:rsidRDefault="004E4664" w:rsidP="009B2AFE">
            <w:pPr>
              <w:rPr>
                <w:rFonts w:asciiTheme="majorBidi" w:hAnsiTheme="majorBidi" w:cstheme="majorBidi"/>
              </w:rPr>
            </w:pPr>
          </w:p>
        </w:tc>
        <w:tc>
          <w:tcPr>
            <w:tcW w:w="1637" w:type="dxa"/>
          </w:tcPr>
          <w:p w14:paraId="23E28355" w14:textId="77777777" w:rsidR="004E4664" w:rsidRPr="008B3114" w:rsidRDefault="004E4664" w:rsidP="009B2AFE">
            <w:pPr>
              <w:jc w:val="center"/>
              <w:rPr>
                <w:rFonts w:asciiTheme="majorBidi" w:hAnsiTheme="majorBidi" w:cstheme="majorBidi"/>
                <w:b/>
                <w:bCs/>
              </w:rPr>
            </w:pPr>
            <w:r w:rsidRPr="008B3114">
              <w:rPr>
                <w:rFonts w:asciiTheme="majorBidi" w:hAnsiTheme="majorBidi" w:cstheme="majorBidi"/>
                <w:b/>
                <w:bCs/>
              </w:rPr>
              <w:t>10 U/kg</w:t>
            </w:r>
          </w:p>
        </w:tc>
        <w:tc>
          <w:tcPr>
            <w:tcW w:w="1701" w:type="dxa"/>
          </w:tcPr>
          <w:p w14:paraId="43D52AB9" w14:textId="77777777" w:rsidR="004E4664" w:rsidRPr="008B3114" w:rsidRDefault="004E4664" w:rsidP="009B2AFE">
            <w:pPr>
              <w:jc w:val="center"/>
              <w:rPr>
                <w:rFonts w:asciiTheme="majorBidi" w:hAnsiTheme="majorBidi" w:cstheme="majorBidi"/>
                <w:b/>
                <w:bCs/>
              </w:rPr>
            </w:pPr>
            <w:r w:rsidRPr="008B3114">
              <w:rPr>
                <w:rFonts w:asciiTheme="majorBidi" w:hAnsiTheme="majorBidi" w:cstheme="majorBidi"/>
                <w:b/>
                <w:bCs/>
              </w:rPr>
              <w:t>40 U/kg</w:t>
            </w:r>
          </w:p>
        </w:tc>
        <w:tc>
          <w:tcPr>
            <w:tcW w:w="1695" w:type="dxa"/>
          </w:tcPr>
          <w:p w14:paraId="63D4C2B0" w14:textId="77777777" w:rsidR="004E4664" w:rsidRPr="008B3114" w:rsidRDefault="004E4664" w:rsidP="009B2AFE">
            <w:pPr>
              <w:jc w:val="center"/>
              <w:rPr>
                <w:rFonts w:asciiTheme="majorBidi" w:hAnsiTheme="majorBidi" w:cstheme="majorBidi"/>
                <w:b/>
                <w:bCs/>
              </w:rPr>
            </w:pPr>
            <w:r w:rsidRPr="008B3114">
              <w:rPr>
                <w:rFonts w:asciiTheme="majorBidi" w:hAnsiTheme="majorBidi" w:cstheme="majorBidi"/>
                <w:b/>
                <w:bCs/>
              </w:rPr>
              <w:t>Both</w:t>
            </w:r>
          </w:p>
        </w:tc>
      </w:tr>
      <w:tr w:rsidR="004E4664" w:rsidRPr="008B3114" w14:paraId="3B5C1A77" w14:textId="77777777" w:rsidTr="009B2AFE">
        <w:tc>
          <w:tcPr>
            <w:tcW w:w="4595" w:type="dxa"/>
          </w:tcPr>
          <w:p w14:paraId="7FCA5814" w14:textId="77777777" w:rsidR="004E4664" w:rsidRPr="008B3114" w:rsidRDefault="004E4664" w:rsidP="009B2AFE">
            <w:pPr>
              <w:rPr>
                <w:rFonts w:asciiTheme="majorBidi" w:hAnsiTheme="majorBidi" w:cstheme="majorBidi"/>
              </w:rPr>
            </w:pPr>
            <w:r w:rsidRPr="008B3114">
              <w:rPr>
                <w:rFonts w:asciiTheme="majorBidi" w:hAnsiTheme="majorBidi" w:cstheme="majorBidi"/>
              </w:rPr>
              <w:t xml:space="preserve">Number of patients                                   </w:t>
            </w:r>
          </w:p>
        </w:tc>
        <w:tc>
          <w:tcPr>
            <w:tcW w:w="1637" w:type="dxa"/>
          </w:tcPr>
          <w:p w14:paraId="10A20329"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30</w:t>
            </w:r>
          </w:p>
        </w:tc>
        <w:tc>
          <w:tcPr>
            <w:tcW w:w="1701" w:type="dxa"/>
          </w:tcPr>
          <w:p w14:paraId="325FF42B"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29</w:t>
            </w:r>
          </w:p>
        </w:tc>
        <w:tc>
          <w:tcPr>
            <w:tcW w:w="1695" w:type="dxa"/>
          </w:tcPr>
          <w:p w14:paraId="2626D8E9"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59</w:t>
            </w:r>
          </w:p>
        </w:tc>
      </w:tr>
      <w:tr w:rsidR="004E4664" w:rsidRPr="008B3114" w14:paraId="41185C47" w14:textId="77777777" w:rsidTr="009B2AFE">
        <w:tc>
          <w:tcPr>
            <w:tcW w:w="4595" w:type="dxa"/>
          </w:tcPr>
          <w:p w14:paraId="57702D6E" w14:textId="77777777" w:rsidR="004E4664" w:rsidRPr="008B3114" w:rsidRDefault="004E4664" w:rsidP="009B2AFE">
            <w:pPr>
              <w:rPr>
                <w:rFonts w:asciiTheme="majorBidi" w:hAnsiTheme="majorBidi" w:cstheme="majorBidi"/>
              </w:rPr>
            </w:pPr>
            <w:r w:rsidRPr="008B3114">
              <w:rPr>
                <w:rFonts w:asciiTheme="majorBidi" w:hAnsiTheme="majorBidi" w:cstheme="majorBidi"/>
              </w:rPr>
              <w:t xml:space="preserve">Number of patients with bleeds, N (%)                    </w:t>
            </w:r>
          </w:p>
        </w:tc>
        <w:tc>
          <w:tcPr>
            <w:tcW w:w="1637" w:type="dxa"/>
          </w:tcPr>
          <w:p w14:paraId="058BCBE0"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25 (83.3)</w:t>
            </w:r>
          </w:p>
        </w:tc>
        <w:tc>
          <w:tcPr>
            <w:tcW w:w="1701" w:type="dxa"/>
          </w:tcPr>
          <w:p w14:paraId="5F190DF7"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16 (55.2)</w:t>
            </w:r>
          </w:p>
        </w:tc>
        <w:tc>
          <w:tcPr>
            <w:tcW w:w="1695" w:type="dxa"/>
          </w:tcPr>
          <w:p w14:paraId="5F39A268"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41 (69.5)</w:t>
            </w:r>
          </w:p>
        </w:tc>
      </w:tr>
      <w:tr w:rsidR="004E4664" w:rsidRPr="008B3114" w14:paraId="4B71F4E8" w14:textId="77777777" w:rsidTr="009B2AFE">
        <w:tc>
          <w:tcPr>
            <w:tcW w:w="4595" w:type="dxa"/>
          </w:tcPr>
          <w:p w14:paraId="5E98EA3B" w14:textId="77777777" w:rsidR="004E4664" w:rsidRPr="008B3114" w:rsidRDefault="004E4664" w:rsidP="009B2AFE">
            <w:pPr>
              <w:rPr>
                <w:rFonts w:asciiTheme="majorBidi" w:hAnsiTheme="majorBidi" w:cstheme="majorBidi"/>
              </w:rPr>
            </w:pPr>
            <w:r w:rsidRPr="008B3114">
              <w:rPr>
                <w:rFonts w:asciiTheme="majorBidi" w:hAnsiTheme="majorBidi" w:cstheme="majorBidi"/>
              </w:rPr>
              <w:t>Number of bleeds</w:t>
            </w:r>
          </w:p>
        </w:tc>
        <w:tc>
          <w:tcPr>
            <w:tcW w:w="1637" w:type="dxa"/>
          </w:tcPr>
          <w:p w14:paraId="2B5EBC7E"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132</w:t>
            </w:r>
          </w:p>
        </w:tc>
        <w:tc>
          <w:tcPr>
            <w:tcW w:w="1701" w:type="dxa"/>
          </w:tcPr>
          <w:p w14:paraId="6C71E631"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70</w:t>
            </w:r>
          </w:p>
        </w:tc>
        <w:tc>
          <w:tcPr>
            <w:tcW w:w="1695" w:type="dxa"/>
          </w:tcPr>
          <w:p w14:paraId="6898DD62" w14:textId="77777777" w:rsidR="004E4664" w:rsidRPr="008B3114" w:rsidRDefault="004E4664" w:rsidP="009B2AFE">
            <w:pPr>
              <w:jc w:val="center"/>
              <w:rPr>
                <w:rFonts w:asciiTheme="majorBidi" w:hAnsiTheme="majorBidi" w:cstheme="majorBidi"/>
              </w:rPr>
            </w:pPr>
            <w:r w:rsidRPr="008B3114">
              <w:rPr>
                <w:rFonts w:asciiTheme="majorBidi" w:hAnsiTheme="majorBidi" w:cstheme="majorBidi"/>
              </w:rPr>
              <w:t>202</w:t>
            </w:r>
          </w:p>
        </w:tc>
      </w:tr>
      <w:tr w:rsidR="004E4664" w:rsidRPr="008B3114" w14:paraId="0C1E4658" w14:textId="77777777" w:rsidTr="009B2AFE">
        <w:tc>
          <w:tcPr>
            <w:tcW w:w="4595" w:type="dxa"/>
          </w:tcPr>
          <w:p w14:paraId="6DCD4F3B" w14:textId="77777777" w:rsidR="004E4664" w:rsidRPr="008B3114" w:rsidRDefault="004E4664" w:rsidP="009B2AFE">
            <w:pPr>
              <w:rPr>
                <w:rFonts w:asciiTheme="majorBidi" w:hAnsiTheme="majorBidi" w:cstheme="majorBidi"/>
                <w:lang w:val="da-DK"/>
              </w:rPr>
            </w:pPr>
            <w:r w:rsidRPr="008B3114">
              <w:rPr>
                <w:rFonts w:asciiTheme="majorBidi" w:hAnsiTheme="majorBidi" w:cstheme="majorBidi"/>
                <w:lang w:val="da-DK"/>
              </w:rPr>
              <w:t xml:space="preserve">Bleeds per patient (min ; max)                          </w:t>
            </w:r>
          </w:p>
        </w:tc>
        <w:tc>
          <w:tcPr>
            <w:tcW w:w="1637" w:type="dxa"/>
          </w:tcPr>
          <w:p w14:paraId="78657A4C"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 ; 17.0</w:t>
            </w:r>
          </w:p>
        </w:tc>
        <w:tc>
          <w:tcPr>
            <w:tcW w:w="1701" w:type="dxa"/>
          </w:tcPr>
          <w:p w14:paraId="6811BD27"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 ; 17.0</w:t>
            </w:r>
          </w:p>
        </w:tc>
        <w:tc>
          <w:tcPr>
            <w:tcW w:w="1695" w:type="dxa"/>
          </w:tcPr>
          <w:p w14:paraId="0B9271A4"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 ; 17.0</w:t>
            </w:r>
          </w:p>
        </w:tc>
      </w:tr>
      <w:tr w:rsidR="004E4664" w:rsidRPr="008B3114" w14:paraId="4B4C064D" w14:textId="77777777" w:rsidTr="009B2AFE">
        <w:tc>
          <w:tcPr>
            <w:tcW w:w="4595" w:type="dxa"/>
          </w:tcPr>
          <w:p w14:paraId="007D666E" w14:textId="77777777" w:rsidR="004E4664" w:rsidRPr="008B3114" w:rsidRDefault="004E4664" w:rsidP="009B2AFE">
            <w:pPr>
              <w:rPr>
                <w:rFonts w:asciiTheme="majorBidi" w:hAnsiTheme="majorBidi" w:cstheme="majorBidi"/>
                <w:lang w:val="da-DK"/>
              </w:rPr>
            </w:pPr>
            <w:r w:rsidRPr="008B3114">
              <w:rPr>
                <w:rFonts w:asciiTheme="majorBidi" w:hAnsiTheme="majorBidi" w:cstheme="majorBidi"/>
                <w:lang w:val="da-DK"/>
              </w:rPr>
              <w:t xml:space="preserve">Mean treatment period (years)                              </w:t>
            </w:r>
          </w:p>
        </w:tc>
        <w:tc>
          <w:tcPr>
            <w:tcW w:w="1637" w:type="dxa"/>
          </w:tcPr>
          <w:p w14:paraId="65CF2FDF"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0.97</w:t>
            </w:r>
          </w:p>
        </w:tc>
        <w:tc>
          <w:tcPr>
            <w:tcW w:w="1701" w:type="dxa"/>
          </w:tcPr>
          <w:p w14:paraId="586C7AC4"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0.96</w:t>
            </w:r>
          </w:p>
        </w:tc>
        <w:tc>
          <w:tcPr>
            <w:tcW w:w="1695" w:type="dxa"/>
          </w:tcPr>
          <w:p w14:paraId="54AEA710"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0.96</w:t>
            </w:r>
          </w:p>
        </w:tc>
      </w:tr>
      <w:tr w:rsidR="004E4664" w:rsidRPr="008B3114" w14:paraId="12DF4617" w14:textId="77777777" w:rsidTr="009B2AFE">
        <w:tc>
          <w:tcPr>
            <w:tcW w:w="4595" w:type="dxa"/>
          </w:tcPr>
          <w:p w14:paraId="3E9A8A9E" w14:textId="77777777" w:rsidR="004E4664" w:rsidRPr="008B3114" w:rsidRDefault="004E4664" w:rsidP="009B2AFE">
            <w:pPr>
              <w:rPr>
                <w:rFonts w:asciiTheme="majorBidi" w:hAnsiTheme="majorBidi" w:cstheme="majorBidi"/>
                <w:lang w:val="da-DK"/>
              </w:rPr>
            </w:pPr>
            <w:r w:rsidRPr="008B3114">
              <w:rPr>
                <w:rFonts w:asciiTheme="majorBidi" w:hAnsiTheme="majorBidi" w:cstheme="majorBidi"/>
                <w:lang w:val="da-DK"/>
              </w:rPr>
              <w:t>Individual ABRs</w:t>
            </w:r>
          </w:p>
        </w:tc>
        <w:tc>
          <w:tcPr>
            <w:tcW w:w="1637" w:type="dxa"/>
          </w:tcPr>
          <w:p w14:paraId="49C4B6A6" w14:textId="77777777" w:rsidR="004E4664" w:rsidRPr="008B3114" w:rsidRDefault="004E4664" w:rsidP="009B2AFE">
            <w:pPr>
              <w:jc w:val="center"/>
              <w:rPr>
                <w:rFonts w:asciiTheme="majorBidi" w:hAnsiTheme="majorBidi" w:cstheme="majorBidi"/>
                <w:lang w:val="da-DK"/>
              </w:rPr>
            </w:pPr>
          </w:p>
        </w:tc>
        <w:tc>
          <w:tcPr>
            <w:tcW w:w="1701" w:type="dxa"/>
          </w:tcPr>
          <w:p w14:paraId="1A9FE3AF" w14:textId="77777777" w:rsidR="004E4664" w:rsidRPr="008B3114" w:rsidRDefault="004E4664" w:rsidP="009B2AFE">
            <w:pPr>
              <w:jc w:val="center"/>
              <w:rPr>
                <w:rFonts w:asciiTheme="majorBidi" w:hAnsiTheme="majorBidi" w:cstheme="majorBidi"/>
                <w:lang w:val="da-DK"/>
              </w:rPr>
            </w:pPr>
          </w:p>
        </w:tc>
        <w:tc>
          <w:tcPr>
            <w:tcW w:w="1695" w:type="dxa"/>
          </w:tcPr>
          <w:p w14:paraId="02EE8133" w14:textId="77777777" w:rsidR="004E4664" w:rsidRPr="008B3114" w:rsidRDefault="004E4664" w:rsidP="009B2AFE">
            <w:pPr>
              <w:jc w:val="center"/>
              <w:rPr>
                <w:rFonts w:asciiTheme="majorBidi" w:hAnsiTheme="majorBidi" w:cstheme="majorBidi"/>
                <w:lang w:val="da-DK"/>
              </w:rPr>
            </w:pPr>
          </w:p>
        </w:tc>
      </w:tr>
      <w:tr w:rsidR="004E4664" w:rsidRPr="008B3114" w14:paraId="783287D8" w14:textId="77777777" w:rsidTr="009B2AFE">
        <w:tc>
          <w:tcPr>
            <w:tcW w:w="4595" w:type="dxa"/>
          </w:tcPr>
          <w:p w14:paraId="1A909B8E"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 xml:space="preserve">N </w:t>
            </w:r>
          </w:p>
        </w:tc>
        <w:tc>
          <w:tcPr>
            <w:tcW w:w="1637" w:type="dxa"/>
          </w:tcPr>
          <w:p w14:paraId="38AC4DBC"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30</w:t>
            </w:r>
          </w:p>
        </w:tc>
        <w:tc>
          <w:tcPr>
            <w:tcW w:w="1701" w:type="dxa"/>
          </w:tcPr>
          <w:p w14:paraId="452EF326"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29</w:t>
            </w:r>
          </w:p>
        </w:tc>
        <w:tc>
          <w:tcPr>
            <w:tcW w:w="1695" w:type="dxa"/>
          </w:tcPr>
          <w:p w14:paraId="3532C814"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59</w:t>
            </w:r>
          </w:p>
        </w:tc>
      </w:tr>
      <w:tr w:rsidR="004E4664" w:rsidRPr="008B3114" w14:paraId="4A3AD4A8" w14:textId="77777777" w:rsidTr="009B2AFE">
        <w:tc>
          <w:tcPr>
            <w:tcW w:w="4595" w:type="dxa"/>
          </w:tcPr>
          <w:p w14:paraId="45926ED7"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 xml:space="preserve">Mean (SD)                                             </w:t>
            </w:r>
          </w:p>
        </w:tc>
        <w:tc>
          <w:tcPr>
            <w:tcW w:w="1637" w:type="dxa"/>
          </w:tcPr>
          <w:p w14:paraId="1DB3143C"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4.81 (5.41)</w:t>
            </w:r>
          </w:p>
        </w:tc>
        <w:tc>
          <w:tcPr>
            <w:tcW w:w="1701" w:type="dxa"/>
          </w:tcPr>
          <w:p w14:paraId="7A1C0B60"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3.53 (7.41)</w:t>
            </w:r>
          </w:p>
        </w:tc>
        <w:tc>
          <w:tcPr>
            <w:tcW w:w="1695" w:type="dxa"/>
          </w:tcPr>
          <w:p w14:paraId="20ED49F4"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4.18 (6.44)</w:t>
            </w:r>
          </w:p>
        </w:tc>
      </w:tr>
      <w:tr w:rsidR="004E4664" w:rsidRPr="008B3114" w14:paraId="1F682D1D" w14:textId="77777777" w:rsidTr="009B2AFE">
        <w:tc>
          <w:tcPr>
            <w:tcW w:w="4595" w:type="dxa"/>
          </w:tcPr>
          <w:p w14:paraId="4DFD01A7"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Median</w:t>
            </w:r>
          </w:p>
        </w:tc>
        <w:tc>
          <w:tcPr>
            <w:tcW w:w="1637" w:type="dxa"/>
          </w:tcPr>
          <w:p w14:paraId="7E354E96"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2.93</w:t>
            </w:r>
          </w:p>
        </w:tc>
        <w:tc>
          <w:tcPr>
            <w:tcW w:w="1701" w:type="dxa"/>
          </w:tcPr>
          <w:p w14:paraId="5E14D869"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1.04</w:t>
            </w:r>
          </w:p>
        </w:tc>
        <w:tc>
          <w:tcPr>
            <w:tcW w:w="1695" w:type="dxa"/>
          </w:tcPr>
          <w:p w14:paraId="60BF212A"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2.04</w:t>
            </w:r>
          </w:p>
        </w:tc>
      </w:tr>
      <w:tr w:rsidR="004E4664" w:rsidRPr="008B3114" w14:paraId="02844D8D" w14:textId="77777777" w:rsidTr="009B2AFE">
        <w:tc>
          <w:tcPr>
            <w:tcW w:w="4595" w:type="dxa"/>
          </w:tcPr>
          <w:p w14:paraId="7A9777BD"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 xml:space="preserve">Interquartile range                                   </w:t>
            </w:r>
          </w:p>
        </w:tc>
        <w:tc>
          <w:tcPr>
            <w:tcW w:w="1637" w:type="dxa"/>
          </w:tcPr>
          <w:p w14:paraId="1FD9956F"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0.99 ; 6.02</w:t>
            </w:r>
          </w:p>
        </w:tc>
        <w:tc>
          <w:tcPr>
            <w:tcW w:w="1701" w:type="dxa"/>
          </w:tcPr>
          <w:p w14:paraId="79467BE4"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0.00 ; 4.00</w:t>
            </w:r>
          </w:p>
        </w:tc>
        <w:tc>
          <w:tcPr>
            <w:tcW w:w="1695" w:type="dxa"/>
          </w:tcPr>
          <w:p w14:paraId="200BDF5A"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0.00 ; 5.00</w:t>
            </w:r>
          </w:p>
        </w:tc>
      </w:tr>
      <w:tr w:rsidR="004E4664" w:rsidRPr="008B3114" w14:paraId="0648A065" w14:textId="77777777" w:rsidTr="009B2AFE">
        <w:tc>
          <w:tcPr>
            <w:tcW w:w="4595" w:type="dxa"/>
          </w:tcPr>
          <w:p w14:paraId="289FC323"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 xml:space="preserve">Min ; Max                                            </w:t>
            </w:r>
          </w:p>
        </w:tc>
        <w:tc>
          <w:tcPr>
            <w:tcW w:w="1637" w:type="dxa"/>
          </w:tcPr>
          <w:p w14:paraId="140DCFF1"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0.00 ; 18.13</w:t>
            </w:r>
          </w:p>
        </w:tc>
        <w:tc>
          <w:tcPr>
            <w:tcW w:w="1701" w:type="dxa"/>
          </w:tcPr>
          <w:p w14:paraId="70EEF9D5"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0.00 ; 37.78</w:t>
            </w:r>
          </w:p>
        </w:tc>
        <w:tc>
          <w:tcPr>
            <w:tcW w:w="1695" w:type="dxa"/>
          </w:tcPr>
          <w:p w14:paraId="1AF363CE"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0.00 ; 37.78</w:t>
            </w:r>
          </w:p>
        </w:tc>
      </w:tr>
      <w:tr w:rsidR="004E4664" w:rsidRPr="008B3114" w14:paraId="32C25EC0" w14:textId="77777777" w:rsidTr="009B2AFE">
        <w:tc>
          <w:tcPr>
            <w:tcW w:w="4595" w:type="dxa"/>
          </w:tcPr>
          <w:p w14:paraId="2B3DEBE7" w14:textId="77777777" w:rsidR="004E4664" w:rsidRPr="008B3114" w:rsidRDefault="004E4664" w:rsidP="009B2AFE">
            <w:pPr>
              <w:rPr>
                <w:rFonts w:asciiTheme="majorBidi" w:hAnsiTheme="majorBidi" w:cstheme="majorBidi"/>
                <w:lang w:val="da-DK"/>
              </w:rPr>
            </w:pPr>
            <w:r w:rsidRPr="008B3114">
              <w:rPr>
                <w:rFonts w:asciiTheme="majorBidi" w:hAnsiTheme="majorBidi" w:cstheme="majorBidi"/>
                <w:lang w:val="da-DK"/>
              </w:rPr>
              <w:t>Poisson estimate of ABR</w:t>
            </w:r>
          </w:p>
        </w:tc>
        <w:tc>
          <w:tcPr>
            <w:tcW w:w="1637" w:type="dxa"/>
          </w:tcPr>
          <w:p w14:paraId="018FD304"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4.56</w:t>
            </w:r>
          </w:p>
        </w:tc>
        <w:tc>
          <w:tcPr>
            <w:tcW w:w="1701" w:type="dxa"/>
          </w:tcPr>
          <w:p w14:paraId="059EE89E"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2.51</w:t>
            </w:r>
          </w:p>
        </w:tc>
        <w:tc>
          <w:tcPr>
            <w:tcW w:w="1695" w:type="dxa"/>
          </w:tcPr>
          <w:p w14:paraId="3C4EB6AA"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3.55</w:t>
            </w:r>
          </w:p>
        </w:tc>
      </w:tr>
      <w:tr w:rsidR="004E4664" w:rsidRPr="008B3114" w14:paraId="32DE9FCD" w14:textId="77777777" w:rsidTr="009B2AFE">
        <w:tc>
          <w:tcPr>
            <w:tcW w:w="4595" w:type="dxa"/>
          </w:tcPr>
          <w:p w14:paraId="65B9AECF"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 xml:space="preserve">95% CI                                                </w:t>
            </w:r>
          </w:p>
        </w:tc>
        <w:tc>
          <w:tcPr>
            <w:tcW w:w="1637" w:type="dxa"/>
          </w:tcPr>
          <w:p w14:paraId="1F742AD8"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3.01 ; 6.90</w:t>
            </w:r>
          </w:p>
        </w:tc>
        <w:tc>
          <w:tcPr>
            <w:tcW w:w="1701" w:type="dxa"/>
          </w:tcPr>
          <w:p w14:paraId="469C6CAC"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1.42 ; 4.43</w:t>
            </w:r>
          </w:p>
        </w:tc>
        <w:tc>
          <w:tcPr>
            <w:tcW w:w="1695" w:type="dxa"/>
          </w:tcPr>
          <w:p w14:paraId="7A01D1E8"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2.53 ; 4.98</w:t>
            </w:r>
          </w:p>
        </w:tc>
      </w:tr>
      <w:tr w:rsidR="004E4664" w:rsidRPr="008B3114" w14:paraId="66807E40" w14:textId="77777777" w:rsidTr="009B2AFE">
        <w:tc>
          <w:tcPr>
            <w:tcW w:w="4595" w:type="dxa"/>
          </w:tcPr>
          <w:p w14:paraId="21A55251"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 xml:space="preserve">P-value*                                                 </w:t>
            </w:r>
          </w:p>
        </w:tc>
        <w:tc>
          <w:tcPr>
            <w:tcW w:w="1637" w:type="dxa"/>
          </w:tcPr>
          <w:p w14:paraId="5E53B4E8"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0.402</w:t>
            </w:r>
          </w:p>
        </w:tc>
        <w:tc>
          <w:tcPr>
            <w:tcW w:w="1701" w:type="dxa"/>
          </w:tcPr>
          <w:p w14:paraId="4C500D0F"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0.013</w:t>
            </w:r>
          </w:p>
        </w:tc>
        <w:tc>
          <w:tcPr>
            <w:tcW w:w="1695" w:type="dxa"/>
          </w:tcPr>
          <w:p w14:paraId="3611DE0E"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0.040</w:t>
            </w:r>
          </w:p>
        </w:tc>
      </w:tr>
      <w:tr w:rsidR="004E4664" w:rsidRPr="008B3114" w14:paraId="229889B9" w14:textId="77777777" w:rsidTr="009B2AFE">
        <w:tc>
          <w:tcPr>
            <w:tcW w:w="4595" w:type="dxa"/>
          </w:tcPr>
          <w:p w14:paraId="6A783BCF" w14:textId="77777777" w:rsidR="004E4664" w:rsidRPr="008B3114" w:rsidRDefault="004E4664" w:rsidP="009B2AFE">
            <w:pPr>
              <w:rPr>
                <w:rFonts w:asciiTheme="majorBidi" w:hAnsiTheme="majorBidi" w:cstheme="majorBidi"/>
                <w:lang w:val="da-DK"/>
              </w:rPr>
            </w:pPr>
            <w:r w:rsidRPr="008B3114">
              <w:rPr>
                <w:rFonts w:asciiTheme="majorBidi" w:hAnsiTheme="majorBidi" w:cstheme="majorBidi"/>
                <w:lang w:val="da-DK"/>
              </w:rPr>
              <w:t>Estimated ABR reduction**</w:t>
            </w:r>
          </w:p>
        </w:tc>
        <w:tc>
          <w:tcPr>
            <w:tcW w:w="1637" w:type="dxa"/>
          </w:tcPr>
          <w:p w14:paraId="219B56E2" w14:textId="77777777" w:rsidR="004E4664" w:rsidRPr="008B3114" w:rsidRDefault="004E4664" w:rsidP="009B2AFE">
            <w:pPr>
              <w:jc w:val="center"/>
              <w:rPr>
                <w:rFonts w:asciiTheme="majorBidi" w:hAnsiTheme="majorBidi" w:cstheme="majorBidi"/>
                <w:lang w:val="da-DK"/>
              </w:rPr>
            </w:pPr>
          </w:p>
        </w:tc>
        <w:tc>
          <w:tcPr>
            <w:tcW w:w="1701" w:type="dxa"/>
          </w:tcPr>
          <w:p w14:paraId="5F60D80B" w14:textId="77777777" w:rsidR="004E4664" w:rsidRPr="008B3114" w:rsidRDefault="004E4664" w:rsidP="009B2AFE">
            <w:pPr>
              <w:jc w:val="center"/>
              <w:rPr>
                <w:rFonts w:asciiTheme="majorBidi" w:hAnsiTheme="majorBidi" w:cstheme="majorBidi"/>
                <w:lang w:val="da-DK"/>
              </w:rPr>
            </w:pPr>
          </w:p>
        </w:tc>
        <w:tc>
          <w:tcPr>
            <w:tcW w:w="1695" w:type="dxa"/>
          </w:tcPr>
          <w:p w14:paraId="214D03D3" w14:textId="77777777" w:rsidR="004E4664" w:rsidRPr="008B3114" w:rsidRDefault="004E4664" w:rsidP="009B2AFE">
            <w:pPr>
              <w:jc w:val="center"/>
              <w:rPr>
                <w:rFonts w:asciiTheme="majorBidi" w:hAnsiTheme="majorBidi" w:cstheme="majorBidi"/>
                <w:lang w:val="da-DK"/>
              </w:rPr>
            </w:pPr>
          </w:p>
        </w:tc>
      </w:tr>
      <w:tr w:rsidR="004E4664" w:rsidRPr="008B3114" w14:paraId="2CDE14BB" w14:textId="77777777" w:rsidTr="009B2AFE">
        <w:tc>
          <w:tcPr>
            <w:tcW w:w="4595" w:type="dxa"/>
          </w:tcPr>
          <w:p w14:paraId="50E85067"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40 U/kg vs. 10 U/kg</w:t>
            </w:r>
          </w:p>
        </w:tc>
        <w:tc>
          <w:tcPr>
            <w:tcW w:w="1637" w:type="dxa"/>
          </w:tcPr>
          <w:p w14:paraId="7B616338" w14:textId="77777777" w:rsidR="004E4664" w:rsidRPr="008B3114" w:rsidRDefault="004E4664" w:rsidP="009B2AFE">
            <w:pPr>
              <w:jc w:val="center"/>
              <w:rPr>
                <w:rFonts w:asciiTheme="majorBidi" w:hAnsiTheme="majorBidi" w:cstheme="majorBidi"/>
                <w:lang w:val="da-DK"/>
              </w:rPr>
            </w:pPr>
          </w:p>
        </w:tc>
        <w:tc>
          <w:tcPr>
            <w:tcW w:w="1701" w:type="dxa"/>
          </w:tcPr>
          <w:p w14:paraId="62285972" w14:textId="77777777" w:rsidR="004E4664" w:rsidRPr="008B3114" w:rsidRDefault="004E4664" w:rsidP="009B2AFE">
            <w:pPr>
              <w:jc w:val="center"/>
              <w:rPr>
                <w:rFonts w:asciiTheme="majorBidi" w:hAnsiTheme="majorBidi" w:cstheme="majorBidi"/>
                <w:lang w:val="da-DK"/>
              </w:rPr>
            </w:pPr>
          </w:p>
        </w:tc>
        <w:tc>
          <w:tcPr>
            <w:tcW w:w="1695" w:type="dxa"/>
          </w:tcPr>
          <w:p w14:paraId="40FC5F3A"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0.45</w:t>
            </w:r>
          </w:p>
        </w:tc>
      </w:tr>
      <w:tr w:rsidR="004E4664" w:rsidRPr="008B3114" w14:paraId="52DDBA32" w14:textId="77777777" w:rsidTr="009B2AFE">
        <w:tc>
          <w:tcPr>
            <w:tcW w:w="4595" w:type="dxa"/>
          </w:tcPr>
          <w:p w14:paraId="5ECE098C"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 xml:space="preserve">95% CI                                                     </w:t>
            </w:r>
          </w:p>
        </w:tc>
        <w:tc>
          <w:tcPr>
            <w:tcW w:w="1637" w:type="dxa"/>
          </w:tcPr>
          <w:p w14:paraId="215121DE" w14:textId="77777777" w:rsidR="004E4664" w:rsidRPr="008B3114" w:rsidRDefault="004E4664" w:rsidP="009B2AFE">
            <w:pPr>
              <w:jc w:val="center"/>
              <w:rPr>
                <w:rFonts w:asciiTheme="majorBidi" w:hAnsiTheme="majorBidi" w:cstheme="majorBidi"/>
                <w:lang w:val="da-DK"/>
              </w:rPr>
            </w:pPr>
          </w:p>
        </w:tc>
        <w:tc>
          <w:tcPr>
            <w:tcW w:w="1701" w:type="dxa"/>
          </w:tcPr>
          <w:p w14:paraId="408D0B9A" w14:textId="77777777" w:rsidR="004E4664" w:rsidRPr="008B3114" w:rsidRDefault="004E4664" w:rsidP="009B2AFE">
            <w:pPr>
              <w:jc w:val="center"/>
              <w:rPr>
                <w:rFonts w:asciiTheme="majorBidi" w:hAnsiTheme="majorBidi" w:cstheme="majorBidi"/>
                <w:lang w:val="da-DK"/>
              </w:rPr>
            </w:pPr>
          </w:p>
        </w:tc>
        <w:tc>
          <w:tcPr>
            <w:tcW w:w="1695" w:type="dxa"/>
          </w:tcPr>
          <w:p w14:paraId="7E02F77F"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-0.11 ; 0.73</w:t>
            </w:r>
          </w:p>
        </w:tc>
      </w:tr>
      <w:tr w:rsidR="004E4664" w:rsidRPr="008B3114" w14:paraId="5224BC55" w14:textId="77777777" w:rsidTr="009B2AFE">
        <w:tc>
          <w:tcPr>
            <w:tcW w:w="4595" w:type="dxa"/>
          </w:tcPr>
          <w:p w14:paraId="1F3D0222" w14:textId="77777777" w:rsidR="004E4664" w:rsidRPr="008B3114" w:rsidRDefault="004E4664" w:rsidP="009B2AFE">
            <w:pPr>
              <w:ind w:left="720"/>
              <w:rPr>
                <w:rFonts w:asciiTheme="majorBidi" w:hAnsiTheme="majorBidi" w:cstheme="majorBidi"/>
                <w:lang w:val="da-DK"/>
              </w:rPr>
            </w:pPr>
            <w:r w:rsidRPr="008B3114">
              <w:rPr>
                <w:rFonts w:asciiTheme="majorBidi" w:hAnsiTheme="majorBidi" w:cstheme="majorBidi"/>
                <w:lang w:val="da-DK"/>
              </w:rPr>
              <w:t>P-value***</w:t>
            </w:r>
          </w:p>
        </w:tc>
        <w:tc>
          <w:tcPr>
            <w:tcW w:w="1637" w:type="dxa"/>
          </w:tcPr>
          <w:p w14:paraId="02879065" w14:textId="77777777" w:rsidR="004E4664" w:rsidRPr="008B3114" w:rsidRDefault="004E4664" w:rsidP="009B2AFE">
            <w:pPr>
              <w:jc w:val="center"/>
              <w:rPr>
                <w:rFonts w:asciiTheme="majorBidi" w:hAnsiTheme="majorBidi" w:cstheme="majorBidi"/>
                <w:lang w:val="da-DK"/>
              </w:rPr>
            </w:pPr>
          </w:p>
        </w:tc>
        <w:tc>
          <w:tcPr>
            <w:tcW w:w="1701" w:type="dxa"/>
          </w:tcPr>
          <w:p w14:paraId="25BB3574" w14:textId="77777777" w:rsidR="004E4664" w:rsidRPr="008B3114" w:rsidRDefault="004E4664" w:rsidP="009B2AFE">
            <w:pPr>
              <w:jc w:val="center"/>
              <w:rPr>
                <w:rFonts w:asciiTheme="majorBidi" w:hAnsiTheme="majorBidi" w:cstheme="majorBidi"/>
                <w:lang w:val="da-DK"/>
              </w:rPr>
            </w:pPr>
          </w:p>
        </w:tc>
        <w:tc>
          <w:tcPr>
            <w:tcW w:w="1695" w:type="dxa"/>
          </w:tcPr>
          <w:p w14:paraId="19FE76EA" w14:textId="77777777" w:rsidR="004E4664" w:rsidRPr="008B3114" w:rsidRDefault="004E4664" w:rsidP="009B2AFE">
            <w:pPr>
              <w:jc w:val="center"/>
              <w:rPr>
                <w:rFonts w:asciiTheme="majorBidi" w:hAnsiTheme="majorBidi" w:cstheme="majorBidi"/>
                <w:lang w:val="da-DK"/>
              </w:rPr>
            </w:pPr>
            <w:r w:rsidRPr="008B3114">
              <w:rPr>
                <w:rFonts w:asciiTheme="majorBidi" w:hAnsiTheme="majorBidi" w:cstheme="majorBidi"/>
                <w:lang w:val="da-DK"/>
              </w:rPr>
              <w:t>0.097</w:t>
            </w:r>
          </w:p>
        </w:tc>
      </w:tr>
    </w:tbl>
    <w:p w14:paraId="6659F419" w14:textId="77777777" w:rsidR="004E4664" w:rsidRDefault="004E4664" w:rsidP="004E4664">
      <w:pPr>
        <w:rPr>
          <w:rFonts w:asciiTheme="majorBidi" w:hAnsiTheme="majorBidi" w:cstheme="majorBidi"/>
          <w:sz w:val="20"/>
          <w:szCs w:val="20"/>
        </w:rPr>
      </w:pPr>
      <w:r w:rsidRPr="008B3114">
        <w:rPr>
          <w:rFonts w:asciiTheme="majorBidi" w:hAnsiTheme="majorBidi" w:cstheme="majorBidi"/>
          <w:sz w:val="20"/>
          <w:szCs w:val="20"/>
        </w:rPr>
        <w:t xml:space="preserve">Based on a Poisson regression model with dose as a factor allowing for over-dispersion and using treatment duration as an offset.            </w:t>
      </w:r>
    </w:p>
    <w:p w14:paraId="23F66084" w14:textId="77777777" w:rsidR="004E4664" w:rsidRPr="008B3114" w:rsidRDefault="004E4664" w:rsidP="004E4664">
      <w:pPr>
        <w:rPr>
          <w:rFonts w:asciiTheme="majorBidi" w:hAnsiTheme="majorBidi" w:cstheme="majorBidi"/>
          <w:sz w:val="20"/>
          <w:szCs w:val="20"/>
        </w:rPr>
      </w:pPr>
      <w:r w:rsidRPr="008B3114">
        <w:rPr>
          <w:rFonts w:asciiTheme="majorBidi" w:hAnsiTheme="majorBidi" w:cstheme="majorBidi"/>
          <w:sz w:val="20"/>
          <w:szCs w:val="20"/>
        </w:rPr>
        <w:t xml:space="preserve">*P-values are from the 1-sided test of the null hypothesis that the ABR is at least 4.8 evaluated at the 2.5% level.                         </w:t>
      </w:r>
    </w:p>
    <w:p w14:paraId="3DE15DFA" w14:textId="77777777" w:rsidR="004E4664" w:rsidRPr="008B3114" w:rsidRDefault="004E4664" w:rsidP="004E4664">
      <w:pPr>
        <w:rPr>
          <w:rFonts w:asciiTheme="majorBidi" w:hAnsiTheme="majorBidi" w:cstheme="majorBidi"/>
          <w:sz w:val="20"/>
          <w:szCs w:val="20"/>
        </w:rPr>
      </w:pPr>
      <w:r w:rsidRPr="008B3114">
        <w:rPr>
          <w:rFonts w:asciiTheme="majorBidi" w:hAnsiTheme="majorBidi" w:cstheme="majorBidi"/>
          <w:sz w:val="20"/>
          <w:szCs w:val="20"/>
        </w:rPr>
        <w:lastRenderedPageBreak/>
        <w:t xml:space="preserve">**Reduction = 1 - ABR relative risk. Positive values indicate a decrease in bleeding rate and negative values indicate an increase.          </w:t>
      </w:r>
    </w:p>
    <w:p w14:paraId="0B926929" w14:textId="09DF183D" w:rsidR="004E4664" w:rsidRDefault="004E4664" w:rsidP="004E4664">
      <w:r w:rsidRPr="008B3114">
        <w:rPr>
          <w:rFonts w:asciiTheme="majorBidi" w:hAnsiTheme="majorBidi" w:cstheme="majorBidi"/>
          <w:sz w:val="20"/>
          <w:szCs w:val="20"/>
        </w:rPr>
        <w:t xml:space="preserve">***2-sided test of the null hypothesis that there is no difference </w:t>
      </w:r>
      <w:r w:rsidRPr="00DF1BE5">
        <w:rPr>
          <w:rFonts w:asciiTheme="majorBidi" w:hAnsiTheme="majorBidi" w:cstheme="majorBidi"/>
          <w:sz w:val="20"/>
          <w:szCs w:val="20"/>
        </w:rPr>
        <w:t>between the two doses evaluated at the 5% level.</w:t>
      </w:r>
    </w:p>
    <w:p w14:paraId="705B461B" w14:textId="77777777" w:rsidR="00A834EF" w:rsidRDefault="00A834EF" w:rsidP="00A834EF"/>
    <w:p w14:paraId="705B461C" w14:textId="4EB19C86" w:rsidR="00A834EF" w:rsidRDefault="00A834EF" w:rsidP="00A834EF">
      <w:r>
        <w:t>The treatment period for the paediatric trial was 52 weeks. The trial included 25 paediatric previously treated patients (ages 0 to 12 years) who received a prophylactic dose 40 IU/kg once weekly.</w:t>
      </w:r>
    </w:p>
    <w:p w14:paraId="705B461D" w14:textId="77777777" w:rsidR="00A834EF" w:rsidRDefault="00A834EF" w:rsidP="00A834EF"/>
    <w:p w14:paraId="705B461E" w14:textId="77777777" w:rsidR="00A834EF" w:rsidRDefault="00A834EF" w:rsidP="00A834EF">
      <w:r>
        <w:t>Across trials, bleeding episodes were treated with Refixia at 40 IU/kg for mild or moderate bleeds or 80 IU/kg for severe bleeds.</w:t>
      </w:r>
    </w:p>
    <w:p w14:paraId="705B461F" w14:textId="77777777" w:rsidR="00A834EF" w:rsidRDefault="00A834EF" w:rsidP="00A834EF">
      <w:pPr>
        <w:pStyle w:val="Heading6"/>
      </w:pPr>
      <w:r>
        <w:t>Prophylactic treatment</w:t>
      </w:r>
    </w:p>
    <w:p w14:paraId="705B4620" w14:textId="3D1AD670" w:rsidR="00A834EF" w:rsidRDefault="00697ADD" w:rsidP="00697ADD">
      <w:r>
        <w:t>The results of the 40 IU/kg prophylactic dose</w:t>
      </w:r>
      <w:r w:rsidR="00F9499F">
        <w:t xml:space="preserve"> (trials NN7999-3774 and NN7999-3747)</w:t>
      </w:r>
      <w:r>
        <w:t xml:space="preserve"> are shown in Table </w:t>
      </w:r>
      <w:r w:rsidR="00DF134F">
        <w:t xml:space="preserve">8 </w:t>
      </w:r>
      <w:r>
        <w:t xml:space="preserve">and Table </w:t>
      </w:r>
      <w:r w:rsidR="00DF134F">
        <w:t>9</w:t>
      </w:r>
      <w:r>
        <w:t>.</w:t>
      </w:r>
    </w:p>
    <w:p w14:paraId="705B4621" w14:textId="77777777" w:rsidR="00697ADD" w:rsidRDefault="00697ADD" w:rsidP="00697ADD"/>
    <w:p w14:paraId="705B4622" w14:textId="49A1591C" w:rsidR="00697ADD" w:rsidRDefault="00697ADD" w:rsidP="00587678">
      <w:pPr>
        <w:keepNext/>
      </w:pPr>
      <w:r>
        <w:t xml:space="preserve">Table </w:t>
      </w:r>
      <w:r w:rsidR="00DF134F">
        <w:rPr>
          <w:lang w:val="en-GB"/>
        </w:rPr>
        <w:t>8</w:t>
      </w:r>
      <w:r>
        <w:t>: Annualised bleeding rates in patients (0-65 years) treated with a prophylactic dose of 40 IU/kg once weekly (Median (IQR))</w:t>
      </w:r>
    </w:p>
    <w:tbl>
      <w:tblPr>
        <w:tblStyle w:val="TableGrid"/>
        <w:tblW w:w="0" w:type="auto"/>
        <w:tblLook w:val="04A0" w:firstRow="1" w:lastRow="0" w:firstColumn="1" w:lastColumn="0" w:noHBand="0" w:noVBand="1"/>
      </w:tblPr>
      <w:tblGrid>
        <w:gridCol w:w="2684"/>
        <w:gridCol w:w="1583"/>
        <w:gridCol w:w="1583"/>
        <w:gridCol w:w="1583"/>
        <w:gridCol w:w="1583"/>
      </w:tblGrid>
      <w:tr w:rsidR="00697ADD" w14:paraId="705B4625" w14:textId="77777777" w:rsidTr="00697ADD">
        <w:tc>
          <w:tcPr>
            <w:tcW w:w="2802" w:type="dxa"/>
            <w:vMerge w:val="restart"/>
          </w:tcPr>
          <w:p w14:paraId="705B4623" w14:textId="77777777" w:rsidR="00697ADD" w:rsidRDefault="00697ADD" w:rsidP="00697ADD"/>
        </w:tc>
        <w:tc>
          <w:tcPr>
            <w:tcW w:w="6440" w:type="dxa"/>
            <w:gridSpan w:val="4"/>
          </w:tcPr>
          <w:p w14:paraId="705B4624" w14:textId="77777777" w:rsidR="00697ADD" w:rsidRPr="00697ADD" w:rsidRDefault="00697ADD" w:rsidP="00697ADD">
            <w:pPr>
              <w:rPr>
                <w:b/>
              </w:rPr>
            </w:pPr>
            <w:r w:rsidRPr="00697ADD">
              <w:rPr>
                <w:b/>
              </w:rPr>
              <w:t>Previously treated patients (factor IX&lt;2%)</w:t>
            </w:r>
          </w:p>
        </w:tc>
      </w:tr>
      <w:tr w:rsidR="00697ADD" w14:paraId="705B462F" w14:textId="77777777" w:rsidTr="00697ADD">
        <w:tc>
          <w:tcPr>
            <w:tcW w:w="2802" w:type="dxa"/>
            <w:vMerge/>
          </w:tcPr>
          <w:p w14:paraId="705B4626" w14:textId="77777777" w:rsidR="00697ADD" w:rsidRDefault="00697ADD" w:rsidP="00697ADD"/>
        </w:tc>
        <w:tc>
          <w:tcPr>
            <w:tcW w:w="1610" w:type="dxa"/>
          </w:tcPr>
          <w:p w14:paraId="705B4627" w14:textId="77777777" w:rsidR="00697ADD" w:rsidRDefault="00697ADD" w:rsidP="00697ADD">
            <w:r>
              <w:t>0-6 years</w:t>
            </w:r>
          </w:p>
          <w:p w14:paraId="705B4628" w14:textId="77777777" w:rsidR="00697ADD" w:rsidRDefault="00697ADD" w:rsidP="00697ADD">
            <w:r>
              <w:t>N=12</w:t>
            </w:r>
          </w:p>
        </w:tc>
        <w:tc>
          <w:tcPr>
            <w:tcW w:w="1610" w:type="dxa"/>
          </w:tcPr>
          <w:p w14:paraId="705B4629" w14:textId="77777777" w:rsidR="00697ADD" w:rsidRDefault="00697ADD" w:rsidP="00697ADD">
            <w:r>
              <w:t>7-12 years</w:t>
            </w:r>
          </w:p>
          <w:p w14:paraId="705B462A" w14:textId="77777777" w:rsidR="00697ADD" w:rsidRDefault="00697ADD" w:rsidP="00697ADD">
            <w:r>
              <w:t>N=13</w:t>
            </w:r>
          </w:p>
        </w:tc>
        <w:tc>
          <w:tcPr>
            <w:tcW w:w="1610" w:type="dxa"/>
          </w:tcPr>
          <w:p w14:paraId="705B462B" w14:textId="77777777" w:rsidR="00697ADD" w:rsidRDefault="00697ADD" w:rsidP="00697ADD">
            <w:r>
              <w:t>13 to 17 years</w:t>
            </w:r>
          </w:p>
          <w:p w14:paraId="705B462C" w14:textId="77777777" w:rsidR="00697ADD" w:rsidRDefault="00697ADD" w:rsidP="00697ADD">
            <w:r>
              <w:t>N=9</w:t>
            </w:r>
          </w:p>
        </w:tc>
        <w:tc>
          <w:tcPr>
            <w:tcW w:w="1610" w:type="dxa"/>
          </w:tcPr>
          <w:p w14:paraId="705B462D" w14:textId="77777777" w:rsidR="00697ADD" w:rsidRDefault="00697ADD" w:rsidP="00697ADD">
            <w:r>
              <w:t>18 to 65 years</w:t>
            </w:r>
          </w:p>
          <w:p w14:paraId="705B462E" w14:textId="77777777" w:rsidR="00697ADD" w:rsidRDefault="00697ADD" w:rsidP="00697ADD">
            <w:r>
              <w:t>N=20</w:t>
            </w:r>
          </w:p>
        </w:tc>
      </w:tr>
      <w:tr w:rsidR="00697ADD" w14:paraId="705B463A" w14:textId="77777777" w:rsidTr="00697ADD">
        <w:tc>
          <w:tcPr>
            <w:tcW w:w="2802" w:type="dxa"/>
          </w:tcPr>
          <w:p w14:paraId="705B4630" w14:textId="77777777" w:rsidR="00697ADD" w:rsidRDefault="00697ADD" w:rsidP="00697ADD">
            <w:r>
              <w:t>Annualised spontaneous</w:t>
            </w:r>
          </w:p>
          <w:p w14:paraId="705B4631" w14:textId="77777777" w:rsidR="00697ADD" w:rsidRDefault="00697ADD" w:rsidP="00697ADD">
            <w:r>
              <w:t>bleeding rate</w:t>
            </w:r>
          </w:p>
        </w:tc>
        <w:tc>
          <w:tcPr>
            <w:tcW w:w="1610" w:type="dxa"/>
          </w:tcPr>
          <w:p w14:paraId="705B4632" w14:textId="77777777" w:rsidR="00697ADD" w:rsidRDefault="00697ADD" w:rsidP="00697ADD">
            <w:r>
              <w:t>0.00</w:t>
            </w:r>
          </w:p>
          <w:p w14:paraId="705B4633" w14:textId="77777777" w:rsidR="00697ADD" w:rsidRDefault="00697ADD" w:rsidP="00697ADD">
            <w:r>
              <w:t>(0.00;0.00)</w:t>
            </w:r>
          </w:p>
        </w:tc>
        <w:tc>
          <w:tcPr>
            <w:tcW w:w="1610" w:type="dxa"/>
          </w:tcPr>
          <w:p w14:paraId="705B4634" w14:textId="77777777" w:rsidR="00697ADD" w:rsidRDefault="00697ADD" w:rsidP="00697ADD">
            <w:r>
              <w:t>0.00</w:t>
            </w:r>
          </w:p>
          <w:p w14:paraId="705B4635" w14:textId="77777777" w:rsidR="00697ADD" w:rsidRDefault="00697ADD" w:rsidP="00697ADD">
            <w:r>
              <w:t>(0.00;0.68)</w:t>
            </w:r>
          </w:p>
        </w:tc>
        <w:tc>
          <w:tcPr>
            <w:tcW w:w="1610" w:type="dxa"/>
          </w:tcPr>
          <w:p w14:paraId="705B4636" w14:textId="77777777" w:rsidR="00697ADD" w:rsidRDefault="00697ADD" w:rsidP="00697ADD">
            <w:r>
              <w:t>0.00</w:t>
            </w:r>
          </w:p>
          <w:p w14:paraId="705B4637" w14:textId="77777777" w:rsidR="00697ADD" w:rsidRDefault="00697ADD" w:rsidP="00697ADD">
            <w:r>
              <w:t>(0.00;0.00)</w:t>
            </w:r>
          </w:p>
        </w:tc>
        <w:tc>
          <w:tcPr>
            <w:tcW w:w="1610" w:type="dxa"/>
          </w:tcPr>
          <w:p w14:paraId="705B4638" w14:textId="77777777" w:rsidR="00697ADD" w:rsidRDefault="00697ADD" w:rsidP="00697ADD">
            <w:r>
              <w:t>0.00</w:t>
            </w:r>
          </w:p>
          <w:p w14:paraId="705B4639" w14:textId="77777777" w:rsidR="00697ADD" w:rsidRDefault="00697ADD" w:rsidP="00697ADD">
            <w:r>
              <w:t>(0.00;1.51)</w:t>
            </w:r>
          </w:p>
        </w:tc>
      </w:tr>
      <w:tr w:rsidR="00697ADD" w14:paraId="705B4645" w14:textId="77777777" w:rsidTr="00697ADD">
        <w:tc>
          <w:tcPr>
            <w:tcW w:w="2802" w:type="dxa"/>
          </w:tcPr>
          <w:p w14:paraId="705B463B" w14:textId="77777777" w:rsidR="00697ADD" w:rsidRDefault="00697ADD" w:rsidP="00697ADD">
            <w:r>
              <w:t>Annualised traumatic</w:t>
            </w:r>
          </w:p>
          <w:p w14:paraId="705B463C" w14:textId="77777777" w:rsidR="00697ADD" w:rsidRDefault="00697ADD" w:rsidP="00697ADD">
            <w:r>
              <w:t>bleeding rate</w:t>
            </w:r>
          </w:p>
        </w:tc>
        <w:tc>
          <w:tcPr>
            <w:tcW w:w="1610" w:type="dxa"/>
          </w:tcPr>
          <w:p w14:paraId="705B463D" w14:textId="77777777" w:rsidR="00697ADD" w:rsidRDefault="00697ADD" w:rsidP="00697ADD">
            <w:r>
              <w:t>0.00</w:t>
            </w:r>
          </w:p>
          <w:p w14:paraId="705B463E" w14:textId="77777777" w:rsidR="00697ADD" w:rsidRDefault="00697ADD" w:rsidP="00697ADD">
            <w:r>
              <w:t>(0.00;1.48)</w:t>
            </w:r>
          </w:p>
        </w:tc>
        <w:tc>
          <w:tcPr>
            <w:tcW w:w="1610" w:type="dxa"/>
          </w:tcPr>
          <w:p w14:paraId="705B463F" w14:textId="77777777" w:rsidR="00697ADD" w:rsidRDefault="00697ADD" w:rsidP="00697ADD">
            <w:r>
              <w:t>0.68</w:t>
            </w:r>
          </w:p>
          <w:p w14:paraId="705B4640" w14:textId="77777777" w:rsidR="00697ADD" w:rsidRDefault="00697ADD" w:rsidP="00697ADD">
            <w:r>
              <w:t>(0.00;1.93)</w:t>
            </w:r>
          </w:p>
        </w:tc>
        <w:tc>
          <w:tcPr>
            <w:tcW w:w="1610" w:type="dxa"/>
          </w:tcPr>
          <w:p w14:paraId="705B4641" w14:textId="77777777" w:rsidR="00697ADD" w:rsidRDefault="00697ADD" w:rsidP="00697ADD">
            <w:r>
              <w:t>1.93</w:t>
            </w:r>
          </w:p>
          <w:p w14:paraId="705B4642" w14:textId="77777777" w:rsidR="00697ADD" w:rsidRDefault="00697ADD" w:rsidP="00697ADD">
            <w:r>
              <w:t>(0.00;3.87)</w:t>
            </w:r>
          </w:p>
        </w:tc>
        <w:tc>
          <w:tcPr>
            <w:tcW w:w="1610" w:type="dxa"/>
          </w:tcPr>
          <w:p w14:paraId="705B4643" w14:textId="77777777" w:rsidR="00697ADD" w:rsidRDefault="00697ADD" w:rsidP="00697ADD">
            <w:r>
              <w:t>0.00</w:t>
            </w:r>
          </w:p>
          <w:p w14:paraId="705B4644" w14:textId="77777777" w:rsidR="00697ADD" w:rsidRDefault="00697ADD" w:rsidP="00697ADD">
            <w:r>
              <w:t>(0.00;1.01)</w:t>
            </w:r>
          </w:p>
        </w:tc>
      </w:tr>
      <w:tr w:rsidR="00697ADD" w14:paraId="705B4650" w14:textId="77777777" w:rsidTr="00697ADD">
        <w:tc>
          <w:tcPr>
            <w:tcW w:w="2802" w:type="dxa"/>
          </w:tcPr>
          <w:p w14:paraId="705B4646" w14:textId="77777777" w:rsidR="00697ADD" w:rsidRDefault="00697ADD" w:rsidP="00697ADD">
            <w:r>
              <w:t>Annualised joint bleeding</w:t>
            </w:r>
          </w:p>
          <w:p w14:paraId="705B4647" w14:textId="77777777" w:rsidR="00697ADD" w:rsidRDefault="00697ADD" w:rsidP="00697ADD">
            <w:r>
              <w:t>rate</w:t>
            </w:r>
          </w:p>
        </w:tc>
        <w:tc>
          <w:tcPr>
            <w:tcW w:w="1610" w:type="dxa"/>
          </w:tcPr>
          <w:p w14:paraId="705B4648" w14:textId="77777777" w:rsidR="00697ADD" w:rsidRDefault="00697ADD" w:rsidP="00697ADD">
            <w:r>
              <w:t>0.00</w:t>
            </w:r>
          </w:p>
          <w:p w14:paraId="705B4649" w14:textId="77777777" w:rsidR="00697ADD" w:rsidRDefault="00697ADD" w:rsidP="00697ADD">
            <w:r>
              <w:t>(0.00;0.00)</w:t>
            </w:r>
          </w:p>
        </w:tc>
        <w:tc>
          <w:tcPr>
            <w:tcW w:w="1610" w:type="dxa"/>
          </w:tcPr>
          <w:p w14:paraId="705B464A" w14:textId="77777777" w:rsidR="00697ADD" w:rsidRDefault="00697ADD" w:rsidP="00697ADD">
            <w:r>
              <w:t>0.68</w:t>
            </w:r>
          </w:p>
          <w:p w14:paraId="705B464B" w14:textId="77777777" w:rsidR="00697ADD" w:rsidRDefault="00697ADD" w:rsidP="00697ADD">
            <w:r>
              <w:t>(0.00;1.63)</w:t>
            </w:r>
          </w:p>
        </w:tc>
        <w:tc>
          <w:tcPr>
            <w:tcW w:w="1610" w:type="dxa"/>
          </w:tcPr>
          <w:p w14:paraId="705B464C" w14:textId="77777777" w:rsidR="00697ADD" w:rsidRDefault="00697ADD" w:rsidP="00697ADD">
            <w:r>
              <w:t>0.97</w:t>
            </w:r>
          </w:p>
          <w:p w14:paraId="705B464D" w14:textId="77777777" w:rsidR="00697ADD" w:rsidRDefault="00697ADD" w:rsidP="00697ADD">
            <w:r>
              <w:t>(0.00;2.17)</w:t>
            </w:r>
          </w:p>
        </w:tc>
        <w:tc>
          <w:tcPr>
            <w:tcW w:w="1610" w:type="dxa"/>
          </w:tcPr>
          <w:p w14:paraId="705B464E" w14:textId="77777777" w:rsidR="00697ADD" w:rsidRDefault="00697ADD" w:rsidP="00697ADD">
            <w:r>
              <w:t>0.51</w:t>
            </w:r>
          </w:p>
          <w:p w14:paraId="705B464F" w14:textId="77777777" w:rsidR="00697ADD" w:rsidRDefault="00697ADD" w:rsidP="00697ADD">
            <w:r>
              <w:t>(0.00;2.04)</w:t>
            </w:r>
          </w:p>
        </w:tc>
      </w:tr>
      <w:tr w:rsidR="00697ADD" w14:paraId="705B465A" w14:textId="77777777" w:rsidTr="00697ADD">
        <w:tc>
          <w:tcPr>
            <w:tcW w:w="2802" w:type="dxa"/>
          </w:tcPr>
          <w:p w14:paraId="705B4651" w14:textId="77777777" w:rsidR="00697ADD" w:rsidRDefault="00697ADD" w:rsidP="00697ADD">
            <w:r>
              <w:t>Annualised overall bleeding rate</w:t>
            </w:r>
          </w:p>
        </w:tc>
        <w:tc>
          <w:tcPr>
            <w:tcW w:w="1610" w:type="dxa"/>
          </w:tcPr>
          <w:p w14:paraId="705B4652" w14:textId="77777777" w:rsidR="00697ADD" w:rsidRDefault="00697ADD" w:rsidP="00697ADD">
            <w:r>
              <w:t>0.00</w:t>
            </w:r>
          </w:p>
          <w:p w14:paraId="705B4653" w14:textId="77777777" w:rsidR="00697ADD" w:rsidRDefault="00697ADD" w:rsidP="00697ADD">
            <w:r>
              <w:t>(0.00;1.78)</w:t>
            </w:r>
          </w:p>
        </w:tc>
        <w:tc>
          <w:tcPr>
            <w:tcW w:w="1610" w:type="dxa"/>
          </w:tcPr>
          <w:p w14:paraId="705B4654" w14:textId="77777777" w:rsidR="00697ADD" w:rsidRDefault="00697ADD" w:rsidP="00697ADD">
            <w:r>
              <w:t>2.00</w:t>
            </w:r>
          </w:p>
          <w:p w14:paraId="705B4655" w14:textId="77777777" w:rsidR="00697ADD" w:rsidRDefault="00697ADD" w:rsidP="00697ADD">
            <w:r>
              <w:t>(0.68;2.89)</w:t>
            </w:r>
          </w:p>
        </w:tc>
        <w:tc>
          <w:tcPr>
            <w:tcW w:w="1610" w:type="dxa"/>
          </w:tcPr>
          <w:p w14:paraId="705B4656" w14:textId="77777777" w:rsidR="00697ADD" w:rsidRDefault="00697ADD" w:rsidP="00697ADD">
            <w:r>
              <w:t>1.93</w:t>
            </w:r>
          </w:p>
          <w:p w14:paraId="705B4657" w14:textId="77777777" w:rsidR="00697ADD" w:rsidRDefault="00697ADD" w:rsidP="00697ADD">
            <w:r>
              <w:t>(0.00;4.01)</w:t>
            </w:r>
          </w:p>
        </w:tc>
        <w:tc>
          <w:tcPr>
            <w:tcW w:w="1610" w:type="dxa"/>
          </w:tcPr>
          <w:p w14:paraId="705B4658" w14:textId="77777777" w:rsidR="00697ADD" w:rsidRDefault="00697ADD" w:rsidP="00697ADD">
            <w:r>
              <w:t>1.03</w:t>
            </w:r>
          </w:p>
          <w:p w14:paraId="705B4659" w14:textId="77777777" w:rsidR="00697ADD" w:rsidRDefault="00697ADD" w:rsidP="00697ADD">
            <w:r>
              <w:t>(0.00;4.01)</w:t>
            </w:r>
          </w:p>
        </w:tc>
      </w:tr>
    </w:tbl>
    <w:p w14:paraId="705B465B" w14:textId="77777777" w:rsidR="00697ADD" w:rsidRDefault="00697ADD" w:rsidP="00697ADD"/>
    <w:p w14:paraId="705B465C" w14:textId="4DE45984" w:rsidR="00697ADD" w:rsidRDefault="00697ADD" w:rsidP="00697ADD">
      <w:r>
        <w:t xml:space="preserve">Table </w:t>
      </w:r>
      <w:r w:rsidR="00DF134F">
        <w:rPr>
          <w:lang w:val="en-GB"/>
        </w:rPr>
        <w:t>9</w:t>
      </w:r>
      <w:r>
        <w:t>: Haemostatic results in patients (0-65 years) treated with a prophylactic dose of 40 IU/kg once weekly</w:t>
      </w:r>
    </w:p>
    <w:tbl>
      <w:tblPr>
        <w:tblStyle w:val="TableGrid"/>
        <w:tblW w:w="0" w:type="auto"/>
        <w:tblLook w:val="04A0" w:firstRow="1" w:lastRow="0" w:firstColumn="1" w:lastColumn="0" w:noHBand="0" w:noVBand="1"/>
      </w:tblPr>
      <w:tblGrid>
        <w:gridCol w:w="2736"/>
        <w:gridCol w:w="1570"/>
        <w:gridCol w:w="1570"/>
        <w:gridCol w:w="1570"/>
        <w:gridCol w:w="1570"/>
      </w:tblGrid>
      <w:tr w:rsidR="00697ADD" w14:paraId="705B465F" w14:textId="77777777" w:rsidTr="00697ADD">
        <w:tc>
          <w:tcPr>
            <w:tcW w:w="2802" w:type="dxa"/>
            <w:vMerge w:val="restart"/>
          </w:tcPr>
          <w:p w14:paraId="705B465D" w14:textId="77777777" w:rsidR="00697ADD" w:rsidRDefault="00697ADD" w:rsidP="00697ADD"/>
        </w:tc>
        <w:tc>
          <w:tcPr>
            <w:tcW w:w="6440" w:type="dxa"/>
            <w:gridSpan w:val="4"/>
          </w:tcPr>
          <w:p w14:paraId="705B465E" w14:textId="77777777" w:rsidR="00697ADD" w:rsidRDefault="00697ADD" w:rsidP="00697ADD">
            <w:r w:rsidRPr="00697ADD">
              <w:rPr>
                <w:b/>
              </w:rPr>
              <w:t>Previously treated patients (factor IX&lt;2%)</w:t>
            </w:r>
          </w:p>
        </w:tc>
      </w:tr>
      <w:tr w:rsidR="00697ADD" w14:paraId="705B4669" w14:textId="77777777" w:rsidTr="00697ADD">
        <w:tc>
          <w:tcPr>
            <w:tcW w:w="2802" w:type="dxa"/>
            <w:vMerge/>
          </w:tcPr>
          <w:p w14:paraId="705B4660" w14:textId="77777777" w:rsidR="00697ADD" w:rsidRDefault="00697ADD" w:rsidP="00697ADD"/>
        </w:tc>
        <w:tc>
          <w:tcPr>
            <w:tcW w:w="1610" w:type="dxa"/>
          </w:tcPr>
          <w:p w14:paraId="705B4661" w14:textId="77777777" w:rsidR="00697ADD" w:rsidRDefault="00697ADD" w:rsidP="0020079D">
            <w:r>
              <w:t>0-6 years</w:t>
            </w:r>
          </w:p>
          <w:p w14:paraId="705B4662" w14:textId="77777777" w:rsidR="00697ADD" w:rsidRDefault="00697ADD" w:rsidP="0020079D">
            <w:r>
              <w:t>N=12</w:t>
            </w:r>
          </w:p>
        </w:tc>
        <w:tc>
          <w:tcPr>
            <w:tcW w:w="1610" w:type="dxa"/>
          </w:tcPr>
          <w:p w14:paraId="705B4663" w14:textId="77777777" w:rsidR="00697ADD" w:rsidRDefault="00697ADD" w:rsidP="0020079D">
            <w:r>
              <w:t>7-12 years</w:t>
            </w:r>
          </w:p>
          <w:p w14:paraId="705B4664" w14:textId="77777777" w:rsidR="00697ADD" w:rsidRDefault="00697ADD" w:rsidP="0020079D">
            <w:r>
              <w:t>N=13</w:t>
            </w:r>
          </w:p>
        </w:tc>
        <w:tc>
          <w:tcPr>
            <w:tcW w:w="1610" w:type="dxa"/>
          </w:tcPr>
          <w:p w14:paraId="705B4665" w14:textId="77777777" w:rsidR="00697ADD" w:rsidRDefault="00697ADD" w:rsidP="0020079D">
            <w:r>
              <w:t>13 to 17 years</w:t>
            </w:r>
          </w:p>
          <w:p w14:paraId="705B4666" w14:textId="77777777" w:rsidR="00697ADD" w:rsidRDefault="00697ADD" w:rsidP="0020079D">
            <w:r>
              <w:t>N=9</w:t>
            </w:r>
          </w:p>
        </w:tc>
        <w:tc>
          <w:tcPr>
            <w:tcW w:w="1610" w:type="dxa"/>
          </w:tcPr>
          <w:p w14:paraId="705B4667" w14:textId="77777777" w:rsidR="00697ADD" w:rsidRDefault="00697ADD" w:rsidP="0020079D">
            <w:r>
              <w:t>18 to 65 years</w:t>
            </w:r>
          </w:p>
          <w:p w14:paraId="705B4668" w14:textId="77777777" w:rsidR="00697ADD" w:rsidRDefault="00697ADD" w:rsidP="0020079D">
            <w:r>
              <w:t>N=20</w:t>
            </w:r>
          </w:p>
        </w:tc>
      </w:tr>
      <w:tr w:rsidR="00697ADD" w14:paraId="705B4670" w14:textId="77777777" w:rsidTr="00697ADD">
        <w:tc>
          <w:tcPr>
            <w:tcW w:w="2802" w:type="dxa"/>
          </w:tcPr>
          <w:p w14:paraId="705B466A" w14:textId="77777777" w:rsidR="00697ADD" w:rsidRDefault="00697ADD" w:rsidP="00697ADD">
            <w:r>
              <w:t>Haemostatic response</w:t>
            </w:r>
          </w:p>
          <w:p w14:paraId="705B466B" w14:textId="77777777" w:rsidR="00697ADD" w:rsidRDefault="00697ADD" w:rsidP="00697ADD">
            <w:r>
              <w:t>success rate</w:t>
            </w:r>
          </w:p>
        </w:tc>
        <w:tc>
          <w:tcPr>
            <w:tcW w:w="1610" w:type="dxa"/>
          </w:tcPr>
          <w:p w14:paraId="705B466C" w14:textId="77777777" w:rsidR="00697ADD" w:rsidRDefault="00697ADD" w:rsidP="00697ADD">
            <w:r>
              <w:t>91%</w:t>
            </w:r>
          </w:p>
        </w:tc>
        <w:tc>
          <w:tcPr>
            <w:tcW w:w="1610" w:type="dxa"/>
          </w:tcPr>
          <w:p w14:paraId="705B466D" w14:textId="77777777" w:rsidR="00697ADD" w:rsidRDefault="00697ADD" w:rsidP="00697ADD">
            <w:r>
              <w:t>94%</w:t>
            </w:r>
          </w:p>
        </w:tc>
        <w:tc>
          <w:tcPr>
            <w:tcW w:w="1610" w:type="dxa"/>
          </w:tcPr>
          <w:p w14:paraId="705B466E" w14:textId="77777777" w:rsidR="00697ADD" w:rsidRDefault="00697ADD" w:rsidP="00697ADD">
            <w:r>
              <w:t>100%</w:t>
            </w:r>
          </w:p>
        </w:tc>
        <w:tc>
          <w:tcPr>
            <w:tcW w:w="1610" w:type="dxa"/>
          </w:tcPr>
          <w:p w14:paraId="705B466F" w14:textId="77777777" w:rsidR="00697ADD" w:rsidRDefault="00697ADD" w:rsidP="00697ADD">
            <w:r>
              <w:t>96%</w:t>
            </w:r>
          </w:p>
        </w:tc>
      </w:tr>
      <w:tr w:rsidR="00697ADD" w14:paraId="705B4676" w14:textId="77777777" w:rsidTr="00697ADD">
        <w:tc>
          <w:tcPr>
            <w:tcW w:w="2802" w:type="dxa"/>
          </w:tcPr>
          <w:p w14:paraId="705B4671" w14:textId="77777777" w:rsidR="00697ADD" w:rsidRDefault="00697ADD" w:rsidP="00697ADD">
            <w:r>
              <w:t>Bleedings treated with 1 or 2 injections</w:t>
            </w:r>
          </w:p>
        </w:tc>
        <w:tc>
          <w:tcPr>
            <w:tcW w:w="1610" w:type="dxa"/>
          </w:tcPr>
          <w:p w14:paraId="705B4672" w14:textId="77777777" w:rsidR="00697ADD" w:rsidRDefault="00697ADD" w:rsidP="00697ADD">
            <w:r>
              <w:t>91%</w:t>
            </w:r>
          </w:p>
        </w:tc>
        <w:tc>
          <w:tcPr>
            <w:tcW w:w="1610" w:type="dxa"/>
          </w:tcPr>
          <w:p w14:paraId="705B4673" w14:textId="77777777" w:rsidR="00697ADD" w:rsidRDefault="00697ADD" w:rsidP="00697ADD">
            <w:r>
              <w:t>100%</w:t>
            </w:r>
          </w:p>
        </w:tc>
        <w:tc>
          <w:tcPr>
            <w:tcW w:w="1610" w:type="dxa"/>
          </w:tcPr>
          <w:p w14:paraId="705B4674" w14:textId="77777777" w:rsidR="00697ADD" w:rsidRDefault="00697ADD" w:rsidP="00697ADD">
            <w:r>
              <w:t>100%</w:t>
            </w:r>
          </w:p>
        </w:tc>
        <w:tc>
          <w:tcPr>
            <w:tcW w:w="1610" w:type="dxa"/>
          </w:tcPr>
          <w:p w14:paraId="705B4675" w14:textId="77777777" w:rsidR="00697ADD" w:rsidRDefault="00697ADD" w:rsidP="00697ADD">
            <w:r>
              <w:t>98%</w:t>
            </w:r>
          </w:p>
        </w:tc>
      </w:tr>
    </w:tbl>
    <w:p w14:paraId="705B4677" w14:textId="77777777" w:rsidR="00FC7715" w:rsidRDefault="00FC7715" w:rsidP="00FF622D">
      <w:pPr>
        <w:pStyle w:val="Heading4"/>
      </w:pPr>
      <w:r>
        <w:t>On demand treatment</w:t>
      </w:r>
    </w:p>
    <w:p w14:paraId="705B468F" w14:textId="0AC7540A" w:rsidR="00FC7715" w:rsidRPr="00A834EF" w:rsidRDefault="00FC7715" w:rsidP="0047339C">
      <w:r>
        <w:t xml:space="preserve">In the pivotal trial there was a non-randomised arm where 15 patients were treated in an on demand regimen with 40 IU/kg for mild or moderate bleeds and 80 IU/kg for severe bleeds. The overall success rate (defined as excellent or good) for treatment of bleeds was </w:t>
      </w:r>
      <w:r w:rsidR="00F343B2">
        <w:t>94</w:t>
      </w:r>
      <w:r>
        <w:t>%</w:t>
      </w:r>
      <w:r w:rsidR="00F343B2">
        <w:t xml:space="preserve"> (missing’s are included as failure)</w:t>
      </w:r>
      <w:r>
        <w:t xml:space="preserve"> with 98% of the bleeds treated with one or two injections.</w:t>
      </w:r>
    </w:p>
    <w:p w14:paraId="705B4690" w14:textId="77777777" w:rsidR="00C44B67" w:rsidRDefault="00C44B67" w:rsidP="00222422">
      <w:pPr>
        <w:pStyle w:val="Heading3"/>
      </w:pPr>
      <w:r>
        <w:t>5.2</w:t>
      </w:r>
      <w:r>
        <w:tab/>
        <w:t>Pharmacokinetic Properties</w:t>
      </w:r>
    </w:p>
    <w:p w14:paraId="705B4691" w14:textId="4C4B0EB2" w:rsidR="002627DE" w:rsidRDefault="002627DE" w:rsidP="002627DE">
      <w:r>
        <w:t xml:space="preserve">Refixia has a prolonged half-life compared to unmodified factor IX. All pharmacokinetic studies with Refixia were conducted in previously treated patients with haemophilia B (factor </w:t>
      </w:r>
      <w:r>
        <w:lastRenderedPageBreak/>
        <w:t>IX ≤2%). The plasma samples were analysed using the one-stage clotting assay. Steady-state pharmacokinetic parameters for adolescents and adults</w:t>
      </w:r>
      <w:r w:rsidR="00303A57">
        <w:t xml:space="preserve"> (trial NN7999-3747)</w:t>
      </w:r>
      <w:r>
        <w:t xml:space="preserve"> are shown in Table </w:t>
      </w:r>
      <w:r w:rsidR="00DF134F">
        <w:t>10</w:t>
      </w:r>
      <w:r>
        <w:t>.</w:t>
      </w:r>
    </w:p>
    <w:p w14:paraId="705B4692" w14:textId="77777777" w:rsidR="002627DE" w:rsidRDefault="002627DE" w:rsidP="002627DE"/>
    <w:p w14:paraId="705B4693" w14:textId="767F9229" w:rsidR="002627DE" w:rsidRDefault="002627DE" w:rsidP="002627DE">
      <w:r>
        <w:t xml:space="preserve">Table </w:t>
      </w:r>
      <w:r w:rsidR="00DF134F">
        <w:rPr>
          <w:lang w:val="en-GB"/>
        </w:rPr>
        <w:t>10</w:t>
      </w:r>
      <w:r>
        <w:t>: Steady-state pharmacokinetic parameters of Refixia (40 IU/kg) in adolescents and adults (geometric mean (CV))</w:t>
      </w:r>
    </w:p>
    <w:tbl>
      <w:tblPr>
        <w:tblStyle w:val="TableGrid"/>
        <w:tblW w:w="0" w:type="auto"/>
        <w:tblLook w:val="04A0" w:firstRow="1" w:lastRow="0" w:firstColumn="1" w:lastColumn="0" w:noHBand="0" w:noVBand="1"/>
      </w:tblPr>
      <w:tblGrid>
        <w:gridCol w:w="4944"/>
        <w:gridCol w:w="2036"/>
        <w:gridCol w:w="2036"/>
      </w:tblGrid>
      <w:tr w:rsidR="002627DE" w14:paraId="705B4699" w14:textId="77777777" w:rsidTr="002627DE">
        <w:tc>
          <w:tcPr>
            <w:tcW w:w="5070" w:type="dxa"/>
          </w:tcPr>
          <w:p w14:paraId="705B4694" w14:textId="77777777" w:rsidR="002627DE" w:rsidRPr="002627DE" w:rsidRDefault="002627DE" w:rsidP="002627DE">
            <w:pPr>
              <w:rPr>
                <w:b/>
              </w:rPr>
            </w:pPr>
            <w:r w:rsidRPr="002627DE">
              <w:rPr>
                <w:b/>
              </w:rPr>
              <w:t>PK parameter</w:t>
            </w:r>
          </w:p>
        </w:tc>
        <w:tc>
          <w:tcPr>
            <w:tcW w:w="2086" w:type="dxa"/>
          </w:tcPr>
          <w:p w14:paraId="705B4695" w14:textId="77777777" w:rsidR="002627DE" w:rsidRPr="002627DE" w:rsidRDefault="002627DE" w:rsidP="002627DE">
            <w:pPr>
              <w:rPr>
                <w:b/>
              </w:rPr>
            </w:pPr>
            <w:r w:rsidRPr="002627DE">
              <w:rPr>
                <w:b/>
              </w:rPr>
              <w:t>13-17 years</w:t>
            </w:r>
          </w:p>
          <w:p w14:paraId="705B4696" w14:textId="77777777" w:rsidR="002627DE" w:rsidRPr="002627DE" w:rsidRDefault="002627DE" w:rsidP="002627DE">
            <w:pPr>
              <w:rPr>
                <w:b/>
              </w:rPr>
            </w:pPr>
            <w:r w:rsidRPr="002627DE">
              <w:rPr>
                <w:b/>
              </w:rPr>
              <w:t>N=3</w:t>
            </w:r>
          </w:p>
        </w:tc>
        <w:tc>
          <w:tcPr>
            <w:tcW w:w="2086" w:type="dxa"/>
          </w:tcPr>
          <w:p w14:paraId="705B4697" w14:textId="77777777" w:rsidR="002627DE" w:rsidRPr="002627DE" w:rsidRDefault="002627DE" w:rsidP="002627DE">
            <w:pPr>
              <w:rPr>
                <w:b/>
              </w:rPr>
            </w:pPr>
            <w:r w:rsidRPr="002627DE">
              <w:rPr>
                <w:b/>
              </w:rPr>
              <w:t>≥ 18 years</w:t>
            </w:r>
          </w:p>
          <w:p w14:paraId="705B4698" w14:textId="77777777" w:rsidR="002627DE" w:rsidRPr="002627DE" w:rsidRDefault="002627DE" w:rsidP="002627DE">
            <w:pPr>
              <w:rPr>
                <w:b/>
              </w:rPr>
            </w:pPr>
            <w:r w:rsidRPr="002627DE">
              <w:rPr>
                <w:b/>
              </w:rPr>
              <w:t>N=6</w:t>
            </w:r>
          </w:p>
        </w:tc>
      </w:tr>
      <w:tr w:rsidR="002627DE" w14:paraId="705B469D" w14:textId="77777777" w:rsidTr="002627DE">
        <w:tc>
          <w:tcPr>
            <w:tcW w:w="5070" w:type="dxa"/>
          </w:tcPr>
          <w:p w14:paraId="705B469A" w14:textId="77777777" w:rsidR="002627DE" w:rsidRDefault="002627DE" w:rsidP="002627DE">
            <w:r w:rsidRPr="002627DE">
              <w:t>Half-life (t</w:t>
            </w:r>
            <w:r w:rsidRPr="002627DE">
              <w:rPr>
                <w:vertAlign w:val="subscript"/>
              </w:rPr>
              <w:t>1/2</w:t>
            </w:r>
            <w:r w:rsidRPr="002627DE">
              <w:t>) (hours)</w:t>
            </w:r>
          </w:p>
        </w:tc>
        <w:tc>
          <w:tcPr>
            <w:tcW w:w="2086" w:type="dxa"/>
          </w:tcPr>
          <w:p w14:paraId="705B469B" w14:textId="77777777" w:rsidR="002627DE" w:rsidRDefault="002627DE" w:rsidP="002627DE">
            <w:r>
              <w:t>103 (14)</w:t>
            </w:r>
          </w:p>
        </w:tc>
        <w:tc>
          <w:tcPr>
            <w:tcW w:w="2086" w:type="dxa"/>
          </w:tcPr>
          <w:p w14:paraId="705B469C" w14:textId="77777777" w:rsidR="002627DE" w:rsidRDefault="002627DE" w:rsidP="002627DE">
            <w:r>
              <w:t>115 (10)</w:t>
            </w:r>
          </w:p>
        </w:tc>
      </w:tr>
      <w:tr w:rsidR="002627DE" w14:paraId="705B46A1" w14:textId="77777777" w:rsidTr="002627DE">
        <w:tc>
          <w:tcPr>
            <w:tcW w:w="5070" w:type="dxa"/>
          </w:tcPr>
          <w:p w14:paraId="705B469E" w14:textId="77777777" w:rsidR="002627DE" w:rsidRDefault="002627DE" w:rsidP="002627DE">
            <w:r>
              <w:t>Incremental Recovery (IR) (IU/mL per IU/kg)</w:t>
            </w:r>
          </w:p>
        </w:tc>
        <w:tc>
          <w:tcPr>
            <w:tcW w:w="2086" w:type="dxa"/>
          </w:tcPr>
          <w:p w14:paraId="705B469F" w14:textId="77777777" w:rsidR="002627DE" w:rsidRDefault="002627DE" w:rsidP="002627DE">
            <w:r>
              <w:t>0.018 (28)</w:t>
            </w:r>
          </w:p>
        </w:tc>
        <w:tc>
          <w:tcPr>
            <w:tcW w:w="2086" w:type="dxa"/>
          </w:tcPr>
          <w:p w14:paraId="705B46A0" w14:textId="77777777" w:rsidR="002627DE" w:rsidRDefault="002627DE" w:rsidP="002627DE">
            <w:r>
              <w:t>0.019 (20)</w:t>
            </w:r>
          </w:p>
        </w:tc>
      </w:tr>
      <w:tr w:rsidR="002627DE" w14:paraId="705B46A5" w14:textId="77777777" w:rsidTr="002627DE">
        <w:tc>
          <w:tcPr>
            <w:tcW w:w="5070" w:type="dxa"/>
          </w:tcPr>
          <w:p w14:paraId="705B46A2" w14:textId="77777777" w:rsidR="002627DE" w:rsidRDefault="002627DE" w:rsidP="002627DE">
            <w:r>
              <w:t>Area under the curve (AUC)</w:t>
            </w:r>
            <w:r w:rsidRPr="002627DE">
              <w:rPr>
                <w:vertAlign w:val="subscript"/>
              </w:rPr>
              <w:t>0-168h</w:t>
            </w:r>
            <w:r>
              <w:t xml:space="preserve"> (IU*hours/mL)</w:t>
            </w:r>
          </w:p>
        </w:tc>
        <w:tc>
          <w:tcPr>
            <w:tcW w:w="2086" w:type="dxa"/>
          </w:tcPr>
          <w:p w14:paraId="705B46A3" w14:textId="77777777" w:rsidR="002627DE" w:rsidRDefault="002627DE" w:rsidP="002627DE">
            <w:r>
              <w:t>91 (22)</w:t>
            </w:r>
          </w:p>
        </w:tc>
        <w:tc>
          <w:tcPr>
            <w:tcW w:w="2086" w:type="dxa"/>
          </w:tcPr>
          <w:p w14:paraId="705B46A4" w14:textId="77777777" w:rsidR="002627DE" w:rsidRDefault="002627DE" w:rsidP="002627DE">
            <w:r>
              <w:t>93 (15)</w:t>
            </w:r>
          </w:p>
        </w:tc>
      </w:tr>
      <w:tr w:rsidR="002627DE" w14:paraId="705B46A9" w14:textId="77777777" w:rsidTr="002627DE">
        <w:tc>
          <w:tcPr>
            <w:tcW w:w="5070" w:type="dxa"/>
          </w:tcPr>
          <w:p w14:paraId="705B46A6" w14:textId="77777777" w:rsidR="002627DE" w:rsidRDefault="002627DE" w:rsidP="002627DE">
            <w:r w:rsidRPr="002627DE">
              <w:t>Clearance (CL) (mL/hour/kg)</w:t>
            </w:r>
          </w:p>
        </w:tc>
        <w:tc>
          <w:tcPr>
            <w:tcW w:w="2086" w:type="dxa"/>
          </w:tcPr>
          <w:p w14:paraId="705B46A7" w14:textId="77777777" w:rsidR="002627DE" w:rsidRDefault="002627DE" w:rsidP="002627DE">
            <w:r>
              <w:t>0.4 (17)</w:t>
            </w:r>
          </w:p>
        </w:tc>
        <w:tc>
          <w:tcPr>
            <w:tcW w:w="2086" w:type="dxa"/>
          </w:tcPr>
          <w:p w14:paraId="705B46A8" w14:textId="77777777" w:rsidR="002627DE" w:rsidRDefault="002627DE" w:rsidP="002627DE">
            <w:r>
              <w:t>0.4 (11)</w:t>
            </w:r>
          </w:p>
        </w:tc>
      </w:tr>
      <w:tr w:rsidR="002627DE" w14:paraId="705B46AD" w14:textId="77777777" w:rsidTr="002627DE">
        <w:tc>
          <w:tcPr>
            <w:tcW w:w="5070" w:type="dxa"/>
          </w:tcPr>
          <w:p w14:paraId="705B46AA" w14:textId="77777777" w:rsidR="002627DE" w:rsidRDefault="002627DE" w:rsidP="002627DE">
            <w:r>
              <w:t>Mean residence time (MRT) (hours)</w:t>
            </w:r>
          </w:p>
        </w:tc>
        <w:tc>
          <w:tcPr>
            <w:tcW w:w="2086" w:type="dxa"/>
          </w:tcPr>
          <w:p w14:paraId="705B46AB" w14:textId="77777777" w:rsidR="002627DE" w:rsidRDefault="002627DE" w:rsidP="002627DE">
            <w:r>
              <w:t>144 (15)</w:t>
            </w:r>
          </w:p>
        </w:tc>
        <w:tc>
          <w:tcPr>
            <w:tcW w:w="2086" w:type="dxa"/>
          </w:tcPr>
          <w:p w14:paraId="705B46AC" w14:textId="77777777" w:rsidR="002627DE" w:rsidRDefault="002627DE" w:rsidP="002627DE">
            <w:r>
              <w:t>158 (10)</w:t>
            </w:r>
          </w:p>
        </w:tc>
      </w:tr>
      <w:tr w:rsidR="002627DE" w14:paraId="705B46B1" w14:textId="77777777" w:rsidTr="002627DE">
        <w:tc>
          <w:tcPr>
            <w:tcW w:w="5070" w:type="dxa"/>
          </w:tcPr>
          <w:p w14:paraId="705B46AE" w14:textId="77777777" w:rsidR="002627DE" w:rsidRDefault="002627DE" w:rsidP="002627DE">
            <w:r>
              <w:t>Volume of distribution (</w:t>
            </w:r>
            <w:proofErr w:type="spellStart"/>
            <w:r>
              <w:t>Vss</w:t>
            </w:r>
            <w:proofErr w:type="spellEnd"/>
            <w:r>
              <w:t>) (mL/kg)</w:t>
            </w:r>
          </w:p>
        </w:tc>
        <w:tc>
          <w:tcPr>
            <w:tcW w:w="2086" w:type="dxa"/>
          </w:tcPr>
          <w:p w14:paraId="705B46AF" w14:textId="77777777" w:rsidR="002627DE" w:rsidRDefault="002627DE" w:rsidP="002627DE">
            <w:r>
              <w:t>61 (31)</w:t>
            </w:r>
          </w:p>
        </w:tc>
        <w:tc>
          <w:tcPr>
            <w:tcW w:w="2086" w:type="dxa"/>
          </w:tcPr>
          <w:p w14:paraId="705B46B0" w14:textId="77777777" w:rsidR="002627DE" w:rsidRDefault="002627DE" w:rsidP="002627DE">
            <w:r>
              <w:t>66 (12)</w:t>
            </w:r>
          </w:p>
        </w:tc>
      </w:tr>
      <w:tr w:rsidR="002627DE" w14:paraId="705B46B5" w14:textId="77777777" w:rsidTr="002627DE">
        <w:tc>
          <w:tcPr>
            <w:tcW w:w="5070" w:type="dxa"/>
          </w:tcPr>
          <w:p w14:paraId="705B46B2" w14:textId="77777777" w:rsidR="002627DE" w:rsidRDefault="002627DE" w:rsidP="002627DE">
            <w:r>
              <w:t>Factor IX activity 168 h post dosing (IU/mL)</w:t>
            </w:r>
          </w:p>
        </w:tc>
        <w:tc>
          <w:tcPr>
            <w:tcW w:w="2086" w:type="dxa"/>
          </w:tcPr>
          <w:p w14:paraId="705B46B3" w14:textId="77777777" w:rsidR="002627DE" w:rsidRDefault="002627DE" w:rsidP="002627DE">
            <w:r>
              <w:t>0.29 (19)</w:t>
            </w:r>
          </w:p>
        </w:tc>
        <w:tc>
          <w:tcPr>
            <w:tcW w:w="2086" w:type="dxa"/>
          </w:tcPr>
          <w:p w14:paraId="705B46B4" w14:textId="77777777" w:rsidR="002627DE" w:rsidRDefault="002627DE" w:rsidP="002627DE">
            <w:r>
              <w:t>0.32 (17)</w:t>
            </w:r>
          </w:p>
        </w:tc>
      </w:tr>
    </w:tbl>
    <w:p w14:paraId="705B46B6" w14:textId="77777777" w:rsidR="002627DE" w:rsidRPr="0020079D" w:rsidRDefault="0020079D" w:rsidP="0020079D">
      <w:pPr>
        <w:rPr>
          <w:sz w:val="20"/>
          <w:szCs w:val="20"/>
        </w:rPr>
      </w:pPr>
      <w:r w:rsidRPr="0020079D">
        <w:rPr>
          <w:sz w:val="20"/>
          <w:szCs w:val="20"/>
        </w:rPr>
        <w:t>Clearance=body weight adjusted clearance; Incremental recovery = incremental recovery</w:t>
      </w:r>
      <w:r>
        <w:rPr>
          <w:sz w:val="20"/>
          <w:szCs w:val="20"/>
        </w:rPr>
        <w:t xml:space="preserve"> </w:t>
      </w:r>
      <w:r w:rsidRPr="0020079D">
        <w:rPr>
          <w:sz w:val="20"/>
          <w:szCs w:val="20"/>
        </w:rPr>
        <w:t>30 min post dosing, Volume of distribution= body weight adjusted volume of distribution at</w:t>
      </w:r>
      <w:r>
        <w:rPr>
          <w:sz w:val="20"/>
          <w:szCs w:val="20"/>
        </w:rPr>
        <w:t xml:space="preserve"> </w:t>
      </w:r>
      <w:r w:rsidRPr="0020079D">
        <w:rPr>
          <w:sz w:val="20"/>
          <w:szCs w:val="20"/>
        </w:rPr>
        <w:t>steady state; CV=coefficient of variation.</w:t>
      </w:r>
    </w:p>
    <w:p w14:paraId="705B46B7" w14:textId="77777777" w:rsidR="00C44B67" w:rsidRDefault="00C44B67" w:rsidP="00222422"/>
    <w:p w14:paraId="705B46B8" w14:textId="77777777" w:rsidR="0020079D" w:rsidRDefault="0020079D" w:rsidP="0020079D">
      <w:r>
        <w:t>All patients assessed in the steady-state PK session had factor IX activity levels above 0.24 IU/ml at 168 hours post dosing with a weekly dose of 40 IU/kg.</w:t>
      </w:r>
    </w:p>
    <w:p w14:paraId="705B46B9" w14:textId="77777777" w:rsidR="0020079D" w:rsidRDefault="0020079D" w:rsidP="0020079D"/>
    <w:p w14:paraId="705B46BA" w14:textId="1C1FD624" w:rsidR="0020079D" w:rsidRDefault="0020079D" w:rsidP="0020079D">
      <w:r>
        <w:t xml:space="preserve">Single-dose pharmacokinetic parameters of Refixia in children, adolescents and adults are listed by age in Table </w:t>
      </w:r>
      <w:r w:rsidR="00DF134F">
        <w:t xml:space="preserve">11 </w:t>
      </w:r>
      <w:r w:rsidR="00303A57">
        <w:t xml:space="preserve">(trials </w:t>
      </w:r>
      <w:r w:rsidR="008B6223">
        <w:t>NN7999-3774</w:t>
      </w:r>
      <w:r w:rsidR="00303A57">
        <w:t xml:space="preserve"> and NN7999-3747)</w:t>
      </w:r>
      <w:r>
        <w:t>.</w:t>
      </w:r>
    </w:p>
    <w:p w14:paraId="705B46BB" w14:textId="77777777" w:rsidR="0020079D" w:rsidRDefault="0020079D" w:rsidP="0020079D"/>
    <w:p w14:paraId="705B46BC" w14:textId="0C66E23F" w:rsidR="0020079D" w:rsidRDefault="0020079D" w:rsidP="0020079D">
      <w:r>
        <w:t xml:space="preserve">Table </w:t>
      </w:r>
      <w:r w:rsidR="00DF134F">
        <w:rPr>
          <w:lang w:val="en-GB"/>
        </w:rPr>
        <w:t>11</w:t>
      </w:r>
      <w:r>
        <w:t>: Single-dose pharmacokinetic parameters of Refixia (40 IU/kg) in paediatrics, adolescents and adults by age (geometric mean (CV))</w:t>
      </w:r>
    </w:p>
    <w:tbl>
      <w:tblPr>
        <w:tblStyle w:val="TableGrid"/>
        <w:tblW w:w="0" w:type="auto"/>
        <w:tblLook w:val="04A0" w:firstRow="1" w:lastRow="0" w:firstColumn="1" w:lastColumn="0" w:noHBand="0" w:noVBand="1"/>
      </w:tblPr>
      <w:tblGrid>
        <w:gridCol w:w="2606"/>
        <w:gridCol w:w="1602"/>
        <w:gridCol w:w="1603"/>
        <w:gridCol w:w="1602"/>
        <w:gridCol w:w="1603"/>
      </w:tblGrid>
      <w:tr w:rsidR="0020079D" w14:paraId="705B46C6" w14:textId="77777777" w:rsidTr="007E0045">
        <w:tc>
          <w:tcPr>
            <w:tcW w:w="2660" w:type="dxa"/>
          </w:tcPr>
          <w:p w14:paraId="705B46BD" w14:textId="77777777" w:rsidR="0020079D" w:rsidRPr="0020079D" w:rsidRDefault="0020079D" w:rsidP="0020079D">
            <w:pPr>
              <w:rPr>
                <w:b/>
              </w:rPr>
            </w:pPr>
            <w:r w:rsidRPr="0020079D">
              <w:rPr>
                <w:b/>
              </w:rPr>
              <w:t>PK parameter</w:t>
            </w:r>
          </w:p>
        </w:tc>
        <w:tc>
          <w:tcPr>
            <w:tcW w:w="1645" w:type="dxa"/>
          </w:tcPr>
          <w:p w14:paraId="705B46BE" w14:textId="77777777" w:rsidR="0020079D" w:rsidRPr="0020079D" w:rsidRDefault="0020079D" w:rsidP="0020079D">
            <w:pPr>
              <w:rPr>
                <w:b/>
              </w:rPr>
            </w:pPr>
            <w:r w:rsidRPr="0020079D">
              <w:rPr>
                <w:b/>
              </w:rPr>
              <w:t>0-6 years</w:t>
            </w:r>
          </w:p>
          <w:p w14:paraId="705B46BF" w14:textId="77777777" w:rsidR="0020079D" w:rsidRPr="0020079D" w:rsidRDefault="0020079D" w:rsidP="0020079D">
            <w:pPr>
              <w:rPr>
                <w:b/>
              </w:rPr>
            </w:pPr>
            <w:r w:rsidRPr="0020079D">
              <w:rPr>
                <w:b/>
              </w:rPr>
              <w:t>N=12</w:t>
            </w:r>
          </w:p>
        </w:tc>
        <w:tc>
          <w:tcPr>
            <w:tcW w:w="1646" w:type="dxa"/>
          </w:tcPr>
          <w:p w14:paraId="705B46C0" w14:textId="77777777" w:rsidR="0020079D" w:rsidRPr="0020079D" w:rsidRDefault="0020079D" w:rsidP="0020079D">
            <w:pPr>
              <w:rPr>
                <w:b/>
              </w:rPr>
            </w:pPr>
            <w:r w:rsidRPr="0020079D">
              <w:rPr>
                <w:b/>
              </w:rPr>
              <w:t>7-12 years</w:t>
            </w:r>
          </w:p>
          <w:p w14:paraId="705B46C1" w14:textId="77777777" w:rsidR="0020079D" w:rsidRPr="0020079D" w:rsidRDefault="0020079D" w:rsidP="0020079D">
            <w:pPr>
              <w:rPr>
                <w:b/>
              </w:rPr>
            </w:pPr>
            <w:r w:rsidRPr="0020079D">
              <w:rPr>
                <w:b/>
              </w:rPr>
              <w:t>N=13</w:t>
            </w:r>
          </w:p>
        </w:tc>
        <w:tc>
          <w:tcPr>
            <w:tcW w:w="1645" w:type="dxa"/>
          </w:tcPr>
          <w:p w14:paraId="705B46C2" w14:textId="77777777" w:rsidR="0020079D" w:rsidRPr="0020079D" w:rsidRDefault="0020079D" w:rsidP="0020079D">
            <w:pPr>
              <w:rPr>
                <w:b/>
              </w:rPr>
            </w:pPr>
            <w:r w:rsidRPr="0020079D">
              <w:rPr>
                <w:b/>
              </w:rPr>
              <w:t>13 to 17 years</w:t>
            </w:r>
          </w:p>
          <w:p w14:paraId="705B46C3" w14:textId="77777777" w:rsidR="0020079D" w:rsidRPr="0020079D" w:rsidRDefault="0020079D" w:rsidP="0020079D">
            <w:pPr>
              <w:rPr>
                <w:b/>
              </w:rPr>
            </w:pPr>
            <w:r w:rsidRPr="0020079D">
              <w:rPr>
                <w:b/>
              </w:rPr>
              <w:t>N=3</w:t>
            </w:r>
          </w:p>
        </w:tc>
        <w:tc>
          <w:tcPr>
            <w:tcW w:w="1646" w:type="dxa"/>
          </w:tcPr>
          <w:p w14:paraId="705B46C4" w14:textId="77777777" w:rsidR="0020079D" w:rsidRPr="0020079D" w:rsidRDefault="0020079D" w:rsidP="0020079D">
            <w:pPr>
              <w:rPr>
                <w:b/>
              </w:rPr>
            </w:pPr>
            <w:r w:rsidRPr="0020079D">
              <w:rPr>
                <w:b/>
              </w:rPr>
              <w:t>≥18</w:t>
            </w:r>
            <w:r w:rsidR="009F1ED2">
              <w:rPr>
                <w:b/>
              </w:rPr>
              <w:t xml:space="preserve"> years</w:t>
            </w:r>
          </w:p>
          <w:p w14:paraId="705B46C5" w14:textId="77777777" w:rsidR="0020079D" w:rsidRPr="0020079D" w:rsidRDefault="0020079D" w:rsidP="0020079D">
            <w:pPr>
              <w:rPr>
                <w:b/>
              </w:rPr>
            </w:pPr>
            <w:r w:rsidRPr="0020079D">
              <w:rPr>
                <w:b/>
              </w:rPr>
              <w:t>N=6</w:t>
            </w:r>
          </w:p>
        </w:tc>
      </w:tr>
      <w:tr w:rsidR="0020079D" w14:paraId="705B46CC" w14:textId="77777777" w:rsidTr="007E0045">
        <w:tc>
          <w:tcPr>
            <w:tcW w:w="2660" w:type="dxa"/>
          </w:tcPr>
          <w:p w14:paraId="705B46C7" w14:textId="77777777" w:rsidR="0020079D" w:rsidRDefault="0020079D" w:rsidP="007E0045">
            <w:r>
              <w:t>Half-life (t</w:t>
            </w:r>
            <w:r w:rsidRPr="0020079D">
              <w:rPr>
                <w:vertAlign w:val="subscript"/>
              </w:rPr>
              <w:t>1/2</w:t>
            </w:r>
            <w:r>
              <w:t>)</w:t>
            </w:r>
            <w:r w:rsidR="007E0045">
              <w:t xml:space="preserve"> </w:t>
            </w:r>
            <w:r>
              <w:t>(hours)</w:t>
            </w:r>
          </w:p>
        </w:tc>
        <w:tc>
          <w:tcPr>
            <w:tcW w:w="1645" w:type="dxa"/>
          </w:tcPr>
          <w:p w14:paraId="705B46C8" w14:textId="77777777" w:rsidR="0020079D" w:rsidRDefault="0020079D" w:rsidP="0020079D">
            <w:r>
              <w:t>70 (16)</w:t>
            </w:r>
          </w:p>
        </w:tc>
        <w:tc>
          <w:tcPr>
            <w:tcW w:w="1646" w:type="dxa"/>
          </w:tcPr>
          <w:p w14:paraId="705B46C9" w14:textId="77777777" w:rsidR="0020079D" w:rsidRDefault="0020079D" w:rsidP="0020079D">
            <w:r>
              <w:t>76 (26)</w:t>
            </w:r>
          </w:p>
        </w:tc>
        <w:tc>
          <w:tcPr>
            <w:tcW w:w="1645" w:type="dxa"/>
          </w:tcPr>
          <w:p w14:paraId="705B46CA" w14:textId="77777777" w:rsidR="0020079D" w:rsidRDefault="0020079D" w:rsidP="0020079D">
            <w:r>
              <w:t>89 (24)</w:t>
            </w:r>
          </w:p>
        </w:tc>
        <w:tc>
          <w:tcPr>
            <w:tcW w:w="1646" w:type="dxa"/>
          </w:tcPr>
          <w:p w14:paraId="705B46CB" w14:textId="77777777" w:rsidR="0020079D" w:rsidRDefault="0020079D" w:rsidP="0020079D">
            <w:r>
              <w:t>83 (23)</w:t>
            </w:r>
          </w:p>
        </w:tc>
      </w:tr>
      <w:tr w:rsidR="0020079D" w14:paraId="705B46D2" w14:textId="77777777" w:rsidTr="007E0045">
        <w:tc>
          <w:tcPr>
            <w:tcW w:w="2660" w:type="dxa"/>
          </w:tcPr>
          <w:p w14:paraId="705B46CD" w14:textId="77777777" w:rsidR="0020079D" w:rsidRDefault="0020079D" w:rsidP="007E0045">
            <w:r>
              <w:t>Incremental</w:t>
            </w:r>
            <w:r w:rsidR="007E0045">
              <w:t xml:space="preserve"> </w:t>
            </w:r>
            <w:r>
              <w:t>Recovery (IR)</w:t>
            </w:r>
            <w:r w:rsidR="007E0045">
              <w:t xml:space="preserve"> </w:t>
            </w:r>
            <w:r>
              <w:t>(IU/mL per</w:t>
            </w:r>
            <w:r w:rsidR="007E0045">
              <w:t xml:space="preserve"> </w:t>
            </w:r>
            <w:r>
              <w:t>IU/kg</w:t>
            </w:r>
            <w:r w:rsidR="009F1ED2">
              <w:t>)</w:t>
            </w:r>
          </w:p>
        </w:tc>
        <w:tc>
          <w:tcPr>
            <w:tcW w:w="1645" w:type="dxa"/>
          </w:tcPr>
          <w:p w14:paraId="705B46CE" w14:textId="77777777" w:rsidR="0020079D" w:rsidRDefault="0020079D" w:rsidP="0020079D">
            <w:r>
              <w:t>0.015 (7)</w:t>
            </w:r>
          </w:p>
        </w:tc>
        <w:tc>
          <w:tcPr>
            <w:tcW w:w="1646" w:type="dxa"/>
          </w:tcPr>
          <w:p w14:paraId="705B46CF" w14:textId="77777777" w:rsidR="0020079D" w:rsidRDefault="0020079D" w:rsidP="0020079D">
            <w:r>
              <w:t>0.016 (16)</w:t>
            </w:r>
          </w:p>
        </w:tc>
        <w:tc>
          <w:tcPr>
            <w:tcW w:w="1645" w:type="dxa"/>
          </w:tcPr>
          <w:p w14:paraId="705B46D0" w14:textId="77777777" w:rsidR="0020079D" w:rsidRDefault="0020079D" w:rsidP="0020079D">
            <w:r>
              <w:t>0.020 (15)</w:t>
            </w:r>
          </w:p>
        </w:tc>
        <w:tc>
          <w:tcPr>
            <w:tcW w:w="1646" w:type="dxa"/>
          </w:tcPr>
          <w:p w14:paraId="705B46D1" w14:textId="77777777" w:rsidR="0020079D" w:rsidRDefault="0020079D" w:rsidP="0020079D">
            <w:r>
              <w:t>0.023 (11)</w:t>
            </w:r>
          </w:p>
        </w:tc>
      </w:tr>
      <w:tr w:rsidR="0020079D" w14:paraId="705B46D8" w14:textId="77777777" w:rsidTr="007E0045">
        <w:tc>
          <w:tcPr>
            <w:tcW w:w="2660" w:type="dxa"/>
          </w:tcPr>
          <w:p w14:paraId="705B46D3" w14:textId="77777777" w:rsidR="0020079D" w:rsidRDefault="0020079D" w:rsidP="007E0045">
            <w:r>
              <w:t>Area under the</w:t>
            </w:r>
            <w:r w:rsidR="007E0045">
              <w:t xml:space="preserve"> </w:t>
            </w:r>
            <w:r>
              <w:t>curve (AUC)</w:t>
            </w:r>
            <w:r w:rsidRPr="0020079D">
              <w:rPr>
                <w:vertAlign w:val="subscript"/>
              </w:rPr>
              <w:t>inf</w:t>
            </w:r>
            <w:r w:rsidR="007E0045">
              <w:rPr>
                <w:vertAlign w:val="subscript"/>
              </w:rPr>
              <w:t xml:space="preserve"> </w:t>
            </w:r>
            <w:r>
              <w:t>(IU*hour/mL)</w:t>
            </w:r>
          </w:p>
        </w:tc>
        <w:tc>
          <w:tcPr>
            <w:tcW w:w="1645" w:type="dxa"/>
          </w:tcPr>
          <w:p w14:paraId="705B46D4" w14:textId="77777777" w:rsidR="0020079D" w:rsidRDefault="0020079D" w:rsidP="0020079D">
            <w:r>
              <w:t>46 (14)</w:t>
            </w:r>
          </w:p>
        </w:tc>
        <w:tc>
          <w:tcPr>
            <w:tcW w:w="1646" w:type="dxa"/>
          </w:tcPr>
          <w:p w14:paraId="705B46D5" w14:textId="77777777" w:rsidR="0020079D" w:rsidRDefault="0020079D" w:rsidP="0020079D">
            <w:r>
              <w:t>56 (19)</w:t>
            </w:r>
          </w:p>
        </w:tc>
        <w:tc>
          <w:tcPr>
            <w:tcW w:w="1645" w:type="dxa"/>
          </w:tcPr>
          <w:p w14:paraId="705B46D6" w14:textId="77777777" w:rsidR="0020079D" w:rsidRDefault="0020079D" w:rsidP="0020079D">
            <w:r>
              <w:t>80 (35)</w:t>
            </w:r>
          </w:p>
        </w:tc>
        <w:tc>
          <w:tcPr>
            <w:tcW w:w="1646" w:type="dxa"/>
          </w:tcPr>
          <w:p w14:paraId="705B46D7" w14:textId="77777777" w:rsidR="0020079D" w:rsidRDefault="0020079D" w:rsidP="0020079D">
            <w:r>
              <w:t>91 (16)</w:t>
            </w:r>
          </w:p>
        </w:tc>
      </w:tr>
      <w:tr w:rsidR="0020079D" w14:paraId="705B46DE" w14:textId="77777777" w:rsidTr="007E0045">
        <w:tc>
          <w:tcPr>
            <w:tcW w:w="2660" w:type="dxa"/>
          </w:tcPr>
          <w:p w14:paraId="705B46D9" w14:textId="77777777" w:rsidR="0020079D" w:rsidRDefault="0020079D" w:rsidP="007E0045">
            <w:r>
              <w:t>Clearance (CL)</w:t>
            </w:r>
            <w:r w:rsidR="007E0045">
              <w:t xml:space="preserve"> </w:t>
            </w:r>
            <w:r>
              <w:t>(mL/hour/kg)</w:t>
            </w:r>
          </w:p>
        </w:tc>
        <w:tc>
          <w:tcPr>
            <w:tcW w:w="1645" w:type="dxa"/>
          </w:tcPr>
          <w:p w14:paraId="705B46DA" w14:textId="77777777" w:rsidR="0020079D" w:rsidRDefault="0020079D" w:rsidP="0020079D">
            <w:r>
              <w:t>0.8 (13)</w:t>
            </w:r>
          </w:p>
        </w:tc>
        <w:tc>
          <w:tcPr>
            <w:tcW w:w="1646" w:type="dxa"/>
          </w:tcPr>
          <w:p w14:paraId="705B46DB" w14:textId="77777777" w:rsidR="0020079D" w:rsidRDefault="0020079D" w:rsidP="0020079D">
            <w:r>
              <w:t>0.6 (22)</w:t>
            </w:r>
          </w:p>
        </w:tc>
        <w:tc>
          <w:tcPr>
            <w:tcW w:w="1645" w:type="dxa"/>
          </w:tcPr>
          <w:p w14:paraId="705B46DC" w14:textId="77777777" w:rsidR="0020079D" w:rsidRDefault="0020079D" w:rsidP="0020079D">
            <w:r>
              <w:t>0.5 (30)</w:t>
            </w:r>
          </w:p>
        </w:tc>
        <w:tc>
          <w:tcPr>
            <w:tcW w:w="1646" w:type="dxa"/>
          </w:tcPr>
          <w:p w14:paraId="705B46DD" w14:textId="77777777" w:rsidR="0020079D" w:rsidRDefault="0020079D" w:rsidP="0020079D">
            <w:r>
              <w:t>0.4 (15)</w:t>
            </w:r>
          </w:p>
        </w:tc>
      </w:tr>
      <w:tr w:rsidR="0020079D" w14:paraId="705B46E4" w14:textId="77777777" w:rsidTr="007E0045">
        <w:tc>
          <w:tcPr>
            <w:tcW w:w="2660" w:type="dxa"/>
          </w:tcPr>
          <w:p w14:paraId="705B46DF" w14:textId="77777777" w:rsidR="0020079D" w:rsidRDefault="0020079D" w:rsidP="007E0045">
            <w:r>
              <w:t>Mean residence</w:t>
            </w:r>
            <w:r w:rsidR="007E0045">
              <w:t xml:space="preserve"> </w:t>
            </w:r>
            <w:r>
              <w:t>time (MRT)</w:t>
            </w:r>
            <w:r w:rsidR="007E0045">
              <w:t xml:space="preserve"> </w:t>
            </w:r>
            <w:r>
              <w:t>(hours)</w:t>
            </w:r>
          </w:p>
        </w:tc>
        <w:tc>
          <w:tcPr>
            <w:tcW w:w="1645" w:type="dxa"/>
          </w:tcPr>
          <w:p w14:paraId="705B46E0" w14:textId="77777777" w:rsidR="0020079D" w:rsidRDefault="0020079D" w:rsidP="0020079D">
            <w:r>
              <w:t>95 (15)</w:t>
            </w:r>
          </w:p>
        </w:tc>
        <w:tc>
          <w:tcPr>
            <w:tcW w:w="1646" w:type="dxa"/>
          </w:tcPr>
          <w:p w14:paraId="705B46E1" w14:textId="77777777" w:rsidR="0020079D" w:rsidRDefault="0020079D" w:rsidP="0020079D">
            <w:r>
              <w:t>105 (24)</w:t>
            </w:r>
          </w:p>
        </w:tc>
        <w:tc>
          <w:tcPr>
            <w:tcW w:w="1645" w:type="dxa"/>
          </w:tcPr>
          <w:p w14:paraId="705B46E2" w14:textId="77777777" w:rsidR="0020079D" w:rsidRDefault="0020079D" w:rsidP="0020079D">
            <w:r>
              <w:t>124 (24)</w:t>
            </w:r>
          </w:p>
        </w:tc>
        <w:tc>
          <w:tcPr>
            <w:tcW w:w="1646" w:type="dxa"/>
          </w:tcPr>
          <w:p w14:paraId="705B46E3" w14:textId="77777777" w:rsidR="0020079D" w:rsidRDefault="0020079D" w:rsidP="0020079D">
            <w:r>
              <w:t>116 (22)</w:t>
            </w:r>
          </w:p>
        </w:tc>
      </w:tr>
      <w:tr w:rsidR="0020079D" w14:paraId="705B46EA" w14:textId="77777777" w:rsidTr="007E0045">
        <w:tc>
          <w:tcPr>
            <w:tcW w:w="2660" w:type="dxa"/>
          </w:tcPr>
          <w:p w14:paraId="705B46E5" w14:textId="77777777" w:rsidR="0020079D" w:rsidRDefault="0020079D" w:rsidP="007E0045">
            <w:r>
              <w:t>Volume of</w:t>
            </w:r>
            <w:r w:rsidR="007E0045">
              <w:t xml:space="preserve"> </w:t>
            </w:r>
            <w:r>
              <w:t>distribution (</w:t>
            </w:r>
            <w:proofErr w:type="spellStart"/>
            <w:r>
              <w:t>Vss</w:t>
            </w:r>
            <w:proofErr w:type="spellEnd"/>
            <w:r>
              <w:t>)</w:t>
            </w:r>
            <w:r w:rsidR="007E0045">
              <w:t xml:space="preserve"> </w:t>
            </w:r>
            <w:r>
              <w:t>(mL/kg)</w:t>
            </w:r>
          </w:p>
        </w:tc>
        <w:tc>
          <w:tcPr>
            <w:tcW w:w="1645" w:type="dxa"/>
          </w:tcPr>
          <w:p w14:paraId="705B46E6" w14:textId="77777777" w:rsidR="0020079D" w:rsidRDefault="0020079D" w:rsidP="0020079D">
            <w:r>
              <w:t>72.3 (15)</w:t>
            </w:r>
          </w:p>
        </w:tc>
        <w:tc>
          <w:tcPr>
            <w:tcW w:w="1646" w:type="dxa"/>
          </w:tcPr>
          <w:p w14:paraId="705B46E7" w14:textId="77777777" w:rsidR="0020079D" w:rsidRDefault="0020079D" w:rsidP="0020079D">
            <w:r>
              <w:t>68.3 (22)</w:t>
            </w:r>
          </w:p>
        </w:tc>
        <w:tc>
          <w:tcPr>
            <w:tcW w:w="1645" w:type="dxa"/>
          </w:tcPr>
          <w:p w14:paraId="705B46E8" w14:textId="77777777" w:rsidR="0020079D" w:rsidRDefault="0020079D" w:rsidP="0020079D">
            <w:r>
              <w:t>58.6 (8)</w:t>
            </w:r>
          </w:p>
        </w:tc>
        <w:tc>
          <w:tcPr>
            <w:tcW w:w="1646" w:type="dxa"/>
          </w:tcPr>
          <w:p w14:paraId="705B46E9" w14:textId="77777777" w:rsidR="0020079D" w:rsidRDefault="0020079D" w:rsidP="0020079D">
            <w:r>
              <w:t>47.0 (16)</w:t>
            </w:r>
          </w:p>
        </w:tc>
      </w:tr>
      <w:tr w:rsidR="0020079D" w14:paraId="705B46F0" w14:textId="77777777" w:rsidTr="007E0045">
        <w:tc>
          <w:tcPr>
            <w:tcW w:w="2660" w:type="dxa"/>
          </w:tcPr>
          <w:p w14:paraId="705B46EB" w14:textId="77777777" w:rsidR="0020079D" w:rsidRDefault="0020079D" w:rsidP="007E0045">
            <w:r>
              <w:t>Factor IX activity</w:t>
            </w:r>
            <w:r w:rsidR="007E0045">
              <w:t xml:space="preserve"> </w:t>
            </w:r>
            <w:r>
              <w:t>168 h post dosing</w:t>
            </w:r>
            <w:r w:rsidR="007E0045">
              <w:t xml:space="preserve"> </w:t>
            </w:r>
            <w:r>
              <w:t>(IU/mL)</w:t>
            </w:r>
          </w:p>
        </w:tc>
        <w:tc>
          <w:tcPr>
            <w:tcW w:w="1645" w:type="dxa"/>
          </w:tcPr>
          <w:p w14:paraId="705B46EC" w14:textId="77777777" w:rsidR="0020079D" w:rsidRDefault="0020079D" w:rsidP="0020079D">
            <w:r>
              <w:t>0.08 (16)</w:t>
            </w:r>
          </w:p>
        </w:tc>
        <w:tc>
          <w:tcPr>
            <w:tcW w:w="1646" w:type="dxa"/>
          </w:tcPr>
          <w:p w14:paraId="705B46ED" w14:textId="77777777" w:rsidR="0020079D" w:rsidRDefault="0020079D" w:rsidP="0020079D">
            <w:r>
              <w:t>0.11 (19)</w:t>
            </w:r>
          </w:p>
        </w:tc>
        <w:tc>
          <w:tcPr>
            <w:tcW w:w="1645" w:type="dxa"/>
          </w:tcPr>
          <w:p w14:paraId="705B46EE" w14:textId="77777777" w:rsidR="0020079D" w:rsidRDefault="0020079D" w:rsidP="0020079D">
            <w:r>
              <w:t>0.15 (60)</w:t>
            </w:r>
          </w:p>
        </w:tc>
        <w:tc>
          <w:tcPr>
            <w:tcW w:w="1646" w:type="dxa"/>
          </w:tcPr>
          <w:p w14:paraId="705B46EF" w14:textId="77777777" w:rsidR="0020079D" w:rsidRDefault="0020079D" w:rsidP="0020079D">
            <w:r>
              <w:t>0.17 (31)</w:t>
            </w:r>
          </w:p>
        </w:tc>
      </w:tr>
    </w:tbl>
    <w:p w14:paraId="705B46F1" w14:textId="77777777" w:rsidR="0020079D" w:rsidRDefault="007E0045" w:rsidP="007E0045">
      <w:pPr>
        <w:rPr>
          <w:sz w:val="20"/>
          <w:szCs w:val="20"/>
        </w:rPr>
      </w:pPr>
      <w:r w:rsidRPr="007E0045">
        <w:rPr>
          <w:sz w:val="20"/>
          <w:szCs w:val="20"/>
        </w:rPr>
        <w:t>Clearance=body weight adjusted clearance; Incremental recovery = incremental recovery</w:t>
      </w:r>
      <w:r>
        <w:rPr>
          <w:sz w:val="20"/>
          <w:szCs w:val="20"/>
        </w:rPr>
        <w:t xml:space="preserve"> </w:t>
      </w:r>
      <w:r w:rsidRPr="007E0045">
        <w:rPr>
          <w:sz w:val="20"/>
          <w:szCs w:val="20"/>
        </w:rPr>
        <w:t>30 min post dosing, Volume of distribution = body weight adjusted volume of distribution</w:t>
      </w:r>
      <w:r>
        <w:rPr>
          <w:sz w:val="20"/>
          <w:szCs w:val="20"/>
        </w:rPr>
        <w:t xml:space="preserve"> </w:t>
      </w:r>
      <w:r w:rsidRPr="007E0045">
        <w:rPr>
          <w:sz w:val="20"/>
          <w:szCs w:val="20"/>
        </w:rPr>
        <w:t>at steady state; CV=coefficient of variation.</w:t>
      </w:r>
    </w:p>
    <w:p w14:paraId="705B46F2" w14:textId="77777777" w:rsidR="007E0045" w:rsidRDefault="007E0045" w:rsidP="007E0045"/>
    <w:p w14:paraId="705B46F3" w14:textId="77777777" w:rsidR="007E0045" w:rsidRDefault="007E0045" w:rsidP="007E0045">
      <w:r>
        <w:lastRenderedPageBreak/>
        <w:t>As expected, body weight adjusted clearance in paediatric and adolescent patients was higher compared to adults. However, no dose adjustment was required in paediatric and adolescent patients.</w:t>
      </w:r>
    </w:p>
    <w:p w14:paraId="705B46F4" w14:textId="77777777" w:rsidR="007E0045" w:rsidRDefault="007E0045" w:rsidP="007E0045"/>
    <w:p w14:paraId="705B46F5" w14:textId="0BD45F50" w:rsidR="007E0045" w:rsidRDefault="007E0045" w:rsidP="007E0045">
      <w:r>
        <w:t>The estimated mean steady-state trough levels during trials</w:t>
      </w:r>
      <w:r w:rsidR="008B6223">
        <w:t xml:space="preserve"> (NN7999-3774 and NN7999-3747)</w:t>
      </w:r>
      <w:r>
        <w:t xml:space="preserve"> with weekly dosing of 40 IU/kg can be found in Table </w:t>
      </w:r>
      <w:r w:rsidR="00DF134F">
        <w:t>12</w:t>
      </w:r>
      <w:r>
        <w:t>.</w:t>
      </w:r>
    </w:p>
    <w:p w14:paraId="705B46F6" w14:textId="77777777" w:rsidR="007E0045" w:rsidRDefault="007E0045" w:rsidP="007E0045"/>
    <w:p w14:paraId="705B46F7" w14:textId="710192B8" w:rsidR="007E0045" w:rsidRDefault="007E0045" w:rsidP="007E0045">
      <w:r>
        <w:t xml:space="preserve">Table </w:t>
      </w:r>
      <w:r w:rsidR="00DF134F">
        <w:rPr>
          <w:lang w:val="en-GB"/>
        </w:rPr>
        <w:t>12</w:t>
      </w:r>
      <w:r>
        <w:t xml:space="preserve">: Factor IX trough levels* of </w:t>
      </w:r>
      <w:r w:rsidR="006D2393">
        <w:t>Refixia</w:t>
      </w:r>
      <w:r>
        <w:t xml:space="preserve"> (40 IU/kg) by age at steady–state</w:t>
      </w:r>
    </w:p>
    <w:tbl>
      <w:tblPr>
        <w:tblStyle w:val="TableGrid"/>
        <w:tblW w:w="0" w:type="auto"/>
        <w:tblLook w:val="04A0" w:firstRow="1" w:lastRow="0" w:firstColumn="1" w:lastColumn="0" w:noHBand="0" w:noVBand="1"/>
      </w:tblPr>
      <w:tblGrid>
        <w:gridCol w:w="2546"/>
        <w:gridCol w:w="1617"/>
        <w:gridCol w:w="1618"/>
        <w:gridCol w:w="1617"/>
        <w:gridCol w:w="1618"/>
      </w:tblGrid>
      <w:tr w:rsidR="00AC0402" w:rsidRPr="0020079D" w14:paraId="705B4701" w14:textId="77777777" w:rsidTr="0050667A">
        <w:tc>
          <w:tcPr>
            <w:tcW w:w="2660" w:type="dxa"/>
          </w:tcPr>
          <w:p w14:paraId="705B46F8" w14:textId="77777777" w:rsidR="00AC0402" w:rsidRPr="0020079D" w:rsidRDefault="00AC0402" w:rsidP="0050667A">
            <w:pPr>
              <w:rPr>
                <w:b/>
              </w:rPr>
            </w:pPr>
          </w:p>
        </w:tc>
        <w:tc>
          <w:tcPr>
            <w:tcW w:w="1645" w:type="dxa"/>
          </w:tcPr>
          <w:p w14:paraId="705B46F9" w14:textId="77777777" w:rsidR="00AC0402" w:rsidRPr="0020079D" w:rsidRDefault="00AC0402" w:rsidP="0050667A">
            <w:pPr>
              <w:rPr>
                <w:b/>
              </w:rPr>
            </w:pPr>
            <w:r w:rsidRPr="0020079D">
              <w:rPr>
                <w:b/>
              </w:rPr>
              <w:t>0-6 years</w:t>
            </w:r>
          </w:p>
          <w:p w14:paraId="705B46FA" w14:textId="77777777" w:rsidR="00AC0402" w:rsidRPr="0020079D" w:rsidRDefault="00AC0402" w:rsidP="0050667A">
            <w:pPr>
              <w:rPr>
                <w:b/>
              </w:rPr>
            </w:pPr>
            <w:r w:rsidRPr="0020079D">
              <w:rPr>
                <w:b/>
              </w:rPr>
              <w:t>N=12</w:t>
            </w:r>
          </w:p>
        </w:tc>
        <w:tc>
          <w:tcPr>
            <w:tcW w:w="1646" w:type="dxa"/>
          </w:tcPr>
          <w:p w14:paraId="705B46FB" w14:textId="77777777" w:rsidR="00AC0402" w:rsidRPr="0020079D" w:rsidRDefault="00AC0402" w:rsidP="0050667A">
            <w:pPr>
              <w:rPr>
                <w:b/>
              </w:rPr>
            </w:pPr>
            <w:r w:rsidRPr="0020079D">
              <w:rPr>
                <w:b/>
              </w:rPr>
              <w:t>7-12 years</w:t>
            </w:r>
          </w:p>
          <w:p w14:paraId="705B46FC" w14:textId="77777777" w:rsidR="00AC0402" w:rsidRPr="0020079D" w:rsidRDefault="00AC0402" w:rsidP="0050667A">
            <w:pPr>
              <w:rPr>
                <w:b/>
              </w:rPr>
            </w:pPr>
            <w:r w:rsidRPr="0020079D">
              <w:rPr>
                <w:b/>
              </w:rPr>
              <w:t>N=13</w:t>
            </w:r>
          </w:p>
        </w:tc>
        <w:tc>
          <w:tcPr>
            <w:tcW w:w="1645" w:type="dxa"/>
          </w:tcPr>
          <w:p w14:paraId="705B46FD" w14:textId="77777777" w:rsidR="00AC0402" w:rsidRPr="0020079D" w:rsidRDefault="00AC0402" w:rsidP="0050667A">
            <w:pPr>
              <w:rPr>
                <w:b/>
              </w:rPr>
            </w:pPr>
            <w:r w:rsidRPr="0020079D">
              <w:rPr>
                <w:b/>
              </w:rPr>
              <w:t>13 to 17 years</w:t>
            </w:r>
          </w:p>
          <w:p w14:paraId="705B46FE" w14:textId="77777777" w:rsidR="00AC0402" w:rsidRPr="0020079D" w:rsidRDefault="00AC0402" w:rsidP="0050667A">
            <w:pPr>
              <w:rPr>
                <w:b/>
              </w:rPr>
            </w:pPr>
            <w:r>
              <w:rPr>
                <w:b/>
              </w:rPr>
              <w:t>N=9</w:t>
            </w:r>
          </w:p>
        </w:tc>
        <w:tc>
          <w:tcPr>
            <w:tcW w:w="1646" w:type="dxa"/>
          </w:tcPr>
          <w:p w14:paraId="705B46FF" w14:textId="77777777" w:rsidR="00AC0402" w:rsidRPr="0020079D" w:rsidRDefault="00AC0402" w:rsidP="0050667A">
            <w:pPr>
              <w:rPr>
                <w:b/>
              </w:rPr>
            </w:pPr>
            <w:r w:rsidRPr="0020079D">
              <w:rPr>
                <w:b/>
              </w:rPr>
              <w:t>18</w:t>
            </w:r>
            <w:r>
              <w:rPr>
                <w:b/>
              </w:rPr>
              <w:t xml:space="preserve"> to 65 years</w:t>
            </w:r>
          </w:p>
          <w:p w14:paraId="705B4700" w14:textId="77777777" w:rsidR="00AC0402" w:rsidRPr="0020079D" w:rsidRDefault="00AC0402" w:rsidP="0050667A">
            <w:pPr>
              <w:rPr>
                <w:b/>
              </w:rPr>
            </w:pPr>
            <w:r>
              <w:rPr>
                <w:b/>
              </w:rPr>
              <w:t>N=20</w:t>
            </w:r>
          </w:p>
        </w:tc>
      </w:tr>
      <w:tr w:rsidR="00AC0402" w14:paraId="705B470C" w14:textId="77777777" w:rsidTr="0050667A">
        <w:tc>
          <w:tcPr>
            <w:tcW w:w="2660" w:type="dxa"/>
          </w:tcPr>
          <w:p w14:paraId="705B4702" w14:textId="77777777" w:rsidR="00AC0402" w:rsidRDefault="00AC0402" w:rsidP="00AC0402">
            <w:r>
              <w:t>Estimated mean factor IX trough levels IU/ml</w:t>
            </w:r>
          </w:p>
          <w:p w14:paraId="705B4703" w14:textId="77777777" w:rsidR="00AC0402" w:rsidRDefault="00AC0402" w:rsidP="00AC0402">
            <w:r>
              <w:t>(95% CI)</w:t>
            </w:r>
          </w:p>
        </w:tc>
        <w:tc>
          <w:tcPr>
            <w:tcW w:w="1645" w:type="dxa"/>
          </w:tcPr>
          <w:p w14:paraId="705B4704" w14:textId="77777777" w:rsidR="00AC0402" w:rsidRDefault="00AC0402" w:rsidP="00AC0402">
            <w:r>
              <w:t>0.15</w:t>
            </w:r>
          </w:p>
          <w:p w14:paraId="705B4705" w14:textId="77777777" w:rsidR="00AC0402" w:rsidRDefault="00AC0402" w:rsidP="00AC0402">
            <w:r>
              <w:t>(0.13;0.18)</w:t>
            </w:r>
          </w:p>
        </w:tc>
        <w:tc>
          <w:tcPr>
            <w:tcW w:w="1646" w:type="dxa"/>
          </w:tcPr>
          <w:p w14:paraId="705B4706" w14:textId="77777777" w:rsidR="00AC0402" w:rsidRDefault="00AC0402" w:rsidP="00AC0402">
            <w:r>
              <w:t>0.19</w:t>
            </w:r>
          </w:p>
          <w:p w14:paraId="705B4707" w14:textId="77777777" w:rsidR="00AC0402" w:rsidRDefault="00AC0402" w:rsidP="00AC0402">
            <w:r>
              <w:t>(0.16;0.22)</w:t>
            </w:r>
          </w:p>
        </w:tc>
        <w:tc>
          <w:tcPr>
            <w:tcW w:w="1645" w:type="dxa"/>
          </w:tcPr>
          <w:p w14:paraId="705B4708" w14:textId="77777777" w:rsidR="00AC0402" w:rsidRDefault="00AC0402" w:rsidP="00AC0402">
            <w:r>
              <w:t>0.24</w:t>
            </w:r>
          </w:p>
          <w:p w14:paraId="705B4709" w14:textId="77777777" w:rsidR="00AC0402" w:rsidRDefault="00AC0402" w:rsidP="00AC0402">
            <w:r>
              <w:t>(0.20;0.28)</w:t>
            </w:r>
          </w:p>
        </w:tc>
        <w:tc>
          <w:tcPr>
            <w:tcW w:w="1646" w:type="dxa"/>
          </w:tcPr>
          <w:p w14:paraId="705B470A" w14:textId="77777777" w:rsidR="00AC0402" w:rsidRDefault="00AC0402" w:rsidP="00AC0402">
            <w:r>
              <w:t>0.29</w:t>
            </w:r>
          </w:p>
          <w:p w14:paraId="705B470B" w14:textId="77777777" w:rsidR="00AC0402" w:rsidRDefault="00AC0402" w:rsidP="00AC0402">
            <w:r>
              <w:t>(0.26;0.33)</w:t>
            </w:r>
          </w:p>
        </w:tc>
      </w:tr>
    </w:tbl>
    <w:p w14:paraId="705B470D" w14:textId="77777777" w:rsidR="007E0045" w:rsidRPr="00AC0402" w:rsidRDefault="00AC0402" w:rsidP="00AC0402">
      <w:pPr>
        <w:rPr>
          <w:sz w:val="20"/>
          <w:szCs w:val="20"/>
        </w:rPr>
      </w:pPr>
      <w:r w:rsidRPr="00AC0402">
        <w:rPr>
          <w:sz w:val="20"/>
          <w:szCs w:val="20"/>
        </w:rPr>
        <w:t>* Factor IX trough levels=factor IX activity measured prior to next weekly dose (5 to 10 days post dosing) at all visits.</w:t>
      </w:r>
    </w:p>
    <w:p w14:paraId="705B470E" w14:textId="77777777" w:rsidR="00AC0402" w:rsidRDefault="00AC0402" w:rsidP="00AC0402"/>
    <w:p w14:paraId="705B470F" w14:textId="6F85D3FA" w:rsidR="00AC0402" w:rsidRDefault="00AC0402" w:rsidP="00AC0402">
      <w:r>
        <w:t>Steady-state factor IX activity profiles were simulated using a one-compartment distribution model with first-order elimination with PK parameters of clearance (CL) and volume of distribution (</w:t>
      </w:r>
      <w:proofErr w:type="spellStart"/>
      <w:r>
        <w:t>Vss</w:t>
      </w:r>
      <w:proofErr w:type="spellEnd"/>
      <w:r>
        <w:t>) at steady</w:t>
      </w:r>
      <w:r w:rsidR="00716F38">
        <w:t xml:space="preserve"> </w:t>
      </w:r>
      <w:r>
        <w:t>state. Haemophilia B patients (older than 13 years) treated once weekly with 40 IU/kg Refixia are predicted to have a factor IX activity higher than 0.40 IU/ml for 130 hours out of 168 hours equal to approximately 80% of the week.</w:t>
      </w:r>
    </w:p>
    <w:p w14:paraId="705B4710" w14:textId="77777777" w:rsidR="00AC0402" w:rsidRDefault="00AC0402" w:rsidP="00AC0402"/>
    <w:p w14:paraId="705B4711" w14:textId="7C2220F1" w:rsidR="00AC0402" w:rsidRDefault="00AC0402" w:rsidP="00AC0402">
      <w:r>
        <w:t>Pharmacokinetics were investigated in 16 adult and adolescent patients of which 6 were normal weight (BMI 18.5-24.9 kg/m2) and 10 were overweight (BMI 25-29.9 kg/m2). There were no apparent differences in the pharmacokinetic profiles between normal weight and overweight patients. The pharmacokinetic parameters were not affected by BMI.</w:t>
      </w:r>
    </w:p>
    <w:p w14:paraId="705B4712" w14:textId="77777777" w:rsidR="00A51844" w:rsidRDefault="00A51844" w:rsidP="00FC0E58"/>
    <w:p w14:paraId="705B4713" w14:textId="745B8E10" w:rsidR="00FC0E58" w:rsidRPr="007E0045" w:rsidRDefault="00716F38" w:rsidP="00BE4409">
      <w:r w:rsidRPr="00716F38">
        <w:t xml:space="preserve">Due to the interference of polyethylene glycol (PEG) in the one-stage clotting assay with various aPTT reagents, it is recommended to use a chromogenic assay (e.g. </w:t>
      </w:r>
      <w:proofErr w:type="spellStart"/>
      <w:r w:rsidR="00BE4409" w:rsidRPr="00BE4409">
        <w:t>Rox</w:t>
      </w:r>
      <w:proofErr w:type="spellEnd"/>
      <w:r w:rsidR="00BE4409" w:rsidRPr="00BE4409">
        <w:t xml:space="preserve"> Factor IX or</w:t>
      </w:r>
      <w:r w:rsidR="00BE4409">
        <w:t xml:space="preserve"> </w:t>
      </w:r>
      <w:r w:rsidRPr="00716F38">
        <w:t>Biophen) when monitoring is needed. If a chromogenic assay is not available, it is recommended to use a one-stage clotting assay with an aPTT reagent (e.g. Cephascreen) qualified for use with Refixia. For modified long-acting factor products it is known that the one-stage clotting assay results are highly dependent on the aPTT reagent and reference standard used. For Refixia some reagents will cause underestimation (30-50%) , while most silica containing reagents will cause severe overestimation of the factor IX activity (more than 400%). Therefore, silica based reagents should be avoided. Use of a reference laboratory is recommended when a chromogenic assay or a qualified one-stage clotting assay is not available locally</w:t>
      </w:r>
      <w:r w:rsidR="00FC0E58">
        <w:t>.</w:t>
      </w:r>
    </w:p>
    <w:p w14:paraId="705B4714" w14:textId="5EDDA04D" w:rsidR="00C44B67" w:rsidRDefault="00F72421" w:rsidP="00222422">
      <w:pPr>
        <w:pStyle w:val="Heading3"/>
      </w:pPr>
      <w:r>
        <w:t>5.3</w:t>
      </w:r>
      <w:r>
        <w:tab/>
        <w:t>Preclinical Safety Data</w:t>
      </w:r>
    </w:p>
    <w:p w14:paraId="775B8708" w14:textId="248A358F" w:rsidR="004332BE" w:rsidRPr="004332BE" w:rsidRDefault="004332BE" w:rsidP="004332BE">
      <w:r>
        <w:t xml:space="preserve">Refixia </w:t>
      </w:r>
      <w:r w:rsidRPr="004332BE">
        <w:t xml:space="preserve">was </w:t>
      </w:r>
      <w:r w:rsidR="00375E2D" w:rsidRPr="004332BE">
        <w:t>intravenously</w:t>
      </w:r>
      <w:r w:rsidRPr="004332BE">
        <w:t xml:space="preserve"> administered in repeat-dose toxicity studies in immune-deficient rats (40-1200 IU/kg/week for 26 weeks) and immune-competent monkeys (350-3750 IU/kg/week for four weeks). </w:t>
      </w:r>
      <w:r w:rsidR="004E4664">
        <w:t>P</w:t>
      </w:r>
      <w:r w:rsidRPr="004332BE">
        <w:t xml:space="preserve">olyethylene-glycol (PEG) was detected by immune-histochemical staining in epithelial cells of the choroid plexus in the majority of animals. </w:t>
      </w:r>
      <w:r w:rsidR="004E4664">
        <w:t xml:space="preserve">PEG was not detected in brain tissue. </w:t>
      </w:r>
      <w:r w:rsidRPr="004332BE">
        <w:t>This finding was not associated with morphological changes or abnormal clinical signs in these</w:t>
      </w:r>
      <w:r w:rsidR="00587678">
        <w:t xml:space="preserve"> </w:t>
      </w:r>
      <w:r w:rsidR="004E4664">
        <w:t>studies</w:t>
      </w:r>
      <w:r w:rsidRPr="004332BE">
        <w:t>.</w:t>
      </w:r>
    </w:p>
    <w:p w14:paraId="0A35F717" w14:textId="77777777" w:rsidR="003D6ABC" w:rsidRDefault="003D6ABC" w:rsidP="003003D2">
      <w:pPr>
        <w:pStyle w:val="Heading4"/>
        <w:spacing w:before="0"/>
      </w:pPr>
    </w:p>
    <w:p w14:paraId="705B4716" w14:textId="1619F0C2" w:rsidR="00FC0E58" w:rsidRDefault="00F72421" w:rsidP="003003D2">
      <w:pPr>
        <w:pStyle w:val="Heading4"/>
        <w:spacing w:before="0"/>
      </w:pPr>
      <w:r>
        <w:t>Genotoxicity</w:t>
      </w:r>
      <w:r w:rsidR="00FC0E58">
        <w:t xml:space="preserve"> and </w:t>
      </w:r>
      <w:r>
        <w:t>Carcinogenicity</w:t>
      </w:r>
    </w:p>
    <w:p w14:paraId="705B4718" w14:textId="1FB3DD32" w:rsidR="00F72421" w:rsidRDefault="00FC0E58" w:rsidP="00FC0E58">
      <w:r>
        <w:t>Long-term studies in animals to evaluate the carcinogenic potential of Refixia, or studies to determine the effects of Refixia on genotoxicity have not been performed</w:t>
      </w:r>
      <w:r w:rsidRPr="00C443B5">
        <w:t>.</w:t>
      </w:r>
    </w:p>
    <w:p w14:paraId="705B4719" w14:textId="77777777" w:rsidR="00F72421" w:rsidRDefault="00F72421" w:rsidP="00222422">
      <w:pPr>
        <w:pStyle w:val="Heading2"/>
      </w:pPr>
      <w:r>
        <w:t>6.</w:t>
      </w:r>
      <w:r>
        <w:tab/>
        <w:t>PHARMACEUTICAL PARTICULARS</w:t>
      </w:r>
    </w:p>
    <w:p w14:paraId="705B471A" w14:textId="77777777" w:rsidR="00F72421" w:rsidRDefault="00F72421" w:rsidP="00222422">
      <w:pPr>
        <w:pStyle w:val="Heading3"/>
      </w:pPr>
      <w:r>
        <w:t>6.1</w:t>
      </w:r>
      <w:r>
        <w:tab/>
        <w:t>List of Excipients</w:t>
      </w:r>
    </w:p>
    <w:p w14:paraId="705B471B" w14:textId="4E6E6D47" w:rsidR="00F72421" w:rsidRDefault="00FF622D" w:rsidP="00FF622D">
      <w:r>
        <w:t>Powder: Sodium chloride, Histidine, Sucrose, Polysorbate 80, Mannitol, Sodium hydroxide (for pH adjustment), Hydrochloric acid (for pH adjustment).</w:t>
      </w:r>
    </w:p>
    <w:p w14:paraId="705B471C" w14:textId="77777777" w:rsidR="00FF622D" w:rsidRDefault="00FF622D" w:rsidP="00FF622D"/>
    <w:p w14:paraId="705B471D" w14:textId="7D631548" w:rsidR="00FF622D" w:rsidRDefault="00FF622D" w:rsidP="00FF622D">
      <w:r>
        <w:t>Solvent: Histidine, Water for injection, Sodium hydroxide (for pH adjustment), Hydrochloric acid (for pH adjustment).</w:t>
      </w:r>
    </w:p>
    <w:p w14:paraId="705B471E" w14:textId="77777777" w:rsidR="00F72421" w:rsidRDefault="00F72421" w:rsidP="00222422">
      <w:pPr>
        <w:pStyle w:val="Heading3"/>
      </w:pPr>
      <w:r>
        <w:t>6.2</w:t>
      </w:r>
      <w:r>
        <w:tab/>
        <w:t>Incompatibilities</w:t>
      </w:r>
    </w:p>
    <w:p w14:paraId="705B471F" w14:textId="77777777" w:rsidR="00F72421" w:rsidRDefault="00FF622D" w:rsidP="00222422">
      <w:r w:rsidRPr="00FF622D">
        <w:t>This medicinal product should not be mixed with other medicinal products.</w:t>
      </w:r>
    </w:p>
    <w:p w14:paraId="705B4720" w14:textId="77777777" w:rsidR="00F72421" w:rsidRDefault="00F72421" w:rsidP="00222422">
      <w:pPr>
        <w:pStyle w:val="Heading3"/>
      </w:pPr>
      <w:r>
        <w:t>6.3</w:t>
      </w:r>
      <w:r>
        <w:tab/>
        <w:t>Shelf Life</w:t>
      </w:r>
    </w:p>
    <w:p w14:paraId="705B4721" w14:textId="77777777" w:rsidR="00FF622D" w:rsidRPr="00FF622D" w:rsidRDefault="00FF622D" w:rsidP="003003D2">
      <w:pPr>
        <w:pStyle w:val="Heading4"/>
        <w:spacing w:before="0"/>
      </w:pPr>
      <w:r>
        <w:t>Unopened</w:t>
      </w:r>
    </w:p>
    <w:p w14:paraId="705B4722" w14:textId="5D3458DA" w:rsidR="00FF622D" w:rsidRDefault="00FF622D" w:rsidP="00FF622D">
      <w:r w:rsidRPr="00FF622D">
        <w:t>24 months at 2</w:t>
      </w:r>
      <w:r>
        <w:t>º</w:t>
      </w:r>
      <w:r w:rsidRPr="00FF622D">
        <w:t>C - 8</w:t>
      </w:r>
      <w:r>
        <w:t>º</w:t>
      </w:r>
      <w:r w:rsidRPr="00FF622D">
        <w:t>C during which product may be stored at up to 30</w:t>
      </w:r>
      <w:r>
        <w:t>º</w:t>
      </w:r>
      <w:r w:rsidRPr="00FF622D">
        <w:t>C</w:t>
      </w:r>
      <w:r>
        <w:t xml:space="preserve"> </w:t>
      </w:r>
      <w:r w:rsidRPr="00FF622D">
        <w:t>for a single 6 month period. Once the product has been taken out of the</w:t>
      </w:r>
      <w:r>
        <w:t xml:space="preserve"> </w:t>
      </w:r>
      <w:r w:rsidRPr="00FF622D">
        <w:t>refrigerator the product must not be returned to the refrigerator. Please</w:t>
      </w:r>
      <w:r>
        <w:t xml:space="preserve"> </w:t>
      </w:r>
      <w:r w:rsidRPr="00FF622D">
        <w:t>record the beginning of storage at room temperature on the product carton.</w:t>
      </w:r>
    </w:p>
    <w:p w14:paraId="705B4723" w14:textId="77777777" w:rsidR="00FF622D" w:rsidRPr="00FF622D" w:rsidRDefault="00FF622D" w:rsidP="00FF622D">
      <w:pPr>
        <w:pStyle w:val="Heading4"/>
      </w:pPr>
      <w:r w:rsidRPr="00FF622D">
        <w:rPr>
          <w:rStyle w:val="Heading4Char"/>
        </w:rPr>
        <w:t>After reconstitution</w:t>
      </w:r>
    </w:p>
    <w:p w14:paraId="705B4724" w14:textId="77777777" w:rsidR="00FF622D" w:rsidRDefault="00FF622D" w:rsidP="00FF622D">
      <w:r w:rsidRPr="00FF622D">
        <w:t>The reconstituted product should be used immediately.</w:t>
      </w:r>
    </w:p>
    <w:p w14:paraId="705B4725" w14:textId="77777777" w:rsidR="00FF622D" w:rsidRPr="00FF622D" w:rsidRDefault="00FF622D" w:rsidP="00FF622D"/>
    <w:p w14:paraId="705B4726" w14:textId="3C417A0A" w:rsidR="00FF622D" w:rsidRDefault="00FF622D" w:rsidP="00FF622D">
      <w:r w:rsidRPr="00FF622D">
        <w:t>Chemical and physically in-use stability have been demonstrated for</w:t>
      </w:r>
      <w:r>
        <w:t xml:space="preserve"> </w:t>
      </w:r>
      <w:r w:rsidRPr="00FF622D">
        <w:t>24 hours stored in refrigerator (2</w:t>
      </w:r>
      <w:r>
        <w:t>º</w:t>
      </w:r>
      <w:r w:rsidRPr="00FF622D">
        <w:t>C -8</w:t>
      </w:r>
      <w:r>
        <w:t>º</w:t>
      </w:r>
      <w:r w:rsidRPr="00FF622D">
        <w:t>C) and 4 hours stored at room</w:t>
      </w:r>
      <w:r>
        <w:t xml:space="preserve"> </w:t>
      </w:r>
      <w:r w:rsidRPr="00FF622D">
        <w:t>temperature (≤ 30</w:t>
      </w:r>
      <w:r>
        <w:t>º</w:t>
      </w:r>
      <w:r w:rsidRPr="00FF622D">
        <w:t xml:space="preserve">C). </w:t>
      </w:r>
      <w:r w:rsidR="00771F85" w:rsidRPr="00771F85">
        <w:t xml:space="preserve">To reduce microbiological hazard, use as soon as practicable after dilution. If storage is necessary, hold </w:t>
      </w:r>
      <w:r w:rsidR="00771F85">
        <w:t>at room temperature (≤30</w:t>
      </w:r>
      <w:r w:rsidR="00771F85" w:rsidRPr="00771F85">
        <w:t>°</w:t>
      </w:r>
      <w:r w:rsidR="00771F85">
        <w:t xml:space="preserve">C) for not more than 4 hours or </w:t>
      </w:r>
      <w:r w:rsidR="00771F85" w:rsidRPr="00771F85">
        <w:t>at 2°-8°C for not more than 24 hours</w:t>
      </w:r>
      <w:r w:rsidRPr="00FF622D">
        <w:t>.</w:t>
      </w:r>
    </w:p>
    <w:p w14:paraId="705B4727" w14:textId="77777777" w:rsidR="00FF622D" w:rsidRPr="00FF622D" w:rsidRDefault="00FF622D" w:rsidP="00FF622D"/>
    <w:p w14:paraId="705B4728" w14:textId="77777777" w:rsidR="00FF622D" w:rsidRDefault="00FF622D" w:rsidP="00FF622D">
      <w:r w:rsidRPr="00FF622D">
        <w:t>Reconstituted medicinal product should be inspected visually for particulate</w:t>
      </w:r>
      <w:r>
        <w:t xml:space="preserve"> </w:t>
      </w:r>
      <w:r w:rsidRPr="00FF622D">
        <w:t>matter and discoloration prior to administration. Do not use solutions that</w:t>
      </w:r>
      <w:r>
        <w:t xml:space="preserve"> </w:t>
      </w:r>
      <w:r w:rsidRPr="00FF622D">
        <w:t>are cloudy or have deposits.</w:t>
      </w:r>
    </w:p>
    <w:p w14:paraId="705B4729" w14:textId="77777777" w:rsidR="00F72421" w:rsidRDefault="00F72421" w:rsidP="00FF622D">
      <w:pPr>
        <w:pStyle w:val="Heading3"/>
      </w:pPr>
      <w:r>
        <w:t>6.4</w:t>
      </w:r>
      <w:r>
        <w:tab/>
        <w:t>Special Precautions for Storage</w:t>
      </w:r>
    </w:p>
    <w:p w14:paraId="705B472A" w14:textId="77777777" w:rsidR="007E647B" w:rsidRDefault="007E647B" w:rsidP="007E647B">
      <w:r>
        <w:t>Store refrigerated (2°C - 8°C). Do not freeze.</w:t>
      </w:r>
    </w:p>
    <w:p w14:paraId="705B472B" w14:textId="77777777" w:rsidR="007E647B" w:rsidRDefault="007E647B" w:rsidP="007E647B"/>
    <w:p w14:paraId="705B472C" w14:textId="77777777" w:rsidR="007E647B" w:rsidRDefault="007E647B" w:rsidP="007E647B">
      <w:r>
        <w:t>Store in the original package in order to protect from light.</w:t>
      </w:r>
    </w:p>
    <w:p w14:paraId="705B472D" w14:textId="77777777" w:rsidR="007E647B" w:rsidRDefault="007E647B" w:rsidP="007E647B"/>
    <w:p w14:paraId="705B472E" w14:textId="77777777" w:rsidR="00F72421" w:rsidRDefault="007E647B" w:rsidP="007E647B">
      <w:r>
        <w:t>For storage at room temperature and storage conditions after reconstitution of Refixia see section 6.3.</w:t>
      </w:r>
    </w:p>
    <w:p w14:paraId="705B472F" w14:textId="77777777" w:rsidR="00F72421" w:rsidRDefault="00F72421" w:rsidP="00222422">
      <w:pPr>
        <w:pStyle w:val="Heading3"/>
      </w:pPr>
      <w:r>
        <w:t>6.5</w:t>
      </w:r>
      <w:r>
        <w:tab/>
        <w:t>Nature and Contents of Container</w:t>
      </w:r>
    </w:p>
    <w:p w14:paraId="705B4730" w14:textId="77777777" w:rsidR="007E647B" w:rsidRDefault="007E647B" w:rsidP="007E647B">
      <w:r>
        <w:t>Each pack of Refixia 500 IU, 1000 IU or 2000 IU powder and solvent for solution for injection contains:</w:t>
      </w:r>
    </w:p>
    <w:p w14:paraId="705B4731" w14:textId="77777777" w:rsidR="007E647B" w:rsidRDefault="007E647B" w:rsidP="007E647B">
      <w:pPr>
        <w:pStyle w:val="ListParagraph"/>
        <w:numPr>
          <w:ilvl w:val="0"/>
          <w:numId w:val="11"/>
        </w:numPr>
      </w:pPr>
      <w:r>
        <w:t xml:space="preserve">1 glass vial (type I) with powder and </w:t>
      </w:r>
      <w:proofErr w:type="spellStart"/>
      <w:r>
        <w:t>chlorobutyl</w:t>
      </w:r>
      <w:proofErr w:type="spellEnd"/>
      <w:r>
        <w:t xml:space="preserve"> rubber stopper</w:t>
      </w:r>
    </w:p>
    <w:p w14:paraId="705B4732" w14:textId="77777777" w:rsidR="007E647B" w:rsidRDefault="007E647B" w:rsidP="007E647B">
      <w:pPr>
        <w:pStyle w:val="ListParagraph"/>
        <w:numPr>
          <w:ilvl w:val="0"/>
          <w:numId w:val="11"/>
        </w:numPr>
      </w:pPr>
      <w:r>
        <w:t>1 sterile vial adapter for reconstitution</w:t>
      </w:r>
    </w:p>
    <w:p w14:paraId="705B4733" w14:textId="77777777" w:rsidR="007E647B" w:rsidRDefault="007E647B" w:rsidP="007E647B">
      <w:pPr>
        <w:pStyle w:val="ListParagraph"/>
        <w:numPr>
          <w:ilvl w:val="0"/>
          <w:numId w:val="11"/>
        </w:numPr>
      </w:pPr>
      <w:r>
        <w:lastRenderedPageBreak/>
        <w:t>1 prefilled syringe of 4 ml histidine solvent with backstop (polypropylene), a rubber plunger (</w:t>
      </w:r>
      <w:proofErr w:type="spellStart"/>
      <w:r>
        <w:t>bromobutyl</w:t>
      </w:r>
      <w:proofErr w:type="spellEnd"/>
      <w:r>
        <w:t>) and a tip cap with a stopper (</w:t>
      </w:r>
      <w:proofErr w:type="spellStart"/>
      <w:r>
        <w:t>bromobutyl</w:t>
      </w:r>
      <w:proofErr w:type="spellEnd"/>
      <w:r>
        <w:t>)</w:t>
      </w:r>
    </w:p>
    <w:p w14:paraId="705B4734" w14:textId="77777777" w:rsidR="007E647B" w:rsidRDefault="007E647B" w:rsidP="007E647B">
      <w:pPr>
        <w:pStyle w:val="ListParagraph"/>
        <w:numPr>
          <w:ilvl w:val="0"/>
          <w:numId w:val="11"/>
        </w:numPr>
      </w:pPr>
      <w:r>
        <w:t>1 plunger rod (polypropylene).</w:t>
      </w:r>
    </w:p>
    <w:p w14:paraId="705B4735" w14:textId="77777777" w:rsidR="007E647B" w:rsidRDefault="007E647B" w:rsidP="007E647B"/>
    <w:p w14:paraId="705B4736" w14:textId="77777777" w:rsidR="00F72421" w:rsidRDefault="007E647B" w:rsidP="007E647B">
      <w:r>
        <w:t>The rubber stopper or plunger has not been made with natural rubber latex.</w:t>
      </w:r>
    </w:p>
    <w:p w14:paraId="705B4737" w14:textId="77777777" w:rsidR="00F72421" w:rsidRDefault="00F72421" w:rsidP="00222422">
      <w:pPr>
        <w:pStyle w:val="Heading3"/>
      </w:pPr>
      <w:r>
        <w:t>6.6</w:t>
      </w:r>
      <w:r>
        <w:tab/>
        <w:t>Special Precautions for Disposal</w:t>
      </w:r>
    </w:p>
    <w:p w14:paraId="3110DB24" w14:textId="1BB63950" w:rsidR="00771F85" w:rsidRDefault="00771F85" w:rsidP="007E647B">
      <w:r>
        <w:t>The product is for single use in one patient on one occasion only. Contains no antimicrobial preservative. Discard any residue.</w:t>
      </w:r>
    </w:p>
    <w:p w14:paraId="2B061281" w14:textId="77777777" w:rsidR="00771F85" w:rsidRDefault="00771F85" w:rsidP="007E647B"/>
    <w:p w14:paraId="705B4738" w14:textId="68DAC009" w:rsidR="007E647B" w:rsidRDefault="007E647B" w:rsidP="007E647B">
      <w:r>
        <w:t>After injection, safely dispose of the syringe with the infusion set and the vial with the vial adapter.</w:t>
      </w:r>
    </w:p>
    <w:p w14:paraId="705B4739" w14:textId="77777777" w:rsidR="007E647B" w:rsidRDefault="007E647B" w:rsidP="007E647B"/>
    <w:p w14:paraId="705B473A" w14:textId="77777777" w:rsidR="00F72421" w:rsidRDefault="007E647B" w:rsidP="007E647B">
      <w:r>
        <w:t>Any unused medicinal product or waste material should be disposed of in accordance with local requirements.</w:t>
      </w:r>
    </w:p>
    <w:p w14:paraId="705B473B" w14:textId="77777777" w:rsidR="00F72421" w:rsidRDefault="00F72421" w:rsidP="00222422">
      <w:pPr>
        <w:pStyle w:val="Heading3"/>
      </w:pPr>
      <w:r>
        <w:t>6.7</w:t>
      </w:r>
      <w:r>
        <w:tab/>
        <w:t>Physi</w:t>
      </w:r>
      <w:r w:rsidR="00E97D02">
        <w:t>c</w:t>
      </w:r>
      <w:r>
        <w:t>ochemical Properties</w:t>
      </w:r>
    </w:p>
    <w:p w14:paraId="705B473C" w14:textId="77777777" w:rsidR="00E97D02" w:rsidRDefault="00E97D02" w:rsidP="00FF622D">
      <w:pPr>
        <w:pStyle w:val="Heading4"/>
      </w:pPr>
      <w:r>
        <w:t>Chemical structure</w:t>
      </w:r>
    </w:p>
    <w:p w14:paraId="705B473D" w14:textId="77777777" w:rsidR="00E97D02" w:rsidRDefault="002C52F2" w:rsidP="00222422">
      <w:r>
        <w:t xml:space="preserve">CAS name: Blood coagulation factor IX (synthetic human isoform rFIX) 40-kilodalton pegylated. </w:t>
      </w:r>
    </w:p>
    <w:p w14:paraId="705B473E" w14:textId="77777777" w:rsidR="00E97D02" w:rsidRDefault="00E97D02" w:rsidP="00FF622D">
      <w:pPr>
        <w:pStyle w:val="Heading4"/>
      </w:pPr>
      <w:r>
        <w:t>CAS number</w:t>
      </w:r>
    </w:p>
    <w:p w14:paraId="705B473F" w14:textId="77777777" w:rsidR="00E97D02" w:rsidRDefault="004F1160" w:rsidP="00222422">
      <w:r>
        <w:t>CAS Registry Number is 1175512-71-6.</w:t>
      </w:r>
    </w:p>
    <w:p w14:paraId="705B4740" w14:textId="77777777" w:rsidR="002C52F2" w:rsidRDefault="002C52F2" w:rsidP="00222422"/>
    <w:p w14:paraId="705B4741" w14:textId="77777777" w:rsidR="00E97D02" w:rsidRDefault="00E97D02" w:rsidP="00222422">
      <w:pPr>
        <w:pStyle w:val="Heading2"/>
      </w:pPr>
      <w:r>
        <w:t>7.</w:t>
      </w:r>
      <w:r>
        <w:tab/>
        <w:t>MEDICINE SCHEDULE (POISONS STANDARD)</w:t>
      </w:r>
    </w:p>
    <w:p w14:paraId="705B4742" w14:textId="77777777" w:rsidR="00E97D02" w:rsidRDefault="00527876" w:rsidP="00222422">
      <w:r>
        <w:t>Unscheduled</w:t>
      </w:r>
    </w:p>
    <w:p w14:paraId="705B4743" w14:textId="77777777" w:rsidR="00E97D02" w:rsidRDefault="00E97D02" w:rsidP="00222422">
      <w:pPr>
        <w:pStyle w:val="Heading2"/>
      </w:pPr>
      <w:r>
        <w:t xml:space="preserve">8. </w:t>
      </w:r>
      <w:r>
        <w:tab/>
        <w:t>SPONSOR</w:t>
      </w:r>
    </w:p>
    <w:p w14:paraId="705B4744" w14:textId="77777777" w:rsidR="0005293E" w:rsidRPr="0005293E" w:rsidRDefault="0005293E" w:rsidP="0005293E">
      <w:r w:rsidRPr="0005293E">
        <w:t>Novo Nordisk Pharmaceuticals Pty Ltd</w:t>
      </w:r>
    </w:p>
    <w:p w14:paraId="705B4745" w14:textId="77777777" w:rsidR="0005293E" w:rsidRPr="0005293E" w:rsidRDefault="0005293E" w:rsidP="0005293E">
      <w:r w:rsidRPr="0005293E">
        <w:t>A.B.N. 40 002 879 996</w:t>
      </w:r>
    </w:p>
    <w:p w14:paraId="705B4746" w14:textId="77777777" w:rsidR="0005293E" w:rsidRPr="0005293E" w:rsidRDefault="0005293E" w:rsidP="0005293E">
      <w:pPr>
        <w:rPr>
          <w:lang w:val="en-US"/>
        </w:rPr>
      </w:pPr>
      <w:r w:rsidRPr="0005293E">
        <w:rPr>
          <w:lang w:val="en-US"/>
        </w:rPr>
        <w:t>Level 3</w:t>
      </w:r>
    </w:p>
    <w:p w14:paraId="705B4747" w14:textId="77777777" w:rsidR="0005293E" w:rsidRPr="0005293E" w:rsidRDefault="0005293E" w:rsidP="0005293E">
      <w:pPr>
        <w:rPr>
          <w:lang w:val="en-US"/>
        </w:rPr>
      </w:pPr>
      <w:r w:rsidRPr="0005293E">
        <w:rPr>
          <w:lang w:val="en-US"/>
        </w:rPr>
        <w:t>21</w:t>
      </w:r>
      <w:r w:rsidRPr="0005293E">
        <w:t xml:space="preserve"> Solent</w:t>
      </w:r>
      <w:r w:rsidRPr="0005293E">
        <w:rPr>
          <w:lang w:val="en-US"/>
        </w:rPr>
        <w:t xml:space="preserve"> Circuit</w:t>
      </w:r>
    </w:p>
    <w:p w14:paraId="705B4748" w14:textId="77777777" w:rsidR="00E97D02" w:rsidRPr="0005293E" w:rsidRDefault="0005293E" w:rsidP="00222422">
      <w:pPr>
        <w:rPr>
          <w:lang w:val="en-US"/>
        </w:rPr>
      </w:pPr>
      <w:r w:rsidRPr="0005293E">
        <w:rPr>
          <w:lang w:val="en-US"/>
        </w:rPr>
        <w:t>Baulkham Hills NSW 2153</w:t>
      </w:r>
    </w:p>
    <w:p w14:paraId="705B4749" w14:textId="77777777" w:rsidR="00E97D02" w:rsidRDefault="00E97D02" w:rsidP="00222422">
      <w:pPr>
        <w:pStyle w:val="Heading2"/>
      </w:pPr>
      <w:r>
        <w:t>9.</w:t>
      </w:r>
      <w:r>
        <w:tab/>
        <w:t>DATE OF FIRST APPROVAL</w:t>
      </w:r>
    </w:p>
    <w:p w14:paraId="705B474A" w14:textId="04791CCE" w:rsidR="00E97D02" w:rsidRDefault="00E97D02" w:rsidP="00222422"/>
    <w:p w14:paraId="3552C428" w14:textId="421DDB37" w:rsidR="00C443B5" w:rsidRDefault="004F5F3B" w:rsidP="00222422">
      <w:r>
        <w:t>4</w:t>
      </w:r>
      <w:r w:rsidR="009F5CDA">
        <w:t xml:space="preserve"> September 2019</w:t>
      </w:r>
    </w:p>
    <w:p w14:paraId="705B474B" w14:textId="77777777" w:rsidR="00E97D02" w:rsidRDefault="00E97D02" w:rsidP="00222422">
      <w:pPr>
        <w:pStyle w:val="Heading2"/>
      </w:pPr>
      <w:r>
        <w:t>10.</w:t>
      </w:r>
      <w:r>
        <w:tab/>
        <w:t>DATE OF REVISION</w:t>
      </w:r>
    </w:p>
    <w:p w14:paraId="705B474E" w14:textId="77777777" w:rsidR="00E97D02" w:rsidRDefault="00E97D02" w:rsidP="00222422">
      <w:pPr>
        <w:pStyle w:val="Heading3"/>
      </w:pPr>
      <w:bookmarkStart w:id="2" w:name="_GoBack"/>
      <w:bookmarkEnd w:id="2"/>
      <w:r>
        <w:t>Summary table of changes</w:t>
      </w:r>
    </w:p>
    <w:tbl>
      <w:tblPr>
        <w:tblStyle w:val="TableGrid"/>
        <w:tblW w:w="0" w:type="auto"/>
        <w:tblLook w:val="04A0" w:firstRow="1" w:lastRow="0" w:firstColumn="1" w:lastColumn="0" w:noHBand="0" w:noVBand="1"/>
      </w:tblPr>
      <w:tblGrid>
        <w:gridCol w:w="2331"/>
        <w:gridCol w:w="6685"/>
      </w:tblGrid>
      <w:tr w:rsidR="00E97D02" w14:paraId="705B4751" w14:textId="77777777" w:rsidTr="00E97D02">
        <w:tc>
          <w:tcPr>
            <w:tcW w:w="2376" w:type="dxa"/>
          </w:tcPr>
          <w:p w14:paraId="705B474F" w14:textId="77777777" w:rsidR="00E97D02" w:rsidRPr="00E97D02" w:rsidRDefault="00E97D02" w:rsidP="00222422">
            <w:r>
              <w:t>Section changed</w:t>
            </w:r>
          </w:p>
        </w:tc>
        <w:tc>
          <w:tcPr>
            <w:tcW w:w="6866" w:type="dxa"/>
          </w:tcPr>
          <w:p w14:paraId="705B4750" w14:textId="77777777" w:rsidR="00E97D02" w:rsidRPr="00E97D02" w:rsidRDefault="00E97D02" w:rsidP="00222422">
            <w:r>
              <w:t>Summary of new information</w:t>
            </w:r>
          </w:p>
        </w:tc>
      </w:tr>
      <w:tr w:rsidR="00E97D02" w14:paraId="705B4754" w14:textId="77777777" w:rsidTr="00E97D02">
        <w:tc>
          <w:tcPr>
            <w:tcW w:w="2376" w:type="dxa"/>
          </w:tcPr>
          <w:p w14:paraId="705B4752" w14:textId="77777777" w:rsidR="00E97D02" w:rsidRDefault="00E97D02" w:rsidP="00222422"/>
        </w:tc>
        <w:tc>
          <w:tcPr>
            <w:tcW w:w="6866" w:type="dxa"/>
          </w:tcPr>
          <w:p w14:paraId="705B4753" w14:textId="77777777" w:rsidR="00E97D02" w:rsidRDefault="00E97D02" w:rsidP="00222422"/>
        </w:tc>
      </w:tr>
      <w:tr w:rsidR="00E97D02" w14:paraId="705B4757" w14:textId="77777777" w:rsidTr="00E97D02">
        <w:tc>
          <w:tcPr>
            <w:tcW w:w="2376" w:type="dxa"/>
          </w:tcPr>
          <w:p w14:paraId="705B4755" w14:textId="77777777" w:rsidR="00E97D02" w:rsidRDefault="00E97D02" w:rsidP="00222422"/>
        </w:tc>
        <w:tc>
          <w:tcPr>
            <w:tcW w:w="6866" w:type="dxa"/>
          </w:tcPr>
          <w:p w14:paraId="705B4756" w14:textId="77777777" w:rsidR="00E97D02" w:rsidRDefault="00E97D02" w:rsidP="00222422"/>
        </w:tc>
      </w:tr>
      <w:tr w:rsidR="00E97D02" w14:paraId="705B475A" w14:textId="77777777" w:rsidTr="00E97D02">
        <w:tc>
          <w:tcPr>
            <w:tcW w:w="2376" w:type="dxa"/>
          </w:tcPr>
          <w:p w14:paraId="705B4758" w14:textId="77777777" w:rsidR="00E97D02" w:rsidRDefault="00E97D02" w:rsidP="00222422"/>
        </w:tc>
        <w:tc>
          <w:tcPr>
            <w:tcW w:w="6866" w:type="dxa"/>
          </w:tcPr>
          <w:p w14:paraId="705B4759" w14:textId="77777777" w:rsidR="00E97D02" w:rsidRDefault="00E97D02" w:rsidP="00222422"/>
        </w:tc>
      </w:tr>
    </w:tbl>
    <w:p w14:paraId="705B475B" w14:textId="77777777" w:rsidR="00E97D02" w:rsidRPr="00E97D02" w:rsidRDefault="00E97D02" w:rsidP="00222422"/>
    <w:sectPr w:rsidR="00E97D02" w:rsidRPr="00E97D02" w:rsidSect="00CF46F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9BF80" w14:textId="77777777" w:rsidR="00251568" w:rsidRDefault="00251568" w:rsidP="000E3121">
      <w:r>
        <w:separator/>
      </w:r>
    </w:p>
  </w:endnote>
  <w:endnote w:type="continuationSeparator" w:id="0">
    <w:p w14:paraId="1FF97F32" w14:textId="77777777" w:rsidR="00251568" w:rsidRDefault="00251568" w:rsidP="000E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B8372" w14:textId="77777777" w:rsidR="004569EE" w:rsidRDefault="00456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3DCC" w14:textId="69B8684A" w:rsidR="00CF46F5" w:rsidRDefault="00CF46F5" w:rsidP="001B6C8B">
    <w:pPr>
      <w:pStyle w:val="Footer"/>
    </w:pPr>
    <w:r w:rsidRPr="000E3121">
      <w:rPr>
        <w:lang w:val="en-GB"/>
      </w:rPr>
      <w:fldChar w:fldCharType="begin"/>
    </w:r>
    <w:r w:rsidRPr="000E3121">
      <w:rPr>
        <w:lang w:val="en-GB"/>
      </w:rPr>
      <w:instrText xml:space="preserve"> FILENAME </w:instrText>
    </w:r>
    <w:r w:rsidRPr="000E3121">
      <w:rPr>
        <w:lang w:val="en-GB"/>
      </w:rPr>
      <w:fldChar w:fldCharType="separate"/>
    </w:r>
    <w:r>
      <w:rPr>
        <w:noProof/>
        <w:lang w:val="en-GB"/>
      </w:rPr>
      <w:t>Refixia pi 1.docx</w:t>
    </w:r>
    <w:r w:rsidRPr="000E3121">
      <w:fldChar w:fldCharType="end"/>
    </w:r>
    <w:r w:rsidRPr="000E3121">
      <w:rPr>
        <w:lang w:val="en-GB"/>
      </w:rPr>
      <w:tab/>
    </w:r>
    <w:r w:rsidRPr="000E3121">
      <w:rPr>
        <w:lang w:val="en-GB"/>
      </w:rPr>
      <w:tab/>
    </w:r>
    <w:r w:rsidRPr="001B6C8B">
      <w:t xml:space="preserve">Page </w:t>
    </w:r>
    <w:r w:rsidRPr="001B6C8B">
      <w:rPr>
        <w:b/>
        <w:bCs/>
      </w:rPr>
      <w:fldChar w:fldCharType="begin"/>
    </w:r>
    <w:r w:rsidRPr="001B6C8B">
      <w:rPr>
        <w:b/>
        <w:bCs/>
      </w:rPr>
      <w:instrText xml:space="preserve"> PAGE </w:instrText>
    </w:r>
    <w:r w:rsidRPr="001B6C8B">
      <w:rPr>
        <w:b/>
        <w:bCs/>
      </w:rPr>
      <w:fldChar w:fldCharType="separate"/>
    </w:r>
    <w:r w:rsidR="004569EE">
      <w:rPr>
        <w:b/>
        <w:bCs/>
        <w:noProof/>
      </w:rPr>
      <w:t>15</w:t>
    </w:r>
    <w:r w:rsidRPr="001B6C8B">
      <w:rPr>
        <w:lang w:val="en-GB"/>
      </w:rPr>
      <w:fldChar w:fldCharType="end"/>
    </w:r>
    <w:r w:rsidRPr="001B6C8B">
      <w:t xml:space="preserve"> of </w:t>
    </w:r>
    <w:r>
      <w:rPr>
        <w:b/>
        <w:bCs/>
      </w:rPr>
      <w:t>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26FC" w14:textId="77777777" w:rsidR="004569EE" w:rsidRDefault="0045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6663" w14:textId="77777777" w:rsidR="00251568" w:rsidRDefault="00251568" w:rsidP="000E3121">
      <w:r>
        <w:separator/>
      </w:r>
    </w:p>
  </w:footnote>
  <w:footnote w:type="continuationSeparator" w:id="0">
    <w:p w14:paraId="54FC8733" w14:textId="77777777" w:rsidR="00251568" w:rsidRDefault="00251568" w:rsidP="000E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43C3" w14:textId="77777777" w:rsidR="004569EE" w:rsidRDefault="00456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4569EE" w:rsidRPr="002E7F61" w14:paraId="041FDEF8" w14:textId="77777777" w:rsidTr="0012475A">
      <w:trPr>
        <w:trHeight w:val="590"/>
      </w:trPr>
      <w:tc>
        <w:tcPr>
          <w:tcW w:w="8720" w:type="dxa"/>
          <w:shd w:val="clear" w:color="auto" w:fill="E4F2E0"/>
        </w:tcPr>
        <w:p w14:paraId="51A00D02" w14:textId="77777777" w:rsidR="004569EE" w:rsidRPr="002E7F61" w:rsidRDefault="004569EE" w:rsidP="004569EE">
          <w:pPr>
            <w:pStyle w:val="Footer"/>
            <w:rPr>
              <w:b/>
              <w:sz w:val="18"/>
              <w:szCs w:val="18"/>
            </w:rPr>
          </w:pPr>
          <w:r w:rsidRPr="002E7F61">
            <w:rPr>
              <w:b/>
              <w:sz w:val="18"/>
              <w:szCs w:val="18"/>
            </w:rPr>
            <w:t xml:space="preserve">Attachment 1: Product </w:t>
          </w:r>
          <w:r w:rsidRPr="00A11F86">
            <w:rPr>
              <w:b/>
              <w:sz w:val="18"/>
              <w:szCs w:val="18"/>
            </w:rPr>
            <w:t xml:space="preserve">AusPAR - REFIXIA – </w:t>
          </w:r>
          <w:proofErr w:type="spellStart"/>
          <w:r w:rsidRPr="00A11F86">
            <w:rPr>
              <w:b/>
              <w:sz w:val="18"/>
              <w:szCs w:val="18"/>
            </w:rPr>
            <w:t>nonacog</w:t>
          </w:r>
          <w:proofErr w:type="spellEnd"/>
          <w:r w:rsidRPr="00A11F86">
            <w:rPr>
              <w:b/>
              <w:sz w:val="18"/>
              <w:szCs w:val="18"/>
            </w:rPr>
            <w:t xml:space="preserve"> beta pegol - Novo Nordisk Pharmaceuticals Pty Ltd - PM-2018-02720-1-6 FINAL 1 November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6AEADC5C" w14:textId="77777777" w:rsidR="004569EE" w:rsidRDefault="00456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3FC0C" w14:textId="77777777" w:rsidR="004569EE" w:rsidRDefault="00456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D063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7838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EE9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C6AA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E6A6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CCD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347C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20B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64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6E45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A76A4"/>
    <w:multiLevelType w:val="hybridMultilevel"/>
    <w:tmpl w:val="F07431C0"/>
    <w:lvl w:ilvl="0" w:tplc="DA7A2DF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E03223"/>
    <w:multiLevelType w:val="hybridMultilevel"/>
    <w:tmpl w:val="4322F5FC"/>
    <w:lvl w:ilvl="0" w:tplc="84F076D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57"/>
    <w:rsid w:val="000040DB"/>
    <w:rsid w:val="0000478A"/>
    <w:rsid w:val="00011129"/>
    <w:rsid w:val="00025943"/>
    <w:rsid w:val="000464C9"/>
    <w:rsid w:val="0005293E"/>
    <w:rsid w:val="000C24C8"/>
    <w:rsid w:val="000C54E6"/>
    <w:rsid w:val="000E3121"/>
    <w:rsid w:val="000F45EE"/>
    <w:rsid w:val="000F7843"/>
    <w:rsid w:val="00106FB1"/>
    <w:rsid w:val="00114DF0"/>
    <w:rsid w:val="001234F2"/>
    <w:rsid w:val="00145A70"/>
    <w:rsid w:val="00147CF9"/>
    <w:rsid w:val="00164324"/>
    <w:rsid w:val="001B6C8B"/>
    <w:rsid w:val="001B7697"/>
    <w:rsid w:val="001B787E"/>
    <w:rsid w:val="001E773F"/>
    <w:rsid w:val="0020079D"/>
    <w:rsid w:val="002013C6"/>
    <w:rsid w:val="00202EC9"/>
    <w:rsid w:val="00222422"/>
    <w:rsid w:val="00222B7B"/>
    <w:rsid w:val="00251568"/>
    <w:rsid w:val="002627DE"/>
    <w:rsid w:val="00265C7D"/>
    <w:rsid w:val="002779D2"/>
    <w:rsid w:val="002C52F2"/>
    <w:rsid w:val="002D0E58"/>
    <w:rsid w:val="003003D2"/>
    <w:rsid w:val="0030370B"/>
    <w:rsid w:val="00303A57"/>
    <w:rsid w:val="00304835"/>
    <w:rsid w:val="00331E13"/>
    <w:rsid w:val="00335FAE"/>
    <w:rsid w:val="00350699"/>
    <w:rsid w:val="00353BAC"/>
    <w:rsid w:val="00355D2F"/>
    <w:rsid w:val="0036388F"/>
    <w:rsid w:val="00375E2D"/>
    <w:rsid w:val="003809CE"/>
    <w:rsid w:val="00386A83"/>
    <w:rsid w:val="003D0B5F"/>
    <w:rsid w:val="003D6ABC"/>
    <w:rsid w:val="003F6359"/>
    <w:rsid w:val="003F6CCC"/>
    <w:rsid w:val="004332BE"/>
    <w:rsid w:val="00452832"/>
    <w:rsid w:val="004569EE"/>
    <w:rsid w:val="00467044"/>
    <w:rsid w:val="0047339C"/>
    <w:rsid w:val="00475016"/>
    <w:rsid w:val="00485570"/>
    <w:rsid w:val="004B1D00"/>
    <w:rsid w:val="004D3428"/>
    <w:rsid w:val="004E0F4F"/>
    <w:rsid w:val="004E4664"/>
    <w:rsid w:val="004F1160"/>
    <w:rsid w:val="004F5F3B"/>
    <w:rsid w:val="0050667A"/>
    <w:rsid w:val="00527876"/>
    <w:rsid w:val="00530D2F"/>
    <w:rsid w:val="005609BB"/>
    <w:rsid w:val="00571029"/>
    <w:rsid w:val="0058574F"/>
    <w:rsid w:val="00587678"/>
    <w:rsid w:val="005B52DA"/>
    <w:rsid w:val="005D03F6"/>
    <w:rsid w:val="005D2BBA"/>
    <w:rsid w:val="005E4DCF"/>
    <w:rsid w:val="005F081D"/>
    <w:rsid w:val="006057CC"/>
    <w:rsid w:val="0064474A"/>
    <w:rsid w:val="0066550F"/>
    <w:rsid w:val="00677042"/>
    <w:rsid w:val="0068232E"/>
    <w:rsid w:val="00697ADD"/>
    <w:rsid w:val="006A1E94"/>
    <w:rsid w:val="006B577D"/>
    <w:rsid w:val="006D1384"/>
    <w:rsid w:val="006D2393"/>
    <w:rsid w:val="006E6501"/>
    <w:rsid w:val="00716F38"/>
    <w:rsid w:val="007355F6"/>
    <w:rsid w:val="007471E9"/>
    <w:rsid w:val="00755136"/>
    <w:rsid w:val="00761563"/>
    <w:rsid w:val="00761864"/>
    <w:rsid w:val="00771F85"/>
    <w:rsid w:val="00791816"/>
    <w:rsid w:val="00796612"/>
    <w:rsid w:val="007E0045"/>
    <w:rsid w:val="007E647B"/>
    <w:rsid w:val="0080118F"/>
    <w:rsid w:val="008035A7"/>
    <w:rsid w:val="0080642B"/>
    <w:rsid w:val="00822ECB"/>
    <w:rsid w:val="008A5FB1"/>
    <w:rsid w:val="008B4961"/>
    <w:rsid w:val="008B6223"/>
    <w:rsid w:val="008E55CA"/>
    <w:rsid w:val="00915F57"/>
    <w:rsid w:val="009410E9"/>
    <w:rsid w:val="0095153E"/>
    <w:rsid w:val="0096463B"/>
    <w:rsid w:val="009722D6"/>
    <w:rsid w:val="00981A15"/>
    <w:rsid w:val="009A3285"/>
    <w:rsid w:val="009B2AFE"/>
    <w:rsid w:val="009B67B0"/>
    <w:rsid w:val="009F1ED2"/>
    <w:rsid w:val="009F5CDA"/>
    <w:rsid w:val="00A0539C"/>
    <w:rsid w:val="00A16738"/>
    <w:rsid w:val="00A21B3B"/>
    <w:rsid w:val="00A3007B"/>
    <w:rsid w:val="00A37866"/>
    <w:rsid w:val="00A40BEE"/>
    <w:rsid w:val="00A51844"/>
    <w:rsid w:val="00A56E03"/>
    <w:rsid w:val="00A60E04"/>
    <w:rsid w:val="00A82203"/>
    <w:rsid w:val="00A834EF"/>
    <w:rsid w:val="00AA6870"/>
    <w:rsid w:val="00AB3CBC"/>
    <w:rsid w:val="00AC0338"/>
    <w:rsid w:val="00AC0402"/>
    <w:rsid w:val="00AD7B66"/>
    <w:rsid w:val="00AE0788"/>
    <w:rsid w:val="00AE1E59"/>
    <w:rsid w:val="00B20595"/>
    <w:rsid w:val="00B30075"/>
    <w:rsid w:val="00B40A2B"/>
    <w:rsid w:val="00B4431D"/>
    <w:rsid w:val="00B528A3"/>
    <w:rsid w:val="00B732FB"/>
    <w:rsid w:val="00B73A77"/>
    <w:rsid w:val="00B85584"/>
    <w:rsid w:val="00B85B91"/>
    <w:rsid w:val="00BB1C19"/>
    <w:rsid w:val="00BD5E6F"/>
    <w:rsid w:val="00BD6EE9"/>
    <w:rsid w:val="00BE2201"/>
    <w:rsid w:val="00BE4409"/>
    <w:rsid w:val="00C20313"/>
    <w:rsid w:val="00C443B5"/>
    <w:rsid w:val="00C44B67"/>
    <w:rsid w:val="00C815BF"/>
    <w:rsid w:val="00C856EC"/>
    <w:rsid w:val="00C96EED"/>
    <w:rsid w:val="00CC27CA"/>
    <w:rsid w:val="00CD16CC"/>
    <w:rsid w:val="00CD3C46"/>
    <w:rsid w:val="00CF46F5"/>
    <w:rsid w:val="00CF68B7"/>
    <w:rsid w:val="00D06E18"/>
    <w:rsid w:val="00D07525"/>
    <w:rsid w:val="00D349E8"/>
    <w:rsid w:val="00D42632"/>
    <w:rsid w:val="00D5043E"/>
    <w:rsid w:val="00D56FBE"/>
    <w:rsid w:val="00D61A78"/>
    <w:rsid w:val="00DE149D"/>
    <w:rsid w:val="00DF134F"/>
    <w:rsid w:val="00E127EA"/>
    <w:rsid w:val="00E374B7"/>
    <w:rsid w:val="00E52D26"/>
    <w:rsid w:val="00E62183"/>
    <w:rsid w:val="00E638E3"/>
    <w:rsid w:val="00E8131D"/>
    <w:rsid w:val="00E97D02"/>
    <w:rsid w:val="00EA2A1A"/>
    <w:rsid w:val="00ED35B8"/>
    <w:rsid w:val="00EF1251"/>
    <w:rsid w:val="00F17541"/>
    <w:rsid w:val="00F343B2"/>
    <w:rsid w:val="00F35C57"/>
    <w:rsid w:val="00F36FEE"/>
    <w:rsid w:val="00F4109F"/>
    <w:rsid w:val="00F4580D"/>
    <w:rsid w:val="00F54BC5"/>
    <w:rsid w:val="00F72421"/>
    <w:rsid w:val="00F9499F"/>
    <w:rsid w:val="00F967F2"/>
    <w:rsid w:val="00FA0F76"/>
    <w:rsid w:val="00FB0B0C"/>
    <w:rsid w:val="00FB7A3E"/>
    <w:rsid w:val="00FC0E58"/>
    <w:rsid w:val="00FC32EC"/>
    <w:rsid w:val="00FC7715"/>
    <w:rsid w:val="00FF622D"/>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B44BD"/>
  <w15:docId w15:val="{F90E1994-DAA1-41AF-9605-E38A03DA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42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F6359"/>
    <w:pPr>
      <w:keepNext/>
      <w:keepLines/>
      <w:spacing w:before="480"/>
      <w:jc w:val="center"/>
      <w:outlineLvl w:val="0"/>
    </w:pPr>
    <w:rPr>
      <w:rFonts w:eastAsiaTheme="majorEastAsia"/>
      <w:b/>
      <w:bCs/>
    </w:rPr>
  </w:style>
  <w:style w:type="paragraph" w:styleId="Heading2">
    <w:name w:val="heading 2"/>
    <w:basedOn w:val="Normal"/>
    <w:next w:val="Normal"/>
    <w:link w:val="Heading2Char"/>
    <w:uiPriority w:val="9"/>
    <w:unhideWhenUsed/>
    <w:qFormat/>
    <w:rsid w:val="003F6359"/>
    <w:pPr>
      <w:keepNext/>
      <w:keepLines/>
      <w:spacing w:before="200"/>
      <w:outlineLvl w:val="1"/>
    </w:pPr>
    <w:rPr>
      <w:rFonts w:eastAsiaTheme="majorEastAsia"/>
      <w:b/>
      <w:bCs/>
    </w:rPr>
  </w:style>
  <w:style w:type="paragraph" w:styleId="Heading3">
    <w:name w:val="heading 3"/>
    <w:basedOn w:val="Normal"/>
    <w:next w:val="Normal"/>
    <w:link w:val="Heading3Char"/>
    <w:uiPriority w:val="9"/>
    <w:unhideWhenUsed/>
    <w:qFormat/>
    <w:rsid w:val="00D56FBE"/>
    <w:pPr>
      <w:keepNext/>
      <w:keepLines/>
      <w:spacing w:before="200"/>
      <w:outlineLvl w:val="2"/>
    </w:pPr>
    <w:rPr>
      <w:rFonts w:eastAsiaTheme="majorEastAsia"/>
      <w:b/>
      <w:bCs/>
    </w:rPr>
  </w:style>
  <w:style w:type="paragraph" w:styleId="Heading4">
    <w:name w:val="heading 4"/>
    <w:basedOn w:val="Normal"/>
    <w:next w:val="Normal"/>
    <w:link w:val="Heading4Char"/>
    <w:uiPriority w:val="9"/>
    <w:unhideWhenUsed/>
    <w:qFormat/>
    <w:rsid w:val="00FF622D"/>
    <w:pPr>
      <w:keepNext/>
      <w:keepLines/>
      <w:spacing w:before="200"/>
      <w:outlineLvl w:val="3"/>
    </w:pPr>
    <w:rPr>
      <w:bCs/>
      <w:iCs/>
      <w:u w:val="single"/>
    </w:rPr>
  </w:style>
  <w:style w:type="paragraph" w:styleId="Heading5">
    <w:name w:val="heading 5"/>
    <w:basedOn w:val="Normal"/>
    <w:next w:val="Normal"/>
    <w:link w:val="Heading5Char"/>
    <w:uiPriority w:val="9"/>
    <w:unhideWhenUsed/>
    <w:qFormat/>
    <w:rsid w:val="003F63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C52F2"/>
    <w:pPr>
      <w:keepNext/>
      <w:keepLines/>
      <w:spacing w:before="200"/>
      <w:outlineLvl w:val="5"/>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59"/>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3F6359"/>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D56FBE"/>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FF622D"/>
    <w:rPr>
      <w:rFonts w:ascii="Times New Roman" w:hAnsi="Times New Roman" w:cs="Times New Roman"/>
      <w:bCs/>
      <w:iCs/>
      <w:sz w:val="24"/>
      <w:szCs w:val="24"/>
      <w:u w:val="single"/>
    </w:rPr>
  </w:style>
  <w:style w:type="character" w:customStyle="1" w:styleId="Heading5Char">
    <w:name w:val="Heading 5 Char"/>
    <w:basedOn w:val="DefaultParagraphFont"/>
    <w:link w:val="Heading5"/>
    <w:uiPriority w:val="9"/>
    <w:rsid w:val="003F6359"/>
    <w:rPr>
      <w:rFonts w:asciiTheme="majorHAnsi" w:eastAsiaTheme="majorEastAsia" w:hAnsiTheme="majorHAnsi" w:cstheme="majorBidi"/>
      <w:color w:val="243F60" w:themeColor="accent1" w:themeShade="7F"/>
    </w:rPr>
  </w:style>
  <w:style w:type="paragraph" w:styleId="Subtitle">
    <w:name w:val="Subtitle"/>
    <w:basedOn w:val="Normal"/>
    <w:next w:val="Normal"/>
    <w:link w:val="SubtitleChar"/>
    <w:uiPriority w:val="11"/>
    <w:qFormat/>
    <w:rsid w:val="003F635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F6359"/>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C44B67"/>
    <w:rPr>
      <w:color w:val="0000FF" w:themeColor="hyperlink"/>
      <w:u w:val="single"/>
    </w:rPr>
  </w:style>
  <w:style w:type="table" w:styleId="TableGrid">
    <w:name w:val="Table Grid"/>
    <w:basedOn w:val="TableNormal"/>
    <w:uiPriority w:val="59"/>
    <w:rsid w:val="00E97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7D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2C52F2"/>
    <w:rPr>
      <w:rFonts w:asciiTheme="majorHAnsi" w:eastAsiaTheme="majorEastAsia" w:hAnsiTheme="majorHAnsi" w:cstheme="majorBidi"/>
      <w:i/>
      <w:iCs/>
      <w:sz w:val="24"/>
      <w:szCs w:val="24"/>
    </w:rPr>
  </w:style>
  <w:style w:type="character" w:styleId="CommentReference">
    <w:name w:val="annotation reference"/>
    <w:basedOn w:val="DefaultParagraphFont"/>
    <w:uiPriority w:val="99"/>
    <w:semiHidden/>
    <w:unhideWhenUsed/>
    <w:rsid w:val="000040DB"/>
    <w:rPr>
      <w:sz w:val="16"/>
      <w:szCs w:val="16"/>
    </w:rPr>
  </w:style>
  <w:style w:type="paragraph" w:styleId="CommentText">
    <w:name w:val="annotation text"/>
    <w:basedOn w:val="Normal"/>
    <w:link w:val="CommentTextChar"/>
    <w:uiPriority w:val="99"/>
    <w:unhideWhenUsed/>
    <w:rsid w:val="000040DB"/>
    <w:rPr>
      <w:sz w:val="20"/>
      <w:szCs w:val="20"/>
    </w:rPr>
  </w:style>
  <w:style w:type="character" w:customStyle="1" w:styleId="CommentTextChar">
    <w:name w:val="Comment Text Char"/>
    <w:basedOn w:val="DefaultParagraphFont"/>
    <w:link w:val="CommentText"/>
    <w:uiPriority w:val="99"/>
    <w:rsid w:val="000040D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0DB"/>
    <w:rPr>
      <w:b/>
      <w:bCs/>
    </w:rPr>
  </w:style>
  <w:style w:type="character" w:customStyle="1" w:styleId="CommentSubjectChar">
    <w:name w:val="Comment Subject Char"/>
    <w:basedOn w:val="CommentTextChar"/>
    <w:link w:val="CommentSubject"/>
    <w:uiPriority w:val="99"/>
    <w:semiHidden/>
    <w:rsid w:val="000040D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040DB"/>
    <w:rPr>
      <w:rFonts w:ascii="Tahoma" w:hAnsi="Tahoma" w:cs="Tahoma"/>
      <w:sz w:val="16"/>
      <w:szCs w:val="16"/>
    </w:rPr>
  </w:style>
  <w:style w:type="character" w:customStyle="1" w:styleId="BalloonTextChar">
    <w:name w:val="Balloon Text Char"/>
    <w:basedOn w:val="DefaultParagraphFont"/>
    <w:link w:val="BalloonText"/>
    <w:uiPriority w:val="99"/>
    <w:semiHidden/>
    <w:rsid w:val="000040DB"/>
    <w:rPr>
      <w:rFonts w:ascii="Tahoma" w:hAnsi="Tahoma" w:cs="Tahoma"/>
      <w:sz w:val="16"/>
      <w:szCs w:val="16"/>
    </w:rPr>
  </w:style>
  <w:style w:type="paragraph" w:styleId="ListParagraph">
    <w:name w:val="List Paragraph"/>
    <w:basedOn w:val="Normal"/>
    <w:uiPriority w:val="34"/>
    <w:qFormat/>
    <w:rsid w:val="007E647B"/>
    <w:pPr>
      <w:ind w:left="720"/>
      <w:contextualSpacing/>
    </w:pPr>
  </w:style>
  <w:style w:type="paragraph" w:styleId="Header">
    <w:name w:val="header"/>
    <w:basedOn w:val="Normal"/>
    <w:link w:val="HeaderChar"/>
    <w:uiPriority w:val="99"/>
    <w:unhideWhenUsed/>
    <w:rsid w:val="000E3121"/>
    <w:pPr>
      <w:tabs>
        <w:tab w:val="center" w:pos="4513"/>
        <w:tab w:val="right" w:pos="9026"/>
      </w:tabs>
    </w:pPr>
  </w:style>
  <w:style w:type="character" w:customStyle="1" w:styleId="HeaderChar">
    <w:name w:val="Header Char"/>
    <w:basedOn w:val="DefaultParagraphFont"/>
    <w:link w:val="Header"/>
    <w:uiPriority w:val="99"/>
    <w:rsid w:val="000E3121"/>
    <w:rPr>
      <w:rFonts w:ascii="Times New Roman" w:hAnsi="Times New Roman" w:cs="Times New Roman"/>
      <w:sz w:val="24"/>
      <w:szCs w:val="24"/>
    </w:rPr>
  </w:style>
  <w:style w:type="paragraph" w:styleId="Footer">
    <w:name w:val="footer"/>
    <w:basedOn w:val="Normal"/>
    <w:link w:val="FooterChar"/>
    <w:unhideWhenUsed/>
    <w:rsid w:val="000E3121"/>
    <w:pPr>
      <w:tabs>
        <w:tab w:val="center" w:pos="4513"/>
        <w:tab w:val="right" w:pos="9026"/>
      </w:tabs>
    </w:pPr>
  </w:style>
  <w:style w:type="character" w:customStyle="1" w:styleId="FooterChar">
    <w:name w:val="Footer Char"/>
    <w:basedOn w:val="DefaultParagraphFont"/>
    <w:link w:val="Footer"/>
    <w:rsid w:val="000E312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C32EC"/>
    <w:rPr>
      <w:sz w:val="20"/>
      <w:szCs w:val="20"/>
    </w:rPr>
  </w:style>
  <w:style w:type="character" w:customStyle="1" w:styleId="FootnoteTextChar">
    <w:name w:val="Footnote Text Char"/>
    <w:basedOn w:val="DefaultParagraphFont"/>
    <w:link w:val="FootnoteText"/>
    <w:uiPriority w:val="99"/>
    <w:semiHidden/>
    <w:rsid w:val="00FC32E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C32EC"/>
    <w:rPr>
      <w:vertAlign w:val="superscript"/>
    </w:rPr>
  </w:style>
  <w:style w:type="paragraph" w:styleId="BodyText">
    <w:name w:val="Body Text"/>
    <w:basedOn w:val="Normal"/>
    <w:link w:val="BodyTextChar"/>
    <w:uiPriority w:val="99"/>
    <w:semiHidden/>
    <w:unhideWhenUsed/>
    <w:rsid w:val="00FA0F76"/>
    <w:pPr>
      <w:spacing w:after="120"/>
    </w:pPr>
  </w:style>
  <w:style w:type="character" w:customStyle="1" w:styleId="BodyTextChar">
    <w:name w:val="Body Text Char"/>
    <w:basedOn w:val="DefaultParagraphFont"/>
    <w:link w:val="BodyText"/>
    <w:uiPriority w:val="99"/>
    <w:semiHidden/>
    <w:rsid w:val="00FA0F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730738">
      <w:bodyDiv w:val="1"/>
      <w:marLeft w:val="0"/>
      <w:marRight w:val="0"/>
      <w:marTop w:val="0"/>
      <w:marBottom w:val="0"/>
      <w:divBdr>
        <w:top w:val="none" w:sz="0" w:space="0" w:color="auto"/>
        <w:left w:val="none" w:sz="0" w:space="0" w:color="auto"/>
        <w:bottom w:val="none" w:sz="0" w:space="0" w:color="auto"/>
        <w:right w:val="none" w:sz="0" w:space="0" w:color="auto"/>
      </w:divBdr>
    </w:div>
    <w:div w:id="1164859090">
      <w:bodyDiv w:val="1"/>
      <w:marLeft w:val="0"/>
      <w:marRight w:val="0"/>
      <w:marTop w:val="0"/>
      <w:marBottom w:val="0"/>
      <w:divBdr>
        <w:top w:val="none" w:sz="0" w:space="0" w:color="auto"/>
        <w:left w:val="none" w:sz="0" w:space="0" w:color="auto"/>
        <w:bottom w:val="none" w:sz="0" w:space="0" w:color="auto"/>
        <w:right w:val="none" w:sz="0" w:space="0" w:color="auto"/>
      </w:divBdr>
    </w:div>
    <w:div w:id="1575237672">
      <w:bodyDiv w:val="1"/>
      <w:marLeft w:val="0"/>
      <w:marRight w:val="0"/>
      <w:marTop w:val="0"/>
      <w:marBottom w:val="0"/>
      <w:divBdr>
        <w:top w:val="none" w:sz="0" w:space="0" w:color="auto"/>
        <w:left w:val="none" w:sz="0" w:space="0" w:color="auto"/>
        <w:bottom w:val="none" w:sz="0" w:space="0" w:color="auto"/>
        <w:right w:val="none" w:sz="0" w:space="0" w:color="auto"/>
      </w:divBdr>
    </w:div>
    <w:div w:id="1638030358">
      <w:bodyDiv w:val="1"/>
      <w:marLeft w:val="0"/>
      <w:marRight w:val="0"/>
      <w:marTop w:val="0"/>
      <w:marBottom w:val="0"/>
      <w:divBdr>
        <w:top w:val="none" w:sz="0" w:space="0" w:color="auto"/>
        <w:left w:val="none" w:sz="0" w:space="0" w:color="auto"/>
        <w:bottom w:val="none" w:sz="0" w:space="0" w:color="auto"/>
        <w:right w:val="none" w:sz="0" w:space="0" w:color="auto"/>
      </w:divBdr>
    </w:div>
    <w:div w:id="1768769065">
      <w:bodyDiv w:val="1"/>
      <w:marLeft w:val="0"/>
      <w:marRight w:val="0"/>
      <w:marTop w:val="0"/>
      <w:marBottom w:val="0"/>
      <w:divBdr>
        <w:top w:val="none" w:sz="0" w:space="0" w:color="auto"/>
        <w:left w:val="none" w:sz="0" w:space="0" w:color="auto"/>
        <w:bottom w:val="none" w:sz="0" w:space="0" w:color="auto"/>
        <w:right w:val="none" w:sz="0" w:space="0" w:color="auto"/>
      </w:divBdr>
    </w:div>
    <w:div w:id="200153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FB9559F3DD143965EC28E8A9003B4" ma:contentTypeVersion="48" ma:contentTypeDescription="Create a new document." ma:contentTypeScope="" ma:versionID="57884dba5729aee52a2846dd7c65b68a">
  <xsd:schema xmlns:xsd="http://www.w3.org/2001/XMLSchema" xmlns:xs="http://www.w3.org/2001/XMLSchema" xmlns:p="http://schemas.microsoft.com/office/2006/metadata/properties" xmlns:ns1="http://schemas.microsoft.com/sharepoint/v3" targetNamespace="http://schemas.microsoft.com/office/2006/metadata/properties" ma:root="true" ma:fieldsID="43211975f48d57bded6200cc3b12bf7e" ns1:_="">
    <xsd:import namespace="http://schemas.microsoft.com/sharepoint/v3"/>
    <xsd:element name="properties">
      <xsd:complexType>
        <xsd:sequence>
          <xsd:element name="documentManagement">
            <xsd:complexType>
              <xsd:all>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ED24-F5C5-447B-B15F-563B18902B00}">
  <ds:schemaRefs>
    <ds:schemaRef ds:uri="http://schemas.microsoft.com/sharepoint/v3/contenttype/forms"/>
  </ds:schemaRefs>
</ds:datastoreItem>
</file>

<file path=customXml/itemProps2.xml><?xml version="1.0" encoding="utf-8"?>
<ds:datastoreItem xmlns:ds="http://schemas.openxmlformats.org/officeDocument/2006/customXml" ds:itemID="{EF50689C-5C47-4E71-A382-6823137EE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3890D-EB80-4135-81F9-8333E9F8F2EA}">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5309223-6D6D-4619-A9B6-FA526A06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5282</Words>
  <Characters>28951</Characters>
  <Application>Microsoft Office Word</Application>
  <DocSecurity>0</DocSecurity>
  <Lines>706</Lines>
  <Paragraphs>389</Paragraphs>
  <ScaleCrop>false</ScaleCrop>
  <HeadingPairs>
    <vt:vector size="2" baseType="variant">
      <vt:variant>
        <vt:lpstr>Title</vt:lpstr>
      </vt:variant>
      <vt:variant>
        <vt:i4>1</vt:i4>
      </vt:variant>
    </vt:vector>
  </HeadingPairs>
  <TitlesOfParts>
    <vt:vector size="1" baseType="lpstr">
      <vt:lpstr>Refixia pi 1.docx</vt:lpstr>
    </vt:vector>
  </TitlesOfParts>
  <Company>Novo Nordisk A/S</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Pe Nonacog beta pegol</dc:title>
  <dc:subject>prescription medicines</dc:subject>
  <dc:creator>KIFO (Kim Foster)</dc:creator>
  <dc:description/>
  <cp:lastModifiedBy>LACK, Janet</cp:lastModifiedBy>
  <cp:revision>3</cp:revision>
  <cp:lastPrinted>2019-04-01T11:22:00Z</cp:lastPrinted>
  <dcterms:created xsi:type="dcterms:W3CDTF">2019-11-18T01:38:00Z</dcterms:created>
  <dcterms:modified xsi:type="dcterms:W3CDTF">2019-11-18T01:40:00Z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0x0101001C0FB9559F3DD143965EC28E8A9003B4</vt:lpwstr>
  </property>
  <property fmtid="{D5CDD505-2E9C-101B-9397-08002B2CF9AE}" pid="3" name="ItemRetentionFormula">
    <vt:lpwstr/>
  </property>
  <property fmtid="{D5CDD505-2E9C-101B-9397-08002B2CF9AE}" pid="4" name="_dlc_policyId">
    <vt:lpwstr/>
  </property>
</Properties>
</file>