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15" w:rsidRPr="0008499F" w:rsidRDefault="002E1315">
      <w:pPr>
        <w:pStyle w:val="A-StudyTitle"/>
      </w:pPr>
      <w:r w:rsidRPr="0008499F">
        <w:t>NOLVADEX</w:t>
      </w:r>
      <w:r w:rsidRPr="0008499F">
        <w:rPr>
          <w:vertAlign w:val="superscript"/>
        </w:rPr>
        <w:t>®</w:t>
      </w:r>
    </w:p>
    <w:p w:rsidR="002E1315" w:rsidRPr="0008499F" w:rsidRDefault="002E1315">
      <w:pPr>
        <w:pStyle w:val="A-studytitle2"/>
      </w:pPr>
      <w:proofErr w:type="gramStart"/>
      <w:r w:rsidRPr="0008499F">
        <w:t>tamoxifen</w:t>
      </w:r>
      <w:proofErr w:type="gramEnd"/>
    </w:p>
    <w:p w:rsidR="002E1315" w:rsidRPr="0008499F" w:rsidRDefault="002E1315">
      <w:pPr>
        <w:pStyle w:val="A-studytitle3"/>
      </w:pPr>
      <w:r w:rsidRPr="0008499F">
        <w:t>PRODUCT INFORMATION</w:t>
      </w:r>
    </w:p>
    <w:p w:rsidR="002E1315" w:rsidRPr="0008499F" w:rsidRDefault="002E1315">
      <w:pPr>
        <w:pStyle w:val="A-Heading1"/>
        <w:rPr>
          <w:lang w:val="en-AU"/>
        </w:rPr>
      </w:pPr>
      <w:r w:rsidRPr="0008499F">
        <w:rPr>
          <w:lang w:val="en-AU"/>
        </w:rPr>
        <w:t>NAME OF THE MEDICINE</w:t>
      </w:r>
    </w:p>
    <w:p w:rsidR="002E1315" w:rsidRDefault="002E1315">
      <w:proofErr w:type="gramStart"/>
      <w:r w:rsidRPr="0008499F">
        <w:t>Tamoxifen citrate.</w:t>
      </w:r>
      <w:proofErr w:type="gramEnd"/>
    </w:p>
    <w:p w:rsidR="002E1315" w:rsidRDefault="005F145E">
      <w:pPr>
        <w:pStyle w:val="A-Guided"/>
        <w:spacing w:before="0"/>
        <w:rPr>
          <w:lang w:val="en-AU"/>
        </w:rPr>
      </w:pPr>
      <w:r>
        <w:rPr>
          <w:noProof/>
          <w:lang w:val="en-AU" w:eastAsia="en-AU"/>
        </w:rPr>
        <w:drawing>
          <wp:inline distT="0" distB="0" distL="0" distR="0">
            <wp:extent cx="2760980" cy="1204595"/>
            <wp:effectExtent l="0" t="0" r="1270" b="0"/>
            <wp:docPr id="2" name="Picture 1" descr="image of the chemical structure of Tamocifen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0980" cy="1204595"/>
                    </a:xfrm>
                    <a:prstGeom prst="rect">
                      <a:avLst/>
                    </a:prstGeom>
                    <a:noFill/>
                    <a:ln>
                      <a:noFill/>
                    </a:ln>
                  </pic:spPr>
                </pic:pic>
              </a:graphicData>
            </a:graphic>
          </wp:inline>
        </w:drawing>
      </w:r>
    </w:p>
    <w:p w:rsidR="002E1315" w:rsidRPr="0008499F" w:rsidRDefault="002E1315">
      <w:r w:rsidRPr="0008499F">
        <w:t>C</w:t>
      </w:r>
      <w:r w:rsidRPr="0008499F">
        <w:rPr>
          <w:vertAlign w:val="subscript"/>
        </w:rPr>
        <w:t>26</w:t>
      </w:r>
      <w:r w:rsidRPr="0008499F">
        <w:t>H</w:t>
      </w:r>
      <w:r w:rsidRPr="0008499F">
        <w:rPr>
          <w:vertAlign w:val="subscript"/>
        </w:rPr>
        <w:t>29</w:t>
      </w:r>
      <w:r w:rsidRPr="0008499F">
        <w:t>NO</w:t>
      </w:r>
      <w:proofErr w:type="gramStart"/>
      <w:r w:rsidRPr="0008499F">
        <w:rPr>
          <w:sz w:val="32"/>
          <w:vertAlign w:val="subscript"/>
        </w:rPr>
        <w:t>,</w:t>
      </w:r>
      <w:r w:rsidRPr="0008499F">
        <w:t>C</w:t>
      </w:r>
      <w:r w:rsidRPr="0008499F">
        <w:rPr>
          <w:vertAlign w:val="subscript"/>
        </w:rPr>
        <w:t>6</w:t>
      </w:r>
      <w:r w:rsidRPr="0008499F">
        <w:t>H</w:t>
      </w:r>
      <w:r w:rsidRPr="0008499F">
        <w:rPr>
          <w:vertAlign w:val="subscript"/>
        </w:rPr>
        <w:t>8</w:t>
      </w:r>
      <w:r w:rsidRPr="0008499F">
        <w:t>O</w:t>
      </w:r>
      <w:r w:rsidRPr="0008499F">
        <w:rPr>
          <w:vertAlign w:val="subscript"/>
        </w:rPr>
        <w:t>7</w:t>
      </w:r>
      <w:proofErr w:type="gramEnd"/>
      <w:r w:rsidRPr="0008499F">
        <w:rPr>
          <w:vertAlign w:val="subscript"/>
        </w:rPr>
        <w:t xml:space="preserve"> </w:t>
      </w:r>
      <w:r w:rsidR="00AB6664">
        <w:tab/>
        <w:t>MW: 563.6</w:t>
      </w:r>
    </w:p>
    <w:p w:rsidR="002E1315" w:rsidRPr="0008499F" w:rsidRDefault="002E1315">
      <w:pPr>
        <w:pStyle w:val="A-Guided"/>
        <w:spacing w:before="0"/>
        <w:rPr>
          <w:lang w:val="en-AU"/>
        </w:rPr>
      </w:pPr>
      <w:r w:rsidRPr="0008499F">
        <w:rPr>
          <w:lang w:val="en-AU"/>
        </w:rPr>
        <w:t xml:space="preserve">CAS No: </w:t>
      </w:r>
      <w:r w:rsidRPr="0008499F">
        <w:rPr>
          <w:i/>
          <w:iCs/>
          <w:lang w:val="en-AU"/>
        </w:rPr>
        <w:t>54965-24-1</w:t>
      </w:r>
    </w:p>
    <w:p w:rsidR="002E1315" w:rsidRPr="0008499F" w:rsidRDefault="002E1315">
      <w:pPr>
        <w:pStyle w:val="A-Heading1"/>
        <w:rPr>
          <w:lang w:val="en-AU"/>
        </w:rPr>
      </w:pPr>
      <w:r w:rsidRPr="0008499F">
        <w:rPr>
          <w:lang w:val="en-AU"/>
        </w:rPr>
        <w:t>DESCRIPTION</w:t>
      </w:r>
    </w:p>
    <w:p w:rsidR="002E1315" w:rsidRPr="0008499F" w:rsidRDefault="002E1315">
      <w:r w:rsidRPr="0008499F">
        <w:t>NOLVADEX (tamoxifen) is the trans-isomer of 1-[4-(2-dimethylaminoethoxy) phenyl]-1</w:t>
      </w:r>
      <w:proofErr w:type="gramStart"/>
      <w:r w:rsidRPr="0008499F">
        <w:t>,2</w:t>
      </w:r>
      <w:proofErr w:type="gramEnd"/>
      <w:r w:rsidRPr="0008499F">
        <w:t>-diphenyl-1-butene.</w:t>
      </w:r>
    </w:p>
    <w:p w:rsidR="002E1315" w:rsidRPr="0008499F" w:rsidRDefault="002E1315">
      <w:r w:rsidRPr="0008499F">
        <w:t xml:space="preserve">NOLVADEX (tamoxifen) is a non-steroidal, </w:t>
      </w:r>
      <w:proofErr w:type="spellStart"/>
      <w:r w:rsidRPr="0008499F">
        <w:t>triphenylethylene</w:t>
      </w:r>
      <w:proofErr w:type="spellEnd"/>
      <w:r w:rsidRPr="0008499F">
        <w:t>-based drug which displays a complex spectrum of oestrogen antagonist and oestrogen agonist-like pharmacological effects in different tissues</w:t>
      </w:r>
      <w:r w:rsidR="008079C6">
        <w:t xml:space="preserve">. </w:t>
      </w:r>
      <w:r w:rsidRPr="0008499F">
        <w:t>In breast cancer patients, at the tumour level, tamoxifen acts primarily as an antioestrogen, preventing oestrogen bind</w:t>
      </w:r>
      <w:r w:rsidR="00847A2E">
        <w:t>ing to the oestrogen receptor.</w:t>
      </w:r>
    </w:p>
    <w:p w:rsidR="002E1315" w:rsidRPr="0008499F" w:rsidRDefault="002E1315">
      <w:pPr>
        <w:pStyle w:val="A-Heading1"/>
      </w:pPr>
      <w:r w:rsidRPr="0008499F">
        <w:t>PHARMACOLOGY</w:t>
      </w:r>
    </w:p>
    <w:p w:rsidR="002E1315" w:rsidRPr="0008499F" w:rsidRDefault="002E1315">
      <w:pPr>
        <w:pStyle w:val="A-Heading2"/>
      </w:pPr>
      <w:r w:rsidRPr="0008499F">
        <w:t>Pharmacokinetics</w:t>
      </w:r>
    </w:p>
    <w:p w:rsidR="002E1315" w:rsidRPr="0008499F" w:rsidRDefault="002E1315">
      <w:pPr>
        <w:pStyle w:val="A-Heading3"/>
      </w:pPr>
      <w:r w:rsidRPr="0008499F">
        <w:t>Absorption</w:t>
      </w:r>
    </w:p>
    <w:p w:rsidR="002E1315" w:rsidRPr="0008499F" w:rsidRDefault="002E1315">
      <w:r w:rsidRPr="0008499F">
        <w:t>Tamoxifen is absorbed from the gastrointestinal tract</w:t>
      </w:r>
      <w:r w:rsidR="008079C6">
        <w:t xml:space="preserve">. </w:t>
      </w:r>
      <w:r w:rsidRPr="0008499F">
        <w:t>However, the site and extent of absorption is not known</w:t>
      </w:r>
      <w:r w:rsidR="008079C6">
        <w:t xml:space="preserve">. </w:t>
      </w:r>
      <w:r w:rsidRPr="0008499F">
        <w:t xml:space="preserve">Peak serum levels </w:t>
      </w:r>
      <w:proofErr w:type="gramStart"/>
      <w:r w:rsidRPr="0008499F">
        <w:t xml:space="preserve">of 15 to 25 </w:t>
      </w:r>
      <w:proofErr w:type="spellStart"/>
      <w:r w:rsidRPr="0008499F">
        <w:t>nanogram</w:t>
      </w:r>
      <w:proofErr w:type="spellEnd"/>
      <w:r w:rsidRPr="0008499F">
        <w:t>/mL</w:t>
      </w:r>
      <w:proofErr w:type="gramEnd"/>
      <w:r w:rsidRPr="0008499F">
        <w:t xml:space="preserve"> were observed three to six hours after administration of a single oral dose of 10 mg tamoxifen</w:t>
      </w:r>
      <w:r w:rsidR="008079C6">
        <w:t xml:space="preserve">. </w:t>
      </w:r>
      <w:r w:rsidRPr="0008499F">
        <w:t>Steady state serum levels are achieved after approximately 4</w:t>
      </w:r>
      <w:r w:rsidR="00DA3C86" w:rsidRPr="0008499F">
        <w:t> </w:t>
      </w:r>
      <w:r w:rsidRPr="0008499F">
        <w:t>weeks therapy</w:t>
      </w:r>
      <w:r w:rsidR="008079C6">
        <w:t xml:space="preserve">. </w:t>
      </w:r>
      <w:r w:rsidRPr="0008499F">
        <w:t xml:space="preserve">Mean steady state values after dosing at 20 mg twice daily were </w:t>
      </w:r>
      <w:proofErr w:type="gramStart"/>
      <w:r w:rsidRPr="0008499F">
        <w:t xml:space="preserve">285 ± 19 </w:t>
      </w:r>
      <w:proofErr w:type="spellStart"/>
      <w:r w:rsidRPr="0008499F">
        <w:t>nanogram</w:t>
      </w:r>
      <w:proofErr w:type="spellEnd"/>
      <w:r w:rsidRPr="0008499F">
        <w:t>/mL</w:t>
      </w:r>
      <w:proofErr w:type="gramEnd"/>
      <w:r w:rsidRPr="0008499F">
        <w:t xml:space="preserve"> and 477 ± 35 </w:t>
      </w:r>
      <w:proofErr w:type="spellStart"/>
      <w:r w:rsidRPr="0008499F">
        <w:t>nanogram</w:t>
      </w:r>
      <w:proofErr w:type="spellEnd"/>
      <w:r w:rsidRPr="0008499F">
        <w:t>/mL for tamoxifen and N-</w:t>
      </w:r>
      <w:proofErr w:type="spellStart"/>
      <w:r w:rsidRPr="0008499F">
        <w:t>d</w:t>
      </w:r>
      <w:r w:rsidR="00847A2E">
        <w:t>esmethyltamoxifen</w:t>
      </w:r>
      <w:proofErr w:type="spellEnd"/>
      <w:r w:rsidR="00847A2E">
        <w:t xml:space="preserve"> respectively.</w:t>
      </w:r>
    </w:p>
    <w:p w:rsidR="002E1315" w:rsidRPr="0008499F" w:rsidRDefault="002E1315">
      <w:pPr>
        <w:pStyle w:val="A-Heading3"/>
      </w:pPr>
      <w:r w:rsidRPr="0008499F">
        <w:t>Bioavailability</w:t>
      </w:r>
    </w:p>
    <w:p w:rsidR="002E1315" w:rsidRPr="0008499F" w:rsidRDefault="002E1315">
      <w:r w:rsidRPr="0008499F">
        <w:t>No information available.</w:t>
      </w:r>
    </w:p>
    <w:p w:rsidR="002E1315" w:rsidRPr="0008499F" w:rsidRDefault="002E1315">
      <w:pPr>
        <w:pStyle w:val="A-Heading3"/>
      </w:pPr>
      <w:r w:rsidRPr="0008499F">
        <w:lastRenderedPageBreak/>
        <w:t>Distribution</w:t>
      </w:r>
    </w:p>
    <w:p w:rsidR="002E1315" w:rsidRPr="0008499F" w:rsidRDefault="002E1315">
      <w:r w:rsidRPr="0008499F">
        <w:t>Little information is available in humans</w:t>
      </w:r>
      <w:r w:rsidR="008079C6">
        <w:t xml:space="preserve">. </w:t>
      </w:r>
      <w:r w:rsidRPr="0008499F">
        <w:t>It has been found in the uterus and ovary, particularly in the endometrium and corpus luteum</w:t>
      </w:r>
      <w:r w:rsidR="008079C6">
        <w:t xml:space="preserve">. </w:t>
      </w:r>
      <w:r w:rsidRPr="0008499F">
        <w:t>Radioactivity studies in animals show high levels in the liver, lung, ovary and spleen</w:t>
      </w:r>
      <w:r w:rsidR="008079C6">
        <w:t xml:space="preserve">. </w:t>
      </w:r>
      <w:r w:rsidRPr="0008499F">
        <w:t>Low levels have been found in the pituitary, eyes and brain.</w:t>
      </w:r>
    </w:p>
    <w:p w:rsidR="002E1315" w:rsidRPr="0008499F" w:rsidRDefault="002E1315">
      <w:pPr>
        <w:pStyle w:val="A-Heading3"/>
      </w:pPr>
      <w:r w:rsidRPr="0008499F">
        <w:t>Protein Binding</w:t>
      </w:r>
    </w:p>
    <w:p w:rsidR="002E1315" w:rsidRPr="0008499F" w:rsidRDefault="002E1315">
      <w:r w:rsidRPr="0008499F">
        <w:t>The drug appears to be bound to an unknown degree to cytoplasmic protein receptors in all oestrogen target tissues, and is highly protein bound to serum albumin (&gt;99%).</w:t>
      </w:r>
    </w:p>
    <w:p w:rsidR="002E1315" w:rsidRPr="0008499F" w:rsidRDefault="002E1315">
      <w:pPr>
        <w:pStyle w:val="A-Heading3"/>
      </w:pPr>
      <w:r w:rsidRPr="0008499F">
        <w:t>Metabolism</w:t>
      </w:r>
    </w:p>
    <w:p w:rsidR="002E1315" w:rsidRPr="0008499F" w:rsidRDefault="002E1315">
      <w:r w:rsidRPr="0008499F">
        <w:t>Tamoxifen undergoes extensive metabolism in the liver by hydroxylation, demethylation and conjugation, giving rise to several metabolites</w:t>
      </w:r>
      <w:r w:rsidR="008079C6">
        <w:t xml:space="preserve">. </w:t>
      </w:r>
      <w:r w:rsidRPr="0008499F">
        <w:t>The major circulating metabolite of tamoxifen in humans is N-</w:t>
      </w:r>
      <w:proofErr w:type="spellStart"/>
      <w:r w:rsidRPr="0008499F">
        <w:t>desmethyltamoxifen</w:t>
      </w:r>
      <w:proofErr w:type="spellEnd"/>
      <w:r w:rsidRPr="0008499F">
        <w:t xml:space="preserve"> which has a pharmacological profile very similar to that of tamoxifen and thus contributes to the therapeutic effect</w:t>
      </w:r>
      <w:r w:rsidR="008079C6">
        <w:t xml:space="preserve">. </w:t>
      </w:r>
      <w:r w:rsidRPr="0008499F">
        <w:t xml:space="preserve">Other minor metabolites are formed, some of which also have </w:t>
      </w:r>
      <w:proofErr w:type="spellStart"/>
      <w:r w:rsidRPr="0008499F">
        <w:t>antioestrogenic</w:t>
      </w:r>
      <w:proofErr w:type="spellEnd"/>
      <w:r w:rsidRPr="0008499F">
        <w:t xml:space="preserve"> activity.</w:t>
      </w:r>
    </w:p>
    <w:p w:rsidR="002E1315" w:rsidRPr="0008499F" w:rsidRDefault="002E1315">
      <w:pPr>
        <w:pStyle w:val="A-Heading3"/>
      </w:pPr>
      <w:r w:rsidRPr="0008499F">
        <w:t>Excretion</w:t>
      </w:r>
    </w:p>
    <w:p w:rsidR="002E1315" w:rsidRPr="0008499F" w:rsidRDefault="002E1315">
      <w:r w:rsidRPr="0008499F">
        <w:t>The elimination of tamoxifen and its major metabolite N-</w:t>
      </w:r>
      <w:proofErr w:type="spellStart"/>
      <w:r w:rsidRPr="0008499F">
        <w:t>desmethyltamoxifen</w:t>
      </w:r>
      <w:proofErr w:type="spellEnd"/>
      <w:r w:rsidRPr="0008499F">
        <w:t xml:space="preserve"> is slow. This leads to extensive accumulation of both compounds in serum during chronic administration</w:t>
      </w:r>
      <w:r w:rsidR="008079C6">
        <w:t xml:space="preserve">. </w:t>
      </w:r>
      <w:r w:rsidRPr="0008499F">
        <w:t>Tamoxifen is mainly excreted via the faeces, with only small amounts appearing in the urine</w:t>
      </w:r>
      <w:r w:rsidR="008079C6">
        <w:t xml:space="preserve">. </w:t>
      </w:r>
      <w:r w:rsidRPr="0008499F">
        <w:t>The drug is excreted mainly as its conjugates</w:t>
      </w:r>
      <w:r w:rsidR="008079C6">
        <w:t xml:space="preserve">. </w:t>
      </w:r>
      <w:r w:rsidRPr="0008499F">
        <w:t>In one patient studied for 13 days after dosing, approximately 50% of the dose had been excreted in the faeces, and 13% in the urine</w:t>
      </w:r>
      <w:r w:rsidR="008079C6">
        <w:t xml:space="preserve">. </w:t>
      </w:r>
      <w:r w:rsidRPr="0008499F">
        <w:t>In animals, tamoxifen undergoes enterohepatic circulation, and is thought to do so in humans.</w:t>
      </w:r>
    </w:p>
    <w:p w:rsidR="002E1315" w:rsidRPr="0008499F" w:rsidRDefault="002E1315">
      <w:pPr>
        <w:pStyle w:val="A-Heading4"/>
        <w:keepNext w:val="0"/>
        <w:spacing w:after="240"/>
        <w:outlineLvl w:val="9"/>
        <w:rPr>
          <w:iCs/>
          <w:lang w:val="en-AU"/>
        </w:rPr>
      </w:pPr>
      <w:r w:rsidRPr="0008499F">
        <w:rPr>
          <w:i w:val="0"/>
          <w:lang w:val="en-AU"/>
        </w:rPr>
        <w:t>In a clinical study where girls between 2 and 10 years with McCune Albright Syndrome (MAS) received 20 mg tamoxifen once a day for up to 12 months duration, there was an age-dependent decrease in clearance and an increase in exposure (AUC), (with values up to 50% higher in the youngest patients) compared with adults</w:t>
      </w:r>
      <w:r w:rsidRPr="0008499F">
        <w:rPr>
          <w:iCs/>
          <w:lang w:val="en-AU"/>
        </w:rPr>
        <w:t>.</w:t>
      </w:r>
    </w:p>
    <w:p w:rsidR="002E1315" w:rsidRPr="0008499F" w:rsidRDefault="002E1315">
      <w:pPr>
        <w:pStyle w:val="A-Heading3"/>
      </w:pPr>
      <w:r w:rsidRPr="0008499F">
        <w:t>Half-Life</w:t>
      </w:r>
    </w:p>
    <w:p w:rsidR="002E1315" w:rsidRPr="0008499F" w:rsidRDefault="002E1315">
      <w:r w:rsidRPr="0008499F">
        <w:t>The elimination half-life of tamoxifen is estimated to be 5 to 7 days and 10 to 14</w:t>
      </w:r>
      <w:r w:rsidR="00DA3C86" w:rsidRPr="0008499F">
        <w:t> </w:t>
      </w:r>
      <w:r w:rsidRPr="0008499F">
        <w:t>days for N-</w:t>
      </w:r>
      <w:proofErr w:type="spellStart"/>
      <w:r w:rsidRPr="0008499F">
        <w:t>desmethyltamoxifen</w:t>
      </w:r>
      <w:proofErr w:type="spellEnd"/>
      <w:r w:rsidRPr="0008499F">
        <w:t>.</w:t>
      </w:r>
    </w:p>
    <w:p w:rsidR="002E1315" w:rsidRPr="0008499F" w:rsidRDefault="002E1315">
      <w:pPr>
        <w:pStyle w:val="A-Heading2"/>
      </w:pPr>
      <w:r w:rsidRPr="0008499F">
        <w:t>Clinical implications of pharmacokinetic data</w:t>
      </w:r>
    </w:p>
    <w:p w:rsidR="002E1315" w:rsidRPr="0008499F" w:rsidRDefault="002E1315">
      <w:r w:rsidRPr="0008499F">
        <w:t>As the main site of metabolism is the liver, and accumulation of the drug and its active metabolites is possible with prolonged treatment, dose and dosing interval may need adjustment in patients with liver disease.</w:t>
      </w:r>
    </w:p>
    <w:p w:rsidR="00476D94" w:rsidRPr="0008499F" w:rsidRDefault="00476D94" w:rsidP="00847A2E">
      <w:pPr>
        <w:pStyle w:val="A-Heading1"/>
        <w:rPr>
          <w:b w:val="0"/>
        </w:rPr>
      </w:pPr>
      <w:r w:rsidRPr="0008499F">
        <w:lastRenderedPageBreak/>
        <w:t>CLINICAL TRIALS</w:t>
      </w:r>
    </w:p>
    <w:p w:rsidR="00A31784" w:rsidRPr="0008499F" w:rsidRDefault="00A31784" w:rsidP="00847A2E">
      <w:pPr>
        <w:pStyle w:val="A-Heading2"/>
      </w:pPr>
      <w:r w:rsidRPr="0008499F">
        <w:t xml:space="preserve">Primary </w:t>
      </w:r>
      <w:r w:rsidR="00511CCC" w:rsidRPr="0008499F">
        <w:t>r</w:t>
      </w:r>
      <w:r w:rsidR="009667E5" w:rsidRPr="0008499F">
        <w:t>eduction of b</w:t>
      </w:r>
      <w:r w:rsidRPr="0008499F">
        <w:t xml:space="preserve">reast </w:t>
      </w:r>
      <w:r w:rsidR="009667E5" w:rsidRPr="0008499F">
        <w:t>c</w:t>
      </w:r>
      <w:r w:rsidRPr="0008499F">
        <w:t>ancer</w:t>
      </w:r>
      <w:r w:rsidR="003B106D" w:rsidRPr="0008499F">
        <w:t xml:space="preserve"> risk</w:t>
      </w:r>
    </w:p>
    <w:p w:rsidR="00476D94" w:rsidRPr="0008499F" w:rsidRDefault="00476D94" w:rsidP="00014165">
      <w:pPr>
        <w:keepNext/>
        <w:keepLines/>
      </w:pPr>
      <w:r w:rsidRPr="0008499F">
        <w:t xml:space="preserve">The breast cancer primary </w:t>
      </w:r>
      <w:r w:rsidR="009667E5" w:rsidRPr="0008499F">
        <w:t>risk reduction</w:t>
      </w:r>
      <w:r w:rsidRPr="0008499F">
        <w:t xml:space="preserve"> trials include the International Breast Cancer Intervention Study (IBIS-1), the National Surgical Adjuvant Breast and Bowel Project P1 study (NSABP P1)</w:t>
      </w:r>
      <w:hyperlink w:anchor="_ENREF_7" w:tooltip="Powles, 2007 #1669" w:history="1"/>
      <w:r w:rsidRPr="0008499F">
        <w:t>, and the Royal Marsden Hospital chemoprevention trial (Royal Marsden)</w:t>
      </w:r>
      <w:r w:rsidR="008079C6">
        <w:t xml:space="preserve">. </w:t>
      </w:r>
      <w:r w:rsidRPr="0008499F">
        <w:t>All trials were double-blind placebo-controlled randomised trials of oral tamoxifen (20 mg per day) for the primary</w:t>
      </w:r>
      <w:r w:rsidR="009667E5" w:rsidRPr="0008499F">
        <w:t xml:space="preserve"> reduction of </w:t>
      </w:r>
      <w:r w:rsidRPr="0008499F">
        <w:t>breast cancer</w:t>
      </w:r>
      <w:r w:rsidR="003B106D" w:rsidRPr="0008499F">
        <w:t xml:space="preserve"> risk</w:t>
      </w:r>
      <w:r w:rsidRPr="0008499F">
        <w:t xml:space="preserve"> in women at increased risk of breast cancer</w:t>
      </w:r>
      <w:r w:rsidR="008079C6">
        <w:t xml:space="preserve">. </w:t>
      </w:r>
      <w:r w:rsidRPr="0008499F">
        <w:t>Women were treated for 5 years (IBIS-1 and NSABP P1) or 8 years (Royal Marsden) and followed for up to 20</w:t>
      </w:r>
      <w:r w:rsidR="00DA3C86" w:rsidRPr="0008499F">
        <w:t> </w:t>
      </w:r>
      <w:r w:rsidRPr="0008499F">
        <w:t>years.</w:t>
      </w:r>
    </w:p>
    <w:p w:rsidR="00CE47C4" w:rsidRPr="0008499F" w:rsidRDefault="00CE47C4" w:rsidP="00014165">
      <w:pPr>
        <w:keepNext/>
        <w:keepLines/>
      </w:pPr>
      <w:r w:rsidRPr="0008499F">
        <w:t>The IBIS-1, NSABP P1, and Royal Marsden trials all defined breast cancer risk differently</w:t>
      </w:r>
      <w:r w:rsidR="00EC1791">
        <w:t xml:space="preserve">, and recruited women with both moderate or high </w:t>
      </w:r>
      <w:r w:rsidR="00725219">
        <w:t xml:space="preserve">lifetime </w:t>
      </w:r>
      <w:r w:rsidR="00EC1791">
        <w:t>risk</w:t>
      </w:r>
      <w:r w:rsidRPr="0008499F">
        <w:t xml:space="preserve">: IBIS-I included women with a two-fold relative risk if they were aged 45 to 70 years, a four-fold relative risk if they were aged 40 to 44 years, or a ten-fold relative risk if they were aged 35 to 39 years; NSABP P1 included women aged ≥60 years or aged 35 to 59 years with a 5-year predicted risk for breast cancer of at least 1.66% as determined using a modified Gail’s model or a history of lobular carcinoma in situ (LCIS) or atypical hyperplasia; and Royal Marsden included healthy women aged 30 </w:t>
      </w:r>
      <w:r w:rsidR="003A415E">
        <w:t>to</w:t>
      </w:r>
      <w:r w:rsidRPr="0008499F">
        <w:t xml:space="preserve"> 70 years old with a</w:t>
      </w:r>
      <w:r w:rsidR="00BE42F3" w:rsidRPr="0008499F">
        <w:t>n increased</w:t>
      </w:r>
      <w:r w:rsidRPr="0008499F">
        <w:t xml:space="preserve"> risk of developing breast cancer based on family history.</w:t>
      </w:r>
    </w:p>
    <w:p w:rsidR="00476D94" w:rsidRPr="0008499F" w:rsidRDefault="00476D94" w:rsidP="00623994">
      <w:pPr>
        <w:pStyle w:val="BodyText"/>
        <w:spacing w:after="240"/>
        <w:rPr>
          <w:lang w:eastAsia="en-GB"/>
        </w:rPr>
      </w:pPr>
      <w:r w:rsidRPr="0008499F">
        <w:rPr>
          <w:lang w:eastAsia="en-GB"/>
        </w:rPr>
        <w:t>All trials excluded women with</w:t>
      </w:r>
      <w:r w:rsidR="00D00B7D" w:rsidRPr="0008499F">
        <w:rPr>
          <w:lang w:eastAsia="en-GB"/>
        </w:rPr>
        <w:t xml:space="preserve"> </w:t>
      </w:r>
      <w:r w:rsidRPr="0008499F">
        <w:rPr>
          <w:lang w:eastAsia="en-GB"/>
        </w:rPr>
        <w:t>breast cancer</w:t>
      </w:r>
      <w:r w:rsidR="00D00B7D" w:rsidRPr="0008499F">
        <w:rPr>
          <w:lang w:eastAsia="en-GB"/>
        </w:rPr>
        <w:t xml:space="preserve"> (apart from Lobular Carcinoma In Situ - LCIS)</w:t>
      </w:r>
      <w:r w:rsidRPr="0008499F">
        <w:rPr>
          <w:lang w:eastAsia="en-GB"/>
        </w:rPr>
        <w:t>, a history of invasive cancer, pregnancy, and current or past deep vein thrombosis or pulmonary embolism</w:t>
      </w:r>
      <w:r w:rsidR="008079C6">
        <w:rPr>
          <w:lang w:eastAsia="en-GB"/>
        </w:rPr>
        <w:t xml:space="preserve">. </w:t>
      </w:r>
      <w:r w:rsidRPr="0008499F">
        <w:rPr>
          <w:lang w:eastAsia="en-GB"/>
        </w:rPr>
        <w:t xml:space="preserve">Other relevant exclusion criteria included the </w:t>
      </w:r>
      <w:r w:rsidR="00E54BCE" w:rsidRPr="0008499F">
        <w:rPr>
          <w:lang w:val="en-AU" w:eastAsia="en-GB"/>
        </w:rPr>
        <w:t xml:space="preserve">current </w:t>
      </w:r>
      <w:r w:rsidRPr="0008499F">
        <w:rPr>
          <w:lang w:eastAsia="en-GB"/>
        </w:rPr>
        <w:t>use of oral contraceptives (NSABP P1, Royal Marsden), recent or current hormone replacement therapy (NSABP P1), and current anticoagulant use (IBIS</w:t>
      </w:r>
      <w:r w:rsidR="003852FA" w:rsidRPr="0008499F">
        <w:rPr>
          <w:lang w:eastAsia="en-GB"/>
        </w:rPr>
        <w:noBreakHyphen/>
      </w:r>
      <w:r w:rsidRPr="0008499F">
        <w:rPr>
          <w:lang w:eastAsia="en-GB"/>
        </w:rPr>
        <w:t>I).</w:t>
      </w:r>
    </w:p>
    <w:p w:rsidR="00476D94" w:rsidRPr="0008499F" w:rsidRDefault="00476D94" w:rsidP="00623994">
      <w:pPr>
        <w:pStyle w:val="BodyText"/>
        <w:spacing w:after="240"/>
        <w:rPr>
          <w:lang w:eastAsia="en-GB"/>
        </w:rPr>
      </w:pPr>
      <w:r w:rsidRPr="0008499F">
        <w:rPr>
          <w:lang w:eastAsia="en-GB"/>
        </w:rPr>
        <w:t>The majority of women in all trials were aged 59 years or below. NSABP P1 included the largest proportion of women aged 60 years or over (30%)</w:t>
      </w:r>
      <w:r w:rsidR="008079C6">
        <w:rPr>
          <w:lang w:eastAsia="en-GB"/>
        </w:rPr>
        <w:t xml:space="preserve">. </w:t>
      </w:r>
      <w:r w:rsidRPr="0008499F">
        <w:rPr>
          <w:lang w:eastAsia="en-GB"/>
        </w:rPr>
        <w:t>In NSABP P1, the majority of women were white (96%); race was not reported in the other trials</w:t>
      </w:r>
      <w:r w:rsidR="008079C6">
        <w:rPr>
          <w:lang w:eastAsia="en-GB"/>
        </w:rPr>
        <w:t xml:space="preserve">. </w:t>
      </w:r>
      <w:r w:rsidRPr="0008499F">
        <w:rPr>
          <w:lang w:eastAsia="en-GB"/>
        </w:rPr>
        <w:t>A substantial proportion of women in all trials were premenopausal (46% in IBIS-I and 65% in Royal Marsden) or younger than 50 years old (37% NSABP P1).</w:t>
      </w:r>
    </w:p>
    <w:p w:rsidR="00207EA0" w:rsidRPr="0008499F" w:rsidRDefault="00207EA0" w:rsidP="00207EA0">
      <w:pPr>
        <w:rPr>
          <w:lang w:eastAsia="en-GB"/>
        </w:rPr>
      </w:pPr>
      <w:r w:rsidRPr="0008499F">
        <w:t xml:space="preserve">Efficacy results from the trials are shown in </w:t>
      </w:r>
      <w:r>
        <w:t>t</w:t>
      </w:r>
      <w:r w:rsidRPr="0008499F">
        <w:t>ables 1</w:t>
      </w:r>
      <w:r>
        <w:t xml:space="preserve"> and 2.</w:t>
      </w:r>
      <w:r w:rsidRPr="0008499F">
        <w:t xml:space="preserve"> </w:t>
      </w:r>
      <w:r>
        <w:t>Table 1</w:t>
      </w:r>
      <w:r w:rsidRPr="0008499F">
        <w:t xml:space="preserve"> include</w:t>
      </w:r>
      <w:r>
        <w:t>s</w:t>
      </w:r>
      <w:r w:rsidRPr="0008499F">
        <w:t xml:space="preserve"> results of a meta-analysis of individual participant data from over 28,000 women who were treated with tamoxifen or placebo for the primary reduction of breast cancer risk</w:t>
      </w:r>
      <w:r w:rsidR="008079C6">
        <w:t xml:space="preserve">. </w:t>
      </w:r>
      <w:r w:rsidRPr="0008499F">
        <w:rPr>
          <w:lang w:eastAsia="en-GB"/>
        </w:rPr>
        <w:t xml:space="preserve">The results of the individual trials were generally consistent with the findings in the meta-analysis and the risk reduction effects of tamoxifen </w:t>
      </w:r>
      <w:r w:rsidRPr="0008499F">
        <w:t>lasted for more than 10 years after treatment ended.</w:t>
      </w:r>
      <w:r>
        <w:t xml:space="preserve"> Table 2 shows the number needed to treat (NNT) to prevent a diagnosis of breast cancer based on the same data.</w:t>
      </w:r>
    </w:p>
    <w:p w:rsidR="00207EA0" w:rsidRPr="0008499F" w:rsidRDefault="00847A2E" w:rsidP="009349FF">
      <w:pPr>
        <w:pStyle w:val="Caption"/>
        <w:pageBreakBefore/>
        <w:rPr>
          <w:rFonts w:ascii="Arial" w:hAnsi="Arial" w:cs="Arial"/>
          <w:szCs w:val="24"/>
        </w:rPr>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w:t>
      </w:r>
      <w:r w:rsidR="00207EA0" w:rsidRPr="00847A2E">
        <w:t>Summary of Efficacy Results from the Primary Risk Reduction Trials</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1 Summary of Efficacy Results from the Primary Risk Reduction Trials"/>
      </w:tblPr>
      <w:tblGrid>
        <w:gridCol w:w="1696"/>
        <w:gridCol w:w="992"/>
        <w:gridCol w:w="1106"/>
        <w:gridCol w:w="895"/>
        <w:gridCol w:w="897"/>
        <w:gridCol w:w="895"/>
        <w:gridCol w:w="897"/>
        <w:gridCol w:w="895"/>
        <w:gridCol w:w="895"/>
      </w:tblGrid>
      <w:tr w:rsidR="00207EA0" w:rsidRPr="0008499F" w:rsidTr="00847A2E">
        <w:trPr>
          <w:trHeight w:val="592"/>
          <w:tblHeader/>
        </w:trPr>
        <w:tc>
          <w:tcPr>
            <w:tcW w:w="925" w:type="pct"/>
            <w:vMerge w:val="restart"/>
            <w:shd w:val="clear" w:color="auto" w:fill="E7E6E6"/>
            <w:vAlign w:val="bottom"/>
          </w:tcPr>
          <w:p w:rsidR="00207EA0" w:rsidRPr="0008499F" w:rsidRDefault="00207EA0" w:rsidP="00847A2E">
            <w:pPr>
              <w:pStyle w:val="TableH1"/>
              <w:keepNext w:val="0"/>
              <w:spacing w:beforeLines="60" w:before="144" w:afterLines="60" w:after="144"/>
              <w:rPr>
                <w:rFonts w:ascii="Arial" w:hAnsi="Arial" w:cs="Arial"/>
                <w:sz w:val="18"/>
                <w:szCs w:val="18"/>
              </w:rPr>
            </w:pPr>
          </w:p>
        </w:tc>
        <w:tc>
          <w:tcPr>
            <w:tcW w:w="1144" w:type="pct"/>
            <w:gridSpan w:val="2"/>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vertAlign w:val="superscript"/>
              </w:rPr>
            </w:pPr>
            <w:proofErr w:type="spellStart"/>
            <w:r w:rsidRPr="0008499F">
              <w:rPr>
                <w:rFonts w:ascii="Arial" w:hAnsi="Arial" w:cs="Arial"/>
                <w:sz w:val="18"/>
                <w:szCs w:val="18"/>
              </w:rPr>
              <w:t>Cuzick</w:t>
            </w:r>
            <w:proofErr w:type="spellEnd"/>
            <w:r w:rsidRPr="0008499F">
              <w:rPr>
                <w:rFonts w:ascii="Arial" w:hAnsi="Arial" w:cs="Arial"/>
                <w:sz w:val="18"/>
                <w:szCs w:val="18"/>
              </w:rPr>
              <w:t xml:space="preserve"> meta-</w:t>
            </w:r>
            <w:proofErr w:type="spellStart"/>
            <w:r w:rsidRPr="0008499F">
              <w:rPr>
                <w:rFonts w:ascii="Arial" w:hAnsi="Arial" w:cs="Arial"/>
                <w:sz w:val="18"/>
                <w:szCs w:val="18"/>
              </w:rPr>
              <w:t>analysis</w:t>
            </w:r>
            <w:r w:rsidRPr="0008499F">
              <w:rPr>
                <w:rFonts w:ascii="Arial" w:hAnsi="Arial" w:cs="Arial"/>
                <w:sz w:val="18"/>
                <w:szCs w:val="18"/>
                <w:vertAlign w:val="superscript"/>
              </w:rPr>
              <w:t>a</w:t>
            </w:r>
            <w:proofErr w:type="spellEnd"/>
          </w:p>
        </w:tc>
        <w:tc>
          <w:tcPr>
            <w:tcW w:w="977" w:type="pct"/>
            <w:gridSpan w:val="2"/>
            <w:tcBorders>
              <w:bottom w:val="single" w:sz="4" w:space="0" w:color="auto"/>
            </w:tcBorders>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vertAlign w:val="superscript"/>
              </w:rPr>
            </w:pPr>
            <w:r w:rsidRPr="0008499F">
              <w:rPr>
                <w:rFonts w:ascii="Arial" w:hAnsi="Arial" w:cs="Arial"/>
                <w:sz w:val="18"/>
                <w:szCs w:val="18"/>
              </w:rPr>
              <w:t>IBIS-</w:t>
            </w:r>
            <w:proofErr w:type="spellStart"/>
            <w:r w:rsidRPr="0008499F">
              <w:rPr>
                <w:rFonts w:ascii="Arial" w:hAnsi="Arial" w:cs="Arial"/>
                <w:sz w:val="18"/>
                <w:szCs w:val="18"/>
              </w:rPr>
              <w:t>I</w:t>
            </w:r>
            <w:r w:rsidRPr="0008499F">
              <w:rPr>
                <w:rFonts w:ascii="Arial" w:hAnsi="Arial" w:cs="Arial"/>
                <w:sz w:val="18"/>
                <w:szCs w:val="18"/>
                <w:vertAlign w:val="superscript"/>
              </w:rPr>
              <w:t>b</w:t>
            </w:r>
            <w:proofErr w:type="spellEnd"/>
          </w:p>
        </w:tc>
        <w:tc>
          <w:tcPr>
            <w:tcW w:w="977" w:type="pct"/>
            <w:gridSpan w:val="2"/>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vertAlign w:val="superscript"/>
              </w:rPr>
            </w:pPr>
            <w:r w:rsidRPr="0008499F">
              <w:rPr>
                <w:rFonts w:ascii="Arial" w:hAnsi="Arial" w:cs="Arial"/>
                <w:sz w:val="18"/>
                <w:szCs w:val="18"/>
              </w:rPr>
              <w:t>NSABP P1</w:t>
            </w:r>
            <w:r w:rsidRPr="0008499F">
              <w:rPr>
                <w:rFonts w:ascii="Arial" w:hAnsi="Arial" w:cs="Arial"/>
                <w:sz w:val="18"/>
                <w:szCs w:val="18"/>
                <w:vertAlign w:val="superscript"/>
              </w:rPr>
              <w:t>c</w:t>
            </w:r>
          </w:p>
        </w:tc>
        <w:tc>
          <w:tcPr>
            <w:tcW w:w="976" w:type="pct"/>
            <w:gridSpan w:val="2"/>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vertAlign w:val="superscript"/>
              </w:rPr>
            </w:pPr>
            <w:r w:rsidRPr="0008499F">
              <w:rPr>
                <w:rFonts w:ascii="Arial" w:hAnsi="Arial" w:cs="Arial"/>
                <w:sz w:val="18"/>
                <w:szCs w:val="18"/>
              </w:rPr>
              <w:t xml:space="preserve">Royal </w:t>
            </w:r>
            <w:proofErr w:type="spellStart"/>
            <w:r w:rsidRPr="0008499F">
              <w:rPr>
                <w:rFonts w:ascii="Arial" w:hAnsi="Arial" w:cs="Arial"/>
                <w:sz w:val="18"/>
                <w:szCs w:val="18"/>
              </w:rPr>
              <w:t>Marsden</w:t>
            </w:r>
            <w:r w:rsidRPr="0008499F">
              <w:rPr>
                <w:rFonts w:ascii="Arial" w:hAnsi="Arial" w:cs="Arial"/>
                <w:sz w:val="18"/>
                <w:szCs w:val="18"/>
                <w:vertAlign w:val="superscript"/>
              </w:rPr>
              <w:t>d</w:t>
            </w:r>
            <w:proofErr w:type="spellEnd"/>
          </w:p>
        </w:tc>
      </w:tr>
      <w:tr w:rsidR="00207EA0" w:rsidRPr="0008499F" w:rsidTr="00847A2E">
        <w:trPr>
          <w:tblHeader/>
        </w:trPr>
        <w:tc>
          <w:tcPr>
            <w:tcW w:w="925" w:type="pct"/>
            <w:vMerge/>
            <w:shd w:val="clear" w:color="auto" w:fill="E7E6E6"/>
          </w:tcPr>
          <w:p w:rsidR="00207EA0" w:rsidRPr="0008499F" w:rsidRDefault="00207EA0" w:rsidP="006B644D">
            <w:pPr>
              <w:pStyle w:val="TableH1"/>
              <w:spacing w:beforeLines="60" w:before="144" w:afterLines="60" w:after="144"/>
              <w:rPr>
                <w:rFonts w:ascii="Arial" w:hAnsi="Arial" w:cs="Arial"/>
                <w:sz w:val="18"/>
                <w:szCs w:val="18"/>
              </w:rPr>
            </w:pPr>
          </w:p>
        </w:tc>
        <w:tc>
          <w:tcPr>
            <w:tcW w:w="541" w:type="pct"/>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proofErr w:type="spellStart"/>
            <w:r w:rsidRPr="0008499F">
              <w:rPr>
                <w:rFonts w:ascii="Arial" w:hAnsi="Arial" w:cs="Arial"/>
                <w:sz w:val="18"/>
                <w:szCs w:val="18"/>
              </w:rPr>
              <w:t>Tamox</w:t>
            </w:r>
            <w:proofErr w:type="spellEnd"/>
            <w:r w:rsidRPr="0008499F">
              <w:rPr>
                <w:rFonts w:ascii="Arial" w:hAnsi="Arial" w:cs="Arial"/>
                <w:sz w:val="18"/>
                <w:szCs w:val="18"/>
              </w:rPr>
              <w:br/>
              <w:t>n=14,192</w:t>
            </w:r>
          </w:p>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Events</w:t>
            </w:r>
          </w:p>
        </w:tc>
        <w:tc>
          <w:tcPr>
            <w:tcW w:w="603" w:type="pct"/>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Placeb</w:t>
            </w:r>
            <w:r>
              <w:rPr>
                <w:rFonts w:ascii="Arial" w:hAnsi="Arial" w:cs="Arial"/>
                <w:sz w:val="18"/>
                <w:szCs w:val="18"/>
              </w:rPr>
              <w:t>o</w:t>
            </w:r>
            <w:r w:rsidRPr="0008499F">
              <w:rPr>
                <w:rFonts w:ascii="Arial" w:hAnsi="Arial" w:cs="Arial"/>
                <w:sz w:val="18"/>
                <w:szCs w:val="18"/>
              </w:rPr>
              <w:br/>
              <w:t>n=14,214</w:t>
            </w:r>
          </w:p>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Events</w:t>
            </w:r>
          </w:p>
        </w:tc>
        <w:tc>
          <w:tcPr>
            <w:tcW w:w="488" w:type="pct"/>
            <w:tcBorders>
              <w:bottom w:val="single" w:sz="4" w:space="0" w:color="auto"/>
            </w:tcBorders>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proofErr w:type="spellStart"/>
            <w:r w:rsidRPr="0008499F">
              <w:rPr>
                <w:rFonts w:ascii="Arial" w:hAnsi="Arial" w:cs="Arial"/>
                <w:sz w:val="18"/>
                <w:szCs w:val="18"/>
              </w:rPr>
              <w:t>Tamox</w:t>
            </w:r>
            <w:proofErr w:type="spellEnd"/>
            <w:r w:rsidRPr="0008499F">
              <w:rPr>
                <w:rFonts w:ascii="Arial" w:hAnsi="Arial" w:cs="Arial"/>
                <w:sz w:val="18"/>
                <w:szCs w:val="18"/>
              </w:rPr>
              <w:t xml:space="preserve"> n=3579</w:t>
            </w:r>
          </w:p>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Events</w:t>
            </w:r>
          </w:p>
        </w:tc>
        <w:tc>
          <w:tcPr>
            <w:tcW w:w="489" w:type="pct"/>
            <w:tcBorders>
              <w:bottom w:val="single" w:sz="4" w:space="0" w:color="auto"/>
            </w:tcBorders>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Placeb</w:t>
            </w:r>
            <w:r>
              <w:rPr>
                <w:rFonts w:ascii="Arial" w:hAnsi="Arial" w:cs="Arial"/>
                <w:sz w:val="18"/>
                <w:szCs w:val="18"/>
              </w:rPr>
              <w:t>o</w:t>
            </w:r>
            <w:r w:rsidRPr="0008499F">
              <w:rPr>
                <w:rFonts w:ascii="Arial" w:hAnsi="Arial" w:cs="Arial"/>
                <w:sz w:val="18"/>
                <w:szCs w:val="18"/>
              </w:rPr>
              <w:br/>
              <w:t>n=3575</w:t>
            </w:r>
          </w:p>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Events</w:t>
            </w:r>
          </w:p>
        </w:tc>
        <w:tc>
          <w:tcPr>
            <w:tcW w:w="488" w:type="pct"/>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proofErr w:type="spellStart"/>
            <w:r w:rsidRPr="0008499F">
              <w:rPr>
                <w:rFonts w:ascii="Arial" w:hAnsi="Arial" w:cs="Arial"/>
                <w:sz w:val="18"/>
                <w:szCs w:val="18"/>
              </w:rPr>
              <w:t>Tamox</w:t>
            </w:r>
            <w:proofErr w:type="spellEnd"/>
            <w:r w:rsidRPr="0008499F">
              <w:rPr>
                <w:rFonts w:ascii="Arial" w:hAnsi="Arial" w:cs="Arial"/>
                <w:sz w:val="18"/>
                <w:szCs w:val="18"/>
              </w:rPr>
              <w:br/>
              <w:t>n=6597</w:t>
            </w:r>
          </w:p>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Events</w:t>
            </w:r>
          </w:p>
        </w:tc>
        <w:tc>
          <w:tcPr>
            <w:tcW w:w="489" w:type="pct"/>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proofErr w:type="spellStart"/>
            <w:r w:rsidRPr="0008499F">
              <w:rPr>
                <w:rFonts w:ascii="Arial" w:hAnsi="Arial" w:cs="Arial"/>
                <w:sz w:val="18"/>
                <w:szCs w:val="18"/>
              </w:rPr>
              <w:t>Placeb</w:t>
            </w:r>
            <w:proofErr w:type="spellEnd"/>
            <w:r w:rsidRPr="0008499F">
              <w:rPr>
                <w:rFonts w:ascii="Arial" w:hAnsi="Arial" w:cs="Arial"/>
                <w:sz w:val="18"/>
                <w:szCs w:val="18"/>
              </w:rPr>
              <w:br/>
              <w:t>n=6610</w:t>
            </w:r>
          </w:p>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Events</w:t>
            </w:r>
          </w:p>
        </w:tc>
        <w:tc>
          <w:tcPr>
            <w:tcW w:w="488" w:type="pct"/>
            <w:shd w:val="clear" w:color="auto" w:fill="E7E6E6"/>
            <w:vAlign w:val="center"/>
          </w:tcPr>
          <w:p w:rsidR="00207EA0" w:rsidRPr="0008499F" w:rsidRDefault="00207EA0" w:rsidP="006B644D">
            <w:pPr>
              <w:pStyle w:val="TableH1"/>
              <w:spacing w:beforeLines="60" w:before="144" w:afterLines="60" w:after="144"/>
              <w:rPr>
                <w:rFonts w:ascii="Arial" w:hAnsi="Arial" w:cs="Arial"/>
                <w:sz w:val="18"/>
                <w:szCs w:val="18"/>
              </w:rPr>
            </w:pPr>
            <w:proofErr w:type="spellStart"/>
            <w:r w:rsidRPr="0008499F">
              <w:rPr>
                <w:rFonts w:ascii="Arial" w:hAnsi="Arial" w:cs="Arial"/>
                <w:sz w:val="18"/>
                <w:szCs w:val="18"/>
              </w:rPr>
              <w:t>Tamox</w:t>
            </w:r>
            <w:proofErr w:type="spellEnd"/>
            <w:r w:rsidRPr="0008499F">
              <w:rPr>
                <w:rFonts w:ascii="Arial" w:hAnsi="Arial" w:cs="Arial"/>
                <w:sz w:val="18"/>
                <w:szCs w:val="18"/>
              </w:rPr>
              <w:br/>
              <w:t>n=1238</w:t>
            </w:r>
          </w:p>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Events</w:t>
            </w:r>
          </w:p>
        </w:tc>
        <w:tc>
          <w:tcPr>
            <w:tcW w:w="488" w:type="pct"/>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proofErr w:type="spellStart"/>
            <w:r w:rsidRPr="0008499F">
              <w:rPr>
                <w:rFonts w:ascii="Arial" w:hAnsi="Arial" w:cs="Arial"/>
                <w:sz w:val="18"/>
                <w:szCs w:val="18"/>
              </w:rPr>
              <w:t>Placeb</w:t>
            </w:r>
            <w:proofErr w:type="spellEnd"/>
            <w:r w:rsidRPr="0008499F">
              <w:rPr>
                <w:rFonts w:ascii="Arial" w:hAnsi="Arial" w:cs="Arial"/>
                <w:sz w:val="18"/>
                <w:szCs w:val="18"/>
              </w:rPr>
              <w:br/>
              <w:t>n=1233</w:t>
            </w:r>
          </w:p>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Events</w:t>
            </w:r>
          </w:p>
        </w:tc>
      </w:tr>
      <w:tr w:rsidR="00207EA0" w:rsidRPr="0008499F" w:rsidTr="00847A2E">
        <w:trPr>
          <w:tblHeader/>
        </w:trPr>
        <w:tc>
          <w:tcPr>
            <w:tcW w:w="925" w:type="pct"/>
            <w:vMerge/>
            <w:shd w:val="clear" w:color="auto" w:fill="E7E6E6"/>
          </w:tcPr>
          <w:p w:rsidR="00207EA0" w:rsidRPr="0008499F" w:rsidRDefault="00207EA0" w:rsidP="006B644D">
            <w:pPr>
              <w:pStyle w:val="TableH1"/>
              <w:spacing w:beforeLines="60" w:before="144" w:afterLines="60" w:after="144"/>
              <w:rPr>
                <w:rFonts w:ascii="Arial" w:hAnsi="Arial" w:cs="Arial"/>
                <w:sz w:val="18"/>
                <w:szCs w:val="18"/>
              </w:rPr>
            </w:pPr>
          </w:p>
        </w:tc>
        <w:tc>
          <w:tcPr>
            <w:tcW w:w="1144" w:type="pct"/>
            <w:gridSpan w:val="2"/>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HR (95% CI)</w:t>
            </w:r>
          </w:p>
        </w:tc>
        <w:tc>
          <w:tcPr>
            <w:tcW w:w="977" w:type="pct"/>
            <w:gridSpan w:val="2"/>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HR (95% CI)</w:t>
            </w:r>
          </w:p>
        </w:tc>
        <w:tc>
          <w:tcPr>
            <w:tcW w:w="977" w:type="pct"/>
            <w:gridSpan w:val="2"/>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RR (95% CI)</w:t>
            </w:r>
          </w:p>
        </w:tc>
        <w:tc>
          <w:tcPr>
            <w:tcW w:w="976" w:type="pct"/>
            <w:gridSpan w:val="2"/>
            <w:shd w:val="clear" w:color="auto" w:fill="E7E6E6"/>
            <w:vAlign w:val="center"/>
          </w:tcPr>
          <w:p w:rsidR="00207EA0" w:rsidRPr="0008499F" w:rsidRDefault="00207EA0" w:rsidP="006B644D">
            <w:pPr>
              <w:pStyle w:val="TableH1"/>
              <w:spacing w:beforeLines="60" w:before="144" w:afterLines="60" w:after="144"/>
              <w:jc w:val="center"/>
              <w:rPr>
                <w:rFonts w:ascii="Arial" w:hAnsi="Arial" w:cs="Arial"/>
                <w:sz w:val="18"/>
                <w:szCs w:val="18"/>
              </w:rPr>
            </w:pPr>
            <w:r w:rsidRPr="0008499F">
              <w:rPr>
                <w:rFonts w:ascii="Arial" w:hAnsi="Arial" w:cs="Arial"/>
                <w:sz w:val="18"/>
                <w:szCs w:val="18"/>
              </w:rPr>
              <w:t>HR (95% CI)</w:t>
            </w:r>
          </w:p>
        </w:tc>
      </w:tr>
      <w:tr w:rsidR="00207EA0" w:rsidRPr="0008499F" w:rsidTr="006B644D">
        <w:tc>
          <w:tcPr>
            <w:tcW w:w="925" w:type="pct"/>
            <w:vMerge w:val="restart"/>
            <w:shd w:val="clear" w:color="auto" w:fill="auto"/>
          </w:tcPr>
          <w:p w:rsidR="00207EA0" w:rsidRPr="0008499F" w:rsidRDefault="00207EA0" w:rsidP="006B644D">
            <w:pPr>
              <w:pStyle w:val="Tabletext"/>
              <w:spacing w:beforeLines="60" w:before="144" w:afterLines="60" w:after="144"/>
              <w:rPr>
                <w:rFonts w:cs="Arial"/>
                <w:sz w:val="18"/>
                <w:szCs w:val="18"/>
                <w:lang w:val="en-AU"/>
              </w:rPr>
            </w:pPr>
            <w:r w:rsidRPr="0008499F">
              <w:rPr>
                <w:rFonts w:cs="Arial"/>
                <w:sz w:val="18"/>
                <w:szCs w:val="18"/>
                <w:lang w:val="en-AU"/>
              </w:rPr>
              <w:t xml:space="preserve">All breast cancer </w:t>
            </w:r>
          </w:p>
        </w:tc>
        <w:tc>
          <w:tcPr>
            <w:tcW w:w="541"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431</w:t>
            </w:r>
          </w:p>
        </w:tc>
        <w:tc>
          <w:tcPr>
            <w:tcW w:w="603"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634</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251</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350</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205</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343</w:t>
            </w:r>
          </w:p>
        </w:tc>
        <w:tc>
          <w:tcPr>
            <w:tcW w:w="488" w:type="pct"/>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96</w:t>
            </w:r>
          </w:p>
        </w:tc>
        <w:tc>
          <w:tcPr>
            <w:tcW w:w="488" w:type="pct"/>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113</w:t>
            </w:r>
          </w:p>
        </w:tc>
      </w:tr>
      <w:tr w:rsidR="00207EA0" w:rsidRPr="0008499F" w:rsidTr="006B644D">
        <w:tc>
          <w:tcPr>
            <w:tcW w:w="925" w:type="pct"/>
            <w:vMerge/>
            <w:shd w:val="clear" w:color="auto" w:fill="auto"/>
          </w:tcPr>
          <w:p w:rsidR="00207EA0" w:rsidRPr="0008499F" w:rsidRDefault="00207EA0" w:rsidP="006B644D">
            <w:pPr>
              <w:pStyle w:val="Tabletext"/>
              <w:spacing w:beforeLines="60" w:before="144" w:afterLines="60" w:after="144"/>
              <w:rPr>
                <w:rFonts w:cs="Arial"/>
                <w:sz w:val="18"/>
                <w:szCs w:val="18"/>
                <w:lang w:val="en-AU"/>
              </w:rPr>
            </w:pPr>
          </w:p>
        </w:tc>
        <w:tc>
          <w:tcPr>
            <w:tcW w:w="1144"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0.67 (0.59-0.76)</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0.71 (0.60-0.83)</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NR</w:t>
            </w:r>
          </w:p>
        </w:tc>
        <w:tc>
          <w:tcPr>
            <w:tcW w:w="976" w:type="pct"/>
            <w:gridSpan w:val="2"/>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NS</w:t>
            </w:r>
          </w:p>
        </w:tc>
      </w:tr>
      <w:tr w:rsidR="00207EA0" w:rsidRPr="0008499F" w:rsidTr="006B644D">
        <w:tc>
          <w:tcPr>
            <w:tcW w:w="925" w:type="pct"/>
            <w:vMerge w:val="restart"/>
            <w:shd w:val="clear" w:color="auto" w:fill="auto"/>
          </w:tcPr>
          <w:p w:rsidR="00207EA0" w:rsidRPr="0008499F" w:rsidRDefault="00207EA0" w:rsidP="006B644D">
            <w:pPr>
              <w:pStyle w:val="Tabletext"/>
              <w:spacing w:beforeLines="60" w:before="144" w:afterLines="60" w:after="144"/>
              <w:rPr>
                <w:rFonts w:cs="Arial"/>
                <w:sz w:val="18"/>
                <w:szCs w:val="18"/>
                <w:lang w:val="en-AU"/>
              </w:rPr>
            </w:pPr>
            <w:r w:rsidRPr="0008499F">
              <w:rPr>
                <w:rFonts w:cs="Arial"/>
                <w:sz w:val="18"/>
                <w:szCs w:val="18"/>
                <w:lang w:val="en-AU"/>
              </w:rPr>
              <w:t>Invasive breast cancer</w:t>
            </w:r>
          </w:p>
        </w:tc>
        <w:tc>
          <w:tcPr>
            <w:tcW w:w="1144" w:type="pct"/>
            <w:gridSpan w:val="2"/>
            <w:vMerge w:val="restart"/>
            <w:shd w:val="clear" w:color="auto" w:fill="auto"/>
            <w:vAlign w:val="center"/>
          </w:tcPr>
          <w:p w:rsidR="00207EA0" w:rsidRPr="0008499F" w:rsidRDefault="00207EA0" w:rsidP="006B644D">
            <w:pPr>
              <w:pStyle w:val="Tabletext"/>
              <w:tabs>
                <w:tab w:val="left" w:pos="416"/>
                <w:tab w:val="left" w:pos="582"/>
              </w:tabs>
              <w:spacing w:beforeLines="60" w:before="144" w:afterLines="60" w:after="144"/>
              <w:jc w:val="center"/>
              <w:rPr>
                <w:rFonts w:cs="Arial"/>
                <w:sz w:val="18"/>
                <w:szCs w:val="18"/>
                <w:lang w:val="en-AU"/>
              </w:rPr>
            </w:pPr>
            <w:r w:rsidRPr="0008499F">
              <w:rPr>
                <w:rFonts w:cs="Arial"/>
                <w:sz w:val="18"/>
                <w:szCs w:val="18"/>
                <w:lang w:val="en-AU"/>
              </w:rPr>
              <w:t>NR</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214</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289</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145</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250</w:t>
            </w:r>
          </w:p>
        </w:tc>
        <w:tc>
          <w:tcPr>
            <w:tcW w:w="488" w:type="pct"/>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38</w:t>
            </w:r>
            <w:r w:rsidRPr="0008499F">
              <w:rPr>
                <w:rFonts w:cs="Arial"/>
                <w:sz w:val="18"/>
                <w:szCs w:val="18"/>
                <w:vertAlign w:val="superscript"/>
                <w:lang w:val="en-AU" w:eastAsia="en-GB"/>
              </w:rPr>
              <w:t xml:space="preserve"> e</w:t>
            </w:r>
          </w:p>
        </w:tc>
        <w:tc>
          <w:tcPr>
            <w:tcW w:w="488" w:type="pct"/>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56</w:t>
            </w:r>
            <w:r w:rsidRPr="0008499F">
              <w:rPr>
                <w:rFonts w:cs="Arial"/>
                <w:sz w:val="18"/>
                <w:szCs w:val="18"/>
                <w:vertAlign w:val="superscript"/>
                <w:lang w:val="en-AU" w:eastAsia="en-GB"/>
              </w:rPr>
              <w:t xml:space="preserve"> e</w:t>
            </w:r>
          </w:p>
        </w:tc>
      </w:tr>
      <w:tr w:rsidR="00207EA0" w:rsidRPr="0008499F" w:rsidTr="006B644D">
        <w:tc>
          <w:tcPr>
            <w:tcW w:w="925" w:type="pct"/>
            <w:vMerge/>
            <w:shd w:val="clear" w:color="auto" w:fill="auto"/>
          </w:tcPr>
          <w:p w:rsidR="00207EA0" w:rsidRPr="0008499F" w:rsidRDefault="00207EA0" w:rsidP="006B644D">
            <w:pPr>
              <w:pStyle w:val="Tabletext"/>
              <w:spacing w:beforeLines="60" w:before="144" w:afterLines="60" w:after="144"/>
              <w:rPr>
                <w:rFonts w:cs="Arial"/>
                <w:sz w:val="18"/>
                <w:szCs w:val="18"/>
                <w:lang w:val="en-AU"/>
              </w:rPr>
            </w:pPr>
          </w:p>
        </w:tc>
        <w:tc>
          <w:tcPr>
            <w:tcW w:w="1144" w:type="pct"/>
            <w:gridSpan w:val="2"/>
            <w:vMerge/>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0.73 (0.61-0.87)</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0.57 (0.46-0.70)</w:t>
            </w:r>
          </w:p>
        </w:tc>
        <w:tc>
          <w:tcPr>
            <w:tcW w:w="976" w:type="pct"/>
            <w:gridSpan w:val="2"/>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0.67 (0.44-1.01)</w:t>
            </w:r>
            <w:r w:rsidRPr="0008499F">
              <w:rPr>
                <w:rFonts w:cs="Arial"/>
                <w:sz w:val="18"/>
                <w:szCs w:val="18"/>
                <w:vertAlign w:val="superscript"/>
                <w:lang w:val="en-AU" w:eastAsia="en-GB"/>
              </w:rPr>
              <w:t>e</w:t>
            </w:r>
          </w:p>
        </w:tc>
      </w:tr>
      <w:tr w:rsidR="00207EA0" w:rsidRPr="0008499F" w:rsidTr="006B644D">
        <w:tc>
          <w:tcPr>
            <w:tcW w:w="925" w:type="pct"/>
            <w:vMerge w:val="restart"/>
            <w:shd w:val="clear" w:color="auto" w:fill="auto"/>
          </w:tcPr>
          <w:p w:rsidR="00207EA0" w:rsidRPr="0008499F" w:rsidRDefault="00207EA0" w:rsidP="006B644D">
            <w:pPr>
              <w:pStyle w:val="Tabletext"/>
              <w:spacing w:beforeLines="60" w:before="144" w:afterLines="60" w:after="144"/>
              <w:rPr>
                <w:rFonts w:cs="Arial"/>
                <w:sz w:val="18"/>
                <w:szCs w:val="18"/>
                <w:lang w:val="en-AU"/>
              </w:rPr>
            </w:pPr>
            <w:r w:rsidRPr="0008499F">
              <w:rPr>
                <w:rFonts w:cs="Arial"/>
                <w:sz w:val="18"/>
                <w:szCs w:val="18"/>
                <w:lang w:val="en-AU"/>
              </w:rPr>
              <w:t>Non-invasive cancers</w:t>
            </w:r>
          </w:p>
        </w:tc>
        <w:tc>
          <w:tcPr>
            <w:tcW w:w="541"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77</w:t>
            </w:r>
          </w:p>
        </w:tc>
        <w:tc>
          <w:tcPr>
            <w:tcW w:w="603"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112</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35</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53</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60</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93</w:t>
            </w:r>
          </w:p>
        </w:tc>
        <w:tc>
          <w:tcPr>
            <w:tcW w:w="976" w:type="pct"/>
            <w:gridSpan w:val="2"/>
            <w:vMerge w:val="restart"/>
            <w:vAlign w:val="center"/>
          </w:tcPr>
          <w:p w:rsidR="00207EA0" w:rsidRPr="0008499F" w:rsidRDefault="00207EA0" w:rsidP="006B644D">
            <w:pPr>
              <w:pStyle w:val="Tabletext"/>
              <w:tabs>
                <w:tab w:val="left" w:pos="416"/>
                <w:tab w:val="left" w:pos="582"/>
              </w:tabs>
              <w:spacing w:beforeLines="60" w:before="144" w:afterLines="60" w:after="144"/>
              <w:jc w:val="center"/>
              <w:rPr>
                <w:rFonts w:cs="Arial"/>
                <w:sz w:val="18"/>
                <w:szCs w:val="18"/>
                <w:lang w:val="en-AU"/>
              </w:rPr>
            </w:pPr>
            <w:r w:rsidRPr="0008499F">
              <w:rPr>
                <w:rFonts w:cs="Arial"/>
                <w:sz w:val="18"/>
                <w:szCs w:val="18"/>
                <w:lang w:val="en-AU"/>
              </w:rPr>
              <w:t>NR</w:t>
            </w:r>
          </w:p>
        </w:tc>
      </w:tr>
      <w:tr w:rsidR="00207EA0" w:rsidRPr="0008499F" w:rsidTr="006B644D">
        <w:tc>
          <w:tcPr>
            <w:tcW w:w="925" w:type="pct"/>
            <w:vMerge/>
            <w:shd w:val="clear" w:color="auto" w:fill="auto"/>
          </w:tcPr>
          <w:p w:rsidR="00207EA0" w:rsidRPr="0008499F" w:rsidRDefault="00207EA0" w:rsidP="006B644D">
            <w:pPr>
              <w:pStyle w:val="Tabletext"/>
              <w:spacing w:beforeLines="60" w:before="144" w:afterLines="60" w:after="144"/>
              <w:rPr>
                <w:rFonts w:cs="Arial"/>
                <w:sz w:val="18"/>
                <w:szCs w:val="18"/>
                <w:lang w:val="en-AU"/>
              </w:rPr>
            </w:pPr>
          </w:p>
        </w:tc>
        <w:tc>
          <w:tcPr>
            <w:tcW w:w="1144"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0.72 (0.57-0.92)</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0.65 (0.43-1.00)</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0.63 (0.45-0.89)</w:t>
            </w:r>
          </w:p>
        </w:tc>
        <w:tc>
          <w:tcPr>
            <w:tcW w:w="976" w:type="pct"/>
            <w:gridSpan w:val="2"/>
            <w:vMerge/>
            <w:vAlign w:val="center"/>
          </w:tcPr>
          <w:p w:rsidR="00207EA0" w:rsidRPr="0008499F" w:rsidRDefault="00207EA0" w:rsidP="006B644D">
            <w:pPr>
              <w:pStyle w:val="Tabletext"/>
              <w:spacing w:beforeLines="60" w:before="144" w:afterLines="60" w:after="144"/>
              <w:jc w:val="center"/>
              <w:rPr>
                <w:rFonts w:cs="Arial"/>
                <w:sz w:val="18"/>
                <w:szCs w:val="18"/>
                <w:lang w:val="en-AU"/>
              </w:rPr>
            </w:pPr>
          </w:p>
        </w:tc>
      </w:tr>
      <w:tr w:rsidR="00207EA0" w:rsidRPr="0008499F" w:rsidTr="006B644D">
        <w:tc>
          <w:tcPr>
            <w:tcW w:w="925" w:type="pct"/>
            <w:vMerge w:val="restart"/>
            <w:shd w:val="clear" w:color="auto" w:fill="auto"/>
          </w:tcPr>
          <w:p w:rsidR="00207EA0" w:rsidRPr="0008499F" w:rsidRDefault="00207EA0" w:rsidP="006B644D">
            <w:pPr>
              <w:pStyle w:val="Tabletext"/>
              <w:spacing w:beforeLines="60" w:before="144" w:afterLines="60" w:after="144"/>
              <w:rPr>
                <w:rFonts w:cs="Arial"/>
                <w:sz w:val="18"/>
                <w:szCs w:val="18"/>
                <w:lang w:val="en-AU"/>
              </w:rPr>
            </w:pPr>
            <w:r w:rsidRPr="0008499F">
              <w:rPr>
                <w:rFonts w:cs="Arial"/>
                <w:sz w:val="18"/>
                <w:szCs w:val="18"/>
                <w:lang w:val="en-AU"/>
              </w:rPr>
              <w:t>Oestrogen receptor-positive cancers</w:t>
            </w:r>
          </w:p>
        </w:tc>
        <w:tc>
          <w:tcPr>
            <w:tcW w:w="541"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219</w:t>
            </w:r>
          </w:p>
        </w:tc>
        <w:tc>
          <w:tcPr>
            <w:tcW w:w="603"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396</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160</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238</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70</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182</w:t>
            </w:r>
          </w:p>
        </w:tc>
        <w:tc>
          <w:tcPr>
            <w:tcW w:w="488" w:type="pct"/>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53</w:t>
            </w:r>
          </w:p>
        </w:tc>
        <w:tc>
          <w:tcPr>
            <w:tcW w:w="488" w:type="pct"/>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86</w:t>
            </w:r>
          </w:p>
        </w:tc>
      </w:tr>
      <w:tr w:rsidR="00207EA0" w:rsidRPr="0008499F" w:rsidTr="006B644D">
        <w:tc>
          <w:tcPr>
            <w:tcW w:w="925" w:type="pct"/>
            <w:vMerge/>
            <w:shd w:val="clear" w:color="auto" w:fill="auto"/>
          </w:tcPr>
          <w:p w:rsidR="00207EA0" w:rsidRPr="0008499F" w:rsidRDefault="00207EA0" w:rsidP="006B644D">
            <w:pPr>
              <w:pStyle w:val="Tabletext"/>
              <w:spacing w:beforeLines="60" w:before="144" w:afterLines="60" w:after="144"/>
              <w:rPr>
                <w:rFonts w:cs="Arial"/>
                <w:sz w:val="18"/>
                <w:szCs w:val="18"/>
                <w:lang w:val="en-AU"/>
              </w:rPr>
            </w:pPr>
          </w:p>
        </w:tc>
        <w:tc>
          <w:tcPr>
            <w:tcW w:w="1144"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0.56 (0.47-0.67)</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0.66 (0.54-0.81)</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0.38 (0.28-0.50)</w:t>
            </w:r>
          </w:p>
        </w:tc>
        <w:tc>
          <w:tcPr>
            <w:tcW w:w="976" w:type="pct"/>
            <w:gridSpan w:val="2"/>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eastAsia="en-GB"/>
              </w:rPr>
              <w:t>0.61 (0.43-0.86)</w:t>
            </w:r>
          </w:p>
        </w:tc>
      </w:tr>
      <w:tr w:rsidR="00207EA0" w:rsidRPr="0008499F" w:rsidTr="006B644D">
        <w:tc>
          <w:tcPr>
            <w:tcW w:w="925" w:type="pct"/>
            <w:vMerge w:val="restart"/>
            <w:shd w:val="clear" w:color="auto" w:fill="auto"/>
          </w:tcPr>
          <w:p w:rsidR="00207EA0" w:rsidRPr="0008499F" w:rsidRDefault="00207EA0" w:rsidP="006B644D">
            <w:pPr>
              <w:pStyle w:val="Tabletext"/>
              <w:spacing w:beforeLines="60" w:before="144" w:afterLines="60" w:after="144"/>
              <w:rPr>
                <w:rFonts w:cs="Arial"/>
                <w:sz w:val="18"/>
                <w:szCs w:val="18"/>
                <w:lang w:val="en-AU"/>
              </w:rPr>
            </w:pPr>
            <w:r w:rsidRPr="0008499F">
              <w:rPr>
                <w:rFonts w:cs="Arial"/>
                <w:sz w:val="18"/>
                <w:szCs w:val="18"/>
                <w:lang w:val="en-AU"/>
              </w:rPr>
              <w:t>Oestrogen receptor-negative cancers</w:t>
            </w:r>
          </w:p>
        </w:tc>
        <w:tc>
          <w:tcPr>
            <w:tcW w:w="541"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116</w:t>
            </w:r>
          </w:p>
        </w:tc>
        <w:tc>
          <w:tcPr>
            <w:tcW w:w="603"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103</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50</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47</w:t>
            </w:r>
          </w:p>
        </w:tc>
        <w:tc>
          <w:tcPr>
            <w:tcW w:w="488"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56</w:t>
            </w:r>
          </w:p>
        </w:tc>
        <w:tc>
          <w:tcPr>
            <w:tcW w:w="489" w:type="pct"/>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42</w:t>
            </w:r>
          </w:p>
        </w:tc>
        <w:tc>
          <w:tcPr>
            <w:tcW w:w="488" w:type="pct"/>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24</w:t>
            </w:r>
          </w:p>
        </w:tc>
        <w:tc>
          <w:tcPr>
            <w:tcW w:w="488" w:type="pct"/>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17</w:t>
            </w:r>
          </w:p>
        </w:tc>
      </w:tr>
      <w:tr w:rsidR="00207EA0" w:rsidRPr="0008499F" w:rsidTr="006B644D">
        <w:tc>
          <w:tcPr>
            <w:tcW w:w="925" w:type="pct"/>
            <w:vMerge/>
            <w:shd w:val="clear" w:color="auto" w:fill="auto"/>
          </w:tcPr>
          <w:p w:rsidR="00207EA0" w:rsidRPr="0008499F" w:rsidRDefault="00207EA0" w:rsidP="006B644D">
            <w:pPr>
              <w:pStyle w:val="Tabletext"/>
              <w:spacing w:beforeLines="60" w:before="144" w:afterLines="60" w:after="144"/>
              <w:rPr>
                <w:rFonts w:cs="Arial"/>
                <w:sz w:val="18"/>
                <w:szCs w:val="18"/>
                <w:lang w:val="en-AU"/>
              </w:rPr>
            </w:pPr>
          </w:p>
        </w:tc>
        <w:tc>
          <w:tcPr>
            <w:tcW w:w="1144"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NS</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NS</w:t>
            </w:r>
          </w:p>
        </w:tc>
        <w:tc>
          <w:tcPr>
            <w:tcW w:w="977" w:type="pct"/>
            <w:gridSpan w:val="2"/>
            <w:shd w:val="clear" w:color="auto" w:fill="auto"/>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NS</w:t>
            </w:r>
          </w:p>
        </w:tc>
        <w:tc>
          <w:tcPr>
            <w:tcW w:w="976" w:type="pct"/>
            <w:gridSpan w:val="2"/>
            <w:vAlign w:val="center"/>
          </w:tcPr>
          <w:p w:rsidR="00207EA0" w:rsidRPr="0008499F" w:rsidRDefault="00207EA0" w:rsidP="006B644D">
            <w:pPr>
              <w:pStyle w:val="Tabletext"/>
              <w:spacing w:beforeLines="60" w:before="144" w:afterLines="60" w:after="144"/>
              <w:jc w:val="center"/>
              <w:rPr>
                <w:rFonts w:cs="Arial"/>
                <w:sz w:val="18"/>
                <w:szCs w:val="18"/>
                <w:lang w:val="en-AU"/>
              </w:rPr>
            </w:pPr>
            <w:r w:rsidRPr="0008499F">
              <w:rPr>
                <w:rFonts w:cs="Arial"/>
                <w:sz w:val="18"/>
                <w:szCs w:val="18"/>
                <w:lang w:val="en-AU"/>
              </w:rPr>
              <w:t>NS</w:t>
            </w:r>
          </w:p>
        </w:tc>
      </w:tr>
    </w:tbl>
    <w:p w:rsidR="00207EA0" w:rsidRPr="0008499F" w:rsidRDefault="00207EA0" w:rsidP="00847A2E">
      <w:pPr>
        <w:pStyle w:val="TableFigNotes0"/>
        <w:keepNext w:val="0"/>
        <w:keepLines w:val="0"/>
        <w:rPr>
          <w:rFonts w:ascii="Arial" w:hAnsi="Arial" w:cs="Arial"/>
          <w:sz w:val="18"/>
        </w:rPr>
      </w:pPr>
      <w:r w:rsidRPr="0008499F">
        <w:rPr>
          <w:rFonts w:ascii="Arial" w:hAnsi="Arial" w:cs="Arial"/>
          <w:sz w:val="18"/>
        </w:rPr>
        <w:t xml:space="preserve">Abbreviations: CI = confidence interval, HR = hazard ratio, NS = not significant, NR = not reported, </w:t>
      </w:r>
      <w:proofErr w:type="spellStart"/>
      <w:r w:rsidRPr="0008499F">
        <w:rPr>
          <w:rFonts w:ascii="Arial" w:hAnsi="Arial" w:cs="Arial"/>
          <w:sz w:val="18"/>
        </w:rPr>
        <w:t>placeb</w:t>
      </w:r>
      <w:proofErr w:type="spellEnd"/>
      <w:r w:rsidRPr="0008499F">
        <w:rPr>
          <w:rFonts w:ascii="Arial" w:hAnsi="Arial" w:cs="Arial"/>
          <w:sz w:val="18"/>
        </w:rPr>
        <w:t xml:space="preserve"> = placebo, RR = risk ratio, </w:t>
      </w:r>
      <w:proofErr w:type="spellStart"/>
      <w:r w:rsidRPr="0008499F">
        <w:rPr>
          <w:rFonts w:ascii="Arial" w:hAnsi="Arial" w:cs="Arial"/>
          <w:sz w:val="18"/>
        </w:rPr>
        <w:t>tamox</w:t>
      </w:r>
      <w:proofErr w:type="spellEnd"/>
      <w:r w:rsidRPr="0008499F">
        <w:rPr>
          <w:rFonts w:ascii="Arial" w:hAnsi="Arial" w:cs="Arial"/>
          <w:sz w:val="18"/>
        </w:rPr>
        <w:t xml:space="preserve"> = tamoxifen.</w:t>
      </w:r>
    </w:p>
    <w:p w:rsidR="00207EA0" w:rsidRPr="0008499F" w:rsidRDefault="00207EA0"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a</w:t>
      </w:r>
      <w:proofErr w:type="gramEnd"/>
      <w:r w:rsidRPr="0008499F">
        <w:rPr>
          <w:rFonts w:ascii="Arial" w:hAnsi="Arial" w:cs="Arial"/>
          <w:sz w:val="18"/>
        </w:rPr>
        <w:t xml:space="preserve"> </w:t>
      </w:r>
      <w:proofErr w:type="spellStart"/>
      <w:r w:rsidRPr="0008499F">
        <w:rPr>
          <w:rFonts w:ascii="Arial" w:hAnsi="Arial" w:cs="Arial"/>
          <w:sz w:val="18"/>
        </w:rPr>
        <w:t>Cuzick</w:t>
      </w:r>
      <w:proofErr w:type="spellEnd"/>
      <w:r w:rsidRPr="0008499F">
        <w:rPr>
          <w:rFonts w:ascii="Arial" w:hAnsi="Arial" w:cs="Arial"/>
          <w:sz w:val="18"/>
        </w:rPr>
        <w:t xml:space="preserve"> 2013 was a meta-analysis of individual participant data from the IBIS-I, NSABP P1, and Royal Marsden primary risk reduction trials in women at increased risk of breast cancer, and the Italian trial in women at normal risk of breast cancer</w:t>
      </w:r>
      <w:r w:rsidR="008079C6">
        <w:rPr>
          <w:rFonts w:ascii="Arial" w:hAnsi="Arial" w:cs="Arial"/>
          <w:sz w:val="18"/>
        </w:rPr>
        <w:t xml:space="preserve">. </w:t>
      </w:r>
      <w:r w:rsidRPr="0008499F">
        <w:rPr>
          <w:rFonts w:ascii="Arial" w:hAnsi="Arial" w:cs="Arial"/>
          <w:sz w:val="18"/>
        </w:rPr>
        <w:t>The median follow up was 65 months.</w:t>
      </w:r>
    </w:p>
    <w:p w:rsidR="00207EA0" w:rsidRPr="0008499F" w:rsidRDefault="00207EA0"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b</w:t>
      </w:r>
      <w:proofErr w:type="gramEnd"/>
      <w:r w:rsidRPr="0008499F">
        <w:rPr>
          <w:rFonts w:ascii="Arial" w:hAnsi="Arial" w:cs="Arial"/>
          <w:sz w:val="18"/>
          <w:vertAlign w:val="superscript"/>
        </w:rPr>
        <w:t xml:space="preserve"> </w:t>
      </w:r>
      <w:r w:rsidRPr="0008499F">
        <w:rPr>
          <w:rFonts w:ascii="Arial" w:hAnsi="Arial" w:cs="Arial"/>
          <w:sz w:val="18"/>
        </w:rPr>
        <w:t>Participants were treated with 20 mg tamoxifen for 5 years; the median follow up was 16 years.</w:t>
      </w:r>
    </w:p>
    <w:p w:rsidR="00207EA0" w:rsidRPr="0008499F" w:rsidRDefault="00207EA0"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c</w:t>
      </w:r>
      <w:proofErr w:type="gramEnd"/>
      <w:r w:rsidRPr="0008499F">
        <w:rPr>
          <w:rFonts w:ascii="Arial" w:hAnsi="Arial" w:cs="Arial"/>
          <w:sz w:val="18"/>
          <w:vertAlign w:val="superscript"/>
        </w:rPr>
        <w:t xml:space="preserve"> </w:t>
      </w:r>
      <w:r w:rsidRPr="0008499F">
        <w:rPr>
          <w:rFonts w:ascii="Arial" w:hAnsi="Arial" w:cs="Arial"/>
          <w:sz w:val="18"/>
        </w:rPr>
        <w:t>Participants were treated with 20 mg tamoxifen for 5 years; the median follow up was 6 years</w:t>
      </w:r>
    </w:p>
    <w:p w:rsidR="00207EA0" w:rsidRPr="0008499F" w:rsidRDefault="00207EA0"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d</w:t>
      </w:r>
      <w:proofErr w:type="gramEnd"/>
      <w:r w:rsidRPr="0008499F">
        <w:rPr>
          <w:rFonts w:ascii="Arial" w:hAnsi="Arial" w:cs="Arial"/>
          <w:sz w:val="18"/>
          <w:vertAlign w:val="superscript"/>
        </w:rPr>
        <w:t xml:space="preserve"> </w:t>
      </w:r>
      <w:r w:rsidRPr="0008499F">
        <w:rPr>
          <w:rFonts w:ascii="Arial" w:hAnsi="Arial" w:cs="Arial"/>
          <w:sz w:val="18"/>
        </w:rPr>
        <w:t>Participants were treated with 20 mg tamoxifen for 8 years; the median follow up was 13 years</w:t>
      </w:r>
    </w:p>
    <w:p w:rsidR="00207EA0" w:rsidRPr="0008499F" w:rsidRDefault="00207EA0"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e</w:t>
      </w:r>
      <w:proofErr w:type="gramEnd"/>
      <w:r w:rsidRPr="0008499F">
        <w:rPr>
          <w:rFonts w:ascii="Arial" w:hAnsi="Arial" w:cs="Arial"/>
          <w:sz w:val="18"/>
        </w:rPr>
        <w:t xml:space="preserve"> Results shown for posttreatment period only</w:t>
      </w:r>
      <w:r w:rsidR="008079C6">
        <w:rPr>
          <w:rFonts w:ascii="Arial" w:hAnsi="Arial" w:cs="Arial"/>
          <w:sz w:val="18"/>
        </w:rPr>
        <w:t xml:space="preserve">. </w:t>
      </w:r>
      <w:r w:rsidRPr="0008499F">
        <w:rPr>
          <w:rFonts w:ascii="Arial" w:hAnsi="Arial" w:cs="Arial"/>
          <w:sz w:val="18"/>
        </w:rPr>
        <w:t>During treatment, invasive breast cancer incidence was not significantly different between the tamoxifen and placebo groups.</w:t>
      </w:r>
    </w:p>
    <w:p w:rsidR="00207EA0" w:rsidRPr="00847A2E" w:rsidRDefault="00847A2E" w:rsidP="008F1DD6">
      <w:pPr>
        <w:pStyle w:val="Caption"/>
        <w:pageBreakBefore/>
      </w:pPr>
      <w:r>
        <w:lastRenderedPageBreak/>
        <w:t xml:space="preserve">Table </w:t>
      </w:r>
      <w:r>
        <w:fldChar w:fldCharType="begin"/>
      </w:r>
      <w:r>
        <w:instrText xml:space="preserve"> SEQ Table \* ARABIC </w:instrText>
      </w:r>
      <w:r>
        <w:fldChar w:fldCharType="separate"/>
      </w:r>
      <w:r>
        <w:rPr>
          <w:noProof/>
        </w:rPr>
        <w:t>2</w:t>
      </w:r>
      <w:r>
        <w:fldChar w:fldCharType="end"/>
      </w:r>
      <w:r>
        <w:rPr>
          <w:rFonts w:ascii="Arial" w:hAnsi="Arial" w:cs="Arial"/>
          <w:szCs w:val="24"/>
        </w:rPr>
        <w:t xml:space="preserve"> </w:t>
      </w:r>
      <w:r w:rsidR="00207EA0" w:rsidRPr="00847A2E">
        <w:t>Summary of Efficacy Results from the Primary Risk Reduction Trials - Numbers Needed to Treat (NNT)</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2 Summary of Efficacy Results from the Primary Risk Reduction Trials - Numbers Needed to Treat (NNT)"/>
      </w:tblPr>
      <w:tblGrid>
        <w:gridCol w:w="1696"/>
        <w:gridCol w:w="992"/>
        <w:gridCol w:w="1106"/>
        <w:gridCol w:w="895"/>
        <w:gridCol w:w="897"/>
        <w:gridCol w:w="895"/>
        <w:gridCol w:w="897"/>
        <w:gridCol w:w="895"/>
        <w:gridCol w:w="895"/>
      </w:tblGrid>
      <w:tr w:rsidR="00207EA0" w:rsidRPr="00AD21DE" w:rsidTr="00847A2E">
        <w:trPr>
          <w:trHeight w:val="592"/>
          <w:tblHeader/>
        </w:trPr>
        <w:tc>
          <w:tcPr>
            <w:tcW w:w="925" w:type="pct"/>
            <w:vMerge w:val="restart"/>
            <w:shd w:val="clear" w:color="auto" w:fill="E7E6E6"/>
            <w:vAlign w:val="bottom"/>
          </w:tcPr>
          <w:p w:rsidR="00207EA0" w:rsidRPr="00AD21DE" w:rsidRDefault="00207EA0" w:rsidP="00847A2E">
            <w:pPr>
              <w:pStyle w:val="TableH1"/>
              <w:keepNext w:val="0"/>
              <w:spacing w:beforeLines="60" w:before="144" w:afterLines="60" w:after="144"/>
              <w:rPr>
                <w:rFonts w:ascii="Arial" w:hAnsi="Arial" w:cs="Arial"/>
                <w:sz w:val="18"/>
                <w:szCs w:val="18"/>
              </w:rPr>
            </w:pPr>
          </w:p>
        </w:tc>
        <w:tc>
          <w:tcPr>
            <w:tcW w:w="1144" w:type="pct"/>
            <w:gridSpan w:val="2"/>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vertAlign w:val="superscript"/>
              </w:rPr>
            </w:pPr>
            <w:proofErr w:type="spellStart"/>
            <w:r w:rsidRPr="00AD21DE">
              <w:rPr>
                <w:rFonts w:ascii="Arial" w:hAnsi="Arial" w:cs="Arial"/>
                <w:sz w:val="18"/>
                <w:szCs w:val="18"/>
              </w:rPr>
              <w:t>Cuzick</w:t>
            </w:r>
            <w:proofErr w:type="spellEnd"/>
            <w:r w:rsidRPr="00AD21DE">
              <w:rPr>
                <w:rFonts w:ascii="Arial" w:hAnsi="Arial" w:cs="Arial"/>
                <w:sz w:val="18"/>
                <w:szCs w:val="18"/>
              </w:rPr>
              <w:t xml:space="preserve"> meta-analysis</w:t>
            </w:r>
          </w:p>
        </w:tc>
        <w:tc>
          <w:tcPr>
            <w:tcW w:w="977" w:type="pct"/>
            <w:gridSpan w:val="2"/>
            <w:tcBorders>
              <w:bottom w:val="single" w:sz="4" w:space="0" w:color="auto"/>
            </w:tcBorders>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vertAlign w:val="superscript"/>
              </w:rPr>
            </w:pPr>
            <w:r w:rsidRPr="00AD21DE">
              <w:rPr>
                <w:rFonts w:ascii="Arial" w:hAnsi="Arial" w:cs="Arial"/>
                <w:sz w:val="18"/>
                <w:szCs w:val="18"/>
              </w:rPr>
              <w:t>IBIS-I</w:t>
            </w:r>
          </w:p>
        </w:tc>
        <w:tc>
          <w:tcPr>
            <w:tcW w:w="977" w:type="pct"/>
            <w:gridSpan w:val="2"/>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vertAlign w:val="superscript"/>
              </w:rPr>
            </w:pPr>
            <w:r w:rsidRPr="00AD21DE">
              <w:rPr>
                <w:rFonts w:ascii="Arial" w:hAnsi="Arial" w:cs="Arial"/>
                <w:sz w:val="18"/>
                <w:szCs w:val="18"/>
              </w:rPr>
              <w:t>NSABP P1</w:t>
            </w:r>
          </w:p>
        </w:tc>
        <w:tc>
          <w:tcPr>
            <w:tcW w:w="976" w:type="pct"/>
            <w:gridSpan w:val="2"/>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vertAlign w:val="superscript"/>
              </w:rPr>
            </w:pPr>
            <w:r w:rsidRPr="00AD21DE">
              <w:rPr>
                <w:rFonts w:ascii="Arial" w:hAnsi="Arial" w:cs="Arial"/>
                <w:sz w:val="18"/>
                <w:szCs w:val="18"/>
              </w:rPr>
              <w:t>Royal Marsden</w:t>
            </w:r>
          </w:p>
        </w:tc>
      </w:tr>
      <w:tr w:rsidR="00207EA0" w:rsidRPr="00AD21DE" w:rsidTr="00847A2E">
        <w:trPr>
          <w:tblHeader/>
        </w:trPr>
        <w:tc>
          <w:tcPr>
            <w:tcW w:w="925" w:type="pct"/>
            <w:vMerge/>
            <w:shd w:val="clear" w:color="auto" w:fill="E7E6E6"/>
          </w:tcPr>
          <w:p w:rsidR="00207EA0" w:rsidRPr="00AD21DE" w:rsidRDefault="00207EA0" w:rsidP="006B644D">
            <w:pPr>
              <w:pStyle w:val="TableH1"/>
              <w:spacing w:beforeLines="60" w:before="144" w:afterLines="60" w:after="144"/>
              <w:rPr>
                <w:rFonts w:ascii="Arial" w:hAnsi="Arial" w:cs="Arial"/>
                <w:sz w:val="18"/>
                <w:szCs w:val="18"/>
              </w:rPr>
            </w:pPr>
          </w:p>
        </w:tc>
        <w:tc>
          <w:tcPr>
            <w:tcW w:w="541" w:type="pct"/>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proofErr w:type="spellStart"/>
            <w:r w:rsidRPr="00AD21DE">
              <w:rPr>
                <w:rFonts w:ascii="Arial" w:hAnsi="Arial" w:cs="Arial"/>
                <w:sz w:val="18"/>
                <w:szCs w:val="18"/>
              </w:rPr>
              <w:t>Tamox</w:t>
            </w:r>
            <w:proofErr w:type="spellEnd"/>
            <w:r w:rsidRPr="00AD21DE">
              <w:rPr>
                <w:rFonts w:ascii="Arial" w:hAnsi="Arial" w:cs="Arial"/>
                <w:sz w:val="18"/>
                <w:szCs w:val="18"/>
              </w:rPr>
              <w:br/>
              <w:t>n=14</w:t>
            </w:r>
            <w:r>
              <w:rPr>
                <w:rFonts w:ascii="Arial" w:hAnsi="Arial" w:cs="Arial"/>
                <w:sz w:val="18"/>
                <w:szCs w:val="18"/>
              </w:rPr>
              <w:t>,</w:t>
            </w:r>
            <w:r w:rsidRPr="00AD21DE">
              <w:rPr>
                <w:rFonts w:ascii="Arial" w:hAnsi="Arial" w:cs="Arial"/>
                <w:sz w:val="18"/>
                <w:szCs w:val="18"/>
              </w:rPr>
              <w:t>192</w:t>
            </w:r>
          </w:p>
        </w:tc>
        <w:tc>
          <w:tcPr>
            <w:tcW w:w="603" w:type="pct"/>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proofErr w:type="spellStart"/>
            <w:r w:rsidRPr="00AD21DE">
              <w:rPr>
                <w:rFonts w:ascii="Arial" w:hAnsi="Arial" w:cs="Arial"/>
                <w:sz w:val="18"/>
                <w:szCs w:val="18"/>
              </w:rPr>
              <w:t>Placeb</w:t>
            </w:r>
            <w:proofErr w:type="spellEnd"/>
            <w:r w:rsidRPr="00AD21DE">
              <w:rPr>
                <w:rFonts w:ascii="Arial" w:hAnsi="Arial" w:cs="Arial"/>
                <w:sz w:val="18"/>
                <w:szCs w:val="18"/>
              </w:rPr>
              <w:br/>
              <w:t>n=14</w:t>
            </w:r>
            <w:r>
              <w:rPr>
                <w:rFonts w:ascii="Arial" w:hAnsi="Arial" w:cs="Arial"/>
                <w:sz w:val="18"/>
                <w:szCs w:val="18"/>
              </w:rPr>
              <w:t>,</w:t>
            </w:r>
            <w:r w:rsidRPr="00AD21DE">
              <w:rPr>
                <w:rFonts w:ascii="Arial" w:hAnsi="Arial" w:cs="Arial"/>
                <w:sz w:val="18"/>
                <w:szCs w:val="18"/>
              </w:rPr>
              <w:t>214</w:t>
            </w:r>
          </w:p>
        </w:tc>
        <w:tc>
          <w:tcPr>
            <w:tcW w:w="488" w:type="pct"/>
            <w:tcBorders>
              <w:bottom w:val="single" w:sz="4" w:space="0" w:color="auto"/>
            </w:tcBorders>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proofErr w:type="spellStart"/>
            <w:r w:rsidRPr="00AD21DE">
              <w:rPr>
                <w:rFonts w:ascii="Arial" w:hAnsi="Arial" w:cs="Arial"/>
                <w:sz w:val="18"/>
                <w:szCs w:val="18"/>
              </w:rPr>
              <w:t>Tamox</w:t>
            </w:r>
            <w:proofErr w:type="spellEnd"/>
            <w:r w:rsidRPr="00AD21DE">
              <w:rPr>
                <w:rFonts w:ascii="Arial" w:hAnsi="Arial" w:cs="Arial"/>
                <w:sz w:val="18"/>
                <w:szCs w:val="18"/>
              </w:rPr>
              <w:t xml:space="preserve"> n=3579</w:t>
            </w:r>
          </w:p>
        </w:tc>
        <w:tc>
          <w:tcPr>
            <w:tcW w:w="489" w:type="pct"/>
            <w:tcBorders>
              <w:bottom w:val="single" w:sz="4" w:space="0" w:color="auto"/>
            </w:tcBorders>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proofErr w:type="spellStart"/>
            <w:r w:rsidRPr="00AD21DE">
              <w:rPr>
                <w:rFonts w:ascii="Arial" w:hAnsi="Arial" w:cs="Arial"/>
                <w:sz w:val="18"/>
                <w:szCs w:val="18"/>
              </w:rPr>
              <w:t>Placeb</w:t>
            </w:r>
            <w:proofErr w:type="spellEnd"/>
            <w:r w:rsidRPr="00AD21DE">
              <w:rPr>
                <w:rFonts w:ascii="Arial" w:hAnsi="Arial" w:cs="Arial"/>
                <w:sz w:val="18"/>
                <w:szCs w:val="18"/>
              </w:rPr>
              <w:br/>
              <w:t>n=3575</w:t>
            </w:r>
          </w:p>
        </w:tc>
        <w:tc>
          <w:tcPr>
            <w:tcW w:w="488" w:type="pct"/>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proofErr w:type="spellStart"/>
            <w:r w:rsidRPr="00AD21DE">
              <w:rPr>
                <w:rFonts w:ascii="Arial" w:hAnsi="Arial" w:cs="Arial"/>
                <w:sz w:val="18"/>
                <w:szCs w:val="18"/>
              </w:rPr>
              <w:t>Tamox</w:t>
            </w:r>
            <w:proofErr w:type="spellEnd"/>
            <w:r w:rsidRPr="00AD21DE">
              <w:rPr>
                <w:rFonts w:ascii="Arial" w:hAnsi="Arial" w:cs="Arial"/>
                <w:sz w:val="18"/>
                <w:szCs w:val="18"/>
              </w:rPr>
              <w:br/>
              <w:t>n=6597</w:t>
            </w:r>
          </w:p>
        </w:tc>
        <w:tc>
          <w:tcPr>
            <w:tcW w:w="489" w:type="pct"/>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proofErr w:type="spellStart"/>
            <w:r w:rsidRPr="00AD21DE">
              <w:rPr>
                <w:rFonts w:ascii="Arial" w:hAnsi="Arial" w:cs="Arial"/>
                <w:sz w:val="18"/>
                <w:szCs w:val="18"/>
              </w:rPr>
              <w:t>Placeb</w:t>
            </w:r>
            <w:proofErr w:type="spellEnd"/>
            <w:r w:rsidRPr="00AD21DE">
              <w:rPr>
                <w:rFonts w:ascii="Arial" w:hAnsi="Arial" w:cs="Arial"/>
                <w:sz w:val="18"/>
                <w:szCs w:val="18"/>
              </w:rPr>
              <w:br/>
              <w:t>n=6610</w:t>
            </w:r>
          </w:p>
        </w:tc>
        <w:tc>
          <w:tcPr>
            <w:tcW w:w="488" w:type="pct"/>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proofErr w:type="spellStart"/>
            <w:r w:rsidRPr="00371D60">
              <w:rPr>
                <w:rFonts w:ascii="Arial" w:hAnsi="Arial" w:cs="Arial"/>
                <w:sz w:val="18"/>
                <w:szCs w:val="18"/>
              </w:rPr>
              <w:t>Tamox</w:t>
            </w:r>
            <w:proofErr w:type="spellEnd"/>
            <w:r w:rsidRPr="00371D60">
              <w:rPr>
                <w:rFonts w:ascii="Arial" w:hAnsi="Arial" w:cs="Arial"/>
                <w:sz w:val="18"/>
                <w:szCs w:val="18"/>
              </w:rPr>
              <w:br/>
            </w:r>
            <w:r w:rsidRPr="00AD21DE">
              <w:rPr>
                <w:rFonts w:ascii="Arial" w:hAnsi="Arial" w:cs="Arial"/>
                <w:sz w:val="18"/>
                <w:szCs w:val="18"/>
              </w:rPr>
              <w:t>n=1238</w:t>
            </w:r>
          </w:p>
        </w:tc>
        <w:tc>
          <w:tcPr>
            <w:tcW w:w="488" w:type="pct"/>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proofErr w:type="spellStart"/>
            <w:r w:rsidRPr="00AD21DE">
              <w:rPr>
                <w:rFonts w:ascii="Arial" w:hAnsi="Arial" w:cs="Arial"/>
                <w:sz w:val="18"/>
                <w:szCs w:val="18"/>
              </w:rPr>
              <w:t>Placeb</w:t>
            </w:r>
            <w:proofErr w:type="spellEnd"/>
            <w:r w:rsidRPr="00AD21DE">
              <w:rPr>
                <w:rFonts w:ascii="Arial" w:hAnsi="Arial" w:cs="Arial"/>
                <w:sz w:val="18"/>
                <w:szCs w:val="18"/>
              </w:rPr>
              <w:br/>
              <w:t>n=1233</w:t>
            </w:r>
            <w:r>
              <w:rPr>
                <w:rFonts w:ascii="Arial" w:hAnsi="Arial" w:cs="Arial"/>
                <w:sz w:val="18"/>
                <w:szCs w:val="18"/>
              </w:rPr>
              <w:t xml:space="preserve"> </w:t>
            </w:r>
          </w:p>
        </w:tc>
      </w:tr>
      <w:tr w:rsidR="00207EA0" w:rsidRPr="00AD21DE" w:rsidTr="00847A2E">
        <w:trPr>
          <w:tblHeader/>
        </w:trPr>
        <w:tc>
          <w:tcPr>
            <w:tcW w:w="925" w:type="pct"/>
            <w:vMerge/>
            <w:shd w:val="clear" w:color="auto" w:fill="E7E6E6"/>
          </w:tcPr>
          <w:p w:rsidR="00207EA0" w:rsidRPr="00AD21DE" w:rsidRDefault="00207EA0" w:rsidP="006B644D">
            <w:pPr>
              <w:pStyle w:val="TableH1"/>
              <w:spacing w:beforeLines="60" w:before="144" w:afterLines="60" w:after="144"/>
              <w:rPr>
                <w:rFonts w:ascii="Arial" w:hAnsi="Arial" w:cs="Arial"/>
                <w:sz w:val="18"/>
                <w:szCs w:val="18"/>
              </w:rPr>
            </w:pPr>
          </w:p>
        </w:tc>
        <w:tc>
          <w:tcPr>
            <w:tcW w:w="1144" w:type="pct"/>
            <w:gridSpan w:val="2"/>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r>
              <w:rPr>
                <w:rFonts w:ascii="Arial" w:hAnsi="Arial" w:cs="Arial"/>
                <w:sz w:val="18"/>
                <w:szCs w:val="18"/>
              </w:rPr>
              <w:t>NNT</w:t>
            </w:r>
          </w:p>
        </w:tc>
        <w:tc>
          <w:tcPr>
            <w:tcW w:w="977" w:type="pct"/>
            <w:gridSpan w:val="2"/>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r>
              <w:rPr>
                <w:rFonts w:ascii="Arial" w:hAnsi="Arial" w:cs="Arial"/>
                <w:sz w:val="18"/>
                <w:szCs w:val="18"/>
              </w:rPr>
              <w:t>NNT</w:t>
            </w:r>
          </w:p>
        </w:tc>
        <w:tc>
          <w:tcPr>
            <w:tcW w:w="977" w:type="pct"/>
            <w:gridSpan w:val="2"/>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r>
              <w:rPr>
                <w:rFonts w:ascii="Arial" w:hAnsi="Arial" w:cs="Arial"/>
                <w:sz w:val="18"/>
                <w:szCs w:val="18"/>
              </w:rPr>
              <w:t>NNT</w:t>
            </w:r>
          </w:p>
        </w:tc>
        <w:tc>
          <w:tcPr>
            <w:tcW w:w="976" w:type="pct"/>
            <w:gridSpan w:val="2"/>
            <w:shd w:val="clear" w:color="auto" w:fill="E7E6E6"/>
            <w:vAlign w:val="center"/>
          </w:tcPr>
          <w:p w:rsidR="00207EA0" w:rsidRPr="00AD21DE" w:rsidRDefault="00207EA0" w:rsidP="006B644D">
            <w:pPr>
              <w:pStyle w:val="TableH1"/>
              <w:spacing w:beforeLines="60" w:before="144" w:afterLines="60" w:after="144"/>
              <w:jc w:val="center"/>
              <w:rPr>
                <w:rFonts w:ascii="Arial" w:hAnsi="Arial" w:cs="Arial"/>
                <w:sz w:val="18"/>
                <w:szCs w:val="18"/>
              </w:rPr>
            </w:pPr>
            <w:r>
              <w:rPr>
                <w:rFonts w:ascii="Arial" w:hAnsi="Arial" w:cs="Arial"/>
                <w:sz w:val="18"/>
                <w:szCs w:val="18"/>
              </w:rPr>
              <w:t>NNT</w:t>
            </w:r>
          </w:p>
        </w:tc>
      </w:tr>
      <w:tr w:rsidR="00207EA0" w:rsidRPr="00AD21DE" w:rsidTr="006B644D">
        <w:trPr>
          <w:trHeight w:hRule="exact" w:val="567"/>
        </w:trPr>
        <w:tc>
          <w:tcPr>
            <w:tcW w:w="925" w:type="pct"/>
            <w:shd w:val="clear" w:color="auto" w:fill="auto"/>
            <w:vAlign w:val="center"/>
          </w:tcPr>
          <w:p w:rsidR="00207EA0" w:rsidRPr="008C1A6C" w:rsidRDefault="00207EA0" w:rsidP="006B644D">
            <w:pPr>
              <w:pStyle w:val="Tabletext"/>
              <w:spacing w:beforeLines="60" w:before="144" w:afterLines="60" w:after="144"/>
              <w:rPr>
                <w:rFonts w:cs="Arial"/>
                <w:sz w:val="18"/>
                <w:szCs w:val="18"/>
                <w:lang w:val="en-AU"/>
              </w:rPr>
            </w:pPr>
            <w:r w:rsidRPr="008C1A6C">
              <w:rPr>
                <w:rFonts w:cs="Arial"/>
                <w:sz w:val="18"/>
                <w:szCs w:val="18"/>
                <w:lang w:val="en-AU"/>
              </w:rPr>
              <w:t>All breast cancer</w:t>
            </w:r>
          </w:p>
        </w:tc>
        <w:tc>
          <w:tcPr>
            <w:tcW w:w="1144"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sidRPr="00182194">
              <w:rPr>
                <w:rFonts w:cs="Arial"/>
                <w:sz w:val="18"/>
                <w:szCs w:val="18"/>
                <w:lang w:val="en-AU" w:eastAsia="en-GB"/>
              </w:rPr>
              <w:t>71</w:t>
            </w:r>
          </w:p>
        </w:tc>
        <w:tc>
          <w:tcPr>
            <w:tcW w:w="977"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rPr>
              <w:t>37</w:t>
            </w:r>
          </w:p>
        </w:tc>
        <w:tc>
          <w:tcPr>
            <w:tcW w:w="977"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rPr>
              <w:t>NR</w:t>
            </w:r>
          </w:p>
        </w:tc>
        <w:tc>
          <w:tcPr>
            <w:tcW w:w="976" w:type="pct"/>
            <w:gridSpan w:val="2"/>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rPr>
              <w:t>NS</w:t>
            </w:r>
          </w:p>
        </w:tc>
      </w:tr>
      <w:tr w:rsidR="00207EA0" w:rsidRPr="00371D60" w:rsidTr="006B644D">
        <w:trPr>
          <w:trHeight w:hRule="exact" w:val="567"/>
        </w:trPr>
        <w:tc>
          <w:tcPr>
            <w:tcW w:w="925" w:type="pct"/>
            <w:shd w:val="clear" w:color="auto" w:fill="auto"/>
          </w:tcPr>
          <w:p w:rsidR="00207EA0" w:rsidRPr="008C1A6C" w:rsidRDefault="00207EA0" w:rsidP="006B644D">
            <w:pPr>
              <w:pStyle w:val="Tabletext"/>
              <w:spacing w:beforeLines="60" w:before="144" w:afterLines="60" w:after="144"/>
              <w:rPr>
                <w:rFonts w:cs="Arial"/>
                <w:sz w:val="18"/>
                <w:szCs w:val="18"/>
                <w:lang w:val="en-AU"/>
              </w:rPr>
            </w:pPr>
            <w:r w:rsidRPr="008C1A6C">
              <w:rPr>
                <w:rFonts w:cs="Arial"/>
                <w:sz w:val="18"/>
                <w:szCs w:val="18"/>
                <w:lang w:val="en-AU"/>
              </w:rPr>
              <w:t>Invasive breast cancer</w:t>
            </w:r>
          </w:p>
        </w:tc>
        <w:tc>
          <w:tcPr>
            <w:tcW w:w="1144" w:type="pct"/>
            <w:gridSpan w:val="2"/>
            <w:shd w:val="clear" w:color="auto" w:fill="auto"/>
            <w:vAlign w:val="center"/>
          </w:tcPr>
          <w:p w:rsidR="00207EA0" w:rsidRPr="002972DA" w:rsidRDefault="00207EA0" w:rsidP="006B644D">
            <w:pPr>
              <w:pStyle w:val="Tabletext"/>
              <w:tabs>
                <w:tab w:val="left" w:pos="416"/>
                <w:tab w:val="left" w:pos="582"/>
              </w:tabs>
              <w:spacing w:beforeLines="60" w:before="144" w:afterLines="60" w:after="144"/>
              <w:jc w:val="center"/>
              <w:rPr>
                <w:rFonts w:cs="Arial"/>
                <w:sz w:val="18"/>
                <w:szCs w:val="18"/>
                <w:lang w:val="en-AU"/>
              </w:rPr>
            </w:pPr>
            <w:r w:rsidRPr="002972DA">
              <w:rPr>
                <w:rFonts w:cs="Arial"/>
                <w:sz w:val="18"/>
                <w:szCs w:val="18"/>
                <w:lang w:val="en-AU"/>
              </w:rPr>
              <w:t>NR</w:t>
            </w:r>
          </w:p>
        </w:tc>
        <w:tc>
          <w:tcPr>
            <w:tcW w:w="977"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48</w:t>
            </w:r>
          </w:p>
        </w:tc>
        <w:tc>
          <w:tcPr>
            <w:tcW w:w="977"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64</w:t>
            </w:r>
          </w:p>
        </w:tc>
        <w:tc>
          <w:tcPr>
            <w:tcW w:w="976" w:type="pct"/>
            <w:gridSpan w:val="2"/>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NS</w:t>
            </w:r>
          </w:p>
        </w:tc>
      </w:tr>
      <w:tr w:rsidR="00207EA0" w:rsidRPr="00371D60" w:rsidTr="006B644D">
        <w:trPr>
          <w:trHeight w:hRule="exact" w:val="567"/>
        </w:trPr>
        <w:tc>
          <w:tcPr>
            <w:tcW w:w="925" w:type="pct"/>
            <w:shd w:val="clear" w:color="auto" w:fill="auto"/>
          </w:tcPr>
          <w:p w:rsidR="00207EA0" w:rsidRPr="008C1A6C" w:rsidRDefault="00207EA0" w:rsidP="006B644D">
            <w:pPr>
              <w:pStyle w:val="Tabletext"/>
              <w:spacing w:beforeLines="60" w:before="144" w:afterLines="60" w:after="144"/>
              <w:rPr>
                <w:rFonts w:cs="Arial"/>
                <w:sz w:val="18"/>
                <w:szCs w:val="18"/>
                <w:lang w:val="en-AU"/>
              </w:rPr>
            </w:pPr>
            <w:r w:rsidRPr="008C1A6C">
              <w:rPr>
                <w:rFonts w:cs="Arial"/>
                <w:sz w:val="18"/>
                <w:szCs w:val="18"/>
                <w:lang w:val="en-AU"/>
              </w:rPr>
              <w:t>Non-invasive cancers</w:t>
            </w:r>
          </w:p>
        </w:tc>
        <w:tc>
          <w:tcPr>
            <w:tcW w:w="1144"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408</w:t>
            </w:r>
          </w:p>
        </w:tc>
        <w:tc>
          <w:tcPr>
            <w:tcW w:w="977"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rPr>
              <w:t>199</w:t>
            </w:r>
          </w:p>
        </w:tc>
        <w:tc>
          <w:tcPr>
            <w:tcW w:w="977"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202</w:t>
            </w:r>
          </w:p>
        </w:tc>
        <w:tc>
          <w:tcPr>
            <w:tcW w:w="976" w:type="pct"/>
            <w:gridSpan w:val="2"/>
            <w:vAlign w:val="center"/>
          </w:tcPr>
          <w:p w:rsidR="00207EA0" w:rsidRPr="002972DA" w:rsidRDefault="00207EA0" w:rsidP="006B644D">
            <w:pPr>
              <w:pStyle w:val="Tabletext"/>
              <w:tabs>
                <w:tab w:val="left" w:pos="416"/>
                <w:tab w:val="left" w:pos="582"/>
              </w:tabs>
              <w:spacing w:beforeLines="60" w:before="144" w:afterLines="60" w:after="144"/>
              <w:jc w:val="center"/>
              <w:rPr>
                <w:rFonts w:cs="Arial"/>
                <w:sz w:val="18"/>
                <w:szCs w:val="18"/>
                <w:lang w:val="en-AU"/>
              </w:rPr>
            </w:pPr>
            <w:r w:rsidRPr="002972DA">
              <w:rPr>
                <w:rFonts w:cs="Arial"/>
                <w:sz w:val="18"/>
                <w:szCs w:val="18"/>
                <w:lang w:val="en-AU"/>
              </w:rPr>
              <w:t>NR</w:t>
            </w:r>
          </w:p>
        </w:tc>
      </w:tr>
      <w:tr w:rsidR="00207EA0" w:rsidRPr="00371D60" w:rsidTr="006B644D">
        <w:trPr>
          <w:trHeight w:hRule="exact" w:val="567"/>
        </w:trPr>
        <w:tc>
          <w:tcPr>
            <w:tcW w:w="925" w:type="pct"/>
            <w:shd w:val="clear" w:color="auto" w:fill="auto"/>
          </w:tcPr>
          <w:p w:rsidR="00207EA0" w:rsidRPr="008C1A6C" w:rsidRDefault="00207EA0" w:rsidP="006B644D">
            <w:pPr>
              <w:pStyle w:val="Tabletext"/>
              <w:spacing w:beforeLines="60" w:before="144" w:afterLines="60" w:after="144"/>
              <w:rPr>
                <w:rFonts w:cs="Arial"/>
                <w:sz w:val="18"/>
                <w:szCs w:val="18"/>
                <w:lang w:val="en-AU"/>
              </w:rPr>
            </w:pPr>
            <w:r w:rsidRPr="008C1A6C">
              <w:rPr>
                <w:rFonts w:cs="Arial"/>
                <w:sz w:val="18"/>
                <w:szCs w:val="18"/>
                <w:lang w:val="en-AU"/>
              </w:rPr>
              <w:t>Oestrogen receptor-positive cancers</w:t>
            </w:r>
          </w:p>
        </w:tc>
        <w:tc>
          <w:tcPr>
            <w:tcW w:w="1144"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81</w:t>
            </w:r>
          </w:p>
        </w:tc>
        <w:tc>
          <w:tcPr>
            <w:tcW w:w="977"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46</w:t>
            </w:r>
          </w:p>
        </w:tc>
        <w:tc>
          <w:tcPr>
            <w:tcW w:w="977" w:type="pct"/>
            <w:gridSpan w:val="2"/>
            <w:shd w:val="clear" w:color="auto" w:fill="auto"/>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60</w:t>
            </w:r>
          </w:p>
        </w:tc>
        <w:tc>
          <w:tcPr>
            <w:tcW w:w="976" w:type="pct"/>
            <w:gridSpan w:val="2"/>
            <w:vAlign w:val="center"/>
          </w:tcPr>
          <w:p w:rsidR="00207EA0" w:rsidRPr="002972DA" w:rsidRDefault="00207EA0" w:rsidP="006B644D">
            <w:pPr>
              <w:pStyle w:val="Tabletext"/>
              <w:spacing w:beforeLines="60" w:before="144" w:afterLines="60" w:after="144"/>
              <w:jc w:val="center"/>
              <w:rPr>
                <w:rFonts w:cs="Arial"/>
                <w:sz w:val="18"/>
                <w:szCs w:val="18"/>
                <w:lang w:val="en-AU"/>
              </w:rPr>
            </w:pPr>
            <w:r>
              <w:rPr>
                <w:rFonts w:cs="Arial"/>
                <w:sz w:val="18"/>
                <w:szCs w:val="18"/>
                <w:lang w:val="en-AU" w:eastAsia="en-GB"/>
              </w:rPr>
              <w:t>38</w:t>
            </w:r>
          </w:p>
        </w:tc>
      </w:tr>
    </w:tbl>
    <w:p w:rsidR="003E74FC" w:rsidRDefault="00207EA0" w:rsidP="00207EA0">
      <w:pPr>
        <w:rPr>
          <w:rFonts w:cs="Arial"/>
          <w:szCs w:val="24"/>
        </w:rPr>
      </w:pPr>
      <w:r w:rsidRPr="00371D60">
        <w:rPr>
          <w:rFonts w:cs="Arial"/>
          <w:sz w:val="18"/>
        </w:rPr>
        <w:t xml:space="preserve">Abbreviations: </w:t>
      </w:r>
      <w:proofErr w:type="spellStart"/>
      <w:r w:rsidRPr="00371D60">
        <w:rPr>
          <w:rFonts w:cs="Arial"/>
          <w:sz w:val="18"/>
        </w:rPr>
        <w:t>placeb</w:t>
      </w:r>
      <w:proofErr w:type="spellEnd"/>
      <w:r w:rsidRPr="00371D60">
        <w:rPr>
          <w:rFonts w:cs="Arial"/>
          <w:sz w:val="18"/>
        </w:rPr>
        <w:t xml:space="preserve"> = placebo, </w:t>
      </w:r>
      <w:r>
        <w:rPr>
          <w:rFonts w:cs="Arial"/>
          <w:sz w:val="18"/>
        </w:rPr>
        <w:t xml:space="preserve">NNT = number needed to treat, NR = number of events or statistical analyses not reported, NS = not significant, </w:t>
      </w:r>
      <w:proofErr w:type="spellStart"/>
      <w:r w:rsidRPr="00371D60">
        <w:rPr>
          <w:rFonts w:cs="Arial"/>
          <w:sz w:val="18"/>
        </w:rPr>
        <w:t>tamox</w:t>
      </w:r>
      <w:proofErr w:type="spellEnd"/>
      <w:r w:rsidRPr="00371D60">
        <w:rPr>
          <w:rFonts w:cs="Arial"/>
          <w:sz w:val="18"/>
        </w:rPr>
        <w:t xml:space="preserve"> = tamoxifen.</w:t>
      </w:r>
    </w:p>
    <w:p w:rsidR="00215B41" w:rsidRPr="00847A2E" w:rsidRDefault="006B1239" w:rsidP="00476D94">
      <w:r w:rsidRPr="0008499F">
        <w:rPr>
          <w:rFonts w:cs="Arial"/>
          <w:szCs w:val="24"/>
        </w:rPr>
        <w:t xml:space="preserve">In the health-related quality of life component of </w:t>
      </w:r>
      <w:r w:rsidR="00BB450D" w:rsidRPr="0008499F">
        <w:rPr>
          <w:rFonts w:cs="Arial"/>
          <w:szCs w:val="24"/>
        </w:rPr>
        <w:t xml:space="preserve">the </w:t>
      </w:r>
      <w:r w:rsidRPr="0008499F">
        <w:rPr>
          <w:rFonts w:cs="Arial"/>
          <w:szCs w:val="24"/>
        </w:rPr>
        <w:t xml:space="preserve">NSABP-1 trial, which included 11,064 of the 13,388 women enrolled in the trial, </w:t>
      </w:r>
      <w:r w:rsidR="00905313" w:rsidRPr="0008499F">
        <w:rPr>
          <w:rFonts w:cs="Arial"/>
          <w:szCs w:val="24"/>
        </w:rPr>
        <w:t>vasomotor and gynaecological symptoms were reported more frequently in the tamoxifen group, consistent with the known safety profile of tamoxifen</w:t>
      </w:r>
      <w:r w:rsidR="008079C6">
        <w:rPr>
          <w:rFonts w:cs="Arial"/>
          <w:szCs w:val="24"/>
        </w:rPr>
        <w:t xml:space="preserve">. </w:t>
      </w:r>
      <w:r w:rsidR="00905313" w:rsidRPr="0008499F">
        <w:rPr>
          <w:rFonts w:cs="Arial"/>
          <w:szCs w:val="24"/>
        </w:rPr>
        <w:t>Some sexual functioning symptoms were reported significantly more frequently in the tamoxifen group, but the differences were very small (mean differences between the treatment groups ranged from 0.54% to 1.24%).T</w:t>
      </w:r>
      <w:r w:rsidRPr="0008499F">
        <w:rPr>
          <w:rFonts w:cs="Arial"/>
          <w:szCs w:val="24"/>
        </w:rPr>
        <w:t>amoxifen did not increase the rate of depression or mental health problems in general</w:t>
      </w:r>
      <w:r w:rsidR="00177788" w:rsidRPr="0008499F">
        <w:rPr>
          <w:rFonts w:cs="Arial"/>
          <w:szCs w:val="24"/>
        </w:rPr>
        <w:t>,</w:t>
      </w:r>
      <w:r w:rsidR="00905313" w:rsidRPr="0008499F">
        <w:rPr>
          <w:rFonts w:cs="Arial"/>
          <w:szCs w:val="24"/>
        </w:rPr>
        <w:t xml:space="preserve"> nor</w:t>
      </w:r>
      <w:r w:rsidR="00BC1E3A" w:rsidRPr="0008499F">
        <w:t xml:space="preserve"> significantly increase the frequency of reported changes in body weight</w:t>
      </w:r>
      <w:r w:rsidRPr="0008499F">
        <w:rPr>
          <w:rFonts w:cs="Arial"/>
          <w:szCs w:val="24"/>
        </w:rPr>
        <w:t>.</w:t>
      </w:r>
    </w:p>
    <w:p w:rsidR="004C523D" w:rsidRPr="0008499F" w:rsidRDefault="004C523D" w:rsidP="00476D94">
      <w:pPr>
        <w:pStyle w:val="BodyText"/>
        <w:rPr>
          <w:rFonts w:eastAsia="Calibri"/>
          <w:lang w:val="en-AU"/>
        </w:rPr>
      </w:pPr>
      <w:r w:rsidRPr="0008499F">
        <w:rPr>
          <w:rFonts w:eastAsia="Calibri"/>
        </w:rPr>
        <w:t xml:space="preserve">Mortality was a secondary outcome measure for the IBIS-1, NSABP P1 and Royal Marsden trials. In comparing the tamoxifen and placebo arms, no significant difference was found for </w:t>
      </w:r>
      <w:r w:rsidR="003852FA" w:rsidRPr="0008499F">
        <w:rPr>
          <w:rFonts w:eastAsia="Calibri"/>
          <w:lang w:val="en-AU"/>
        </w:rPr>
        <w:t>mortality</w:t>
      </w:r>
      <w:r w:rsidRPr="0008499F">
        <w:rPr>
          <w:rFonts w:eastAsia="Calibri"/>
        </w:rPr>
        <w:t xml:space="preserve"> in each trial</w:t>
      </w:r>
      <w:r w:rsidRPr="0008499F">
        <w:rPr>
          <w:rFonts w:eastAsia="Calibri"/>
          <w:lang w:val="en-AU"/>
        </w:rPr>
        <w:t>.</w:t>
      </w:r>
      <w:r w:rsidR="0008499F" w:rsidRPr="0008499F">
        <w:t xml:space="preserve"> This outcome may be due to confounding factors in these </w:t>
      </w:r>
      <w:r w:rsidR="00A15228">
        <w:rPr>
          <w:lang w:val="en-AU"/>
        </w:rPr>
        <w:t>trials</w:t>
      </w:r>
      <w:r w:rsidR="0008499F" w:rsidRPr="0008499F">
        <w:t xml:space="preserve"> such as low event rates, </w:t>
      </w:r>
      <w:proofErr w:type="spellStart"/>
      <w:r w:rsidR="0008499F" w:rsidRPr="0008499F">
        <w:t>underpowering</w:t>
      </w:r>
      <w:proofErr w:type="spellEnd"/>
      <w:r w:rsidR="0008499F" w:rsidRPr="0008499F">
        <w:t>, close screening leading to early detection of events and subsequent breast cancer treatments.</w:t>
      </w:r>
    </w:p>
    <w:p w:rsidR="00476D94" w:rsidRPr="00847A2E" w:rsidRDefault="00476D94" w:rsidP="00847A2E">
      <w:pPr>
        <w:pStyle w:val="A-Heading3"/>
        <w:rPr>
          <w:rFonts w:eastAsia="Calibri"/>
          <w:b w:val="0"/>
        </w:rPr>
      </w:pPr>
      <w:r w:rsidRPr="00847A2E">
        <w:rPr>
          <w:rFonts w:eastAsia="Calibri"/>
          <w:b w:val="0"/>
        </w:rPr>
        <w:t>Concomitant use of Hormone Replacement Therapy</w:t>
      </w:r>
    </w:p>
    <w:p w:rsidR="00476D94" w:rsidRPr="0008499F" w:rsidRDefault="00476D94" w:rsidP="00476D94">
      <w:pPr>
        <w:pStyle w:val="BodyText"/>
      </w:pPr>
      <w:r w:rsidRPr="0008499F">
        <w:rPr>
          <w:rFonts w:eastAsia="Calibri"/>
        </w:rPr>
        <w:t xml:space="preserve">The IBIS-I trial found that tamoxifen was effective in reducing the risk of breast cancer in women who were not taking hormone replacement therapy. </w:t>
      </w:r>
      <w:r w:rsidR="00177788" w:rsidRPr="0008499F">
        <w:rPr>
          <w:rFonts w:eastAsia="Calibri"/>
          <w:lang w:val="en-AU"/>
        </w:rPr>
        <w:t xml:space="preserve">For </w:t>
      </w:r>
      <w:r w:rsidRPr="0008499F">
        <w:rPr>
          <w:rFonts w:eastAsia="Calibri"/>
        </w:rPr>
        <w:t xml:space="preserve">women who did use hormone replacement therapy, </w:t>
      </w:r>
      <w:r w:rsidR="007E14E1" w:rsidRPr="0008499F">
        <w:rPr>
          <w:rFonts w:eastAsia="Calibri"/>
          <w:lang w:val="en-AU"/>
        </w:rPr>
        <w:t>there was no significant reduction in the risk of developing invasive breast cancers:</w:t>
      </w:r>
      <w:r w:rsidR="007806FF">
        <w:rPr>
          <w:rFonts w:eastAsia="Calibri"/>
          <w:lang w:val="en-AU"/>
        </w:rPr>
        <w:t xml:space="preserve"> </w:t>
      </w:r>
      <w:r w:rsidRPr="0008499F">
        <w:rPr>
          <w:rFonts w:eastAsia="Calibri"/>
        </w:rPr>
        <w:t>110 vs 124</w:t>
      </w:r>
      <w:r w:rsidR="007806FF">
        <w:rPr>
          <w:rFonts w:eastAsia="Calibri"/>
          <w:lang w:val="en-AU"/>
        </w:rPr>
        <w:t xml:space="preserve"> (</w:t>
      </w:r>
      <w:r w:rsidRPr="0008499F">
        <w:rPr>
          <w:rFonts w:eastAsia="Calibri"/>
        </w:rPr>
        <w:t>HR 0.88, 95% CI 0.68-1.13, p=0.31)</w:t>
      </w:r>
      <w:r w:rsidR="008079C6">
        <w:rPr>
          <w:rFonts w:eastAsia="Calibri"/>
        </w:rPr>
        <w:t xml:space="preserve">. </w:t>
      </w:r>
      <w:r w:rsidRPr="0008499F">
        <w:rPr>
          <w:rFonts w:eastAsia="Calibri"/>
        </w:rPr>
        <w:t>These findings were consistent over the 20-year study period</w:t>
      </w:r>
      <w:r w:rsidR="008079C6">
        <w:rPr>
          <w:rFonts w:eastAsia="Calibri"/>
          <w:lang w:val="en-AU"/>
        </w:rPr>
        <w:t xml:space="preserve">. </w:t>
      </w:r>
      <w:r w:rsidR="00620DC4">
        <w:rPr>
          <w:rFonts w:eastAsia="Calibri"/>
          <w:lang w:val="en-US"/>
        </w:rPr>
        <w:t xml:space="preserve">In the NSABP P1 trial, women who were taking hormone replacement therapy were excluded from the </w:t>
      </w:r>
      <w:r w:rsidR="00A15228">
        <w:rPr>
          <w:rFonts w:eastAsia="Calibri"/>
          <w:lang w:val="en-US"/>
        </w:rPr>
        <w:t>trial</w:t>
      </w:r>
      <w:r w:rsidR="00620DC4">
        <w:rPr>
          <w:rFonts w:eastAsia="Calibri"/>
          <w:lang w:val="en-US"/>
        </w:rPr>
        <w:t xml:space="preserve">. The Royal Marsden </w:t>
      </w:r>
      <w:r w:rsidR="00A15228">
        <w:rPr>
          <w:rFonts w:eastAsia="Calibri"/>
          <w:lang w:val="en-US"/>
        </w:rPr>
        <w:t>trial</w:t>
      </w:r>
      <w:r w:rsidR="00620DC4">
        <w:rPr>
          <w:rFonts w:eastAsia="Calibri"/>
          <w:lang w:val="en-US"/>
        </w:rPr>
        <w:t xml:space="preserve"> was not powered to demonstrate an effect.</w:t>
      </w:r>
    </w:p>
    <w:p w:rsidR="00374B8E" w:rsidRPr="00847A2E" w:rsidRDefault="00476D94" w:rsidP="00847A2E">
      <w:pPr>
        <w:pStyle w:val="A-Heading3"/>
        <w:rPr>
          <w:b w:val="0"/>
        </w:rPr>
      </w:pPr>
      <w:r w:rsidRPr="00847A2E">
        <w:rPr>
          <w:b w:val="0"/>
        </w:rPr>
        <w:t>Effects of age</w:t>
      </w:r>
      <w:r w:rsidR="00555D16" w:rsidRPr="00847A2E">
        <w:rPr>
          <w:b w:val="0"/>
        </w:rPr>
        <w:t xml:space="preserve"> and menopausal status</w:t>
      </w:r>
    </w:p>
    <w:p w:rsidR="00374B8E" w:rsidRDefault="00476D94" w:rsidP="001C3216">
      <w:pPr>
        <w:pStyle w:val="BodyText"/>
        <w:rPr>
          <w:rFonts w:eastAsia="Calibri"/>
          <w:szCs w:val="24"/>
        </w:rPr>
      </w:pPr>
      <w:r w:rsidRPr="0008499F">
        <w:rPr>
          <w:szCs w:val="24"/>
        </w:rPr>
        <w:t xml:space="preserve">No age-related effects of tamoxifen on breast cancer incidence were reported in the primary </w:t>
      </w:r>
      <w:r w:rsidR="004C523D" w:rsidRPr="0008499F">
        <w:rPr>
          <w:szCs w:val="24"/>
        </w:rPr>
        <w:t>risk reduction</w:t>
      </w:r>
      <w:r w:rsidRPr="0008499F">
        <w:rPr>
          <w:szCs w:val="24"/>
        </w:rPr>
        <w:t xml:space="preserve"> trials</w:t>
      </w:r>
      <w:r w:rsidRPr="0008499F">
        <w:rPr>
          <w:rFonts w:eastAsia="Calibri"/>
          <w:szCs w:val="24"/>
        </w:rPr>
        <w:t>.</w:t>
      </w:r>
      <w:r w:rsidR="0094027C" w:rsidRPr="0008499F">
        <w:rPr>
          <w:rFonts w:eastAsia="Calibri"/>
          <w:szCs w:val="24"/>
        </w:rPr>
        <w:t xml:space="preserve"> </w:t>
      </w:r>
      <w:r w:rsidR="00293E3E" w:rsidRPr="0008499F">
        <w:rPr>
          <w:rFonts w:eastAsia="Calibri"/>
          <w:szCs w:val="24"/>
        </w:rPr>
        <w:t xml:space="preserve">Analyses according to age were performed in the </w:t>
      </w:r>
      <w:r w:rsidR="00293E3E" w:rsidRPr="0008499F">
        <w:rPr>
          <w:rFonts w:eastAsia="Calibri"/>
          <w:szCs w:val="24"/>
        </w:rPr>
        <w:lastRenderedPageBreak/>
        <w:t>final analyses of the IBIS-1 and the NSABP P1 trials</w:t>
      </w:r>
      <w:r w:rsidR="008079C6">
        <w:rPr>
          <w:rFonts w:eastAsia="Calibri"/>
          <w:szCs w:val="24"/>
        </w:rPr>
        <w:t xml:space="preserve">. </w:t>
      </w:r>
      <w:r w:rsidR="00293E3E" w:rsidRPr="0008499F">
        <w:rPr>
          <w:rFonts w:eastAsia="Calibri"/>
          <w:szCs w:val="24"/>
        </w:rPr>
        <w:t>In the IBIS-I trial, breast cancer incidence was significantly decreased in the tamoxifen vs the placebo group in women aged ≤50 years and ˃50 years</w:t>
      </w:r>
      <w:r w:rsidR="008079C6">
        <w:rPr>
          <w:rFonts w:eastAsia="Calibri"/>
          <w:szCs w:val="24"/>
        </w:rPr>
        <w:t xml:space="preserve">. </w:t>
      </w:r>
      <w:r w:rsidR="00293E3E" w:rsidRPr="0008499F">
        <w:rPr>
          <w:rFonts w:eastAsia="Calibri"/>
          <w:szCs w:val="24"/>
        </w:rPr>
        <w:t>In the NSABP P1 trial, invasive breast cancer incidence was significantly decreased in the tamoxifen vs the placebo group in women aged ≤49 years, 50 to 59 years, and ≥60 years</w:t>
      </w:r>
      <w:r w:rsidR="008079C6">
        <w:rPr>
          <w:rFonts w:eastAsia="Calibri"/>
          <w:szCs w:val="24"/>
        </w:rPr>
        <w:t xml:space="preserve">. </w:t>
      </w:r>
      <w:r w:rsidR="00293E3E" w:rsidRPr="0008499F">
        <w:rPr>
          <w:rFonts w:eastAsia="Calibri"/>
          <w:szCs w:val="24"/>
        </w:rPr>
        <w:t>Thus, no age-related effects of tamoxifen on breast cancer incidence were reported in the trials.</w:t>
      </w:r>
    </w:p>
    <w:p w:rsidR="008079C6" w:rsidRDefault="00293E3E" w:rsidP="001C3216">
      <w:pPr>
        <w:pStyle w:val="BodyText"/>
        <w:rPr>
          <w:rFonts w:eastAsia="Calibri"/>
          <w:szCs w:val="24"/>
          <w:lang w:val="en-AU"/>
        </w:rPr>
      </w:pPr>
      <w:r w:rsidRPr="0008499F">
        <w:rPr>
          <w:rFonts w:eastAsia="Calibri"/>
          <w:szCs w:val="24"/>
          <w:lang w:val="en-AU"/>
        </w:rPr>
        <w:t>Analyses according to menopausal status were performed in the 96-month analysis of the IBIS-1 trial</w:t>
      </w:r>
      <w:r w:rsidR="008079C6">
        <w:rPr>
          <w:rFonts w:eastAsia="Calibri"/>
          <w:szCs w:val="24"/>
          <w:lang w:val="en-AU"/>
        </w:rPr>
        <w:t xml:space="preserve">. </w:t>
      </w:r>
      <w:r w:rsidRPr="0008499F">
        <w:rPr>
          <w:rFonts w:eastAsia="Calibri"/>
          <w:szCs w:val="24"/>
          <w:lang w:val="en-AU"/>
        </w:rPr>
        <w:t xml:space="preserve">In the IBIS-I trial, tamoxifen significantly reduced the risk of breast cancer in premenopausal women compared with placebo. It should be noted that the IBIS-1 trial </w:t>
      </w:r>
      <w:r w:rsidR="00486B6C" w:rsidRPr="0008499F">
        <w:rPr>
          <w:rFonts w:eastAsia="Calibri"/>
          <w:szCs w:val="24"/>
          <w:lang w:val="en-AU"/>
        </w:rPr>
        <w:t>was</w:t>
      </w:r>
      <w:r w:rsidRPr="0008499F">
        <w:rPr>
          <w:rFonts w:eastAsia="Calibri"/>
          <w:szCs w:val="24"/>
          <w:lang w:val="en-AU"/>
        </w:rPr>
        <w:t xml:space="preserve"> not sufficiently powered to detect a difference specifically in postmenopausal women</w:t>
      </w:r>
      <w:r w:rsidR="008079C6">
        <w:rPr>
          <w:rFonts w:eastAsia="Calibri"/>
          <w:szCs w:val="24"/>
          <w:lang w:val="en-AU"/>
        </w:rPr>
        <w:t xml:space="preserve">. </w:t>
      </w:r>
      <w:r w:rsidR="00484709" w:rsidRPr="0008499F">
        <w:rPr>
          <w:rFonts w:eastAsia="Calibri"/>
          <w:szCs w:val="24"/>
          <w:lang w:val="en-AU"/>
        </w:rPr>
        <w:t>I</w:t>
      </w:r>
      <w:r w:rsidRPr="0008499F">
        <w:rPr>
          <w:rFonts w:eastAsia="Calibri"/>
          <w:szCs w:val="24"/>
          <w:lang w:val="en-AU"/>
        </w:rPr>
        <w:t>n the NSABP P1 trial, the incidence of invasive breast cancer was significantly lower in the tamoxifen vs placebo group in women aged ≥60 years</w:t>
      </w:r>
      <w:r w:rsidR="001763F4" w:rsidRPr="0008499F">
        <w:rPr>
          <w:rFonts w:eastAsia="Calibri"/>
          <w:szCs w:val="24"/>
          <w:lang w:val="en-AU"/>
        </w:rPr>
        <w:t>,</w:t>
      </w:r>
      <w:r w:rsidRPr="0008499F">
        <w:rPr>
          <w:rFonts w:eastAsia="Calibri"/>
          <w:szCs w:val="24"/>
          <w:lang w:val="en-AU"/>
        </w:rPr>
        <w:t xml:space="preserve"> who would have been postmenopausal (40 vs 80, RR 0.49, 95% CI 0.33</w:t>
      </w:r>
      <w:r w:rsidR="001763F4" w:rsidRPr="0008499F">
        <w:rPr>
          <w:rFonts w:eastAsia="Calibri"/>
          <w:szCs w:val="24"/>
          <w:lang w:val="en-AU"/>
        </w:rPr>
        <w:t>-</w:t>
      </w:r>
      <w:r w:rsidRPr="0008499F">
        <w:rPr>
          <w:rFonts w:eastAsia="Calibri"/>
          <w:szCs w:val="24"/>
          <w:lang w:val="en-AU"/>
        </w:rPr>
        <w:t>0.73)</w:t>
      </w:r>
      <w:r w:rsidR="008079C6">
        <w:rPr>
          <w:rFonts w:eastAsia="Calibri"/>
          <w:szCs w:val="24"/>
          <w:lang w:val="en-AU"/>
        </w:rPr>
        <w:t>.</w:t>
      </w:r>
    </w:p>
    <w:p w:rsidR="00476D94" w:rsidRPr="00847A2E" w:rsidRDefault="00476D94" w:rsidP="00847A2E">
      <w:pPr>
        <w:pStyle w:val="A-Heading3"/>
        <w:rPr>
          <w:rFonts w:eastAsia="Calibri"/>
          <w:b w:val="0"/>
        </w:rPr>
      </w:pPr>
      <w:r w:rsidRPr="00847A2E">
        <w:rPr>
          <w:rFonts w:eastAsia="Calibri"/>
          <w:b w:val="0"/>
        </w:rPr>
        <w:t>Lobular carcinoma in situ and atypical hyperplasia</w:t>
      </w:r>
    </w:p>
    <w:p w:rsidR="00EA4D44" w:rsidRPr="0008499F" w:rsidRDefault="00476D94" w:rsidP="00014165">
      <w:pPr>
        <w:pStyle w:val="BodyText"/>
        <w:keepNext/>
        <w:rPr>
          <w:color w:val="000000"/>
        </w:rPr>
      </w:pPr>
      <w:r w:rsidRPr="0008499F">
        <w:rPr>
          <w:rFonts w:eastAsia="Calibri"/>
        </w:rPr>
        <w:t xml:space="preserve">In NSABP P1, there was a 75% breast cancer risk reduction in women with a history of atypical hyperplasia </w:t>
      </w:r>
      <w:r w:rsidR="00486B6C" w:rsidRPr="0008499F">
        <w:rPr>
          <w:rFonts w:eastAsia="Calibri"/>
          <w:lang w:val="en-AU"/>
        </w:rPr>
        <w:t>compared with a</w:t>
      </w:r>
      <w:r w:rsidRPr="0008499F">
        <w:rPr>
          <w:rFonts w:eastAsia="Calibri"/>
        </w:rPr>
        <w:t xml:space="preserve"> 37% risk reduction in women with no history of atypical hyperplasia (RR 0.63, 95% CI 0.50-0.78)</w:t>
      </w:r>
      <w:r w:rsidR="008079C6">
        <w:rPr>
          <w:color w:val="000000"/>
        </w:rPr>
        <w:t xml:space="preserve">. </w:t>
      </w:r>
      <w:r w:rsidRPr="0008499F">
        <w:rPr>
          <w:color w:val="000000"/>
        </w:rPr>
        <w:t xml:space="preserve">The risk reductions for women with and without </w:t>
      </w:r>
      <w:r w:rsidRPr="0008499F">
        <w:rPr>
          <w:rFonts w:eastAsia="Calibri"/>
        </w:rPr>
        <w:t>lobular carcinoma in situ</w:t>
      </w:r>
      <w:r w:rsidRPr="0008499F">
        <w:rPr>
          <w:color w:val="000000"/>
        </w:rPr>
        <w:t xml:space="preserve"> were similar.</w:t>
      </w:r>
    </w:p>
    <w:p w:rsidR="002E1315" w:rsidRPr="0008499F" w:rsidRDefault="002E1315">
      <w:pPr>
        <w:pStyle w:val="A-Heading1"/>
        <w:rPr>
          <w:lang w:val="en-AU"/>
        </w:rPr>
      </w:pPr>
      <w:r w:rsidRPr="0008499F">
        <w:rPr>
          <w:lang w:val="en-AU"/>
        </w:rPr>
        <w:t>INDICATIONS</w:t>
      </w:r>
    </w:p>
    <w:p w:rsidR="004D562F" w:rsidRPr="0008499F" w:rsidRDefault="004D562F" w:rsidP="00847A2E">
      <w:pPr>
        <w:pStyle w:val="A-Heading2"/>
      </w:pPr>
      <w:r w:rsidRPr="0008499F">
        <w:t>Treatment of breast cancer</w:t>
      </w:r>
    </w:p>
    <w:p w:rsidR="002E1315" w:rsidRPr="0008499F" w:rsidRDefault="002E1315">
      <w:r w:rsidRPr="0008499F">
        <w:t>NOLVADEX is indicated for the treatment of breast cancer.</w:t>
      </w:r>
    </w:p>
    <w:p w:rsidR="004D562F" w:rsidRPr="0008499F" w:rsidRDefault="004D562F" w:rsidP="00847A2E">
      <w:pPr>
        <w:pStyle w:val="A-Heading2"/>
      </w:pPr>
      <w:r w:rsidRPr="0008499F">
        <w:t xml:space="preserve">Primary </w:t>
      </w:r>
      <w:r w:rsidR="007327B6" w:rsidRPr="0008499F">
        <w:t>r</w:t>
      </w:r>
      <w:r w:rsidR="00CE47C4" w:rsidRPr="0008499F">
        <w:t xml:space="preserve">eduction of </w:t>
      </w:r>
      <w:r w:rsidRPr="0008499F">
        <w:t>breast cancer</w:t>
      </w:r>
      <w:r w:rsidR="003B106D" w:rsidRPr="0008499F">
        <w:t xml:space="preserve"> risk</w:t>
      </w:r>
    </w:p>
    <w:p w:rsidR="008079C6" w:rsidRDefault="006206C8" w:rsidP="006206C8">
      <w:r w:rsidRPr="0008499F">
        <w:t xml:space="preserve">NOLVADEX is indicated for the primary reduction of breast cancer </w:t>
      </w:r>
      <w:r w:rsidR="003B106D" w:rsidRPr="0008499F">
        <w:t xml:space="preserve">risk </w:t>
      </w:r>
      <w:r w:rsidRPr="0008499F">
        <w:t>in women either at moderately increased risk (lifetime breast cancer risk 1.5 to 3</w:t>
      </w:r>
      <w:r w:rsidR="00796FD3" w:rsidRPr="0008499F">
        <w:t> </w:t>
      </w:r>
      <w:r w:rsidRPr="0008499F">
        <w:t>times the population average) or high risk (lifetime breast cancer risk greater than 3 times the population average)</w:t>
      </w:r>
      <w:r w:rsidR="008079C6">
        <w:t>.</w:t>
      </w:r>
    </w:p>
    <w:p w:rsidR="002E1315" w:rsidRPr="0008499F" w:rsidRDefault="002E1315">
      <w:pPr>
        <w:pStyle w:val="A-Heading1"/>
        <w:rPr>
          <w:lang w:val="en-AU"/>
        </w:rPr>
      </w:pPr>
      <w:r w:rsidRPr="0008499F">
        <w:rPr>
          <w:lang w:val="en-AU"/>
        </w:rPr>
        <w:t>CONTRAINDICATIONS</w:t>
      </w:r>
    </w:p>
    <w:p w:rsidR="002E1315" w:rsidRPr="0008499F" w:rsidRDefault="002E1315">
      <w:r w:rsidRPr="0008499F">
        <w:t>NOLVADEX must not be given during pregnancy</w:t>
      </w:r>
      <w:r w:rsidR="008079C6">
        <w:t xml:space="preserve">. </w:t>
      </w:r>
      <w:r w:rsidR="003B34B6" w:rsidRPr="0008499F">
        <w:t>In p</w:t>
      </w:r>
      <w:r w:rsidRPr="0008499F">
        <w:t xml:space="preserve">remenopausal </w:t>
      </w:r>
      <w:r w:rsidR="003B34B6" w:rsidRPr="0008499F">
        <w:t xml:space="preserve">women, </w:t>
      </w:r>
      <w:r w:rsidRPr="0008499F">
        <w:t>the possibility of pregnancy</w:t>
      </w:r>
      <w:r w:rsidR="003B34B6" w:rsidRPr="0008499F">
        <w:t xml:space="preserve"> must be excluded before starting tamoxifen</w:t>
      </w:r>
      <w:r w:rsidRPr="0008499F">
        <w:t>.</w:t>
      </w:r>
    </w:p>
    <w:p w:rsidR="002E1315" w:rsidRPr="0008499F" w:rsidRDefault="002E1315">
      <w:r w:rsidRPr="0008499F">
        <w:t>NOLVADEX should not be given to patients who have experienced hypersensitivity to the product or any of its ingredients.</w:t>
      </w:r>
    </w:p>
    <w:p w:rsidR="004D562F" w:rsidRPr="0008499F" w:rsidRDefault="001F38CD" w:rsidP="00014165">
      <w:pPr>
        <w:keepNext/>
        <w:keepLines/>
      </w:pPr>
      <w:r w:rsidRPr="0008499F">
        <w:lastRenderedPageBreak/>
        <w:t xml:space="preserve">When considered for primary </w:t>
      </w:r>
      <w:r w:rsidR="00C623B2" w:rsidRPr="0008499F">
        <w:t xml:space="preserve">reduction of </w:t>
      </w:r>
      <w:r w:rsidRPr="0008499F">
        <w:t>breast cancer</w:t>
      </w:r>
      <w:r w:rsidR="003B106D" w:rsidRPr="0008499F">
        <w:t xml:space="preserve"> risk</w:t>
      </w:r>
      <w:r w:rsidR="00E605B7" w:rsidRPr="0008499F">
        <w:t>,</w:t>
      </w:r>
      <w:r w:rsidRPr="0008499F">
        <w:t xml:space="preserve"> </w:t>
      </w:r>
      <w:r w:rsidR="004F738E" w:rsidRPr="0008499F">
        <w:t xml:space="preserve">NOLVADEX is contraindicated in women who require concomitant </w:t>
      </w:r>
      <w:proofErr w:type="spellStart"/>
      <w:r w:rsidR="004F738E" w:rsidRPr="0008499F">
        <w:t>coumarin</w:t>
      </w:r>
      <w:proofErr w:type="spellEnd"/>
      <w:r w:rsidR="004F738E" w:rsidRPr="0008499F">
        <w:t>-type anticoagulant therapy or in women with a history of deep vein thrombosis or pulmonary embolus</w:t>
      </w:r>
      <w:r w:rsidR="00873B50" w:rsidRPr="0008499F">
        <w:t>.</w:t>
      </w:r>
    </w:p>
    <w:p w:rsidR="002E1315" w:rsidRPr="0008499F" w:rsidRDefault="002E1315">
      <w:pPr>
        <w:pStyle w:val="A-Heading1"/>
      </w:pPr>
      <w:r w:rsidRPr="0008499F">
        <w:t>Precautions</w:t>
      </w:r>
    </w:p>
    <w:p w:rsidR="0005157E" w:rsidRPr="0008499F" w:rsidRDefault="0005157E" w:rsidP="00847A2E">
      <w:pPr>
        <w:pStyle w:val="A-Heading2"/>
      </w:pPr>
      <w:r w:rsidRPr="0008499F">
        <w:t>General precautions</w:t>
      </w:r>
    </w:p>
    <w:p w:rsidR="00847A2E" w:rsidRDefault="002E1315" w:rsidP="00847A2E">
      <w:r w:rsidRPr="0008499F">
        <w:t xml:space="preserve">An increased incidence of endometrial changes including hyperplasia, polyps, cancer and uterine sarcoma (mostly malignant mixed </w:t>
      </w:r>
      <w:proofErr w:type="spellStart"/>
      <w:r w:rsidRPr="0008499F">
        <w:t>Mullerian</w:t>
      </w:r>
      <w:proofErr w:type="spellEnd"/>
      <w:r w:rsidRPr="0008499F">
        <w:t xml:space="preserve"> tumours) has been reported in association with NOLVADEX treatment</w:t>
      </w:r>
      <w:r w:rsidR="008079C6">
        <w:t xml:space="preserve">. </w:t>
      </w:r>
      <w:r w:rsidRPr="0008499F">
        <w:t>The incidence and pattern of this increase suggest that the underlying mechanism is related to the oestrogenic properties of NOLVADEX</w:t>
      </w:r>
      <w:r w:rsidR="008079C6">
        <w:t xml:space="preserve">. </w:t>
      </w:r>
      <w:r w:rsidRPr="0008499F">
        <w:t xml:space="preserve">Any patients receiving or having previously received NOLVADEX, who report abnormal gynaecological symptoms, especially </w:t>
      </w:r>
      <w:r w:rsidR="00A31784" w:rsidRPr="0008499F">
        <w:t>non-menstrual</w:t>
      </w:r>
      <w:r w:rsidR="00014165" w:rsidRPr="0008499F">
        <w:t xml:space="preserve"> </w:t>
      </w:r>
      <w:r w:rsidRPr="0008499F">
        <w:t>vaginal bleeding, s</w:t>
      </w:r>
      <w:r w:rsidR="00847A2E">
        <w:t>hould be promptly investigated.</w:t>
      </w:r>
    </w:p>
    <w:p w:rsidR="002E1315" w:rsidRPr="0008499F" w:rsidRDefault="002E1315" w:rsidP="00847A2E">
      <w:r w:rsidRPr="0008499F">
        <w:t>In a large randomized trial in Sweden of adjuvant NOLVADEX 40 mg/day for 2-5 years, an increased incidence of uterine cancer was noted</w:t>
      </w:r>
      <w:r w:rsidR="008079C6">
        <w:t xml:space="preserve">. </w:t>
      </w:r>
      <w:r w:rsidRPr="0008499F">
        <w:t>Twenty three of 1,372 patients randomized to receive NOLVADEX versus 4 of 1,357 patients randomized to the observation group developed cancer of the uterus [RR=5.6; (1.9-16.2), p&lt;0.001].</w:t>
      </w:r>
    </w:p>
    <w:p w:rsidR="002E1315" w:rsidRPr="0008499F" w:rsidRDefault="002E1315">
      <w:pPr>
        <w:rPr>
          <w:i/>
          <w:iCs/>
        </w:rPr>
      </w:pPr>
      <w:r w:rsidRPr="0008499F">
        <w:t>One of the patients with cancer of the uterus who was randomized to receive NOLVADEX never took the drug</w:t>
      </w:r>
      <w:bookmarkStart w:id="0" w:name="_GoBack"/>
      <w:r w:rsidR="008079C6">
        <w:t xml:space="preserve">. </w:t>
      </w:r>
      <w:bookmarkEnd w:id="0"/>
      <w:r w:rsidRPr="0008499F">
        <w:t>After approximately 6.8 years of follow-up in the ongoing NSABP B-14</w:t>
      </w:r>
      <w:r w:rsidRPr="0008499F">
        <w:rPr>
          <w:rStyle w:val="FootnoteReference"/>
        </w:rPr>
        <w:footnoteReference w:id="1"/>
      </w:r>
      <w:r w:rsidRPr="0008499F">
        <w:t xml:space="preserve"> trial, 15 of 1,419 women randomized to receive NOLVADEX 20 mg/day for 5 years developed uterine cancer and 2 of the 1,424 women randomized to receive placebo, </w:t>
      </w:r>
      <w:proofErr w:type="gramStart"/>
      <w:r w:rsidRPr="0008499F">
        <w:t>who</w:t>
      </w:r>
      <w:proofErr w:type="gramEnd"/>
      <w:r w:rsidRPr="0008499F">
        <w:t xml:space="preserve"> subsequently had recurrent breast cancer and were treated with NOLVADEX, also developed uterine cancer</w:t>
      </w:r>
      <w:r w:rsidR="008079C6">
        <w:t xml:space="preserve">. </w:t>
      </w:r>
      <w:r w:rsidRPr="0008499F">
        <w:t>Most of the uterine cancers were diagnosed at an early stage, but deaths from uterine cancer have been reported</w:t>
      </w:r>
      <w:r w:rsidR="008079C6">
        <w:t xml:space="preserve">. </w:t>
      </w:r>
      <w:r w:rsidRPr="0008499F">
        <w:t>Patients receiving NOLVADEX should have routine gynaecological care and report any abnormal vaginal bleeding to their physician</w:t>
      </w:r>
      <w:r w:rsidRPr="0008499F">
        <w:rPr>
          <w:i/>
          <w:iCs/>
        </w:rPr>
        <w:t>.</w:t>
      </w:r>
    </w:p>
    <w:p w:rsidR="002E1315" w:rsidRPr="0008499F" w:rsidRDefault="002E1315">
      <w:r w:rsidRPr="0008499F">
        <w:t xml:space="preserve">In an uncontrolled trial in 28 girls aged 2-10 with McCune Albright Syndrome (MAS), who received 20mg once a day for up to 12 months duration, mean uterine volume increased after 6 months of treatment and doubled at the end of the one-year study. While this finding is in line with the </w:t>
      </w:r>
      <w:proofErr w:type="spellStart"/>
      <w:r w:rsidRPr="0008499F">
        <w:t>pharmacodynamic</w:t>
      </w:r>
      <w:proofErr w:type="spellEnd"/>
      <w:r w:rsidRPr="0008499F">
        <w:t xml:space="preserve"> properties of tamoxifen, a causal relationship has not been established. Tamoxifen is not approved for treatment of McCune Albright Syndrome.</w:t>
      </w:r>
    </w:p>
    <w:p w:rsidR="00374B8E" w:rsidRDefault="00603A50">
      <w:pPr>
        <w:rPr>
          <w:rFonts w:eastAsia="Calibri"/>
        </w:rPr>
      </w:pPr>
      <w:r w:rsidRPr="0008499F">
        <w:rPr>
          <w:rFonts w:eastAsia="Calibri"/>
        </w:rPr>
        <w:t>There is evidence of an increased incidence of thromboembolic events, including deep vein thrombosis and pulmonary embolism, during NOLVADEX therapy</w:t>
      </w:r>
      <w:r w:rsidR="008079C6">
        <w:rPr>
          <w:rFonts w:eastAsia="Calibri"/>
        </w:rPr>
        <w:t xml:space="preserve">. </w:t>
      </w:r>
      <w:r w:rsidRPr="0008499F">
        <w:rPr>
          <w:rFonts w:eastAsia="Calibri"/>
        </w:rPr>
        <w:t xml:space="preserve">When NOLVADEX is </w:t>
      </w:r>
      <w:proofErr w:type="spellStart"/>
      <w:r w:rsidRPr="0008499F">
        <w:rPr>
          <w:rFonts w:eastAsia="Calibri"/>
        </w:rPr>
        <w:t>coadmin</w:t>
      </w:r>
      <w:r w:rsidR="00080024" w:rsidRPr="0008499F">
        <w:rPr>
          <w:rFonts w:eastAsia="Calibri"/>
        </w:rPr>
        <w:t>i</w:t>
      </w:r>
      <w:r w:rsidRPr="0008499F">
        <w:rPr>
          <w:rFonts w:eastAsia="Calibri"/>
        </w:rPr>
        <w:t>stered</w:t>
      </w:r>
      <w:proofErr w:type="spellEnd"/>
      <w:r w:rsidRPr="0008499F">
        <w:rPr>
          <w:rFonts w:eastAsia="Calibri"/>
        </w:rPr>
        <w:t xml:space="preserve"> with chemotherapy, there may be a further increase in the incidence of thromboembolic effects</w:t>
      </w:r>
      <w:r w:rsidR="008079C6">
        <w:rPr>
          <w:rFonts w:eastAsia="Calibri"/>
        </w:rPr>
        <w:t xml:space="preserve">. </w:t>
      </w:r>
      <w:r w:rsidRPr="0008499F">
        <w:rPr>
          <w:rFonts w:eastAsia="Calibri"/>
        </w:rPr>
        <w:t>For treatment of breast cancer, the risks and benefits of NOLVADEX should be carefully considered in women with a hi</w:t>
      </w:r>
      <w:r w:rsidR="00847A2E">
        <w:rPr>
          <w:rFonts w:eastAsia="Calibri"/>
        </w:rPr>
        <w:t>story of thromboembolic events.</w:t>
      </w:r>
    </w:p>
    <w:p w:rsidR="002E1315" w:rsidRPr="0008499F" w:rsidRDefault="002E1315">
      <w:r w:rsidRPr="0008499F">
        <w:t>In delayed microsurgical breast reconstruction NOLVADEX may increase the risk of microvascular flap complications.</w:t>
      </w:r>
    </w:p>
    <w:p w:rsidR="002E1315" w:rsidRPr="0008499F" w:rsidRDefault="002E1315">
      <w:r w:rsidRPr="0008499F">
        <w:lastRenderedPageBreak/>
        <w:t xml:space="preserve">Tamoxifen was not mutagenic in a range of </w:t>
      </w:r>
      <w:r w:rsidRPr="0008499F">
        <w:rPr>
          <w:i/>
          <w:iCs/>
        </w:rPr>
        <w:t>in vitro</w:t>
      </w:r>
      <w:r w:rsidRPr="0008499F">
        <w:t xml:space="preserve"> and </w:t>
      </w:r>
      <w:r w:rsidRPr="0008499F">
        <w:rPr>
          <w:i/>
          <w:iCs/>
        </w:rPr>
        <w:t>in vivo</w:t>
      </w:r>
      <w:r w:rsidRPr="0008499F">
        <w:t xml:space="preserve"> mutagenicity tests</w:t>
      </w:r>
      <w:r w:rsidR="008079C6">
        <w:t xml:space="preserve">. </w:t>
      </w:r>
      <w:r w:rsidRPr="0008499F">
        <w:t xml:space="preserve">Tamoxifen was genotoxic in some </w:t>
      </w:r>
      <w:r w:rsidRPr="0008499F">
        <w:rPr>
          <w:i/>
          <w:iCs/>
        </w:rPr>
        <w:t>in vitro</w:t>
      </w:r>
      <w:r w:rsidRPr="0008499F">
        <w:t xml:space="preserve"> tests and </w:t>
      </w:r>
      <w:r w:rsidRPr="0008499F">
        <w:rPr>
          <w:i/>
          <w:iCs/>
        </w:rPr>
        <w:t>in vivo</w:t>
      </w:r>
      <w:r w:rsidRPr="0008499F">
        <w:t xml:space="preserve"> genotoxicity tests in rodents</w:t>
      </w:r>
      <w:r w:rsidR="008079C6">
        <w:t xml:space="preserve">. </w:t>
      </w:r>
      <w:r w:rsidRPr="0008499F">
        <w:t>Gonadal tumours in mice and liver tumours in rats receiving tamoxifen have been reported in long-term studies</w:t>
      </w:r>
      <w:r w:rsidR="008079C6">
        <w:t xml:space="preserve">. </w:t>
      </w:r>
      <w:r w:rsidRPr="0008499F">
        <w:t>The clinical relevance of these findings has not been established.</w:t>
      </w:r>
    </w:p>
    <w:p w:rsidR="002E1315" w:rsidRPr="0008499F" w:rsidRDefault="002E1315">
      <w:r w:rsidRPr="0008499F">
        <w:t xml:space="preserve">A number of second primary tumours, occurring at sites other than the </w:t>
      </w:r>
      <w:proofErr w:type="gramStart"/>
      <w:r w:rsidRPr="0008499F">
        <w:t>endometrium</w:t>
      </w:r>
      <w:proofErr w:type="gramEnd"/>
      <w:r w:rsidRPr="0008499F">
        <w:t xml:space="preserve"> and the opposite breast, have been reported in clinical trials, following the treatment of breast cancer patients with tamoxifen</w:t>
      </w:r>
      <w:r w:rsidR="008079C6">
        <w:t xml:space="preserve">. </w:t>
      </w:r>
      <w:r w:rsidRPr="0008499F">
        <w:t>No causal link has been established and the clinical significance of these observations remains unclear.</w:t>
      </w:r>
    </w:p>
    <w:p w:rsidR="002E1315" w:rsidRPr="0008499F" w:rsidRDefault="002E1315">
      <w:r w:rsidRPr="0008499F">
        <w:t>Cases of visual disturbances, including infrequent reports of corneal changes, and common reports of retinopathy have been described in patients receiving NOLVADEX therapy</w:t>
      </w:r>
      <w:r w:rsidR="008079C6">
        <w:t xml:space="preserve">. </w:t>
      </w:r>
      <w:r w:rsidRPr="0008499F">
        <w:t>Cataracts have commonly been reported in association with the administration of NOLVADEX.</w:t>
      </w:r>
    </w:p>
    <w:p w:rsidR="002E1315" w:rsidRPr="0008499F" w:rsidRDefault="002E1315">
      <w:r w:rsidRPr="0008499F">
        <w:t xml:space="preserve">NOLVADEX should be used </w:t>
      </w:r>
      <w:r w:rsidR="00521D55" w:rsidRPr="0008499F">
        <w:t>with caution</w:t>
      </w:r>
      <w:r w:rsidRPr="0008499F">
        <w:t xml:space="preserve"> in patients with existing </w:t>
      </w:r>
      <w:proofErr w:type="spellStart"/>
      <w:r w:rsidRPr="0008499F">
        <w:t>leucopenia</w:t>
      </w:r>
      <w:proofErr w:type="spellEnd"/>
      <w:r w:rsidRPr="0008499F">
        <w:t xml:space="preserve"> or thrombocytopenia</w:t>
      </w:r>
      <w:r w:rsidR="008079C6">
        <w:t xml:space="preserve">. </w:t>
      </w:r>
      <w:proofErr w:type="spellStart"/>
      <w:r w:rsidRPr="0008499F">
        <w:t>Leucopenia</w:t>
      </w:r>
      <w:proofErr w:type="spellEnd"/>
      <w:r w:rsidRPr="0008499F">
        <w:t xml:space="preserve"> has been observed following the administration of NOLVADEX sometimes in association with anaemia and/or thrombocytopenia. Neutropenia has been reported on rare occasions; this can sometimes be severe and rarely cases of agranulocytosis have been reported</w:t>
      </w:r>
      <w:r w:rsidR="008079C6">
        <w:t xml:space="preserve">. </w:t>
      </w:r>
      <w:r w:rsidRPr="0008499F">
        <w:t>Decreases in platelet counts, usually to 50,000 to 100,000/mm</w:t>
      </w:r>
      <w:r w:rsidRPr="0008499F">
        <w:rPr>
          <w:vertAlign w:val="superscript"/>
        </w:rPr>
        <w:t>3</w:t>
      </w:r>
      <w:r w:rsidRPr="0008499F">
        <w:t>, infrequently lower, have been occasionally reported in patients taking NOLVADEX for breast cancer</w:t>
      </w:r>
      <w:r w:rsidR="008079C6">
        <w:t xml:space="preserve">. </w:t>
      </w:r>
      <w:r w:rsidRPr="0008499F">
        <w:t>Periodic complete blood counts, including platelet counts, may be appropriate.</w:t>
      </w:r>
    </w:p>
    <w:p w:rsidR="00873B50" w:rsidRPr="0008499F" w:rsidRDefault="00CD76E8" w:rsidP="00847A2E">
      <w:pPr>
        <w:pStyle w:val="A-Heading3"/>
      </w:pPr>
      <w:r w:rsidRPr="0008499F">
        <w:t>Additional precautions relating to p</w:t>
      </w:r>
      <w:r w:rsidR="00873B50" w:rsidRPr="0008499F">
        <w:t xml:space="preserve">rimary </w:t>
      </w:r>
      <w:r w:rsidRPr="0008499F">
        <w:t xml:space="preserve">reduction of </w:t>
      </w:r>
      <w:r w:rsidR="00873B50" w:rsidRPr="0008499F">
        <w:t>breast cancer</w:t>
      </w:r>
      <w:r w:rsidR="0005157E" w:rsidRPr="0008499F">
        <w:t xml:space="preserve"> risk</w:t>
      </w:r>
    </w:p>
    <w:p w:rsidR="00CD76E8" w:rsidRPr="0008499F" w:rsidRDefault="00AC76FB" w:rsidP="00873B50">
      <w:r w:rsidRPr="0008499F">
        <w:t>NOLVADEX therapy for this indication has uncommonly been associated with serious side effects such as pulmonary embolus and uterine cancer (both endometrial adenocarcinoma and uterine sarcoma)</w:t>
      </w:r>
      <w:r w:rsidR="008079C6">
        <w:t xml:space="preserve">. </w:t>
      </w:r>
      <w:r w:rsidR="00F662E4" w:rsidRPr="0008499F">
        <w:t>In trials comparing tamoxifen to placebo for reduction of the incidence of breast cancer in women at increased risk of breast cancer, the use of tamoxifen was associated with an increased risk of serious and sometimes fatal adverse events including endometrial cancer (approximately 4 cases per 1000 women over 5 years of use) and thromboembolic events (including deep vein thrombosis and pulmonary embolism)</w:t>
      </w:r>
      <w:r w:rsidR="008079C6">
        <w:t xml:space="preserve">. </w:t>
      </w:r>
      <w:r w:rsidRPr="0008499F">
        <w:t>Less serious side effects such as hot flushes, vaginal discharge, menstrual irregularities and gynaecological conditions may also occur</w:t>
      </w:r>
      <w:r w:rsidR="008079C6">
        <w:t xml:space="preserve">. </w:t>
      </w:r>
      <w:r w:rsidRPr="0008499F">
        <w:t>Whether the benefits of treatment are considered to outweigh the risks depends on the woman’s age, health history, and level of breast cancer risk (see CLINICAL TRIALS, PRE</w:t>
      </w:r>
      <w:r w:rsidR="00847A2E">
        <w:t>CAUTIONS and ADVERSE EFFECTS).</w:t>
      </w:r>
    </w:p>
    <w:p w:rsidR="008C781B" w:rsidRPr="0008499F" w:rsidRDefault="008C781B" w:rsidP="00873B50">
      <w:r w:rsidRPr="0008499F">
        <w:t>Benign gynaecological conditions (including endometrial polyps, endometriosis, and ovarian cysts) and gynaecological procedures (including hysteroscopy, dilation and curettage, and hysterectomy) were also found to occur more frequently with tamoxifen use. Non-gynaecological conditions such as cataracts were also increased (see ADVERSE EFFECTS).</w:t>
      </w:r>
    </w:p>
    <w:p w:rsidR="006B58D5" w:rsidRPr="0008499F" w:rsidRDefault="006B58D5" w:rsidP="00873B50">
      <w:r w:rsidRPr="0008499F">
        <w:t>Any women receiving or having previously received NOLVADEX for risk reduction should be promptly investigated if any abnormal gynaecological symptoms develop, especially non-menstrual vaginal bleeding.</w:t>
      </w:r>
    </w:p>
    <w:p w:rsidR="00873B50" w:rsidRPr="0008499F" w:rsidRDefault="00873B50" w:rsidP="00873B50">
      <w:r w:rsidRPr="0008499F">
        <w:t xml:space="preserve">The risks of tamoxifen therapy are </w:t>
      </w:r>
      <w:r w:rsidR="00557A61" w:rsidRPr="0008499F">
        <w:t>generally</w:t>
      </w:r>
      <w:r w:rsidRPr="0008499F">
        <w:t xml:space="preserve"> lower in younger women than in older women</w:t>
      </w:r>
      <w:r w:rsidR="008079C6">
        <w:t xml:space="preserve">. </w:t>
      </w:r>
      <w:r w:rsidRPr="0008499F">
        <w:t xml:space="preserve">In the primary </w:t>
      </w:r>
      <w:r w:rsidR="00C623B2" w:rsidRPr="0008499F">
        <w:t>risk reduction</w:t>
      </w:r>
      <w:r w:rsidRPr="0008499F">
        <w:t xml:space="preserve"> trials, women younger than 50 </w:t>
      </w:r>
      <w:r w:rsidR="000F15D4" w:rsidRPr="0008499F">
        <w:t xml:space="preserve">years </w:t>
      </w:r>
      <w:r w:rsidRPr="0008499F">
        <w:t xml:space="preserve">did not </w:t>
      </w:r>
      <w:r w:rsidRPr="0008499F">
        <w:lastRenderedPageBreak/>
        <w:t xml:space="preserve">have an increased risk of endometrial cancer or pulmonary embolism and the increased risk of deep vein thrombosis was </w:t>
      </w:r>
      <w:r w:rsidR="00557A61" w:rsidRPr="0008499F">
        <w:t xml:space="preserve">small and </w:t>
      </w:r>
      <w:r w:rsidRPr="0008499F">
        <w:t>restricted to the treatment period</w:t>
      </w:r>
      <w:r w:rsidR="001327E1">
        <w:t xml:space="preserve"> </w:t>
      </w:r>
      <w:r w:rsidR="001327E1" w:rsidRPr="001327E1">
        <w:t>(see ADVERSE EFFECTS – Women under 50 years old)</w:t>
      </w:r>
      <w:r w:rsidR="008079C6">
        <w:t xml:space="preserve">. </w:t>
      </w:r>
      <w:r w:rsidR="005E5B20" w:rsidRPr="0008499F">
        <w:t>Women aged less than 30</w:t>
      </w:r>
      <w:r w:rsidR="002D5491" w:rsidRPr="0008499F">
        <w:t> </w:t>
      </w:r>
      <w:r w:rsidR="005E5B20" w:rsidRPr="0008499F">
        <w:t xml:space="preserve">years old were excluded from primary </w:t>
      </w:r>
      <w:r w:rsidR="00C623B2" w:rsidRPr="0008499F">
        <w:t>risk reduction</w:t>
      </w:r>
      <w:r w:rsidR="005E5B20" w:rsidRPr="0008499F">
        <w:t xml:space="preserve"> trials so the efficacy and safety of tamoxifen treatment in these younger women is unknown.</w:t>
      </w:r>
    </w:p>
    <w:p w:rsidR="00873B50" w:rsidRPr="0008499F" w:rsidRDefault="0005157E" w:rsidP="00873B50">
      <w:r w:rsidRPr="0008499F">
        <w:t xml:space="preserve">When considered </w:t>
      </w:r>
      <w:r w:rsidR="003320C9">
        <w:t>for</w:t>
      </w:r>
      <w:r w:rsidRPr="0008499F">
        <w:t xml:space="preserve"> primary reduction of breast cancer risk, NOLVADEX is contraindicated in women who require concomitant </w:t>
      </w:r>
      <w:proofErr w:type="spellStart"/>
      <w:r w:rsidRPr="0008499F">
        <w:t>coumarin</w:t>
      </w:r>
      <w:proofErr w:type="spellEnd"/>
      <w:r w:rsidRPr="0008499F">
        <w:t>-type anticoagulant therapy or in women with a history of deep vein thrombosis or pulmonary embolus</w:t>
      </w:r>
      <w:r w:rsidRPr="0008499F">
        <w:rPr>
          <w:rFonts w:eastAsia="Calibri"/>
        </w:rPr>
        <w:t xml:space="preserve"> (see CONTRAINDICATIONS). In women who do not have a history of thromboembolic events, but who are at increased risk of thromboembolic events, the benefits and risks of </w:t>
      </w:r>
      <w:r w:rsidR="00873B50" w:rsidRPr="0008499F">
        <w:t xml:space="preserve">tamoxifen for the primary </w:t>
      </w:r>
      <w:r w:rsidR="00C623B2" w:rsidRPr="0008499F">
        <w:t>reduction</w:t>
      </w:r>
      <w:r w:rsidR="00873B50" w:rsidRPr="0008499F">
        <w:t xml:space="preserve"> of breast cancer </w:t>
      </w:r>
      <w:r w:rsidRPr="0008499F">
        <w:t xml:space="preserve">risk </w:t>
      </w:r>
      <w:r w:rsidR="00873B50" w:rsidRPr="0008499F">
        <w:t>should be carefully considered</w:t>
      </w:r>
      <w:r w:rsidR="008079C6">
        <w:t xml:space="preserve">. </w:t>
      </w:r>
      <w:r w:rsidR="008C781B" w:rsidRPr="0008499F">
        <w:t>R</w:t>
      </w:r>
      <w:r w:rsidR="00873B50" w:rsidRPr="0008499F">
        <w:t>isk</w:t>
      </w:r>
      <w:r w:rsidR="008C781B" w:rsidRPr="0008499F">
        <w:t xml:space="preserve"> factors</w:t>
      </w:r>
      <w:r w:rsidR="00873B50" w:rsidRPr="0008499F">
        <w:t xml:space="preserve"> </w:t>
      </w:r>
      <w:r w:rsidR="00DE3ED9">
        <w:t>for</w:t>
      </w:r>
      <w:r w:rsidR="00873B50" w:rsidRPr="0008499F">
        <w:t xml:space="preserve"> </w:t>
      </w:r>
      <w:r w:rsidR="005E5B20" w:rsidRPr="0008499F">
        <w:t>thromboembolic</w:t>
      </w:r>
      <w:r w:rsidR="00873B50" w:rsidRPr="0008499F">
        <w:t xml:space="preserve"> events include smoking, </w:t>
      </w:r>
      <w:r w:rsidR="005E5B20" w:rsidRPr="0008499F">
        <w:t>immobility</w:t>
      </w:r>
      <w:r w:rsidR="005157B2">
        <w:t xml:space="preserve"> and a family history of venous thrombosis</w:t>
      </w:r>
      <w:r w:rsidR="00F662E4">
        <w:t xml:space="preserve">; an additional risk </w:t>
      </w:r>
      <w:proofErr w:type="gramStart"/>
      <w:r w:rsidR="00F662E4">
        <w:t>factor,</w:t>
      </w:r>
      <w:proofErr w:type="gramEnd"/>
      <w:r w:rsidR="00F662E4">
        <w:t xml:space="preserve"> is </w:t>
      </w:r>
      <w:r w:rsidR="00F662E4" w:rsidRPr="0008499F">
        <w:t>concomitant oral contraceptive or hormone replacement therapy,</w:t>
      </w:r>
      <w:r w:rsidR="00F662E4">
        <w:t xml:space="preserve"> which is not recommended in women taking tamoxifen</w:t>
      </w:r>
      <w:r w:rsidR="008079C6">
        <w:t xml:space="preserve">. </w:t>
      </w:r>
      <w:r w:rsidR="005E5B20" w:rsidRPr="0008499F">
        <w:t>In women receiving tamoxifen for primary</w:t>
      </w:r>
      <w:r w:rsidRPr="0008499F">
        <w:t xml:space="preserve"> </w:t>
      </w:r>
      <w:r w:rsidR="00C623B2" w:rsidRPr="0008499F">
        <w:t>reduction of breast cancer</w:t>
      </w:r>
      <w:r w:rsidRPr="0008499F">
        <w:t xml:space="preserve"> risk</w:t>
      </w:r>
      <w:r w:rsidR="005E5B20" w:rsidRPr="0008499F">
        <w:t xml:space="preserve">, </w:t>
      </w:r>
      <w:r w:rsidR="00F3328B" w:rsidRPr="0008499F">
        <w:t>tamoxifen</w:t>
      </w:r>
      <w:r w:rsidR="005E5B20" w:rsidRPr="0008499F">
        <w:t xml:space="preserve"> should be stopped approximately 3 weeks before undergoing elective surgery</w:t>
      </w:r>
      <w:r w:rsidR="003B2806" w:rsidRPr="0008499F">
        <w:t xml:space="preserve"> to reduce the risk of thromboembolic events</w:t>
      </w:r>
      <w:r w:rsidR="005E5B20" w:rsidRPr="0008499F">
        <w:t>.</w:t>
      </w:r>
      <w:r w:rsidR="00AE28FF" w:rsidRPr="0008499F">
        <w:t xml:space="preserve"> Consideration should also be given to discontinuing tamoxifen during periods of immobility.</w:t>
      </w:r>
    </w:p>
    <w:p w:rsidR="009D6EBC" w:rsidRPr="0008499F" w:rsidRDefault="009D6EBC" w:rsidP="00873B50">
      <w:r w:rsidRPr="0008499F">
        <w:t xml:space="preserve">The use of tamoxifen for reduction of breast cancer </w:t>
      </w:r>
      <w:r w:rsidR="003B106D" w:rsidRPr="0008499F">
        <w:t xml:space="preserve">risk </w:t>
      </w:r>
      <w:r w:rsidRPr="0008499F">
        <w:t xml:space="preserve">has been associated with reduced bone density in premenopausal women. Whether this may result in </w:t>
      </w:r>
      <w:r w:rsidR="00141AB3" w:rsidRPr="0008499F">
        <w:t xml:space="preserve">an </w:t>
      </w:r>
      <w:r w:rsidRPr="0008499F">
        <w:t>increased risk of fracture is not known.</w:t>
      </w:r>
      <w:r w:rsidR="002E6F96" w:rsidRPr="0008499F">
        <w:rPr>
          <w:rFonts w:ascii="Times New Roman" w:hAnsi="Times New Roman"/>
          <w:sz w:val="22"/>
          <w:szCs w:val="22"/>
          <w:lang w:val="en-GB"/>
        </w:rPr>
        <w:t xml:space="preserve"> </w:t>
      </w:r>
      <w:r w:rsidR="002E6F96" w:rsidRPr="0008499F">
        <w:rPr>
          <w:lang w:val="en-GB"/>
        </w:rPr>
        <w:t>Pre-menopausal women taking tamoxifen for this reason should be</w:t>
      </w:r>
      <w:r w:rsidR="002E6F96" w:rsidRPr="0008499F">
        <w:t xml:space="preserve"> advised regarding measures to maintain bone health.</w:t>
      </w:r>
    </w:p>
    <w:p w:rsidR="002E1315" w:rsidRPr="0008499F" w:rsidRDefault="002E1315">
      <w:pPr>
        <w:pStyle w:val="A-Heading2"/>
      </w:pPr>
      <w:r w:rsidRPr="0008499F">
        <w:t>Use in Premenopausal Women</w:t>
      </w:r>
    </w:p>
    <w:p w:rsidR="00CD7F5E" w:rsidRPr="0008499F" w:rsidRDefault="002E1315">
      <w:r w:rsidRPr="0008499F">
        <w:t>Menstruation is suppressed in a proportion of premenopausal women receiving NOLVADEX</w:t>
      </w:r>
      <w:r w:rsidR="008079C6">
        <w:t xml:space="preserve">. </w:t>
      </w:r>
      <w:r w:rsidR="00014165" w:rsidRPr="0008499F">
        <w:t>Ovarian cysts</w:t>
      </w:r>
      <w:r w:rsidRPr="0008499F">
        <w:t xml:space="preserve"> have occasionally been observed in women receiving NOLVADEX.</w:t>
      </w:r>
    </w:p>
    <w:p w:rsidR="002E1315" w:rsidRPr="0008499F" w:rsidRDefault="002E1315">
      <w:pPr>
        <w:pStyle w:val="A-Heading2"/>
      </w:pPr>
      <w:r w:rsidRPr="0008499F">
        <w:t>Use in Pregnancy (Category B3)</w:t>
      </w:r>
    </w:p>
    <w:p w:rsidR="002E1315" w:rsidRPr="0008499F" w:rsidRDefault="002E1315">
      <w:r w:rsidRPr="0008499F">
        <w:t>NOLVADEX must not be administered during pregnancy</w:t>
      </w:r>
      <w:r w:rsidR="008079C6">
        <w:t xml:space="preserve">. </w:t>
      </w:r>
      <w:r w:rsidRPr="0008499F">
        <w:t>There have been a small number of reports of spontaneous abortions, birth defects and foetal deaths after women have taken NOLVADEX, although no causal relationship has been established</w:t>
      </w:r>
      <w:r w:rsidR="00E71A62" w:rsidRPr="0008499F">
        <w:t xml:space="preserve"> (see CONTRAINDICATIONS)</w:t>
      </w:r>
      <w:r w:rsidRPr="0008499F">
        <w:t>.</w:t>
      </w:r>
    </w:p>
    <w:p w:rsidR="002E1315" w:rsidRPr="0008499F" w:rsidRDefault="002E1315">
      <w:r w:rsidRPr="0008499F">
        <w:t>Reproductive toxicology studies in rats, rabbits and monkeys have shown no teratogenic potential.</w:t>
      </w:r>
    </w:p>
    <w:p w:rsidR="002E1315" w:rsidRPr="0008499F" w:rsidRDefault="002E1315">
      <w:r w:rsidRPr="0008499F">
        <w:t xml:space="preserve">In rodent models of foetal reproductive tract development, tamoxifen was associated with changes similar to those caused by oestradiol, </w:t>
      </w:r>
      <w:proofErr w:type="spellStart"/>
      <w:r w:rsidRPr="0008499F">
        <w:t>ethynyloestradiol</w:t>
      </w:r>
      <w:proofErr w:type="spellEnd"/>
      <w:r w:rsidRPr="0008499F">
        <w:t>, clomiphene and diethylstilboestrol (DES)</w:t>
      </w:r>
      <w:r w:rsidR="008079C6">
        <w:t xml:space="preserve">. </w:t>
      </w:r>
      <w:r w:rsidRPr="0008499F">
        <w:t xml:space="preserve">Although the clinical relevance of these changes is unknown, some of them, especially vaginal </w:t>
      </w:r>
      <w:proofErr w:type="spellStart"/>
      <w:r w:rsidRPr="0008499F">
        <w:t>adenosis</w:t>
      </w:r>
      <w:proofErr w:type="spellEnd"/>
      <w:r w:rsidRPr="0008499F">
        <w:t xml:space="preserve">, are similar to those seen in young women who were exposed to DES </w:t>
      </w:r>
      <w:r w:rsidRPr="0008499F">
        <w:rPr>
          <w:i/>
          <w:iCs/>
        </w:rPr>
        <w:t>in utero</w:t>
      </w:r>
      <w:r w:rsidRPr="0008499F">
        <w:t xml:space="preserve"> and who have a 1 in 1000 risk of developing clear-cell carcinoma of the vagina or cervix</w:t>
      </w:r>
      <w:r w:rsidR="008079C6">
        <w:t xml:space="preserve">. </w:t>
      </w:r>
      <w:r w:rsidRPr="0008499F">
        <w:t>Only a small number of pregnant women have been exposed to tamoxifen</w:t>
      </w:r>
      <w:r w:rsidR="008079C6">
        <w:t xml:space="preserve">. </w:t>
      </w:r>
      <w:r w:rsidRPr="0008499F">
        <w:t xml:space="preserve">Such exposure has not been reported to cause subsequent vaginal </w:t>
      </w:r>
      <w:proofErr w:type="spellStart"/>
      <w:r w:rsidRPr="0008499F">
        <w:t>adenosis</w:t>
      </w:r>
      <w:proofErr w:type="spellEnd"/>
      <w:r w:rsidRPr="0008499F">
        <w:t xml:space="preserve"> or clear-cell carcinoma of the vagina or cervix in young women exposed</w:t>
      </w:r>
      <w:r w:rsidRPr="0008499F">
        <w:rPr>
          <w:i/>
          <w:iCs/>
        </w:rPr>
        <w:t xml:space="preserve"> in utero</w:t>
      </w:r>
      <w:r w:rsidRPr="0008499F">
        <w:t xml:space="preserve"> to tamoxifen.</w:t>
      </w:r>
    </w:p>
    <w:p w:rsidR="002E1315" w:rsidRPr="0008499F" w:rsidRDefault="002E1315">
      <w:r w:rsidRPr="0008499F">
        <w:lastRenderedPageBreak/>
        <w:t>Women should be advised not to become pregnant whilst taking NOLVADEX and should use barrier or other non-hormonal contraceptive methods if sexually active</w:t>
      </w:r>
      <w:r w:rsidR="008079C6">
        <w:t xml:space="preserve">. </w:t>
      </w:r>
      <w:r w:rsidRPr="0008499F">
        <w:t>Premenopausal patients must be carefully examined before treatment to exclude pregnancy</w:t>
      </w:r>
      <w:r w:rsidR="008079C6">
        <w:t xml:space="preserve">. </w:t>
      </w:r>
      <w:r w:rsidRPr="0008499F">
        <w:t>Women should be informed of the potential risks to the foetus, should they become pregnant whilst taking NOLVADEX or within two months of cessation of therapy.</w:t>
      </w:r>
    </w:p>
    <w:p w:rsidR="002E1315" w:rsidRPr="0008499F" w:rsidRDefault="002E1315">
      <w:pPr>
        <w:pStyle w:val="A-Heading2"/>
      </w:pPr>
      <w:r w:rsidRPr="0008499F">
        <w:t>Use in Lactation</w:t>
      </w:r>
    </w:p>
    <w:p w:rsidR="002E1315" w:rsidRPr="0008499F" w:rsidRDefault="002E1315">
      <w:r w:rsidRPr="0008499F">
        <w:t>It is not known if NOLVADEX is excreted in human milk and therefore the drug is not recommended during lactation.</w:t>
      </w:r>
    </w:p>
    <w:p w:rsidR="002E1315" w:rsidRPr="0008499F" w:rsidRDefault="002E1315">
      <w:pPr>
        <w:pStyle w:val="A-Heading2"/>
      </w:pPr>
      <w:r w:rsidRPr="0008499F">
        <w:t>Interactions with other medicines</w:t>
      </w:r>
    </w:p>
    <w:p w:rsidR="002E1315" w:rsidRPr="0008499F" w:rsidRDefault="002E1315">
      <w:pPr>
        <w:rPr>
          <w:lang w:val="en-GB"/>
        </w:rPr>
      </w:pPr>
      <w:r w:rsidRPr="0008499F">
        <w:rPr>
          <w:lang w:val="en-GB"/>
        </w:rPr>
        <w:t xml:space="preserve">When NOLVADEX is used in combination with </w:t>
      </w:r>
      <w:proofErr w:type="spellStart"/>
      <w:r w:rsidRPr="0008499F">
        <w:rPr>
          <w:lang w:val="en-GB"/>
        </w:rPr>
        <w:t>coumarin</w:t>
      </w:r>
      <w:proofErr w:type="spellEnd"/>
      <w:r w:rsidRPr="0008499F">
        <w:rPr>
          <w:lang w:val="en-GB"/>
        </w:rPr>
        <w:t xml:space="preserve"> type anticoagulants, a significant increase in anticoagulant effect may occur</w:t>
      </w:r>
      <w:r w:rsidR="008079C6">
        <w:rPr>
          <w:lang w:val="en-GB"/>
        </w:rPr>
        <w:t xml:space="preserve">. </w:t>
      </w:r>
      <w:r w:rsidRPr="0008499F">
        <w:rPr>
          <w:lang w:val="en-GB"/>
        </w:rPr>
        <w:t>Where such co-administration is initiated</w:t>
      </w:r>
      <w:r w:rsidR="00C96E19" w:rsidRPr="0008499F">
        <w:rPr>
          <w:lang w:val="en-GB"/>
        </w:rPr>
        <w:t xml:space="preserve"> for the treatment of breast cancer</w:t>
      </w:r>
      <w:r w:rsidRPr="0008499F">
        <w:rPr>
          <w:lang w:val="en-GB"/>
        </w:rPr>
        <w:t>, careful monitoring of the patient is recommended.</w:t>
      </w:r>
      <w:r w:rsidR="004D36F4">
        <w:rPr>
          <w:lang w:val="en-GB"/>
        </w:rPr>
        <w:t xml:space="preserve"> </w:t>
      </w:r>
      <w:r w:rsidR="00117CFC" w:rsidRPr="0008499F">
        <w:rPr>
          <w:lang w:val="en-GB"/>
        </w:rPr>
        <w:t xml:space="preserve">In women </w:t>
      </w:r>
      <w:r w:rsidR="00B50C8E" w:rsidRPr="0008499F">
        <w:rPr>
          <w:lang w:val="en-GB"/>
        </w:rPr>
        <w:t xml:space="preserve">receiving </w:t>
      </w:r>
      <w:r w:rsidR="00117CFC" w:rsidRPr="0008499F">
        <w:rPr>
          <w:lang w:val="en-GB"/>
        </w:rPr>
        <w:t xml:space="preserve">tamoxifen for the primary </w:t>
      </w:r>
      <w:r w:rsidR="00C623B2" w:rsidRPr="0008499F">
        <w:rPr>
          <w:lang w:val="en-GB"/>
        </w:rPr>
        <w:t xml:space="preserve">reduction of </w:t>
      </w:r>
      <w:r w:rsidR="00117CFC" w:rsidRPr="0008499F">
        <w:rPr>
          <w:lang w:val="en-GB"/>
        </w:rPr>
        <w:t>breast cancer</w:t>
      </w:r>
      <w:r w:rsidR="003B106D" w:rsidRPr="0008499F">
        <w:rPr>
          <w:lang w:val="en-GB"/>
        </w:rPr>
        <w:t xml:space="preserve"> risk</w:t>
      </w:r>
      <w:r w:rsidR="00117CFC" w:rsidRPr="0008499F">
        <w:rPr>
          <w:lang w:val="en-GB"/>
        </w:rPr>
        <w:t xml:space="preserve">, the use of </w:t>
      </w:r>
      <w:proofErr w:type="spellStart"/>
      <w:r w:rsidR="00117CFC" w:rsidRPr="0008499F">
        <w:rPr>
          <w:lang w:val="en-GB"/>
        </w:rPr>
        <w:t>coumarin</w:t>
      </w:r>
      <w:proofErr w:type="spellEnd"/>
      <w:r w:rsidR="00117CFC" w:rsidRPr="0008499F">
        <w:rPr>
          <w:lang w:val="en-GB"/>
        </w:rPr>
        <w:t xml:space="preserve"> type anticoagulants is contraindicated</w:t>
      </w:r>
      <w:r w:rsidR="00F64624" w:rsidRPr="0008499F">
        <w:rPr>
          <w:lang w:val="en-GB"/>
        </w:rPr>
        <w:t xml:space="preserve"> (see CONTRAINDICATIONS)</w:t>
      </w:r>
      <w:r w:rsidR="00117CFC" w:rsidRPr="0008499F">
        <w:rPr>
          <w:lang w:val="en-GB"/>
        </w:rPr>
        <w:t>.</w:t>
      </w:r>
    </w:p>
    <w:p w:rsidR="002E1315" w:rsidRPr="0008499F" w:rsidRDefault="002E1315">
      <w:pPr>
        <w:rPr>
          <w:lang w:val="en-GB"/>
        </w:rPr>
      </w:pPr>
      <w:r w:rsidRPr="0008499F">
        <w:rPr>
          <w:lang w:val="en-GB"/>
        </w:rPr>
        <w:t>When NOLVADEX is used in combination with cytotoxic agents, there is increased risk of thromboembolic events occurring.</w:t>
      </w:r>
    </w:p>
    <w:p w:rsidR="002E1315" w:rsidRPr="0008499F" w:rsidRDefault="002E1315">
      <w:pPr>
        <w:pStyle w:val="A-Heading4"/>
        <w:keepNext w:val="0"/>
        <w:spacing w:after="240"/>
        <w:outlineLvl w:val="9"/>
        <w:rPr>
          <w:iCs/>
        </w:rPr>
      </w:pPr>
      <w:r w:rsidRPr="0008499F">
        <w:rPr>
          <w:i w:val="0"/>
        </w:rPr>
        <w:t>The use of tamoxifen in combination with an aromatase inhibitor as adjuvant therapy has not shown improved efficacy compared with tamoxifen alone.</w:t>
      </w:r>
    </w:p>
    <w:p w:rsidR="002E1315" w:rsidRPr="0008499F" w:rsidRDefault="002E1315">
      <w:pPr>
        <w:rPr>
          <w:lang w:val="en-GB"/>
        </w:rPr>
      </w:pPr>
      <w:r w:rsidRPr="0008499F">
        <w:rPr>
          <w:lang w:val="en-GB"/>
        </w:rPr>
        <w:t>The known principal pathway for tamoxifen metabolism in humans is demethylation, catalysed by CYP3A4 enzymes</w:t>
      </w:r>
      <w:r w:rsidR="008079C6">
        <w:rPr>
          <w:lang w:val="en-GB"/>
        </w:rPr>
        <w:t xml:space="preserve">. </w:t>
      </w:r>
      <w:r w:rsidRPr="0008499F">
        <w:rPr>
          <w:lang w:val="en-GB"/>
        </w:rPr>
        <w:t>Pharmacokinetic interaction with the CYP3A4 inducing agent rifampicin, showing a reduction in tamoxifen plasma levels has been reported in the literature.</w:t>
      </w:r>
    </w:p>
    <w:p w:rsidR="00873B50" w:rsidRPr="0008499F" w:rsidRDefault="002E1315">
      <w:pPr>
        <w:rPr>
          <w:lang w:val="en-GB"/>
        </w:rPr>
      </w:pPr>
      <w:r w:rsidRPr="0008499F">
        <w:rPr>
          <w:lang w:val="en-GB"/>
        </w:rPr>
        <w:t>Pharmacokinetic interaction between CYP2D6 inhibitors and tamoxifen has been reported in literature. This showed a reduction in plasma level of active tamoxifen metabolite, 4-hydroxy-N-desmethyltamoxifen. Reduced efficacy on tamoxifen has been reported with concomitant usage of some SSRI antidepressants (e.g. paroxetine).</w:t>
      </w:r>
    </w:p>
    <w:p w:rsidR="00117CFC" w:rsidRPr="0008499F" w:rsidRDefault="00117CFC">
      <w:pPr>
        <w:rPr>
          <w:lang w:val="en-GB"/>
        </w:rPr>
      </w:pPr>
      <w:r w:rsidRPr="0008499F">
        <w:rPr>
          <w:lang w:val="en-GB"/>
        </w:rPr>
        <w:t xml:space="preserve">For the primary </w:t>
      </w:r>
      <w:r w:rsidR="00C623B2" w:rsidRPr="0008499F">
        <w:rPr>
          <w:lang w:val="en-GB"/>
        </w:rPr>
        <w:t xml:space="preserve">reduction of </w:t>
      </w:r>
      <w:r w:rsidRPr="0008499F">
        <w:rPr>
          <w:lang w:val="en-GB"/>
        </w:rPr>
        <w:t>breast cancer</w:t>
      </w:r>
      <w:r w:rsidR="003B106D" w:rsidRPr="0008499F">
        <w:rPr>
          <w:lang w:val="en-GB"/>
        </w:rPr>
        <w:t xml:space="preserve"> risk</w:t>
      </w:r>
      <w:r w:rsidRPr="0008499F">
        <w:rPr>
          <w:lang w:val="en-GB"/>
        </w:rPr>
        <w:t xml:space="preserve">, </w:t>
      </w:r>
      <w:r w:rsidR="00536E48">
        <w:rPr>
          <w:lang w:val="en-GB"/>
        </w:rPr>
        <w:t xml:space="preserve">there is some evidence that hormone replacement therapy may reduce the effectiveness of tamoxifen, and </w:t>
      </w:r>
      <w:r w:rsidR="00873B50" w:rsidRPr="0008499F">
        <w:rPr>
          <w:lang w:val="en-GB"/>
        </w:rPr>
        <w:t xml:space="preserve">the safety of concomitant use of tamoxifen and hormone replacement therapy or oral contraceptives is unknown. </w:t>
      </w:r>
      <w:r w:rsidR="00E71A62" w:rsidRPr="0008499F">
        <w:rPr>
          <w:lang w:val="en-GB"/>
        </w:rPr>
        <w:t>In women with breast cancer, the use of hormone replacement therapy or oral contraceptives to manage tamoxifen side effects is a relative contraindication.</w:t>
      </w:r>
    </w:p>
    <w:p w:rsidR="002E1315" w:rsidRPr="0008499F" w:rsidRDefault="002E1315" w:rsidP="00847A2E">
      <w:pPr>
        <w:pStyle w:val="A-Heading2"/>
      </w:pPr>
      <w:r w:rsidRPr="0008499F">
        <w:rPr>
          <w:lang w:eastAsia="en-AU"/>
        </w:rPr>
        <w:t>Effects on ability to drive and operate machinery</w:t>
      </w:r>
    </w:p>
    <w:p w:rsidR="002E1315" w:rsidRPr="0008499F" w:rsidRDefault="002E1315">
      <w:pPr>
        <w:rPr>
          <w:lang w:val="en-GB"/>
        </w:rPr>
      </w:pPr>
      <w:r w:rsidRPr="0008499F">
        <w:rPr>
          <w:bCs/>
        </w:rPr>
        <w:t>Fatigue has been reported with the use of NOLVADEX. Therefore, caution should be observed when driving or operating machinery while such symptoms persist.</w:t>
      </w:r>
    </w:p>
    <w:p w:rsidR="002E1315" w:rsidRPr="0008499F" w:rsidRDefault="002E1315">
      <w:pPr>
        <w:pStyle w:val="A-Heading1"/>
        <w:rPr>
          <w:lang w:val="en-AU"/>
        </w:rPr>
      </w:pPr>
      <w:r w:rsidRPr="0008499F">
        <w:rPr>
          <w:lang w:val="en-AU"/>
        </w:rPr>
        <w:t>ADVERSE EFFECTS</w:t>
      </w:r>
    </w:p>
    <w:p w:rsidR="002E1315" w:rsidRPr="0008499F" w:rsidRDefault="002E1315">
      <w:r w:rsidRPr="0008499F">
        <w:t xml:space="preserve">The adverse reactions which have been reported are of two types: those associated specifically with the pharmacological action of the drug e.g. hot flushes, vaginal bleeding, vaginal discharge, pruritus vulvae, tumour pain and tumour flare </w:t>
      </w:r>
      <w:r w:rsidRPr="0008499F">
        <w:lastRenderedPageBreak/>
        <w:t>and those of a more general nature, e.g. gastrointestinal intolerance, headache, light-headedness and, occasionally, fluid retention and alopecia</w:t>
      </w:r>
      <w:r w:rsidR="008079C6">
        <w:t xml:space="preserve">. </w:t>
      </w:r>
      <w:r w:rsidRPr="0008499F">
        <w:t>In patients treated with NOLVADEX for metastatic breast cancer, the most frequent adverse reactions are hot flushes, nausea and vomiting</w:t>
      </w:r>
      <w:r w:rsidR="008079C6">
        <w:t xml:space="preserve">. </w:t>
      </w:r>
      <w:r w:rsidRPr="0008499F">
        <w:t>These may occur in up to one-fourth of patients</w:t>
      </w:r>
      <w:r w:rsidR="008079C6">
        <w:t xml:space="preserve">. </w:t>
      </w:r>
      <w:r w:rsidRPr="0008499F">
        <w:t>Less frequently reported adverse reactions are vaginal bleeding, vaginal discharge, menstrual irregularities, alopecia and increased bone and tumour pain</w:t>
      </w:r>
      <w:r w:rsidR="008079C6">
        <w:t xml:space="preserve">. </w:t>
      </w:r>
      <w:r w:rsidRPr="0008499F">
        <w:t xml:space="preserve">Other adverse reactions which are seen infrequently are hypercalcaemia, peripheral oedema, </w:t>
      </w:r>
      <w:proofErr w:type="spellStart"/>
      <w:r w:rsidRPr="0008499F">
        <w:t>pruritis</w:t>
      </w:r>
      <w:proofErr w:type="spellEnd"/>
      <w:r w:rsidRPr="0008499F">
        <w:t xml:space="preserve"> vulvae, dizziness and light-headedness. Infrequent cases of endometrial, ocular and haematological adverse effects have been reported (see PRECAUTIONS)</w:t>
      </w:r>
      <w:r w:rsidR="008079C6">
        <w:t xml:space="preserve">. </w:t>
      </w:r>
      <w:r w:rsidRPr="0008499F">
        <w:t>When such adverse reactions are severe, it may be possible to control them by a simple reduction of dosage (within the recommended dose range) without loss of control of the disease. If adverse reactions do not respond to this measure, it may be necessary to stop the treatment.</w:t>
      </w:r>
    </w:p>
    <w:p w:rsidR="002E1315" w:rsidRPr="0008499F" w:rsidRDefault="002E1315">
      <w:r w:rsidRPr="0008499F">
        <w:t xml:space="preserve">Skin rashes (including isolated reports of erythema </w:t>
      </w:r>
      <w:proofErr w:type="spellStart"/>
      <w:r w:rsidRPr="0008499F">
        <w:t>multiforme</w:t>
      </w:r>
      <w:proofErr w:type="spellEnd"/>
      <w:r w:rsidRPr="0008499F">
        <w:t>, Stevens-Johnson syndrome, cutaneous vasculitis, and bullous pemphigoid) and commonly hypersensitivity reactions, including angioedema have been reported.</w:t>
      </w:r>
    </w:p>
    <w:p w:rsidR="008079C6" w:rsidRDefault="002E1315">
      <w:r w:rsidRPr="0008499F">
        <w:t>Although hypercalcaemia may occur in patients with advanced breast cancer, uncommonly patients with bony metastases have developed hypercalcaemia on initiation of therapy with NOLVADEX</w:t>
      </w:r>
      <w:r w:rsidR="008079C6">
        <w:t>.</w:t>
      </w:r>
    </w:p>
    <w:p w:rsidR="002E1315" w:rsidRPr="0008499F" w:rsidRDefault="002E1315">
      <w:r w:rsidRPr="0008499F">
        <w:t>Uterine fibroids, endometriosis and other endometrial changes including hyperplasia and polyps have been reported.</w:t>
      </w:r>
    </w:p>
    <w:p w:rsidR="002E1315" w:rsidRPr="0008499F" w:rsidRDefault="002E1315">
      <w:r w:rsidRPr="0008499F">
        <w:t>Cystic ovarian swellings have occasionally been observed in premenopausal women receiving NOLVADEX. Vaginal polyps have rarely been observed in women receiving NOLVADEX</w:t>
      </w:r>
    </w:p>
    <w:p w:rsidR="002E1315" w:rsidRPr="0008499F" w:rsidRDefault="002E1315">
      <w:r w:rsidRPr="0008499F">
        <w:t>There is evidence of ischaemic cerebrovascular events and thromboembolic events, including deep vein thrombosis, microvascular thrombosis and pulmonary embolism, occurring commonly during NOLVADEX therapy. When NOLVADEX is used in combination with cytotoxic agents, there is increased risk of thromboembolic events occurring.</w:t>
      </w:r>
    </w:p>
    <w:p w:rsidR="002E1315" w:rsidRPr="0008499F" w:rsidRDefault="002E1315">
      <w:r w:rsidRPr="0008499F">
        <w:t>Uncommonly, cases of interstitial pneumonitis have been reported.</w:t>
      </w:r>
    </w:p>
    <w:p w:rsidR="002E1315" w:rsidRPr="0008499F" w:rsidRDefault="002E1315">
      <w:r w:rsidRPr="0008499F">
        <w:t>Leg cramps and myalgia have been reported commonly in patients receiving NOLVADEX.</w:t>
      </w:r>
    </w:p>
    <w:p w:rsidR="002E1315" w:rsidRPr="0008499F" w:rsidRDefault="002E1315">
      <w:r w:rsidRPr="0008499F">
        <w:t>NOLVADEX has been associated with changes in liver enzyme levels and</w:t>
      </w:r>
      <w:r w:rsidR="00D639FC" w:rsidRPr="0008499F">
        <w:t xml:space="preserve"> </w:t>
      </w:r>
      <w:r w:rsidRPr="0008499F">
        <w:t>with a spectrum of more severe liver abnormalities which in some cases were fatal, including fatty liver, cholestasis and hepatitis, liver failure, cirrhosis and hepatocellular injury (including hepatic necrosis).</w:t>
      </w:r>
    </w:p>
    <w:p w:rsidR="002E1315" w:rsidRPr="0008499F" w:rsidRDefault="002E1315">
      <w:r w:rsidRPr="0008499F">
        <w:t>Commonly, elevation of serum triglyceride levels, in some cases with pancreatitis, may be associated with the use of NOLVADEX.</w:t>
      </w:r>
    </w:p>
    <w:p w:rsidR="002E1315" w:rsidRPr="0008499F" w:rsidRDefault="002E1315">
      <w:r w:rsidRPr="0008499F">
        <w:t xml:space="preserve">An increased incidence of endometrial cancer and uterine sarcoma (mostly malignant mixed </w:t>
      </w:r>
      <w:proofErr w:type="spellStart"/>
      <w:r w:rsidRPr="0008499F">
        <w:t>Mullerian</w:t>
      </w:r>
      <w:proofErr w:type="spellEnd"/>
      <w:r w:rsidRPr="0008499F">
        <w:t xml:space="preserve"> tumours) has been reported in association with NOLVADEX treatment.</w:t>
      </w:r>
    </w:p>
    <w:p w:rsidR="002E1315" w:rsidRPr="0008499F" w:rsidRDefault="002E1315">
      <w:pPr>
        <w:rPr>
          <w:bCs/>
        </w:rPr>
      </w:pPr>
      <w:r w:rsidRPr="0008499F">
        <w:rPr>
          <w:bCs/>
        </w:rPr>
        <w:t>Cutaneous lupus erythematosus has been observed very-rarely in patients receiving NOLVADEX.</w:t>
      </w:r>
    </w:p>
    <w:p w:rsidR="002E1315" w:rsidRPr="0008499F" w:rsidRDefault="002E1315">
      <w:r w:rsidRPr="0008499F">
        <w:rPr>
          <w:bCs/>
        </w:rPr>
        <w:lastRenderedPageBreak/>
        <w:t xml:space="preserve">Porphyria </w:t>
      </w:r>
      <w:proofErr w:type="spellStart"/>
      <w:r w:rsidRPr="0008499F">
        <w:rPr>
          <w:bCs/>
        </w:rPr>
        <w:t>cutanea</w:t>
      </w:r>
      <w:proofErr w:type="spellEnd"/>
      <w:r w:rsidRPr="0008499F">
        <w:rPr>
          <w:bCs/>
        </w:rPr>
        <w:t xml:space="preserve"> </w:t>
      </w:r>
      <w:proofErr w:type="spellStart"/>
      <w:r w:rsidRPr="0008499F">
        <w:rPr>
          <w:bCs/>
        </w:rPr>
        <w:t>tarda</w:t>
      </w:r>
      <w:proofErr w:type="spellEnd"/>
      <w:r w:rsidRPr="0008499F">
        <w:rPr>
          <w:bCs/>
        </w:rPr>
        <w:t xml:space="preserve"> has been observed very-rarely in patients receiving NOLVADEX.</w:t>
      </w:r>
    </w:p>
    <w:p w:rsidR="002E1315" w:rsidRPr="0008499F" w:rsidRDefault="002E1315">
      <w:r w:rsidRPr="0008499F">
        <w:t>Cases of optic neuropathy and optic neuritis have been rarely reported in patients receiving tamoxifen and, in a small number of cases, blindness has occurred.</w:t>
      </w:r>
    </w:p>
    <w:p w:rsidR="002E1315" w:rsidRPr="0008499F" w:rsidRDefault="002E1315">
      <w:r w:rsidRPr="0008499F">
        <w:t xml:space="preserve">Sensory disturbances (including paraesthesia and </w:t>
      </w:r>
      <w:proofErr w:type="spellStart"/>
      <w:r w:rsidRPr="0008499F">
        <w:t>dysgeusia</w:t>
      </w:r>
      <w:proofErr w:type="spellEnd"/>
      <w:r w:rsidRPr="0008499F">
        <w:t>) have been reported commonly in patients receiving NOLVADEX.</w:t>
      </w:r>
    </w:p>
    <w:p w:rsidR="002E1315" w:rsidRPr="0008499F" w:rsidRDefault="002E1315">
      <w:pPr>
        <w:rPr>
          <w:rFonts w:cs="Arial"/>
          <w:szCs w:val="24"/>
          <w:lang w:eastAsia="en-AU"/>
        </w:rPr>
      </w:pPr>
      <w:r w:rsidRPr="0008499F">
        <w:rPr>
          <w:rFonts w:cs="Arial"/>
          <w:szCs w:val="24"/>
          <w:lang w:eastAsia="en-AU"/>
        </w:rPr>
        <w:t>Fatigue has been reported very commonly in patients taking NOLVADEX.</w:t>
      </w:r>
    </w:p>
    <w:p w:rsidR="00D635F6" w:rsidRPr="0008499F" w:rsidRDefault="00D635F6">
      <w:pPr>
        <w:rPr>
          <w:rFonts w:cs="Arial"/>
          <w:lang w:val="en-GB"/>
        </w:rPr>
      </w:pPr>
      <w:r w:rsidRPr="0008499F">
        <w:rPr>
          <w:rFonts w:cs="Arial"/>
          <w:lang w:val="en-GB"/>
        </w:rPr>
        <w:t>Radiation recall has been observed very rarely in patients receiving NOLVADEX.</w:t>
      </w:r>
    </w:p>
    <w:p w:rsidR="000A6820" w:rsidRPr="0008499F" w:rsidRDefault="000A6820" w:rsidP="00847A2E">
      <w:pPr>
        <w:pStyle w:val="A-Heading2"/>
      </w:pPr>
      <w:r w:rsidRPr="0008499F">
        <w:t xml:space="preserve">Primary </w:t>
      </w:r>
      <w:r w:rsidR="00C623B2" w:rsidRPr="0008499F">
        <w:t>r</w:t>
      </w:r>
      <w:r w:rsidR="006E7D75" w:rsidRPr="0008499F">
        <w:t xml:space="preserve">eduction of </w:t>
      </w:r>
      <w:r w:rsidRPr="0008499F">
        <w:t>breast cancer</w:t>
      </w:r>
      <w:r w:rsidR="00CD7D01" w:rsidRPr="0008499F">
        <w:t xml:space="preserve"> risk</w:t>
      </w:r>
    </w:p>
    <w:p w:rsidR="00E03C7B" w:rsidRPr="0008499F" w:rsidRDefault="00E03C7B" w:rsidP="005B1772">
      <w:pPr>
        <w:keepNext/>
        <w:keepLines/>
        <w:rPr>
          <w:szCs w:val="24"/>
        </w:rPr>
      </w:pPr>
      <w:r w:rsidRPr="0008499F">
        <w:t>The most common adverse events reported from studies in women at increased risk of breast cancer, and occurring more frequently during treatment with tamoxifen than with placebo, were those associated specifically with the pharmacological action of tamoxifen such as vasomotor symptoms (hot flushes, night sweats), menstrual abnormalities\irregularities, vaginal discharge, and vaginal dryness.</w:t>
      </w:r>
    </w:p>
    <w:p w:rsidR="000E0E51" w:rsidRPr="0008499F" w:rsidRDefault="000E0E51" w:rsidP="000E0E51">
      <w:pPr>
        <w:rPr>
          <w:rFonts w:cs="Arial"/>
          <w:lang w:val="en-GB"/>
        </w:rPr>
      </w:pPr>
      <w:r w:rsidRPr="0008499F">
        <w:rPr>
          <w:rFonts w:cs="Arial"/>
          <w:lang w:val="en-GB"/>
        </w:rPr>
        <w:t xml:space="preserve">A summary of </w:t>
      </w:r>
      <w:r w:rsidR="00E62070" w:rsidRPr="0008499F">
        <w:rPr>
          <w:rFonts w:cs="Arial"/>
          <w:lang w:val="en-GB"/>
        </w:rPr>
        <w:t xml:space="preserve">the </w:t>
      </w:r>
      <w:r w:rsidR="00E54BCE" w:rsidRPr="0008499F">
        <w:rPr>
          <w:rFonts w:cs="Arial"/>
          <w:lang w:val="en-GB"/>
        </w:rPr>
        <w:t xml:space="preserve">more serious </w:t>
      </w:r>
      <w:r w:rsidRPr="0008499F">
        <w:rPr>
          <w:rFonts w:cs="Arial"/>
          <w:lang w:val="en-GB"/>
        </w:rPr>
        <w:t>adverse events</w:t>
      </w:r>
      <w:r w:rsidR="00E54BCE" w:rsidRPr="0008499F">
        <w:rPr>
          <w:rFonts w:cs="Arial"/>
          <w:lang w:val="en-GB"/>
        </w:rPr>
        <w:t xml:space="preserve"> reported</w:t>
      </w:r>
      <w:r w:rsidRPr="0008499F">
        <w:rPr>
          <w:rFonts w:cs="Arial"/>
          <w:lang w:val="en-GB"/>
        </w:rPr>
        <w:t xml:space="preserve"> during the primary </w:t>
      </w:r>
      <w:r w:rsidR="007327B6" w:rsidRPr="0008499F">
        <w:rPr>
          <w:rFonts w:cs="Arial"/>
          <w:lang w:val="en-GB"/>
        </w:rPr>
        <w:t>risk reduction</w:t>
      </w:r>
      <w:r w:rsidRPr="0008499F">
        <w:rPr>
          <w:rFonts w:cs="Arial"/>
          <w:lang w:val="en-GB"/>
        </w:rPr>
        <w:t xml:space="preserve"> </w:t>
      </w:r>
      <w:proofErr w:type="gramStart"/>
      <w:r w:rsidRPr="0008499F">
        <w:rPr>
          <w:rFonts w:cs="Arial"/>
          <w:lang w:val="en-GB"/>
        </w:rPr>
        <w:t>trials is</w:t>
      </w:r>
      <w:proofErr w:type="gramEnd"/>
      <w:r w:rsidRPr="0008499F">
        <w:rPr>
          <w:rFonts w:cs="Arial"/>
          <w:lang w:val="en-GB"/>
        </w:rPr>
        <w:t xml:space="preserve"> shown in Table </w:t>
      </w:r>
      <w:r w:rsidR="002F5BCD">
        <w:rPr>
          <w:rFonts w:cs="Arial"/>
          <w:lang w:val="en-GB"/>
        </w:rPr>
        <w:t>3</w:t>
      </w:r>
      <w:r w:rsidR="008079C6">
        <w:rPr>
          <w:rFonts w:cs="Arial"/>
          <w:lang w:val="en-GB"/>
        </w:rPr>
        <w:t xml:space="preserve">. </w:t>
      </w:r>
      <w:r w:rsidRPr="0008499F">
        <w:rPr>
          <w:rFonts w:cs="Arial"/>
          <w:lang w:val="en-GB"/>
        </w:rPr>
        <w:t>Tamoxifen significantly increased the incidence of endometrial cancer, deep vein thrombosis, and pulmonary embolism compared with placebo, but the absolute increase in risk was small</w:t>
      </w:r>
      <w:r w:rsidR="008079C6">
        <w:rPr>
          <w:rFonts w:cs="Arial"/>
          <w:lang w:val="en-GB"/>
        </w:rPr>
        <w:t xml:space="preserve">. </w:t>
      </w:r>
      <w:r w:rsidRPr="0008499F">
        <w:rPr>
          <w:rFonts w:cs="Arial"/>
          <w:lang w:val="en-GB"/>
        </w:rPr>
        <w:t>The risk of developing cataracts was also significantly increased with tamoxifen.</w:t>
      </w:r>
    </w:p>
    <w:p w:rsidR="000E0E51" w:rsidRPr="0008499F" w:rsidRDefault="00847A2E" w:rsidP="00847A2E">
      <w:pPr>
        <w:pStyle w:val="Caption"/>
        <w:rPr>
          <w:rFonts w:ascii="Arial" w:hAnsi="Arial" w:cs="Arial"/>
          <w:szCs w:val="24"/>
        </w:rPr>
      </w:pPr>
      <w:r>
        <w:t xml:space="preserve">Table </w:t>
      </w:r>
      <w:r>
        <w:fldChar w:fldCharType="begin"/>
      </w:r>
      <w:r>
        <w:instrText xml:space="preserve"> SEQ Table \* ARABIC </w:instrText>
      </w:r>
      <w:r>
        <w:fldChar w:fldCharType="separate"/>
      </w:r>
      <w:r>
        <w:rPr>
          <w:noProof/>
        </w:rPr>
        <w:t>3</w:t>
      </w:r>
      <w:r>
        <w:fldChar w:fldCharType="end"/>
      </w:r>
      <w:r>
        <w:t xml:space="preserve"> </w:t>
      </w:r>
      <w:r w:rsidR="000E0E51" w:rsidRPr="00847A2E">
        <w:t xml:space="preserve">Summary of Adverse Events from the Primary </w:t>
      </w:r>
      <w:r w:rsidR="007327B6" w:rsidRPr="00847A2E">
        <w:t>Risk Reduction</w:t>
      </w:r>
      <w:r w:rsidR="000E0E51" w:rsidRPr="00847A2E">
        <w:t xml:space="preserve"> Trials</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3 Summary of Adverse Events from the Primary Risk Reduction Trials"/>
      </w:tblPr>
      <w:tblGrid>
        <w:gridCol w:w="1830"/>
        <w:gridCol w:w="993"/>
        <w:gridCol w:w="992"/>
        <w:gridCol w:w="922"/>
        <w:gridCol w:w="922"/>
        <w:gridCol w:w="922"/>
        <w:gridCol w:w="920"/>
        <w:gridCol w:w="870"/>
        <w:gridCol w:w="867"/>
      </w:tblGrid>
      <w:tr w:rsidR="000E0E51" w:rsidRPr="0008499F" w:rsidTr="00847A2E">
        <w:trPr>
          <w:trHeight w:val="592"/>
          <w:tblHeader/>
        </w:trPr>
        <w:tc>
          <w:tcPr>
            <w:tcW w:w="990" w:type="pct"/>
            <w:vMerge w:val="restart"/>
            <w:shd w:val="clear" w:color="auto" w:fill="auto"/>
            <w:vAlign w:val="bottom"/>
          </w:tcPr>
          <w:p w:rsidR="000E0E51" w:rsidRPr="0008499F" w:rsidRDefault="000E0E51" w:rsidP="000C0B63">
            <w:pPr>
              <w:pStyle w:val="TableH1"/>
              <w:spacing w:before="40" w:after="40"/>
              <w:rPr>
                <w:rFonts w:ascii="Arial" w:hAnsi="Arial" w:cs="Arial"/>
                <w:sz w:val="18"/>
                <w:szCs w:val="18"/>
              </w:rPr>
            </w:pPr>
            <w:r w:rsidRPr="0008499F">
              <w:rPr>
                <w:rFonts w:ascii="Arial" w:hAnsi="Arial" w:cs="Arial"/>
                <w:sz w:val="18"/>
                <w:szCs w:val="18"/>
              </w:rPr>
              <w:t>Risk factor</w:t>
            </w:r>
          </w:p>
        </w:tc>
        <w:tc>
          <w:tcPr>
            <w:tcW w:w="1074" w:type="pct"/>
            <w:gridSpan w:val="2"/>
            <w:shd w:val="clear" w:color="auto" w:fill="auto"/>
          </w:tcPr>
          <w:p w:rsidR="000E0E51" w:rsidRPr="0008499F" w:rsidRDefault="000E0E51" w:rsidP="000C0B63">
            <w:pPr>
              <w:pStyle w:val="TableH1"/>
              <w:spacing w:before="40" w:after="120"/>
              <w:jc w:val="center"/>
              <w:rPr>
                <w:rFonts w:ascii="Arial" w:hAnsi="Arial" w:cs="Arial"/>
                <w:sz w:val="18"/>
                <w:szCs w:val="18"/>
                <w:vertAlign w:val="superscript"/>
              </w:rPr>
            </w:pPr>
            <w:proofErr w:type="spellStart"/>
            <w:r w:rsidRPr="0008499F">
              <w:rPr>
                <w:rFonts w:ascii="Arial" w:hAnsi="Arial" w:cs="Arial"/>
                <w:sz w:val="18"/>
                <w:szCs w:val="18"/>
              </w:rPr>
              <w:t>Cuzick</w:t>
            </w:r>
            <w:proofErr w:type="spellEnd"/>
            <w:r w:rsidRPr="0008499F">
              <w:rPr>
                <w:rFonts w:ascii="Arial" w:hAnsi="Arial" w:cs="Arial"/>
                <w:sz w:val="18"/>
                <w:szCs w:val="18"/>
              </w:rPr>
              <w:t xml:space="preserve"> meta-</w:t>
            </w:r>
            <w:proofErr w:type="spellStart"/>
            <w:r w:rsidRPr="0008499F">
              <w:rPr>
                <w:rFonts w:ascii="Arial" w:hAnsi="Arial" w:cs="Arial"/>
                <w:sz w:val="18"/>
                <w:szCs w:val="18"/>
              </w:rPr>
              <w:t>analysis</w:t>
            </w:r>
            <w:r w:rsidRPr="0008499F">
              <w:rPr>
                <w:rFonts w:ascii="Arial" w:hAnsi="Arial" w:cs="Arial"/>
                <w:sz w:val="18"/>
                <w:szCs w:val="18"/>
                <w:vertAlign w:val="superscript"/>
              </w:rPr>
              <w:t>a</w:t>
            </w:r>
            <w:proofErr w:type="spellEnd"/>
          </w:p>
        </w:tc>
        <w:tc>
          <w:tcPr>
            <w:tcW w:w="998" w:type="pct"/>
            <w:gridSpan w:val="2"/>
            <w:tcBorders>
              <w:bottom w:val="single" w:sz="4" w:space="0" w:color="auto"/>
            </w:tcBorders>
            <w:shd w:val="clear" w:color="auto" w:fill="auto"/>
          </w:tcPr>
          <w:p w:rsidR="000E0E51" w:rsidRPr="0008499F" w:rsidRDefault="000E0E51" w:rsidP="000C0B63">
            <w:pPr>
              <w:pStyle w:val="TableH1"/>
              <w:spacing w:before="40" w:after="120"/>
              <w:jc w:val="center"/>
              <w:rPr>
                <w:rFonts w:ascii="Arial" w:hAnsi="Arial" w:cs="Arial"/>
                <w:sz w:val="18"/>
                <w:szCs w:val="18"/>
                <w:vertAlign w:val="superscript"/>
              </w:rPr>
            </w:pPr>
            <w:r w:rsidRPr="0008499F">
              <w:rPr>
                <w:rFonts w:ascii="Arial" w:hAnsi="Arial" w:cs="Arial"/>
                <w:sz w:val="18"/>
                <w:szCs w:val="18"/>
              </w:rPr>
              <w:t>IBIS-</w:t>
            </w:r>
            <w:proofErr w:type="spellStart"/>
            <w:r w:rsidRPr="0008499F">
              <w:rPr>
                <w:rFonts w:ascii="Arial" w:hAnsi="Arial" w:cs="Arial"/>
                <w:sz w:val="18"/>
                <w:szCs w:val="18"/>
              </w:rPr>
              <w:t>I</w:t>
            </w:r>
            <w:r w:rsidRPr="0008499F">
              <w:rPr>
                <w:rFonts w:ascii="Arial" w:hAnsi="Arial" w:cs="Arial"/>
                <w:sz w:val="18"/>
                <w:szCs w:val="18"/>
                <w:vertAlign w:val="superscript"/>
              </w:rPr>
              <w:t>b</w:t>
            </w:r>
            <w:proofErr w:type="spellEnd"/>
          </w:p>
        </w:tc>
        <w:tc>
          <w:tcPr>
            <w:tcW w:w="997" w:type="pct"/>
            <w:gridSpan w:val="2"/>
            <w:shd w:val="clear" w:color="auto" w:fill="auto"/>
          </w:tcPr>
          <w:p w:rsidR="000E0E51" w:rsidRPr="0008499F" w:rsidRDefault="000E0E51" w:rsidP="000C0B63">
            <w:pPr>
              <w:pStyle w:val="TableH1"/>
              <w:spacing w:before="40" w:after="120"/>
              <w:jc w:val="center"/>
              <w:rPr>
                <w:rFonts w:ascii="Arial" w:hAnsi="Arial" w:cs="Arial"/>
                <w:sz w:val="18"/>
                <w:szCs w:val="18"/>
                <w:vertAlign w:val="superscript"/>
              </w:rPr>
            </w:pPr>
            <w:r w:rsidRPr="0008499F">
              <w:rPr>
                <w:rFonts w:ascii="Arial" w:hAnsi="Arial" w:cs="Arial"/>
                <w:sz w:val="18"/>
                <w:szCs w:val="18"/>
              </w:rPr>
              <w:t>NSABP P1</w:t>
            </w:r>
            <w:r w:rsidRPr="0008499F">
              <w:rPr>
                <w:rFonts w:ascii="Arial" w:hAnsi="Arial" w:cs="Arial"/>
                <w:sz w:val="18"/>
                <w:szCs w:val="18"/>
                <w:vertAlign w:val="superscript"/>
              </w:rPr>
              <w:t>c</w:t>
            </w:r>
          </w:p>
        </w:tc>
        <w:tc>
          <w:tcPr>
            <w:tcW w:w="940" w:type="pct"/>
            <w:gridSpan w:val="2"/>
          </w:tcPr>
          <w:p w:rsidR="000E0E51" w:rsidRPr="0008499F" w:rsidRDefault="000E0E51" w:rsidP="000C0B63">
            <w:pPr>
              <w:pStyle w:val="TableH1"/>
              <w:spacing w:before="40" w:after="120"/>
              <w:jc w:val="center"/>
              <w:rPr>
                <w:rFonts w:ascii="Arial" w:hAnsi="Arial" w:cs="Arial"/>
                <w:sz w:val="18"/>
                <w:szCs w:val="18"/>
                <w:vertAlign w:val="superscript"/>
              </w:rPr>
            </w:pPr>
            <w:r w:rsidRPr="0008499F">
              <w:rPr>
                <w:rFonts w:ascii="Arial" w:hAnsi="Arial" w:cs="Arial"/>
                <w:sz w:val="18"/>
                <w:szCs w:val="18"/>
              </w:rPr>
              <w:t xml:space="preserve">Royal </w:t>
            </w:r>
            <w:proofErr w:type="spellStart"/>
            <w:r w:rsidRPr="0008499F">
              <w:rPr>
                <w:rFonts w:ascii="Arial" w:hAnsi="Arial" w:cs="Arial"/>
                <w:sz w:val="18"/>
                <w:szCs w:val="18"/>
              </w:rPr>
              <w:t>Marsden</w:t>
            </w:r>
            <w:r w:rsidRPr="0008499F">
              <w:rPr>
                <w:rFonts w:ascii="Arial" w:hAnsi="Arial" w:cs="Arial"/>
                <w:sz w:val="18"/>
                <w:szCs w:val="18"/>
                <w:vertAlign w:val="superscript"/>
              </w:rPr>
              <w:t>d</w:t>
            </w:r>
            <w:proofErr w:type="spellEnd"/>
          </w:p>
        </w:tc>
      </w:tr>
      <w:tr w:rsidR="000E0E51" w:rsidRPr="0008499F" w:rsidTr="00847A2E">
        <w:trPr>
          <w:tblHeader/>
        </w:trPr>
        <w:tc>
          <w:tcPr>
            <w:tcW w:w="990" w:type="pct"/>
            <w:vMerge/>
            <w:shd w:val="clear" w:color="auto" w:fill="auto"/>
          </w:tcPr>
          <w:p w:rsidR="000E0E51" w:rsidRPr="0008499F" w:rsidRDefault="000E0E51" w:rsidP="000C0B63">
            <w:pPr>
              <w:pStyle w:val="TableH1"/>
              <w:spacing w:before="40" w:after="120"/>
              <w:rPr>
                <w:rFonts w:ascii="Arial" w:hAnsi="Arial" w:cs="Arial"/>
                <w:sz w:val="18"/>
                <w:szCs w:val="18"/>
              </w:rPr>
            </w:pPr>
          </w:p>
        </w:tc>
        <w:tc>
          <w:tcPr>
            <w:tcW w:w="537" w:type="pct"/>
            <w:shd w:val="clear" w:color="auto" w:fill="auto"/>
          </w:tcPr>
          <w:p w:rsidR="000E0E51" w:rsidRPr="0008499F" w:rsidRDefault="000E0E51" w:rsidP="000C0B63">
            <w:pPr>
              <w:pStyle w:val="TableH1"/>
              <w:spacing w:before="40" w:after="0"/>
              <w:jc w:val="center"/>
              <w:rPr>
                <w:rFonts w:ascii="Arial" w:hAnsi="Arial" w:cs="Arial"/>
                <w:sz w:val="18"/>
                <w:szCs w:val="18"/>
              </w:rPr>
            </w:pPr>
            <w:proofErr w:type="spellStart"/>
            <w:r w:rsidRPr="0008499F">
              <w:rPr>
                <w:rFonts w:ascii="Arial" w:hAnsi="Arial" w:cs="Arial"/>
                <w:sz w:val="18"/>
                <w:szCs w:val="18"/>
              </w:rPr>
              <w:t>Tamox</w:t>
            </w:r>
            <w:proofErr w:type="spellEnd"/>
            <w:r w:rsidRPr="0008499F">
              <w:rPr>
                <w:rFonts w:ascii="Arial" w:hAnsi="Arial" w:cs="Arial"/>
                <w:sz w:val="18"/>
                <w:szCs w:val="18"/>
              </w:rPr>
              <w:br/>
              <w:t>n=14,192</w:t>
            </w:r>
          </w:p>
        </w:tc>
        <w:tc>
          <w:tcPr>
            <w:tcW w:w="537" w:type="pct"/>
            <w:shd w:val="clear" w:color="auto" w:fill="auto"/>
          </w:tcPr>
          <w:p w:rsidR="000E0E51" w:rsidRPr="0008499F" w:rsidRDefault="000E0E51" w:rsidP="000C0B63">
            <w:pPr>
              <w:pStyle w:val="TableH1"/>
              <w:spacing w:before="40" w:after="0"/>
              <w:jc w:val="center"/>
              <w:rPr>
                <w:rFonts w:ascii="Arial" w:hAnsi="Arial" w:cs="Arial"/>
                <w:sz w:val="18"/>
                <w:szCs w:val="18"/>
              </w:rPr>
            </w:pPr>
            <w:proofErr w:type="spellStart"/>
            <w:r w:rsidRPr="0008499F">
              <w:rPr>
                <w:rFonts w:ascii="Arial" w:hAnsi="Arial" w:cs="Arial"/>
                <w:sz w:val="18"/>
                <w:szCs w:val="18"/>
              </w:rPr>
              <w:t>Placeb</w:t>
            </w:r>
            <w:proofErr w:type="spellEnd"/>
            <w:r w:rsidRPr="0008499F">
              <w:rPr>
                <w:rFonts w:ascii="Arial" w:hAnsi="Arial" w:cs="Arial"/>
                <w:sz w:val="18"/>
                <w:szCs w:val="18"/>
              </w:rPr>
              <w:br/>
              <w:t>n=14,214</w:t>
            </w:r>
          </w:p>
        </w:tc>
        <w:tc>
          <w:tcPr>
            <w:tcW w:w="499" w:type="pct"/>
            <w:tcBorders>
              <w:bottom w:val="single" w:sz="4" w:space="0" w:color="auto"/>
            </w:tcBorders>
            <w:shd w:val="clear" w:color="auto" w:fill="auto"/>
          </w:tcPr>
          <w:p w:rsidR="000E0E51" w:rsidRPr="0008499F" w:rsidRDefault="000E0E51" w:rsidP="000C0B63">
            <w:pPr>
              <w:pStyle w:val="TableH1"/>
              <w:spacing w:before="40" w:after="0"/>
              <w:jc w:val="center"/>
              <w:rPr>
                <w:rFonts w:ascii="Arial" w:hAnsi="Arial" w:cs="Arial"/>
                <w:sz w:val="18"/>
                <w:szCs w:val="18"/>
              </w:rPr>
            </w:pPr>
            <w:proofErr w:type="spellStart"/>
            <w:r w:rsidRPr="0008499F">
              <w:rPr>
                <w:rFonts w:ascii="Arial" w:hAnsi="Arial" w:cs="Arial"/>
                <w:sz w:val="18"/>
                <w:szCs w:val="18"/>
              </w:rPr>
              <w:t>Tamox</w:t>
            </w:r>
            <w:proofErr w:type="spellEnd"/>
            <w:r w:rsidRPr="0008499F">
              <w:rPr>
                <w:rFonts w:ascii="Arial" w:hAnsi="Arial" w:cs="Arial"/>
                <w:sz w:val="18"/>
                <w:szCs w:val="18"/>
              </w:rPr>
              <w:t xml:space="preserve"> n=3579</w:t>
            </w:r>
          </w:p>
        </w:tc>
        <w:tc>
          <w:tcPr>
            <w:tcW w:w="499" w:type="pct"/>
            <w:tcBorders>
              <w:bottom w:val="single" w:sz="4" w:space="0" w:color="auto"/>
            </w:tcBorders>
            <w:shd w:val="clear" w:color="auto" w:fill="auto"/>
          </w:tcPr>
          <w:p w:rsidR="000E0E51" w:rsidRPr="0008499F" w:rsidRDefault="000E0E51" w:rsidP="000C0B63">
            <w:pPr>
              <w:pStyle w:val="TableH1"/>
              <w:spacing w:before="40" w:after="0"/>
              <w:jc w:val="center"/>
              <w:rPr>
                <w:rFonts w:ascii="Arial" w:hAnsi="Arial" w:cs="Arial"/>
                <w:sz w:val="18"/>
                <w:szCs w:val="18"/>
              </w:rPr>
            </w:pPr>
            <w:proofErr w:type="spellStart"/>
            <w:r w:rsidRPr="0008499F">
              <w:rPr>
                <w:rFonts w:ascii="Arial" w:hAnsi="Arial" w:cs="Arial"/>
                <w:sz w:val="18"/>
                <w:szCs w:val="18"/>
              </w:rPr>
              <w:t>Placeb</w:t>
            </w:r>
            <w:proofErr w:type="spellEnd"/>
            <w:r w:rsidRPr="0008499F">
              <w:rPr>
                <w:rFonts w:ascii="Arial" w:hAnsi="Arial" w:cs="Arial"/>
                <w:sz w:val="18"/>
                <w:szCs w:val="18"/>
              </w:rPr>
              <w:br/>
              <w:t>n=3575</w:t>
            </w:r>
          </w:p>
        </w:tc>
        <w:tc>
          <w:tcPr>
            <w:tcW w:w="499" w:type="pct"/>
            <w:shd w:val="clear" w:color="auto" w:fill="auto"/>
          </w:tcPr>
          <w:p w:rsidR="000E0E51" w:rsidRPr="0008499F" w:rsidRDefault="000E0E51" w:rsidP="000C0B63">
            <w:pPr>
              <w:pStyle w:val="TableH1"/>
              <w:spacing w:before="40" w:after="0"/>
              <w:jc w:val="center"/>
              <w:rPr>
                <w:rFonts w:ascii="Arial" w:hAnsi="Arial" w:cs="Arial"/>
                <w:sz w:val="18"/>
                <w:szCs w:val="18"/>
              </w:rPr>
            </w:pPr>
            <w:proofErr w:type="spellStart"/>
            <w:r w:rsidRPr="0008499F">
              <w:rPr>
                <w:rFonts w:ascii="Arial" w:hAnsi="Arial" w:cs="Arial"/>
                <w:sz w:val="18"/>
                <w:szCs w:val="18"/>
              </w:rPr>
              <w:t>Tamox</w:t>
            </w:r>
            <w:proofErr w:type="spellEnd"/>
            <w:r w:rsidRPr="0008499F">
              <w:rPr>
                <w:rFonts w:ascii="Arial" w:hAnsi="Arial" w:cs="Arial"/>
                <w:sz w:val="18"/>
                <w:szCs w:val="18"/>
              </w:rPr>
              <w:br/>
              <w:t>n=6597</w:t>
            </w:r>
          </w:p>
        </w:tc>
        <w:tc>
          <w:tcPr>
            <w:tcW w:w="498" w:type="pct"/>
            <w:shd w:val="clear" w:color="auto" w:fill="auto"/>
          </w:tcPr>
          <w:p w:rsidR="000E0E51" w:rsidRPr="0008499F" w:rsidRDefault="000E0E51" w:rsidP="000C0B63">
            <w:pPr>
              <w:pStyle w:val="TableH1"/>
              <w:spacing w:before="40" w:after="0"/>
              <w:jc w:val="center"/>
              <w:rPr>
                <w:rFonts w:ascii="Arial" w:hAnsi="Arial" w:cs="Arial"/>
                <w:sz w:val="18"/>
                <w:szCs w:val="18"/>
              </w:rPr>
            </w:pPr>
            <w:proofErr w:type="spellStart"/>
            <w:r w:rsidRPr="0008499F">
              <w:rPr>
                <w:rFonts w:ascii="Arial" w:hAnsi="Arial" w:cs="Arial"/>
                <w:sz w:val="18"/>
                <w:szCs w:val="18"/>
              </w:rPr>
              <w:t>Placeb</w:t>
            </w:r>
            <w:proofErr w:type="spellEnd"/>
            <w:r w:rsidRPr="0008499F">
              <w:rPr>
                <w:rFonts w:ascii="Arial" w:hAnsi="Arial" w:cs="Arial"/>
                <w:sz w:val="18"/>
                <w:szCs w:val="18"/>
              </w:rPr>
              <w:br/>
              <w:t>n=6610</w:t>
            </w:r>
          </w:p>
        </w:tc>
        <w:tc>
          <w:tcPr>
            <w:tcW w:w="471" w:type="pct"/>
          </w:tcPr>
          <w:p w:rsidR="000E0E51" w:rsidRPr="0008499F" w:rsidRDefault="000E0E51" w:rsidP="000C0B63">
            <w:pPr>
              <w:pStyle w:val="TableH1"/>
              <w:spacing w:before="40" w:after="0"/>
              <w:jc w:val="center"/>
              <w:rPr>
                <w:rFonts w:ascii="Arial" w:hAnsi="Arial" w:cs="Arial"/>
                <w:sz w:val="18"/>
                <w:szCs w:val="18"/>
              </w:rPr>
            </w:pPr>
            <w:proofErr w:type="spellStart"/>
            <w:r w:rsidRPr="0008499F">
              <w:rPr>
                <w:rFonts w:ascii="Arial" w:hAnsi="Arial" w:cs="Arial"/>
                <w:sz w:val="18"/>
                <w:szCs w:val="18"/>
              </w:rPr>
              <w:t>Tamox</w:t>
            </w:r>
            <w:proofErr w:type="spellEnd"/>
          </w:p>
          <w:p w:rsidR="000E0E51" w:rsidRPr="0008499F" w:rsidRDefault="000E0E51" w:rsidP="000C0B63">
            <w:pPr>
              <w:pStyle w:val="TableH1"/>
              <w:spacing w:before="40" w:after="0"/>
              <w:jc w:val="center"/>
              <w:rPr>
                <w:rFonts w:ascii="Arial" w:hAnsi="Arial" w:cs="Arial"/>
                <w:sz w:val="18"/>
                <w:szCs w:val="18"/>
              </w:rPr>
            </w:pPr>
            <w:r w:rsidRPr="0008499F">
              <w:rPr>
                <w:rFonts w:ascii="Arial" w:hAnsi="Arial" w:cs="Arial"/>
                <w:sz w:val="18"/>
                <w:szCs w:val="18"/>
              </w:rPr>
              <w:t>n=1238</w:t>
            </w:r>
          </w:p>
        </w:tc>
        <w:tc>
          <w:tcPr>
            <w:tcW w:w="469" w:type="pct"/>
          </w:tcPr>
          <w:p w:rsidR="000E0E51" w:rsidRPr="0008499F" w:rsidRDefault="000E0E51" w:rsidP="000C0B63">
            <w:pPr>
              <w:pStyle w:val="TableH1"/>
              <w:spacing w:before="40" w:after="0"/>
              <w:jc w:val="center"/>
              <w:rPr>
                <w:rFonts w:ascii="Arial" w:hAnsi="Arial" w:cs="Arial"/>
                <w:sz w:val="18"/>
                <w:szCs w:val="18"/>
              </w:rPr>
            </w:pPr>
            <w:proofErr w:type="spellStart"/>
            <w:r w:rsidRPr="0008499F">
              <w:rPr>
                <w:rFonts w:ascii="Arial" w:hAnsi="Arial" w:cs="Arial"/>
                <w:sz w:val="18"/>
                <w:szCs w:val="18"/>
              </w:rPr>
              <w:t>Placeb</w:t>
            </w:r>
            <w:proofErr w:type="spellEnd"/>
            <w:r w:rsidRPr="0008499F">
              <w:rPr>
                <w:rFonts w:ascii="Arial" w:hAnsi="Arial" w:cs="Arial"/>
                <w:sz w:val="18"/>
                <w:szCs w:val="18"/>
              </w:rPr>
              <w:br/>
              <w:t>n=1233</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 xml:space="preserve">All-cause mortality </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214 (1.5%)</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218 (1.5%)</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182 (5.1%)</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166 (4.6%)</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126 (1.9%)</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114 (1.7%)</w:t>
            </w:r>
          </w:p>
        </w:tc>
        <w:tc>
          <w:tcPr>
            <w:tcW w:w="471"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54 (4.4%)</w:t>
            </w:r>
          </w:p>
        </w:tc>
        <w:tc>
          <w:tcPr>
            <w:tcW w:w="469"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54 (4.4%)</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Endometrial cancer</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67 (0.6%)</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31 (0.3%)</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29 (0.81%)</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20 (0.56%)</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53 (0.8%)</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17 (0.3%)</w:t>
            </w:r>
          </w:p>
        </w:tc>
        <w:tc>
          <w:tcPr>
            <w:tcW w:w="471"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13 (1.1%)</w:t>
            </w:r>
          </w:p>
        </w:tc>
        <w:tc>
          <w:tcPr>
            <w:tcW w:w="469"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 (0.41%)</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Other cancers</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372 (2.6%)</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367 (2.6%)</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351 (9.8%)</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315 (8.8%)</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178 (2.7%)</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155 (2.3%)</w:t>
            </w:r>
          </w:p>
        </w:tc>
        <w:tc>
          <w:tcPr>
            <w:tcW w:w="471"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64 (5.2%)</w:t>
            </w:r>
          </w:p>
        </w:tc>
        <w:tc>
          <w:tcPr>
            <w:tcW w:w="469"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70 (5.7%)</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Deep vein thrombosis</w:t>
            </w:r>
          </w:p>
        </w:tc>
        <w:tc>
          <w:tcPr>
            <w:tcW w:w="537" w:type="pct"/>
            <w:vMerge w:val="restart"/>
            <w:shd w:val="clear" w:color="auto" w:fill="auto"/>
            <w:vAlign w:val="center"/>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131 (1.0%)</w:t>
            </w:r>
          </w:p>
        </w:tc>
        <w:tc>
          <w:tcPr>
            <w:tcW w:w="537" w:type="pct"/>
            <w:vMerge w:val="restart"/>
            <w:shd w:val="clear" w:color="auto" w:fill="auto"/>
            <w:vAlign w:val="center"/>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82 (0.6%)</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50 (1.4%)</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29 (0.81%)</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49 (0.74%)</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34 (0.51)</w:t>
            </w:r>
          </w:p>
        </w:tc>
        <w:tc>
          <w:tcPr>
            <w:tcW w:w="471" w:type="pct"/>
            <w:vMerge w:val="restart"/>
            <w:vAlign w:val="center"/>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13 (1.1%)</w:t>
            </w:r>
          </w:p>
        </w:tc>
        <w:tc>
          <w:tcPr>
            <w:tcW w:w="469" w:type="pct"/>
            <w:vMerge w:val="restart"/>
            <w:vAlign w:val="center"/>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9 (0.73%)</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Pulmonary embolism</w:t>
            </w:r>
          </w:p>
        </w:tc>
        <w:tc>
          <w:tcPr>
            <w:tcW w:w="537" w:type="pct"/>
            <w:vMerge/>
            <w:shd w:val="clear" w:color="auto" w:fill="auto"/>
          </w:tcPr>
          <w:p w:rsidR="000E0E51" w:rsidRPr="0008499F" w:rsidRDefault="000E0E51" w:rsidP="000C0B63">
            <w:pPr>
              <w:pStyle w:val="Tabletext"/>
              <w:jc w:val="center"/>
              <w:rPr>
                <w:rFonts w:cs="Arial"/>
                <w:sz w:val="18"/>
                <w:szCs w:val="18"/>
                <w:lang w:val="en-AU"/>
              </w:rPr>
            </w:pPr>
          </w:p>
        </w:tc>
        <w:tc>
          <w:tcPr>
            <w:tcW w:w="537" w:type="pct"/>
            <w:vMerge/>
            <w:shd w:val="clear" w:color="auto" w:fill="auto"/>
          </w:tcPr>
          <w:p w:rsidR="000E0E51" w:rsidRPr="0008499F" w:rsidRDefault="000E0E51" w:rsidP="000C0B63">
            <w:pPr>
              <w:pStyle w:val="Tabletext"/>
              <w:jc w:val="center"/>
              <w:rPr>
                <w:rFonts w:cs="Arial"/>
                <w:sz w:val="18"/>
                <w:szCs w:val="18"/>
                <w:lang w:val="en-AU"/>
              </w:rPr>
            </w:pP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30 (0.84%)</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22 (0.62%)</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28 (0.42%)</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13 (0.20%)</w:t>
            </w:r>
          </w:p>
        </w:tc>
        <w:tc>
          <w:tcPr>
            <w:tcW w:w="471" w:type="pct"/>
            <w:vMerge/>
          </w:tcPr>
          <w:p w:rsidR="000E0E51" w:rsidRPr="0008499F" w:rsidRDefault="000E0E51" w:rsidP="000C0B63">
            <w:pPr>
              <w:pStyle w:val="Tabletext"/>
              <w:jc w:val="center"/>
              <w:rPr>
                <w:rFonts w:cs="Arial"/>
                <w:sz w:val="18"/>
                <w:szCs w:val="18"/>
                <w:lang w:val="en-AU"/>
              </w:rPr>
            </w:pPr>
          </w:p>
        </w:tc>
        <w:tc>
          <w:tcPr>
            <w:tcW w:w="469" w:type="pct"/>
            <w:vMerge/>
          </w:tcPr>
          <w:p w:rsidR="000E0E51" w:rsidRPr="0008499F" w:rsidRDefault="000E0E51" w:rsidP="000C0B63">
            <w:pPr>
              <w:pStyle w:val="Tabletext"/>
              <w:jc w:val="center"/>
              <w:rPr>
                <w:rFonts w:cs="Arial"/>
                <w:sz w:val="18"/>
                <w:szCs w:val="18"/>
                <w:lang w:val="en-AU"/>
              </w:rPr>
            </w:pP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Stroke</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30 (0.84%)</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28 (0.78%)</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71 (1.1%)</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50 (0.76%)</w:t>
            </w:r>
          </w:p>
        </w:tc>
        <w:tc>
          <w:tcPr>
            <w:tcW w:w="471"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10 (0.81%)</w:t>
            </w:r>
          </w:p>
        </w:tc>
        <w:tc>
          <w:tcPr>
            <w:tcW w:w="469"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16 (1.3%)</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Transient ischaemic attack</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31 (0.47%)</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34 (0.51%)</w:t>
            </w:r>
          </w:p>
        </w:tc>
        <w:tc>
          <w:tcPr>
            <w:tcW w:w="471"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469"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 xml:space="preserve">Ischaemic heart disease/ cardiovascular </w:t>
            </w:r>
            <w:r w:rsidRPr="0008499F">
              <w:rPr>
                <w:rFonts w:cs="Arial"/>
                <w:sz w:val="18"/>
                <w:szCs w:val="18"/>
                <w:lang w:val="en-AU"/>
              </w:rPr>
              <w:lastRenderedPageBreak/>
              <w:t>events</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lastRenderedPageBreak/>
              <w:t>144 (1.1%)</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130 (1.0%)</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141 (3.9%)</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153 (4.3%)</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113 (1.7%)</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109 (1.6%)</w:t>
            </w:r>
          </w:p>
        </w:tc>
        <w:tc>
          <w:tcPr>
            <w:tcW w:w="471" w:type="pct"/>
          </w:tcPr>
          <w:p w:rsidR="000E0E51" w:rsidRPr="0008499F" w:rsidRDefault="000E0E51" w:rsidP="000E0E51">
            <w:pPr>
              <w:pStyle w:val="Tabletext"/>
              <w:jc w:val="center"/>
              <w:rPr>
                <w:rFonts w:cs="Arial"/>
                <w:sz w:val="18"/>
                <w:szCs w:val="18"/>
                <w:lang w:val="en-AU"/>
              </w:rPr>
            </w:pPr>
            <w:r w:rsidRPr="0008499F">
              <w:rPr>
                <w:rFonts w:cs="Arial"/>
                <w:sz w:val="18"/>
                <w:szCs w:val="18"/>
                <w:lang w:val="en-AU"/>
              </w:rPr>
              <w:t>21 (1.7%)</w:t>
            </w:r>
          </w:p>
        </w:tc>
        <w:tc>
          <w:tcPr>
            <w:tcW w:w="469" w:type="pct"/>
          </w:tcPr>
          <w:p w:rsidR="000E0E51" w:rsidRPr="0008499F" w:rsidRDefault="000E0E51" w:rsidP="000E0E51">
            <w:pPr>
              <w:pStyle w:val="Tabletext"/>
              <w:jc w:val="center"/>
              <w:rPr>
                <w:rFonts w:cs="Arial"/>
                <w:sz w:val="18"/>
                <w:szCs w:val="18"/>
                <w:lang w:val="en-AU"/>
              </w:rPr>
            </w:pPr>
            <w:r w:rsidRPr="0008499F">
              <w:rPr>
                <w:rFonts w:cs="Arial"/>
                <w:sz w:val="18"/>
                <w:szCs w:val="18"/>
                <w:lang w:val="en-AU"/>
              </w:rPr>
              <w:t>26 (2.1%)</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lastRenderedPageBreak/>
              <w:t>Myocardial infarction</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13 (0.36%)</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17 (0.48%)</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43 (0.65%)</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44 (0.67%)</w:t>
            </w:r>
          </w:p>
        </w:tc>
        <w:tc>
          <w:tcPr>
            <w:tcW w:w="471"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c>
          <w:tcPr>
            <w:tcW w:w="469"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NR</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Cataracts</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654 (6.4%)</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583 (5.7%)</w:t>
            </w:r>
          </w:p>
        </w:tc>
        <w:tc>
          <w:tcPr>
            <w:tcW w:w="499" w:type="pct"/>
            <w:shd w:val="clear" w:color="auto" w:fill="auto"/>
          </w:tcPr>
          <w:p w:rsidR="000E0E51" w:rsidRPr="0008499F" w:rsidRDefault="000E0E51" w:rsidP="00C96E19">
            <w:pPr>
              <w:pStyle w:val="Tabletext"/>
              <w:jc w:val="center"/>
              <w:rPr>
                <w:rFonts w:cs="Arial"/>
                <w:sz w:val="18"/>
                <w:szCs w:val="18"/>
                <w:lang w:val="en-AU"/>
              </w:rPr>
            </w:pPr>
            <w:r w:rsidRPr="0008499F">
              <w:rPr>
                <w:rFonts w:cs="Arial"/>
                <w:sz w:val="18"/>
                <w:szCs w:val="18"/>
                <w:lang w:val="en-AU"/>
              </w:rPr>
              <w:t>67</w:t>
            </w:r>
            <w:r w:rsidRPr="0008499F">
              <w:rPr>
                <w:rFonts w:cs="Arial"/>
                <w:sz w:val="18"/>
                <w:szCs w:val="18"/>
                <w:vertAlign w:val="superscript"/>
                <w:lang w:val="en-AU"/>
              </w:rPr>
              <w:t xml:space="preserve"> </w:t>
            </w:r>
            <w:r w:rsidRPr="0008499F">
              <w:rPr>
                <w:rFonts w:cs="Arial"/>
                <w:sz w:val="18"/>
                <w:szCs w:val="18"/>
                <w:lang w:val="en-AU"/>
              </w:rPr>
              <w:t>(1.9%)</w:t>
            </w:r>
            <w:r w:rsidRPr="0008499F">
              <w:rPr>
                <w:rFonts w:cs="Arial"/>
                <w:sz w:val="18"/>
                <w:szCs w:val="18"/>
                <w:vertAlign w:val="superscript"/>
                <w:lang w:val="en-AU"/>
              </w:rPr>
              <w:t>e</w:t>
            </w:r>
          </w:p>
        </w:tc>
        <w:tc>
          <w:tcPr>
            <w:tcW w:w="499" w:type="pct"/>
            <w:shd w:val="clear" w:color="auto" w:fill="auto"/>
          </w:tcPr>
          <w:p w:rsidR="000E0E51" w:rsidRPr="0008499F" w:rsidRDefault="000E0E51" w:rsidP="0029444D">
            <w:pPr>
              <w:pStyle w:val="Tabletext"/>
              <w:jc w:val="center"/>
              <w:rPr>
                <w:rFonts w:cs="Arial"/>
                <w:sz w:val="18"/>
                <w:szCs w:val="18"/>
                <w:lang w:val="en-AU"/>
              </w:rPr>
            </w:pPr>
            <w:r w:rsidRPr="0008499F">
              <w:rPr>
                <w:rFonts w:cs="Arial"/>
                <w:sz w:val="18"/>
                <w:szCs w:val="18"/>
                <w:lang w:val="en-AU"/>
              </w:rPr>
              <w:t>54</w:t>
            </w:r>
            <w:r w:rsidRPr="0008499F">
              <w:rPr>
                <w:rFonts w:cs="Arial"/>
                <w:sz w:val="18"/>
                <w:szCs w:val="18"/>
                <w:vertAlign w:val="superscript"/>
                <w:lang w:val="en-AU"/>
              </w:rPr>
              <w:t xml:space="preserve"> </w:t>
            </w:r>
            <w:r w:rsidRPr="0008499F">
              <w:rPr>
                <w:rFonts w:cs="Arial"/>
                <w:sz w:val="18"/>
                <w:szCs w:val="18"/>
                <w:lang w:val="en-AU"/>
              </w:rPr>
              <w:t>(1.5%)</w:t>
            </w:r>
            <w:r w:rsidRPr="0008499F">
              <w:rPr>
                <w:rFonts w:cs="Arial"/>
                <w:sz w:val="18"/>
                <w:szCs w:val="18"/>
                <w:vertAlign w:val="superscript"/>
                <w:lang w:val="en-AU"/>
              </w:rPr>
              <w:t>e</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574 (9.4%)</w:t>
            </w:r>
            <w:r w:rsidRPr="0008499F">
              <w:rPr>
                <w:rFonts w:cs="Arial"/>
                <w:sz w:val="18"/>
                <w:szCs w:val="18"/>
                <w:vertAlign w:val="superscript"/>
                <w:lang w:val="en-AU"/>
              </w:rPr>
              <w:t>f</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507 (8.3%)</w:t>
            </w:r>
            <w:r w:rsidRPr="0008499F">
              <w:rPr>
                <w:rFonts w:cs="Arial"/>
                <w:sz w:val="18"/>
                <w:szCs w:val="18"/>
                <w:vertAlign w:val="superscript"/>
                <w:lang w:val="en-AU"/>
              </w:rPr>
              <w:t xml:space="preserve"> f</w:t>
            </w:r>
          </w:p>
        </w:tc>
        <w:tc>
          <w:tcPr>
            <w:tcW w:w="471"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12 (0.97)</w:t>
            </w:r>
          </w:p>
        </w:tc>
        <w:tc>
          <w:tcPr>
            <w:tcW w:w="469"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 (0.24%)</w:t>
            </w:r>
          </w:p>
        </w:tc>
      </w:tr>
      <w:tr w:rsidR="000E0E51" w:rsidRPr="0008499F" w:rsidTr="000C0B63">
        <w:tc>
          <w:tcPr>
            <w:tcW w:w="990" w:type="pct"/>
            <w:shd w:val="clear" w:color="auto" w:fill="auto"/>
          </w:tcPr>
          <w:p w:rsidR="000E0E51" w:rsidRPr="0008499F" w:rsidRDefault="000E0E51" w:rsidP="000C0B63">
            <w:pPr>
              <w:pStyle w:val="Tabletext"/>
              <w:rPr>
                <w:rFonts w:cs="Arial"/>
                <w:sz w:val="18"/>
                <w:szCs w:val="18"/>
                <w:lang w:val="en-AU"/>
              </w:rPr>
            </w:pPr>
            <w:r w:rsidRPr="0008499F">
              <w:rPr>
                <w:rFonts w:cs="Arial"/>
                <w:sz w:val="18"/>
                <w:szCs w:val="18"/>
                <w:lang w:val="en-AU"/>
              </w:rPr>
              <w:t>Fractures</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731 (7.2%)</w:t>
            </w:r>
          </w:p>
        </w:tc>
        <w:tc>
          <w:tcPr>
            <w:tcW w:w="537"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791 (7.8%)</w:t>
            </w:r>
          </w:p>
        </w:tc>
        <w:tc>
          <w:tcPr>
            <w:tcW w:w="499" w:type="pct"/>
            <w:shd w:val="clear" w:color="auto" w:fill="auto"/>
          </w:tcPr>
          <w:p w:rsidR="000E0E51" w:rsidRPr="0008499F" w:rsidRDefault="000E0E51" w:rsidP="00C96E19">
            <w:pPr>
              <w:pStyle w:val="Tabletext"/>
              <w:jc w:val="center"/>
              <w:rPr>
                <w:rFonts w:cs="Arial"/>
                <w:sz w:val="18"/>
                <w:szCs w:val="18"/>
                <w:lang w:val="en-AU"/>
              </w:rPr>
            </w:pPr>
            <w:r w:rsidRPr="0008499F">
              <w:rPr>
                <w:rFonts w:cs="Arial"/>
                <w:sz w:val="18"/>
                <w:szCs w:val="18"/>
                <w:lang w:val="en-AU"/>
              </w:rPr>
              <w:t>240</w:t>
            </w:r>
            <w:r w:rsidRPr="0008499F">
              <w:rPr>
                <w:rFonts w:cs="Arial"/>
                <w:sz w:val="18"/>
                <w:szCs w:val="18"/>
                <w:vertAlign w:val="superscript"/>
                <w:lang w:val="en-AU"/>
              </w:rPr>
              <w:t xml:space="preserve"> </w:t>
            </w:r>
            <w:r w:rsidRPr="0008499F">
              <w:rPr>
                <w:rFonts w:cs="Arial"/>
                <w:sz w:val="18"/>
                <w:szCs w:val="18"/>
                <w:lang w:val="en-AU"/>
              </w:rPr>
              <w:t>(6.7%)</w:t>
            </w:r>
            <w:r w:rsidRPr="0008499F">
              <w:rPr>
                <w:rFonts w:cs="Arial"/>
                <w:sz w:val="18"/>
                <w:szCs w:val="18"/>
                <w:vertAlign w:val="superscript"/>
                <w:lang w:val="en-AU"/>
              </w:rPr>
              <w:t>e</w:t>
            </w:r>
          </w:p>
        </w:tc>
        <w:tc>
          <w:tcPr>
            <w:tcW w:w="499" w:type="pct"/>
            <w:shd w:val="clear" w:color="auto" w:fill="auto"/>
          </w:tcPr>
          <w:p w:rsidR="000E0E51" w:rsidRPr="0008499F" w:rsidRDefault="000E0E51" w:rsidP="0029444D">
            <w:pPr>
              <w:pStyle w:val="Tabletext"/>
              <w:jc w:val="center"/>
              <w:rPr>
                <w:rFonts w:cs="Arial"/>
                <w:sz w:val="18"/>
                <w:szCs w:val="18"/>
                <w:lang w:val="en-AU"/>
              </w:rPr>
            </w:pPr>
            <w:r w:rsidRPr="0008499F">
              <w:rPr>
                <w:rFonts w:cs="Arial"/>
                <w:sz w:val="18"/>
                <w:szCs w:val="18"/>
                <w:lang w:val="en-AU"/>
              </w:rPr>
              <w:t>235 (6.6%)</w:t>
            </w:r>
            <w:r w:rsidRPr="0008499F">
              <w:rPr>
                <w:rFonts w:cs="Arial"/>
                <w:sz w:val="18"/>
                <w:szCs w:val="18"/>
                <w:vertAlign w:val="superscript"/>
                <w:lang w:val="en-AU"/>
              </w:rPr>
              <w:t>e</w:t>
            </w:r>
          </w:p>
        </w:tc>
        <w:tc>
          <w:tcPr>
            <w:tcW w:w="499"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80 (1.2%)</w:t>
            </w:r>
          </w:p>
        </w:tc>
        <w:tc>
          <w:tcPr>
            <w:tcW w:w="498" w:type="pct"/>
            <w:shd w:val="clear" w:color="auto" w:fill="auto"/>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116 (1.8%)</w:t>
            </w:r>
          </w:p>
        </w:tc>
        <w:tc>
          <w:tcPr>
            <w:tcW w:w="471"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28 (2.3%)</w:t>
            </w:r>
          </w:p>
        </w:tc>
        <w:tc>
          <w:tcPr>
            <w:tcW w:w="469" w:type="pct"/>
          </w:tcPr>
          <w:p w:rsidR="000E0E51" w:rsidRPr="0008499F" w:rsidRDefault="000E0E51" w:rsidP="000C0B63">
            <w:pPr>
              <w:pStyle w:val="Tabletext"/>
              <w:jc w:val="center"/>
              <w:rPr>
                <w:rFonts w:cs="Arial"/>
                <w:sz w:val="18"/>
                <w:szCs w:val="18"/>
                <w:lang w:val="en-AU"/>
              </w:rPr>
            </w:pPr>
            <w:r w:rsidRPr="0008499F">
              <w:rPr>
                <w:rFonts w:cs="Arial"/>
                <w:sz w:val="18"/>
                <w:szCs w:val="18"/>
                <w:lang w:val="en-AU"/>
              </w:rPr>
              <w:t>33 (2.7%)</w:t>
            </w:r>
          </w:p>
        </w:tc>
      </w:tr>
    </w:tbl>
    <w:p w:rsidR="000E0E51" w:rsidRPr="0008499F" w:rsidRDefault="000E0E51" w:rsidP="00847A2E">
      <w:pPr>
        <w:pStyle w:val="TableFigNotes0"/>
        <w:keepNext w:val="0"/>
        <w:keepLines w:val="0"/>
        <w:rPr>
          <w:rFonts w:ascii="Arial" w:hAnsi="Arial" w:cs="Arial"/>
          <w:sz w:val="18"/>
        </w:rPr>
      </w:pPr>
      <w:r w:rsidRPr="0008499F">
        <w:rPr>
          <w:rFonts w:ascii="Arial" w:hAnsi="Arial" w:cs="Arial"/>
          <w:sz w:val="18"/>
        </w:rPr>
        <w:t xml:space="preserve">Abbreviations: NR = not reported, </w:t>
      </w:r>
      <w:proofErr w:type="spellStart"/>
      <w:r w:rsidRPr="0008499F">
        <w:rPr>
          <w:rFonts w:ascii="Arial" w:hAnsi="Arial" w:cs="Arial"/>
          <w:sz w:val="18"/>
        </w:rPr>
        <w:t>placeb</w:t>
      </w:r>
      <w:proofErr w:type="spellEnd"/>
      <w:r w:rsidRPr="0008499F">
        <w:rPr>
          <w:rFonts w:ascii="Arial" w:hAnsi="Arial" w:cs="Arial"/>
          <w:sz w:val="18"/>
        </w:rPr>
        <w:t xml:space="preserve"> = placebo, </w:t>
      </w:r>
      <w:proofErr w:type="spellStart"/>
      <w:r w:rsidRPr="0008499F">
        <w:rPr>
          <w:rFonts w:ascii="Arial" w:hAnsi="Arial" w:cs="Arial"/>
          <w:sz w:val="18"/>
        </w:rPr>
        <w:t>tamox</w:t>
      </w:r>
      <w:proofErr w:type="spellEnd"/>
      <w:r w:rsidRPr="0008499F">
        <w:rPr>
          <w:rFonts w:ascii="Arial" w:hAnsi="Arial" w:cs="Arial"/>
          <w:sz w:val="18"/>
        </w:rPr>
        <w:t xml:space="preserve"> = tamoxifen.</w:t>
      </w:r>
    </w:p>
    <w:p w:rsidR="000E0E51" w:rsidRPr="0008499F" w:rsidRDefault="000E0E51"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a</w:t>
      </w:r>
      <w:proofErr w:type="gramEnd"/>
      <w:r w:rsidRPr="0008499F">
        <w:rPr>
          <w:rFonts w:ascii="Arial" w:hAnsi="Arial" w:cs="Arial"/>
          <w:sz w:val="18"/>
        </w:rPr>
        <w:t xml:space="preserve"> </w:t>
      </w:r>
      <w:proofErr w:type="spellStart"/>
      <w:r w:rsidRPr="0008499F">
        <w:rPr>
          <w:rFonts w:ascii="Arial" w:hAnsi="Arial" w:cs="Arial"/>
          <w:sz w:val="18"/>
        </w:rPr>
        <w:t>Cuzick</w:t>
      </w:r>
      <w:proofErr w:type="spellEnd"/>
      <w:r w:rsidRPr="0008499F">
        <w:rPr>
          <w:rFonts w:ascii="Arial" w:hAnsi="Arial" w:cs="Arial"/>
          <w:sz w:val="18"/>
        </w:rPr>
        <w:t xml:space="preserve"> 2013 was a meta-analysis of individual participant data from the IBIS-I, NSABP P1, and Marsden primary </w:t>
      </w:r>
      <w:r w:rsidR="007327B6" w:rsidRPr="0008499F">
        <w:rPr>
          <w:rFonts w:ascii="Arial" w:hAnsi="Arial" w:cs="Arial"/>
          <w:sz w:val="18"/>
        </w:rPr>
        <w:t>risk reduction</w:t>
      </w:r>
      <w:r w:rsidRPr="0008499F">
        <w:rPr>
          <w:rFonts w:ascii="Arial" w:hAnsi="Arial" w:cs="Arial"/>
          <w:sz w:val="18"/>
        </w:rPr>
        <w:t xml:space="preserve"> trials in women at increased risk of breast cancer, and the Italian trial in women at normal risk of breast cancer</w:t>
      </w:r>
      <w:r w:rsidR="008079C6">
        <w:rPr>
          <w:rFonts w:ascii="Arial" w:hAnsi="Arial" w:cs="Arial"/>
          <w:sz w:val="18"/>
        </w:rPr>
        <w:t xml:space="preserve">. </w:t>
      </w:r>
      <w:r w:rsidRPr="0008499F">
        <w:rPr>
          <w:rFonts w:ascii="Arial" w:hAnsi="Arial" w:cs="Arial"/>
          <w:sz w:val="18"/>
        </w:rPr>
        <w:t>The median follow up was 65 months.</w:t>
      </w:r>
    </w:p>
    <w:p w:rsidR="000E0E51" w:rsidRPr="0008499F" w:rsidRDefault="000E0E51"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b</w:t>
      </w:r>
      <w:proofErr w:type="gramEnd"/>
      <w:r w:rsidRPr="0008499F">
        <w:rPr>
          <w:rFonts w:ascii="Arial" w:hAnsi="Arial" w:cs="Arial"/>
          <w:sz w:val="18"/>
          <w:vertAlign w:val="superscript"/>
        </w:rPr>
        <w:t xml:space="preserve"> </w:t>
      </w:r>
      <w:r w:rsidRPr="0008499F">
        <w:rPr>
          <w:rFonts w:ascii="Arial" w:hAnsi="Arial" w:cs="Arial"/>
          <w:sz w:val="18"/>
        </w:rPr>
        <w:t>Participants were treated with 20 mg tamoxifen for 5 years; the median follow up was 16 years.</w:t>
      </w:r>
    </w:p>
    <w:p w:rsidR="000E0E51" w:rsidRPr="0008499F" w:rsidRDefault="000E0E51"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c</w:t>
      </w:r>
      <w:proofErr w:type="gramEnd"/>
      <w:r w:rsidRPr="0008499F">
        <w:rPr>
          <w:rFonts w:ascii="Arial" w:hAnsi="Arial" w:cs="Arial"/>
          <w:sz w:val="18"/>
          <w:vertAlign w:val="superscript"/>
        </w:rPr>
        <w:t xml:space="preserve"> </w:t>
      </w:r>
      <w:r w:rsidRPr="0008499F">
        <w:rPr>
          <w:rFonts w:ascii="Arial" w:hAnsi="Arial" w:cs="Arial"/>
          <w:sz w:val="18"/>
        </w:rPr>
        <w:t>Participants were treated with 20 mg tamoxifen for 5 years; the median follow up was 6 years</w:t>
      </w:r>
    </w:p>
    <w:p w:rsidR="000E0E51" w:rsidRPr="0008499F" w:rsidRDefault="000E0E51"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d</w:t>
      </w:r>
      <w:proofErr w:type="gramEnd"/>
      <w:r w:rsidRPr="0008499F">
        <w:rPr>
          <w:rFonts w:ascii="Arial" w:hAnsi="Arial" w:cs="Arial"/>
          <w:sz w:val="18"/>
          <w:vertAlign w:val="superscript"/>
        </w:rPr>
        <w:t xml:space="preserve"> </w:t>
      </w:r>
      <w:r w:rsidRPr="0008499F">
        <w:rPr>
          <w:rFonts w:ascii="Arial" w:hAnsi="Arial" w:cs="Arial"/>
          <w:sz w:val="18"/>
        </w:rPr>
        <w:t>Participants were treated with 20 mg tamoxifen for 8 years; the median follow up was 13 years</w:t>
      </w:r>
    </w:p>
    <w:p w:rsidR="000E0E51" w:rsidRPr="0008499F" w:rsidRDefault="000E0E51"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e</w:t>
      </w:r>
      <w:proofErr w:type="gramEnd"/>
      <w:r w:rsidRPr="0008499F">
        <w:rPr>
          <w:rFonts w:ascii="Arial" w:hAnsi="Arial" w:cs="Arial"/>
          <w:sz w:val="18"/>
        </w:rPr>
        <w:t xml:space="preserve"> Results from earlier analysis; median follow up was 8 years</w:t>
      </w:r>
    </w:p>
    <w:p w:rsidR="000E0E51" w:rsidRPr="0008499F" w:rsidRDefault="000E0E51" w:rsidP="00847A2E">
      <w:pPr>
        <w:pStyle w:val="TableFigNotes0"/>
        <w:keepNext w:val="0"/>
        <w:keepLines w:val="0"/>
        <w:rPr>
          <w:rFonts w:ascii="Arial" w:hAnsi="Arial" w:cs="Arial"/>
          <w:sz w:val="18"/>
        </w:rPr>
      </w:pPr>
      <w:proofErr w:type="gramStart"/>
      <w:r w:rsidRPr="0008499F">
        <w:rPr>
          <w:rFonts w:ascii="Arial" w:hAnsi="Arial" w:cs="Arial"/>
          <w:sz w:val="18"/>
          <w:vertAlign w:val="superscript"/>
        </w:rPr>
        <w:t>f</w:t>
      </w:r>
      <w:proofErr w:type="gramEnd"/>
      <w:r w:rsidRPr="0008499F">
        <w:rPr>
          <w:rFonts w:ascii="Arial" w:hAnsi="Arial" w:cs="Arial"/>
          <w:sz w:val="18"/>
        </w:rPr>
        <w:t xml:space="preserve"> Results from earlier analysis; n=6101 tamoxifen and 6131 placebo; the median follow up was 4 years.</w:t>
      </w:r>
    </w:p>
    <w:p w:rsidR="000E0E51" w:rsidRPr="00847A2E" w:rsidRDefault="000E0E51" w:rsidP="00847A2E">
      <w:pPr>
        <w:pStyle w:val="A-Heading3"/>
        <w:rPr>
          <w:b w:val="0"/>
        </w:rPr>
      </w:pPr>
      <w:r w:rsidRPr="00847A2E">
        <w:rPr>
          <w:b w:val="0"/>
        </w:rPr>
        <w:t>Women under 50 years old</w:t>
      </w:r>
    </w:p>
    <w:p w:rsidR="000E0E51" w:rsidRPr="0008499F" w:rsidRDefault="000E0E51" w:rsidP="000E0E51">
      <w:pPr>
        <w:rPr>
          <w:rFonts w:cs="Arial"/>
          <w:lang w:val="en-GB"/>
        </w:rPr>
      </w:pPr>
      <w:r w:rsidRPr="0008499F">
        <w:rPr>
          <w:szCs w:val="24"/>
        </w:rPr>
        <w:t xml:space="preserve">A meta-analysis of </w:t>
      </w:r>
      <w:r w:rsidR="007327B6" w:rsidRPr="0008499F">
        <w:rPr>
          <w:szCs w:val="24"/>
        </w:rPr>
        <w:t>risk reduction</w:t>
      </w:r>
      <w:r w:rsidRPr="0008499F">
        <w:rPr>
          <w:szCs w:val="24"/>
        </w:rPr>
        <w:t xml:space="preserve"> trials stratified by age (Iqbal 2012) showed that while wom</w:t>
      </w:r>
      <w:r w:rsidRPr="0008499F">
        <w:rPr>
          <w:rFonts w:eastAsia="Calibri"/>
        </w:rPr>
        <w:t xml:space="preserve">en over 50 years old </w:t>
      </w:r>
      <w:r w:rsidR="009E4386" w:rsidRPr="0008499F">
        <w:rPr>
          <w:rFonts w:eastAsia="Calibri"/>
        </w:rPr>
        <w:t xml:space="preserve">at randomisation </w:t>
      </w:r>
      <w:r w:rsidRPr="0008499F">
        <w:rPr>
          <w:rFonts w:eastAsia="Calibri"/>
        </w:rPr>
        <w:t>had a significantly increased risk of endometrial cancer compared with placebo (RR 3.32, 95% CI 1.95-5.67; p&lt;0.0001), women aged under 50 years did not (RR 1.19, 95% CI 0.53-2.65; p=0.6)</w:t>
      </w:r>
      <w:r w:rsidR="008079C6">
        <w:rPr>
          <w:rFonts w:eastAsia="Calibri"/>
        </w:rPr>
        <w:t xml:space="preserve">. </w:t>
      </w:r>
      <w:r w:rsidRPr="0008499F">
        <w:rPr>
          <w:rFonts w:eastAsia="Calibri"/>
        </w:rPr>
        <w:t xml:space="preserve">Similarly, women under 50 did not have </w:t>
      </w:r>
      <w:r w:rsidRPr="0008499F">
        <w:rPr>
          <w:rFonts w:cs="Arial"/>
          <w:lang w:val="en-GB"/>
        </w:rPr>
        <w:t>a significantly increased risk of pulmonary embolism compared with placebo (RR 1.16, 95% CI 0.55-2.43; p=0.60) and their risk of deep vein thrombosis was only significantly increased during the active treatment phase (RR 2.30, 95% CI 1.23-4.31; p=0.009) but not after treatment had ended.</w:t>
      </w:r>
    </w:p>
    <w:p w:rsidR="00265CC7" w:rsidRPr="00847A2E" w:rsidRDefault="00265CC7" w:rsidP="00847A2E">
      <w:pPr>
        <w:pStyle w:val="A-Heading3"/>
        <w:rPr>
          <w:b w:val="0"/>
        </w:rPr>
      </w:pPr>
      <w:r w:rsidRPr="00847A2E">
        <w:rPr>
          <w:b w:val="0"/>
        </w:rPr>
        <w:t>Gynaecological conditions and procedures</w:t>
      </w:r>
    </w:p>
    <w:p w:rsidR="00265CC7" w:rsidRPr="0008499F" w:rsidRDefault="00265CC7" w:rsidP="000E0E51">
      <w:r w:rsidRPr="0008499F">
        <w:t xml:space="preserve">In placebo controlled trials of the use of tamoxifen for </w:t>
      </w:r>
      <w:r w:rsidR="007F664D" w:rsidRPr="0008499F">
        <w:t xml:space="preserve">the primary </w:t>
      </w:r>
      <w:r w:rsidRPr="0008499F">
        <w:t>reduction of breast cancer</w:t>
      </w:r>
      <w:r w:rsidR="007F664D" w:rsidRPr="0008499F">
        <w:t xml:space="preserve"> risk</w:t>
      </w:r>
      <w:r w:rsidRPr="0008499F">
        <w:t xml:space="preserve">, benign gynaecological conditions and procedures were more commonly reported with tamoxifen. The IBIS-1 trial found that in 3573 women taking tamoxifen compared to 3566 women on placebo, the following gynaecological conditions and procedures were more common in women taking tamoxifen: abnormal bleeding (842 v 678, </w:t>
      </w:r>
      <w:r w:rsidR="00031AE6" w:rsidRPr="0008499F">
        <w:t>p</w:t>
      </w:r>
      <w:r w:rsidRPr="0008499F">
        <w:t xml:space="preserve">&lt;0.0001); endometrial polyps (130 v 65, </w:t>
      </w:r>
      <w:r w:rsidR="00031AE6" w:rsidRPr="0008499F">
        <w:t>p</w:t>
      </w:r>
      <w:r w:rsidRPr="0008499F">
        <w:t xml:space="preserve">&lt;0.0001); ovarian cysts (101 v 42, </w:t>
      </w:r>
      <w:r w:rsidR="00031AE6" w:rsidRPr="0008499F">
        <w:t>p</w:t>
      </w:r>
      <w:r w:rsidRPr="0008499F">
        <w:t xml:space="preserve">&lt;0.0001); hysteroscopy (228 v 138, </w:t>
      </w:r>
      <w:r w:rsidR="00031AE6" w:rsidRPr="0008499F">
        <w:t>p</w:t>
      </w:r>
      <w:r w:rsidRPr="0008499F">
        <w:t xml:space="preserve">&lt;0.0001); pelvic ultrasound (209 v 132, </w:t>
      </w:r>
      <w:r w:rsidR="00031AE6" w:rsidRPr="0008499F">
        <w:t>p</w:t>
      </w:r>
      <w:r w:rsidRPr="0008499F">
        <w:t xml:space="preserve">&lt;0.0001); dilation and curettage (178 v 94, </w:t>
      </w:r>
      <w:r w:rsidR="00031AE6" w:rsidRPr="0008499F">
        <w:t>p</w:t>
      </w:r>
      <w:r w:rsidRPr="0008499F">
        <w:t xml:space="preserve">&lt;0.0001); hysterectomy (154 v 104, </w:t>
      </w:r>
      <w:r w:rsidR="00031AE6" w:rsidRPr="0008499F">
        <w:t>p</w:t>
      </w:r>
      <w:r w:rsidRPr="0008499F">
        <w:t xml:space="preserve">=0.002) and oophorectomy (103 v 67, </w:t>
      </w:r>
      <w:r w:rsidR="00031AE6" w:rsidRPr="0008499F">
        <w:t>p</w:t>
      </w:r>
      <w:r w:rsidRPr="0008499F">
        <w:t>=0.006).</w:t>
      </w:r>
    </w:p>
    <w:p w:rsidR="002E1315" w:rsidRPr="0008499F" w:rsidRDefault="002E1315">
      <w:pPr>
        <w:pStyle w:val="A-Heading1"/>
        <w:rPr>
          <w:lang w:val="en-AU"/>
        </w:rPr>
      </w:pPr>
      <w:r w:rsidRPr="0008499F">
        <w:rPr>
          <w:lang w:val="en-AU"/>
        </w:rPr>
        <w:lastRenderedPageBreak/>
        <w:t>DOSAGE AND ADMINISTRATION</w:t>
      </w:r>
    </w:p>
    <w:p w:rsidR="002E1315" w:rsidRPr="0008499F" w:rsidRDefault="002E1315">
      <w:pPr>
        <w:pStyle w:val="A-Heading2"/>
      </w:pPr>
      <w:r w:rsidRPr="0008499F">
        <w:t>Adults</w:t>
      </w:r>
    </w:p>
    <w:p w:rsidR="00E605B7" w:rsidRPr="0008499F" w:rsidRDefault="00E605B7" w:rsidP="00847A2E">
      <w:pPr>
        <w:pStyle w:val="A-Heading3"/>
      </w:pPr>
      <w:r w:rsidRPr="0008499F">
        <w:t>Treatment of breast cancer</w:t>
      </w:r>
    </w:p>
    <w:p w:rsidR="002E1315" w:rsidRPr="0008499F" w:rsidRDefault="002E1315">
      <w:r w:rsidRPr="0008499F">
        <w:t>The initial dose is 20 mg once daily</w:t>
      </w:r>
      <w:r w:rsidR="008079C6">
        <w:t xml:space="preserve">. </w:t>
      </w:r>
      <w:r w:rsidRPr="0008499F">
        <w:t>In advanced breast cancer, if no response is seen, dosage may be increased to 40 mg once daily.</w:t>
      </w:r>
    </w:p>
    <w:p w:rsidR="001E55D8" w:rsidRPr="0008499F" w:rsidRDefault="00E605B7" w:rsidP="00847A2E">
      <w:pPr>
        <w:pStyle w:val="A-Heading3"/>
      </w:pPr>
      <w:r w:rsidRPr="0008499F">
        <w:t xml:space="preserve">Primary </w:t>
      </w:r>
      <w:r w:rsidR="007327B6" w:rsidRPr="0008499F">
        <w:t>r</w:t>
      </w:r>
      <w:r w:rsidR="00CD76E8" w:rsidRPr="0008499F">
        <w:t xml:space="preserve">eduction of </w:t>
      </w:r>
      <w:r w:rsidRPr="0008499F">
        <w:t>breast cancer</w:t>
      </w:r>
      <w:r w:rsidR="00CD7D01" w:rsidRPr="0008499F">
        <w:t xml:space="preserve"> risk</w:t>
      </w:r>
    </w:p>
    <w:p w:rsidR="00961357" w:rsidRPr="0008499F" w:rsidRDefault="00961357" w:rsidP="001E55D8">
      <w:pPr>
        <w:autoSpaceDE w:val="0"/>
        <w:autoSpaceDN w:val="0"/>
        <w:adjustRightInd w:val="0"/>
      </w:pPr>
      <w:r w:rsidRPr="0008499F">
        <w:rPr>
          <w:rFonts w:cs="Arial"/>
          <w:szCs w:val="24"/>
          <w:lang w:eastAsia="en-AU"/>
        </w:rPr>
        <w:t>The recommended maximum dose is 20 mg daily for 5 years. There are insufficient data to support a higher dose or longer period of use.</w:t>
      </w:r>
    </w:p>
    <w:p w:rsidR="008079C6" w:rsidRDefault="00AB2AAA" w:rsidP="001E55D8">
      <w:pPr>
        <w:autoSpaceDE w:val="0"/>
        <w:autoSpaceDN w:val="0"/>
        <w:adjustRightInd w:val="0"/>
      </w:pPr>
      <w:r w:rsidRPr="0008499F">
        <w:t>An assessment of the potential benefits and risks prior to starting therapy for reduction in breast cancer risk is essential</w:t>
      </w:r>
      <w:r w:rsidR="008079C6">
        <w:t xml:space="preserve">. </w:t>
      </w:r>
      <w:r w:rsidRPr="0008499F">
        <w:t>Validated algorithms are available that calculate breast cancer risk based on features such as age, family history, genetic factors, reproductive factors, and history of breast disease</w:t>
      </w:r>
      <w:r w:rsidR="008079C6">
        <w:t>.</w:t>
      </w:r>
    </w:p>
    <w:p w:rsidR="001E55D8" w:rsidRPr="0008499F" w:rsidRDefault="00AB2AAA" w:rsidP="00AB2AAA">
      <w:pPr>
        <w:autoSpaceDE w:val="0"/>
        <w:autoSpaceDN w:val="0"/>
        <w:adjustRightInd w:val="0"/>
        <w:rPr>
          <w:rFonts w:cs="Arial"/>
          <w:szCs w:val="24"/>
          <w:lang w:eastAsia="en-AU"/>
        </w:rPr>
      </w:pPr>
      <w:r w:rsidRPr="0008499F">
        <w:t>NOLVADEX reduces, but does not eliminate, the risk of breast cancer</w:t>
      </w:r>
      <w:r w:rsidR="008079C6">
        <w:t xml:space="preserve">. </w:t>
      </w:r>
      <w:r w:rsidRPr="0008499F">
        <w:t>In clinical trials, NOLVADEX decreased the incidence of oestrogen receptor-positive tumours, but did not alter the incidence of oestrogen receptor-negative tumours.</w:t>
      </w:r>
      <w:r w:rsidR="00961357" w:rsidRPr="0008499F">
        <w:t xml:space="preserve"> The use of NOLVADEX should be as part of a program including regular breast surveillance tailored to the individual woman</w:t>
      </w:r>
      <w:r w:rsidR="00A170AB">
        <w:t>,</w:t>
      </w:r>
      <w:r w:rsidR="00961357" w:rsidRPr="0008499F">
        <w:t xml:space="preserve"> </w:t>
      </w:r>
      <w:r w:rsidR="001154CF">
        <w:t>taking into account</w:t>
      </w:r>
      <w:r w:rsidR="00961357" w:rsidRPr="0008499F">
        <w:t xml:space="preserve"> her risk of breast cancer.</w:t>
      </w:r>
    </w:p>
    <w:p w:rsidR="002E1315" w:rsidRPr="0008499F" w:rsidRDefault="002E1315">
      <w:pPr>
        <w:pStyle w:val="A-Heading2"/>
      </w:pPr>
      <w:r w:rsidRPr="0008499F">
        <w:t>Children</w:t>
      </w:r>
    </w:p>
    <w:p w:rsidR="002E1315" w:rsidRPr="0008499F" w:rsidRDefault="002E1315">
      <w:r w:rsidRPr="0008499F">
        <w:t>NOLVADEX is not indicated for use in children.</w:t>
      </w:r>
    </w:p>
    <w:p w:rsidR="002E1315" w:rsidRPr="0008499F" w:rsidRDefault="002E1315">
      <w:pPr>
        <w:pStyle w:val="A-Heading1"/>
        <w:rPr>
          <w:lang w:val="en-AU"/>
        </w:rPr>
      </w:pPr>
      <w:r w:rsidRPr="0008499F">
        <w:rPr>
          <w:lang w:val="en-AU"/>
        </w:rPr>
        <w:t>OVERDOSAGE</w:t>
      </w:r>
    </w:p>
    <w:p w:rsidR="002E1315" w:rsidRPr="0008499F" w:rsidRDefault="002E1315">
      <w:r w:rsidRPr="0008499F">
        <w:t xml:space="preserve">On theoretical grounds, an </w:t>
      </w:r>
      <w:proofErr w:type="spellStart"/>
      <w:r w:rsidRPr="0008499F">
        <w:t>overdosage</w:t>
      </w:r>
      <w:proofErr w:type="spellEnd"/>
      <w:r w:rsidRPr="0008499F">
        <w:t xml:space="preserve"> would be expected to cause enhancement of the pharmacological side effects mentioned above</w:t>
      </w:r>
      <w:r w:rsidR="008079C6">
        <w:t xml:space="preserve">. </w:t>
      </w:r>
      <w:r w:rsidRPr="0008499F">
        <w:t xml:space="preserve">Observations in animals show that extreme </w:t>
      </w:r>
      <w:proofErr w:type="spellStart"/>
      <w:r w:rsidRPr="0008499F">
        <w:t>overdosage</w:t>
      </w:r>
      <w:proofErr w:type="spellEnd"/>
      <w:r w:rsidRPr="0008499F">
        <w:t xml:space="preserve"> (100 to 200 times the equivalent of the recommended daily human dose) may produce oestrogenic effects.</w:t>
      </w:r>
    </w:p>
    <w:p w:rsidR="002E1315" w:rsidRPr="0008499F" w:rsidRDefault="002E1315">
      <w:r w:rsidRPr="0008499F">
        <w:t>There have been reports in the literature that NOLVADEX given at several times the standard dose may be associated with prolongation of the QT interval of the ECG.</w:t>
      </w:r>
    </w:p>
    <w:p w:rsidR="002E1315" w:rsidRPr="0008499F" w:rsidRDefault="002E1315">
      <w:r w:rsidRPr="0008499F">
        <w:t xml:space="preserve">There is no specific antidote to </w:t>
      </w:r>
      <w:proofErr w:type="spellStart"/>
      <w:r w:rsidRPr="0008499F">
        <w:t>overdosage</w:t>
      </w:r>
      <w:proofErr w:type="spellEnd"/>
      <w:r w:rsidRPr="0008499F">
        <w:t>, and treatment must be symptomatic.</w:t>
      </w:r>
    </w:p>
    <w:p w:rsidR="002E1315" w:rsidRPr="0008499F" w:rsidRDefault="002E1315">
      <w:pPr>
        <w:pStyle w:val="A-Heading1"/>
        <w:rPr>
          <w:lang w:val="en-AU"/>
        </w:rPr>
      </w:pPr>
      <w:r w:rsidRPr="0008499F">
        <w:rPr>
          <w:lang w:val="en-AU"/>
        </w:rPr>
        <w:t>PRESENTATION AND STORAGE CONDITIONS</w:t>
      </w:r>
    </w:p>
    <w:p w:rsidR="002E1315" w:rsidRPr="0008499F" w:rsidRDefault="002E1315">
      <w:pPr>
        <w:rPr>
          <w:lang w:val="en-GB"/>
        </w:rPr>
      </w:pPr>
      <w:r w:rsidRPr="0008499F">
        <w:rPr>
          <w:lang w:val="en-GB"/>
        </w:rPr>
        <w:t>NOLVADEX is presented as white to off-white, round, biconvex film coated tablets, impressed with "NOLVADEX 10" on one face, and plain on the reverse face. NOLVADEX tablets each contain tamoxifen citrate (15.2 mg) equivalent to 10 mg of tamoxifen.</w:t>
      </w:r>
    </w:p>
    <w:p w:rsidR="002E1315" w:rsidRPr="0008499F" w:rsidRDefault="002E1315">
      <w:pPr>
        <w:rPr>
          <w:szCs w:val="24"/>
        </w:rPr>
      </w:pPr>
      <w:r w:rsidRPr="0008499F">
        <w:rPr>
          <w:lang w:val="en-GB"/>
        </w:rPr>
        <w:t>NOLVADEX-D is presented as white to off-white, octagonal shaped, biconvex film coated tablets, impressed with "NOLVADEX-D" on one face, and plain on the reverse face</w:t>
      </w:r>
      <w:r w:rsidR="008079C6">
        <w:rPr>
          <w:lang w:val="en-GB"/>
        </w:rPr>
        <w:t xml:space="preserve">. </w:t>
      </w:r>
      <w:r w:rsidRPr="0008499F">
        <w:rPr>
          <w:szCs w:val="24"/>
        </w:rPr>
        <w:t>NOLVADEX-D tablets each contain tamoxifen citrate (30.4 mg) equivalent to 20 mg of tamoxifen.</w:t>
      </w:r>
    </w:p>
    <w:p w:rsidR="002E1315" w:rsidRPr="0008499F" w:rsidRDefault="002E1315">
      <w:r w:rsidRPr="0008499F">
        <w:lastRenderedPageBreak/>
        <w:t xml:space="preserve">Both NOLVADEX and NOLVADEX-D also include the following excipients: starch - maize, lactose, </w:t>
      </w:r>
      <w:proofErr w:type="spellStart"/>
      <w:r w:rsidRPr="0008499F">
        <w:t>croscarmellose</w:t>
      </w:r>
      <w:proofErr w:type="spellEnd"/>
      <w:r w:rsidRPr="0008499F">
        <w:t xml:space="preserve"> sodium, </w:t>
      </w:r>
      <w:proofErr w:type="spellStart"/>
      <w:r w:rsidRPr="0008499F">
        <w:t>gelatin</w:t>
      </w:r>
      <w:proofErr w:type="spellEnd"/>
      <w:r w:rsidRPr="0008499F">
        <w:t xml:space="preserve">, magnesium stearate, </w:t>
      </w:r>
      <w:proofErr w:type="spellStart"/>
      <w:r w:rsidRPr="0008499F">
        <w:t>hypromellose</w:t>
      </w:r>
      <w:proofErr w:type="spellEnd"/>
      <w:r w:rsidRPr="0008499F">
        <w:t xml:space="preserve">, </w:t>
      </w:r>
      <w:proofErr w:type="spellStart"/>
      <w:proofErr w:type="gramStart"/>
      <w:r w:rsidRPr="0008499F">
        <w:t>macrogol</w:t>
      </w:r>
      <w:proofErr w:type="spellEnd"/>
      <w:proofErr w:type="gramEnd"/>
      <w:r w:rsidRPr="0008499F">
        <w:t xml:space="preserve"> 300, titanium dioxide.</w:t>
      </w:r>
    </w:p>
    <w:p w:rsidR="002E1315" w:rsidRPr="0008499F" w:rsidRDefault="002E1315">
      <w:pPr>
        <w:rPr>
          <w:lang w:val="en-GB"/>
        </w:rPr>
      </w:pPr>
      <w:r w:rsidRPr="0008499F">
        <w:rPr>
          <w:szCs w:val="24"/>
        </w:rPr>
        <w:t>NOLVADEX and NOLVADEX-D tablets should be protected from light</w:t>
      </w:r>
      <w:r w:rsidR="008079C6">
        <w:rPr>
          <w:szCs w:val="24"/>
        </w:rPr>
        <w:t xml:space="preserve">. </w:t>
      </w:r>
      <w:r w:rsidRPr="0008499F">
        <w:rPr>
          <w:szCs w:val="24"/>
        </w:rPr>
        <w:t>.</w:t>
      </w:r>
    </w:p>
    <w:p w:rsidR="002E1315" w:rsidRPr="0008499F" w:rsidRDefault="002E1315">
      <w:pPr>
        <w:rPr>
          <w:lang w:val="en-GB"/>
        </w:rPr>
      </w:pPr>
      <w:r w:rsidRPr="0008499F">
        <w:rPr>
          <w:lang w:val="en-GB"/>
        </w:rPr>
        <w:t>NOLVADEX (10 mg): blister-packed in strips of 10, in containers of 30.</w:t>
      </w:r>
      <w:r w:rsidRPr="0008499F">
        <w:rPr>
          <w:rStyle w:val="FootnoteReference"/>
          <w:lang w:val="en-GB"/>
        </w:rPr>
        <w:footnoteReference w:customMarkFollows="1" w:id="2"/>
        <w:t>*</w:t>
      </w:r>
    </w:p>
    <w:p w:rsidR="002E1315" w:rsidRPr="0008499F" w:rsidRDefault="002E1315">
      <w:pPr>
        <w:rPr>
          <w:lang w:val="en-GB"/>
        </w:rPr>
      </w:pPr>
      <w:r w:rsidRPr="0008499F">
        <w:rPr>
          <w:lang w:val="en-GB"/>
        </w:rPr>
        <w:t>NOLVADEX-D (20 mg): blister-packed in strips of 10, in containers of 30.</w:t>
      </w:r>
    </w:p>
    <w:p w:rsidR="002E1315" w:rsidRPr="0008499F" w:rsidRDefault="002E1315">
      <w:pPr>
        <w:rPr>
          <w:lang w:val="en-GB"/>
        </w:rPr>
      </w:pPr>
      <w:r w:rsidRPr="0008499F">
        <w:rPr>
          <w:lang w:val="en-GB"/>
        </w:rPr>
        <w:t>NOLVADEX and NOLVADEX-D tablets should be protected from light. Store below 30</w:t>
      </w:r>
      <w:r w:rsidRPr="0008499F">
        <w:rPr>
          <w:rFonts w:cs="Arial"/>
          <w:lang w:val="en-GB"/>
        </w:rPr>
        <w:t>°</w:t>
      </w:r>
      <w:r w:rsidRPr="0008499F">
        <w:rPr>
          <w:lang w:val="en-GB"/>
        </w:rPr>
        <w:t>C.</w:t>
      </w:r>
    </w:p>
    <w:p w:rsidR="002E1315" w:rsidRPr="0008499F" w:rsidRDefault="002E1315">
      <w:pPr>
        <w:pStyle w:val="A-Heading1"/>
        <w:rPr>
          <w:lang w:val="en-AU"/>
        </w:rPr>
      </w:pPr>
      <w:r w:rsidRPr="0008499F">
        <w:rPr>
          <w:lang w:val="en-AU"/>
        </w:rPr>
        <w:t>NAME AND ADDRESS OF SPONSOR</w:t>
      </w:r>
    </w:p>
    <w:p w:rsidR="002E1315" w:rsidRPr="0008499F" w:rsidRDefault="002E1315">
      <w:r w:rsidRPr="0008499F">
        <w:t>AstraZeneca Pty Ltd</w:t>
      </w:r>
      <w:r w:rsidRPr="0008499F">
        <w:br/>
        <w:t>ABN 54 009 682 311</w:t>
      </w:r>
      <w:r w:rsidRPr="0008499F">
        <w:br/>
        <w:t>Alma Road</w:t>
      </w:r>
      <w:r w:rsidRPr="0008499F">
        <w:br/>
        <w:t>NORTH RYDE NSW 2113</w:t>
      </w:r>
    </w:p>
    <w:p w:rsidR="002E1315" w:rsidRPr="0008499F" w:rsidRDefault="002E1315">
      <w:pPr>
        <w:pStyle w:val="A-Heading1"/>
      </w:pPr>
      <w:r w:rsidRPr="0008499F">
        <w:t>POISON SCHEDULE OF THE MEDICINE</w:t>
      </w:r>
    </w:p>
    <w:p w:rsidR="002E1315" w:rsidRPr="0008499F" w:rsidRDefault="002E1315">
      <w:r w:rsidRPr="0008499F">
        <w:t>Schedule 4</w:t>
      </w:r>
    </w:p>
    <w:p w:rsidR="002E1315" w:rsidRPr="0008499F" w:rsidRDefault="002E1315">
      <w:pPr>
        <w:pStyle w:val="A-Heading1"/>
        <w:rPr>
          <w:lang w:val="en-AU"/>
        </w:rPr>
      </w:pPr>
      <w:r w:rsidRPr="0008499F">
        <w:rPr>
          <w:lang w:val="en-AU"/>
        </w:rPr>
        <w:t>DATE OF APPROVAL</w:t>
      </w:r>
    </w:p>
    <w:p w:rsidR="002E1315" w:rsidRPr="0008499F" w:rsidRDefault="002E1315">
      <w:r w:rsidRPr="0008499F">
        <w:t>Da</w:t>
      </w:r>
      <w:r w:rsidR="007633D7">
        <w:t>te of TGA Approval</w:t>
      </w:r>
      <w:r w:rsidR="007633D7">
        <w:tab/>
        <w:t>4</w:t>
      </w:r>
      <w:r w:rsidR="007633D7" w:rsidRPr="007633D7">
        <w:rPr>
          <w:vertAlign w:val="superscript"/>
        </w:rPr>
        <w:t>th</w:t>
      </w:r>
      <w:r w:rsidR="007633D7">
        <w:t xml:space="preserve"> April 2016</w:t>
      </w:r>
    </w:p>
    <w:p w:rsidR="002E1315" w:rsidRPr="0008499F" w:rsidRDefault="002E1315">
      <w:pPr>
        <w:rPr>
          <w:szCs w:val="24"/>
        </w:rPr>
      </w:pPr>
      <w:r w:rsidRPr="0008499F">
        <w:rPr>
          <w:lang w:val="en-GB"/>
        </w:rPr>
        <w:t>NOLVADEX and NOLVADEX-D is a trademark o</w:t>
      </w:r>
      <w:proofErr w:type="spellStart"/>
      <w:r w:rsidRPr="0008499F">
        <w:rPr>
          <w:szCs w:val="24"/>
        </w:rPr>
        <w:t>f</w:t>
      </w:r>
      <w:proofErr w:type="spellEnd"/>
      <w:r w:rsidRPr="0008499F">
        <w:rPr>
          <w:szCs w:val="24"/>
        </w:rPr>
        <w:t xml:space="preserve"> the AstraZeneca group of companies</w:t>
      </w:r>
    </w:p>
    <w:p w:rsidR="002E1315" w:rsidRPr="00847A2E" w:rsidRDefault="002E1315" w:rsidP="00847A2E">
      <w:pPr>
        <w:rPr>
          <w:rStyle w:val="Emphasis"/>
        </w:rPr>
      </w:pPr>
      <w:r w:rsidRPr="00847A2E">
        <w:rPr>
          <w:rStyle w:val="Emphasis"/>
        </w:rPr>
        <w:t>©</w:t>
      </w:r>
      <w:r w:rsidR="007633D7" w:rsidRPr="00847A2E">
        <w:rPr>
          <w:rStyle w:val="Emphasis"/>
        </w:rPr>
        <w:t xml:space="preserve"> </w:t>
      </w:r>
      <w:r w:rsidRPr="00847A2E">
        <w:rPr>
          <w:rStyle w:val="Emphasis"/>
        </w:rPr>
        <w:t>AstraZeneca 201</w:t>
      </w:r>
      <w:r w:rsidR="00825761" w:rsidRPr="00847A2E">
        <w:rPr>
          <w:rStyle w:val="Emphasis"/>
        </w:rPr>
        <w:t>6</w:t>
      </w:r>
    </w:p>
    <w:sectPr w:rsidR="002E1315" w:rsidRPr="00847A2E">
      <w:headerReference w:type="default" r:id="rId10"/>
      <w:footerReference w:type="default" r:id="rId11"/>
      <w:pgSz w:w="11909" w:h="16834" w:code="9"/>
      <w:pgMar w:top="1418" w:right="1418" w:bottom="1418" w:left="1701" w:header="731"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965" w:rsidRDefault="00744965">
      <w:pPr>
        <w:spacing w:after="0"/>
      </w:pPr>
      <w:r>
        <w:separator/>
      </w:r>
    </w:p>
  </w:endnote>
  <w:endnote w:type="continuationSeparator" w:id="0">
    <w:p w:rsidR="00744965" w:rsidRDefault="00744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994" w:rsidRDefault="00623994">
    <w:pPr>
      <w:pStyle w:val="Footer"/>
      <w:tabs>
        <w:tab w:val="center" w:pos="468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079C6">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79C6">
      <w:rPr>
        <w:rStyle w:val="PageNumber"/>
        <w:noProof/>
      </w:rPr>
      <w:t>15</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965" w:rsidRDefault="00744965">
      <w:pPr>
        <w:spacing w:after="0"/>
      </w:pPr>
      <w:r>
        <w:separator/>
      </w:r>
    </w:p>
  </w:footnote>
  <w:footnote w:type="continuationSeparator" w:id="0">
    <w:p w:rsidR="00744965" w:rsidRDefault="00744965">
      <w:pPr>
        <w:spacing w:after="0"/>
      </w:pPr>
      <w:r>
        <w:continuationSeparator/>
      </w:r>
    </w:p>
  </w:footnote>
  <w:footnote w:id="1">
    <w:p w:rsidR="00623994" w:rsidRDefault="00623994">
      <w:pPr>
        <w:pStyle w:val="FootnoteText"/>
      </w:pPr>
      <w:r>
        <w:rPr>
          <w:rStyle w:val="FootnoteReference"/>
        </w:rPr>
        <w:footnoteRef/>
      </w:r>
      <w:r>
        <w:t xml:space="preserve"> The NSABP (National Surgical Adjuvant Breast and Bowel Project) B-14 trial is undergoing </w:t>
      </w:r>
      <w:proofErr w:type="spellStart"/>
      <w:r>
        <w:t>reaudit</w:t>
      </w:r>
      <w:proofErr w:type="spellEnd"/>
      <w:r>
        <w:t xml:space="preserve"> and information from this study may be subject to change.</w:t>
      </w:r>
    </w:p>
  </w:footnote>
  <w:footnote w:id="2">
    <w:p w:rsidR="00623994" w:rsidRDefault="00623994">
      <w:pPr>
        <w:pStyle w:val="FootnoteText"/>
      </w:pPr>
      <w:r>
        <w:rPr>
          <w:rStyle w:val="FootnoteReference"/>
        </w:rPr>
        <w:t>*</w:t>
      </w:r>
      <w:r>
        <w:t xml:space="preserve"> Not marketed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B9B" w:rsidRPr="00D361CA" w:rsidRDefault="00B51B9B" w:rsidP="00B51B9B">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proofErr w:type="spellStart"/>
    <w:r w:rsidRPr="00B51B9B">
      <w:rPr>
        <w:b/>
        <w:sz w:val="20"/>
      </w:rPr>
      <w:t>AusPAR</w:t>
    </w:r>
    <w:proofErr w:type="spellEnd"/>
    <w:r w:rsidRPr="00B51B9B">
      <w:rPr>
        <w:b/>
        <w:sz w:val="20"/>
      </w:rPr>
      <w:t xml:space="preserve"> </w:t>
    </w:r>
    <w:proofErr w:type="spellStart"/>
    <w:r w:rsidRPr="00B51B9B">
      <w:rPr>
        <w:b/>
        <w:sz w:val="20"/>
      </w:rPr>
      <w:t>Nolvadex</w:t>
    </w:r>
    <w:proofErr w:type="spellEnd"/>
    <w:r w:rsidRPr="00B51B9B">
      <w:rPr>
        <w:b/>
        <w:sz w:val="20"/>
      </w:rPr>
      <w:t xml:space="preserve"> Tamoxifen AstraZeneca PM-2015-02360-1-4 Final 13 March 2018</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p w:rsidR="00B51B9B" w:rsidRDefault="00B51B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2E656AF"/>
    <w:multiLevelType w:val="hybridMultilevel"/>
    <w:tmpl w:val="60EEF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6C135E"/>
    <w:multiLevelType w:val="hybridMultilevel"/>
    <w:tmpl w:val="746CE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9D2579"/>
    <w:multiLevelType w:val="hybridMultilevel"/>
    <w:tmpl w:val="79145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D037BE"/>
    <w:multiLevelType w:val="hybridMultilevel"/>
    <w:tmpl w:val="40580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6">
    <w:nsid w:val="1AA25D43"/>
    <w:multiLevelType w:val="hybridMultilevel"/>
    <w:tmpl w:val="37BC7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086480"/>
    <w:multiLevelType w:val="hybridMultilevel"/>
    <w:tmpl w:val="9B0A3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570F60"/>
    <w:multiLevelType w:val="hybridMultilevel"/>
    <w:tmpl w:val="48CC1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BE18ED"/>
    <w:multiLevelType w:val="hybridMultilevel"/>
    <w:tmpl w:val="07C44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A54F14"/>
    <w:multiLevelType w:val="hybridMultilevel"/>
    <w:tmpl w:val="3C1680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FE25E6"/>
    <w:multiLevelType w:val="hybridMultilevel"/>
    <w:tmpl w:val="D73CC77C"/>
    <w:lvl w:ilvl="0" w:tplc="0C090001">
      <w:start w:val="1"/>
      <w:numFmt w:val="bullet"/>
      <w:lvlText w:val=""/>
      <w:lvlJc w:val="left"/>
      <w:pPr>
        <w:ind w:left="720" w:hanging="360"/>
      </w:pPr>
      <w:rPr>
        <w:rFonts w:ascii="Symbol" w:hAnsi="Symbol" w:hint="default"/>
      </w:rPr>
    </w:lvl>
    <w:lvl w:ilvl="1" w:tplc="9BF6B6C2">
      <w:start w:val="5"/>
      <w:numFmt w:val="bullet"/>
      <w:lvlText w:val="–"/>
      <w:lvlJc w:val="left"/>
      <w:pPr>
        <w:ind w:left="1800" w:hanging="720"/>
      </w:pPr>
      <w:rPr>
        <w:rFonts w:ascii="Arial" w:eastAsia="Times New Roman" w:hAnsi="Arial" w:cs="Arial" w:hint="default"/>
      </w:rPr>
    </w:lvl>
    <w:lvl w:ilvl="2" w:tplc="ED18590C">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14">
    <w:nsid w:val="35007117"/>
    <w:multiLevelType w:val="hybridMultilevel"/>
    <w:tmpl w:val="BE94E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044CBD"/>
    <w:multiLevelType w:val="hybridMultilevel"/>
    <w:tmpl w:val="501CB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38E500C"/>
    <w:multiLevelType w:val="hybridMultilevel"/>
    <w:tmpl w:val="49FA7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D86763"/>
    <w:multiLevelType w:val="hybridMultilevel"/>
    <w:tmpl w:val="DF16D3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09E4E69"/>
    <w:multiLevelType w:val="hybridMultilevel"/>
    <w:tmpl w:val="A9AA7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0A4F07"/>
    <w:multiLevelType w:val="hybridMultilevel"/>
    <w:tmpl w:val="E60AC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6175AA"/>
    <w:multiLevelType w:val="hybridMultilevel"/>
    <w:tmpl w:val="BE6A89DE"/>
    <w:lvl w:ilvl="0" w:tplc="0C090001">
      <w:start w:val="1"/>
      <w:numFmt w:val="bullet"/>
      <w:lvlText w:val=""/>
      <w:lvlJc w:val="left"/>
      <w:pPr>
        <w:ind w:left="720" w:hanging="360"/>
      </w:pPr>
      <w:rPr>
        <w:rFonts w:ascii="Symbol" w:hAnsi="Symbol" w:hint="default"/>
      </w:rPr>
    </w:lvl>
    <w:lvl w:ilvl="1" w:tplc="9BF6B6C2">
      <w:start w:val="5"/>
      <w:numFmt w:val="bullet"/>
      <w:lvlText w:val="–"/>
      <w:lvlJc w:val="left"/>
      <w:pPr>
        <w:ind w:left="1800" w:hanging="72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B640BA"/>
    <w:multiLevelType w:val="hybridMultilevel"/>
    <w:tmpl w:val="AAD08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9295ADD"/>
    <w:multiLevelType w:val="hybridMultilevel"/>
    <w:tmpl w:val="1F06A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5"/>
  </w:num>
  <w:num w:numId="4">
    <w:abstractNumId w:val="20"/>
  </w:num>
  <w:num w:numId="5">
    <w:abstractNumId w:val="7"/>
  </w:num>
  <w:num w:numId="6">
    <w:abstractNumId w:val="1"/>
  </w:num>
  <w:num w:numId="7">
    <w:abstractNumId w:val="19"/>
  </w:num>
  <w:num w:numId="8">
    <w:abstractNumId w:val="23"/>
  </w:num>
  <w:num w:numId="9">
    <w:abstractNumId w:val="10"/>
  </w:num>
  <w:num w:numId="10">
    <w:abstractNumId w:val="22"/>
  </w:num>
  <w:num w:numId="11">
    <w:abstractNumId w:val="6"/>
  </w:num>
  <w:num w:numId="12">
    <w:abstractNumId w:val="9"/>
  </w:num>
  <w:num w:numId="13">
    <w:abstractNumId w:val="8"/>
  </w:num>
  <w:num w:numId="14">
    <w:abstractNumId w:val="3"/>
  </w:num>
  <w:num w:numId="15">
    <w:abstractNumId w:val="2"/>
  </w:num>
  <w:num w:numId="16">
    <w:abstractNumId w:val="18"/>
  </w:num>
  <w:num w:numId="17">
    <w:abstractNumId w:val="14"/>
  </w:num>
  <w:num w:numId="18">
    <w:abstractNumId w:val="4"/>
  </w:num>
  <w:num w:numId="19">
    <w:abstractNumId w:val="21"/>
  </w:num>
  <w:num w:numId="20">
    <w:abstractNumId w:val="12"/>
  </w:num>
  <w:num w:numId="21">
    <w:abstractNumId w:val="16"/>
  </w:num>
  <w:num w:numId="22">
    <w:abstractNumId w:val="15"/>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9D4720"/>
    <w:rsid w:val="000020CD"/>
    <w:rsid w:val="000047E0"/>
    <w:rsid w:val="00013AE6"/>
    <w:rsid w:val="00014165"/>
    <w:rsid w:val="000167FC"/>
    <w:rsid w:val="00020768"/>
    <w:rsid w:val="00023DBE"/>
    <w:rsid w:val="00024DF2"/>
    <w:rsid w:val="00025018"/>
    <w:rsid w:val="000256A5"/>
    <w:rsid w:val="00027439"/>
    <w:rsid w:val="00031AE6"/>
    <w:rsid w:val="00036716"/>
    <w:rsid w:val="0005157E"/>
    <w:rsid w:val="000718C1"/>
    <w:rsid w:val="00076BF0"/>
    <w:rsid w:val="00080024"/>
    <w:rsid w:val="000818CD"/>
    <w:rsid w:val="00082F58"/>
    <w:rsid w:val="0008499F"/>
    <w:rsid w:val="00091033"/>
    <w:rsid w:val="00093ED9"/>
    <w:rsid w:val="000A2656"/>
    <w:rsid w:val="000A6820"/>
    <w:rsid w:val="000A708B"/>
    <w:rsid w:val="000B24C6"/>
    <w:rsid w:val="000B498C"/>
    <w:rsid w:val="000C0B63"/>
    <w:rsid w:val="000C30D7"/>
    <w:rsid w:val="000E0E51"/>
    <w:rsid w:val="000F15D4"/>
    <w:rsid w:val="000F4C64"/>
    <w:rsid w:val="000F66CF"/>
    <w:rsid w:val="001025F6"/>
    <w:rsid w:val="00107AB5"/>
    <w:rsid w:val="00107E06"/>
    <w:rsid w:val="00110A8F"/>
    <w:rsid w:val="0011109A"/>
    <w:rsid w:val="00114B1B"/>
    <w:rsid w:val="001154CF"/>
    <w:rsid w:val="00116A06"/>
    <w:rsid w:val="00117CFC"/>
    <w:rsid w:val="001215B8"/>
    <w:rsid w:val="001327E1"/>
    <w:rsid w:val="00134497"/>
    <w:rsid w:val="00134D5E"/>
    <w:rsid w:val="00141AB3"/>
    <w:rsid w:val="0014579A"/>
    <w:rsid w:val="0015058C"/>
    <w:rsid w:val="00165542"/>
    <w:rsid w:val="001729D4"/>
    <w:rsid w:val="001763F4"/>
    <w:rsid w:val="00177788"/>
    <w:rsid w:val="001802E0"/>
    <w:rsid w:val="0018636E"/>
    <w:rsid w:val="001873F6"/>
    <w:rsid w:val="001C3216"/>
    <w:rsid w:val="001C35E1"/>
    <w:rsid w:val="001D1977"/>
    <w:rsid w:val="001D233D"/>
    <w:rsid w:val="001E0121"/>
    <w:rsid w:val="001E55D8"/>
    <w:rsid w:val="001F1E0E"/>
    <w:rsid w:val="001F38CD"/>
    <w:rsid w:val="001F63B4"/>
    <w:rsid w:val="0020321F"/>
    <w:rsid w:val="00203886"/>
    <w:rsid w:val="00207EA0"/>
    <w:rsid w:val="00215B41"/>
    <w:rsid w:val="00257B2D"/>
    <w:rsid w:val="00261588"/>
    <w:rsid w:val="00262892"/>
    <w:rsid w:val="00265CC7"/>
    <w:rsid w:val="00265E7C"/>
    <w:rsid w:val="002708DB"/>
    <w:rsid w:val="00287208"/>
    <w:rsid w:val="00293E3E"/>
    <w:rsid w:val="0029444D"/>
    <w:rsid w:val="00297719"/>
    <w:rsid w:val="002A4E02"/>
    <w:rsid w:val="002B3E37"/>
    <w:rsid w:val="002D0397"/>
    <w:rsid w:val="002D284C"/>
    <w:rsid w:val="002D5491"/>
    <w:rsid w:val="002E0C0D"/>
    <w:rsid w:val="002E1315"/>
    <w:rsid w:val="002E6F96"/>
    <w:rsid w:val="002F260F"/>
    <w:rsid w:val="002F5BCD"/>
    <w:rsid w:val="00306CD3"/>
    <w:rsid w:val="00311E9E"/>
    <w:rsid w:val="003320C9"/>
    <w:rsid w:val="00341749"/>
    <w:rsid w:val="003515E3"/>
    <w:rsid w:val="00355F3D"/>
    <w:rsid w:val="003625BA"/>
    <w:rsid w:val="00374B8E"/>
    <w:rsid w:val="003852FA"/>
    <w:rsid w:val="00390B9F"/>
    <w:rsid w:val="00392F26"/>
    <w:rsid w:val="003934B9"/>
    <w:rsid w:val="003A415E"/>
    <w:rsid w:val="003B106D"/>
    <w:rsid w:val="003B2806"/>
    <w:rsid w:val="003B34B6"/>
    <w:rsid w:val="003B601C"/>
    <w:rsid w:val="003D33C0"/>
    <w:rsid w:val="003E74FC"/>
    <w:rsid w:val="003F6E2E"/>
    <w:rsid w:val="00410D7E"/>
    <w:rsid w:val="00431758"/>
    <w:rsid w:val="00434932"/>
    <w:rsid w:val="00435C94"/>
    <w:rsid w:val="00435CA2"/>
    <w:rsid w:val="00454A25"/>
    <w:rsid w:val="004556A6"/>
    <w:rsid w:val="004570AB"/>
    <w:rsid w:val="0046250D"/>
    <w:rsid w:val="004657DF"/>
    <w:rsid w:val="004725CE"/>
    <w:rsid w:val="004746ED"/>
    <w:rsid w:val="00476D94"/>
    <w:rsid w:val="00484709"/>
    <w:rsid w:val="00486B6C"/>
    <w:rsid w:val="0048764D"/>
    <w:rsid w:val="00496529"/>
    <w:rsid w:val="004A6272"/>
    <w:rsid w:val="004A6502"/>
    <w:rsid w:val="004C523D"/>
    <w:rsid w:val="004C53F3"/>
    <w:rsid w:val="004D36F4"/>
    <w:rsid w:val="004D562F"/>
    <w:rsid w:val="004E7ACB"/>
    <w:rsid w:val="004F13CA"/>
    <w:rsid w:val="004F738E"/>
    <w:rsid w:val="004F78D9"/>
    <w:rsid w:val="00502D39"/>
    <w:rsid w:val="005049D8"/>
    <w:rsid w:val="00511CCC"/>
    <w:rsid w:val="00511D41"/>
    <w:rsid w:val="005157B2"/>
    <w:rsid w:val="00521D55"/>
    <w:rsid w:val="00521DD2"/>
    <w:rsid w:val="005268AA"/>
    <w:rsid w:val="00530B11"/>
    <w:rsid w:val="0053253C"/>
    <w:rsid w:val="00533BBF"/>
    <w:rsid w:val="00534308"/>
    <w:rsid w:val="00536E48"/>
    <w:rsid w:val="005432C9"/>
    <w:rsid w:val="00550262"/>
    <w:rsid w:val="00555D16"/>
    <w:rsid w:val="00557A61"/>
    <w:rsid w:val="0057352F"/>
    <w:rsid w:val="005848F4"/>
    <w:rsid w:val="00590AA7"/>
    <w:rsid w:val="00593039"/>
    <w:rsid w:val="005A6ECB"/>
    <w:rsid w:val="005B1772"/>
    <w:rsid w:val="005B4101"/>
    <w:rsid w:val="005C751C"/>
    <w:rsid w:val="005D611C"/>
    <w:rsid w:val="005E398F"/>
    <w:rsid w:val="005E5B20"/>
    <w:rsid w:val="005F145E"/>
    <w:rsid w:val="00603A50"/>
    <w:rsid w:val="00613130"/>
    <w:rsid w:val="006206C8"/>
    <w:rsid w:val="00620DC4"/>
    <w:rsid w:val="00623994"/>
    <w:rsid w:val="00633018"/>
    <w:rsid w:val="00643291"/>
    <w:rsid w:val="0069104E"/>
    <w:rsid w:val="006A39FB"/>
    <w:rsid w:val="006B1239"/>
    <w:rsid w:val="006B58D5"/>
    <w:rsid w:val="006B644D"/>
    <w:rsid w:val="006C3952"/>
    <w:rsid w:val="006C4C1E"/>
    <w:rsid w:val="006C7F28"/>
    <w:rsid w:val="006D56A5"/>
    <w:rsid w:val="006E7D75"/>
    <w:rsid w:val="006F1089"/>
    <w:rsid w:val="006F1F78"/>
    <w:rsid w:val="006F3051"/>
    <w:rsid w:val="006F7A9F"/>
    <w:rsid w:val="00706E04"/>
    <w:rsid w:val="00725219"/>
    <w:rsid w:val="00730812"/>
    <w:rsid w:val="007327B6"/>
    <w:rsid w:val="00733CF8"/>
    <w:rsid w:val="00735FA7"/>
    <w:rsid w:val="00744965"/>
    <w:rsid w:val="007470AC"/>
    <w:rsid w:val="00754327"/>
    <w:rsid w:val="007554A9"/>
    <w:rsid w:val="007633D7"/>
    <w:rsid w:val="00777160"/>
    <w:rsid w:val="007806FF"/>
    <w:rsid w:val="007831DF"/>
    <w:rsid w:val="0078325B"/>
    <w:rsid w:val="00783CF6"/>
    <w:rsid w:val="00784266"/>
    <w:rsid w:val="00796FD3"/>
    <w:rsid w:val="007A6D18"/>
    <w:rsid w:val="007B5706"/>
    <w:rsid w:val="007B5F16"/>
    <w:rsid w:val="007B667E"/>
    <w:rsid w:val="007D0CF4"/>
    <w:rsid w:val="007D6A9E"/>
    <w:rsid w:val="007E1487"/>
    <w:rsid w:val="007E14E1"/>
    <w:rsid w:val="007F664D"/>
    <w:rsid w:val="007F69A4"/>
    <w:rsid w:val="008079C6"/>
    <w:rsid w:val="008122BE"/>
    <w:rsid w:val="00813EAB"/>
    <w:rsid w:val="00825761"/>
    <w:rsid w:val="00825FDB"/>
    <w:rsid w:val="00833FB3"/>
    <w:rsid w:val="008354C6"/>
    <w:rsid w:val="008424BA"/>
    <w:rsid w:val="00847A2E"/>
    <w:rsid w:val="00852CE8"/>
    <w:rsid w:val="00853476"/>
    <w:rsid w:val="00860364"/>
    <w:rsid w:val="008631B0"/>
    <w:rsid w:val="00864615"/>
    <w:rsid w:val="00873B50"/>
    <w:rsid w:val="0087741B"/>
    <w:rsid w:val="00883C8E"/>
    <w:rsid w:val="008A3DA4"/>
    <w:rsid w:val="008B0A85"/>
    <w:rsid w:val="008C1A6C"/>
    <w:rsid w:val="008C781B"/>
    <w:rsid w:val="008D037F"/>
    <w:rsid w:val="008D1366"/>
    <w:rsid w:val="008D21E8"/>
    <w:rsid w:val="008E16D6"/>
    <w:rsid w:val="008E51D2"/>
    <w:rsid w:val="008F0022"/>
    <w:rsid w:val="008F1DD6"/>
    <w:rsid w:val="00905313"/>
    <w:rsid w:val="00932D69"/>
    <w:rsid w:val="009349FF"/>
    <w:rsid w:val="0093555E"/>
    <w:rsid w:val="00937487"/>
    <w:rsid w:val="0094027C"/>
    <w:rsid w:val="00945DD9"/>
    <w:rsid w:val="00945E9C"/>
    <w:rsid w:val="00946B1F"/>
    <w:rsid w:val="00950682"/>
    <w:rsid w:val="00951705"/>
    <w:rsid w:val="00961357"/>
    <w:rsid w:val="009667E5"/>
    <w:rsid w:val="009743B3"/>
    <w:rsid w:val="00981654"/>
    <w:rsid w:val="009855D1"/>
    <w:rsid w:val="00991687"/>
    <w:rsid w:val="009A07DD"/>
    <w:rsid w:val="009B268D"/>
    <w:rsid w:val="009B4EE7"/>
    <w:rsid w:val="009D4720"/>
    <w:rsid w:val="009D6EBC"/>
    <w:rsid w:val="009E4386"/>
    <w:rsid w:val="009F61ED"/>
    <w:rsid w:val="00A13CFA"/>
    <w:rsid w:val="00A15228"/>
    <w:rsid w:val="00A170AB"/>
    <w:rsid w:val="00A1782D"/>
    <w:rsid w:val="00A2117B"/>
    <w:rsid w:val="00A25C8F"/>
    <w:rsid w:val="00A25C9D"/>
    <w:rsid w:val="00A31784"/>
    <w:rsid w:val="00A41666"/>
    <w:rsid w:val="00A44FDD"/>
    <w:rsid w:val="00A520D4"/>
    <w:rsid w:val="00A57430"/>
    <w:rsid w:val="00A623D3"/>
    <w:rsid w:val="00AB2AAA"/>
    <w:rsid w:val="00AB3DB0"/>
    <w:rsid w:val="00AB6664"/>
    <w:rsid w:val="00AB69C5"/>
    <w:rsid w:val="00AB69F2"/>
    <w:rsid w:val="00AB78C7"/>
    <w:rsid w:val="00AC76FB"/>
    <w:rsid w:val="00AD21DE"/>
    <w:rsid w:val="00AD5BB0"/>
    <w:rsid w:val="00AE28FF"/>
    <w:rsid w:val="00AF37B8"/>
    <w:rsid w:val="00AF4077"/>
    <w:rsid w:val="00B0500D"/>
    <w:rsid w:val="00B377D2"/>
    <w:rsid w:val="00B4688F"/>
    <w:rsid w:val="00B50C8E"/>
    <w:rsid w:val="00B51B9B"/>
    <w:rsid w:val="00B73797"/>
    <w:rsid w:val="00B843A6"/>
    <w:rsid w:val="00B84EC0"/>
    <w:rsid w:val="00B85389"/>
    <w:rsid w:val="00B97147"/>
    <w:rsid w:val="00BA26F9"/>
    <w:rsid w:val="00BA2FE3"/>
    <w:rsid w:val="00BB30DA"/>
    <w:rsid w:val="00BB450D"/>
    <w:rsid w:val="00BC1E3A"/>
    <w:rsid w:val="00BE315C"/>
    <w:rsid w:val="00BE42F3"/>
    <w:rsid w:val="00BF34B2"/>
    <w:rsid w:val="00C04AF3"/>
    <w:rsid w:val="00C20ABC"/>
    <w:rsid w:val="00C21EBF"/>
    <w:rsid w:val="00C623B2"/>
    <w:rsid w:val="00C81E04"/>
    <w:rsid w:val="00C96E19"/>
    <w:rsid w:val="00C97669"/>
    <w:rsid w:val="00CA1E3B"/>
    <w:rsid w:val="00CA5BDF"/>
    <w:rsid w:val="00CB2CAC"/>
    <w:rsid w:val="00CC187D"/>
    <w:rsid w:val="00CD0E33"/>
    <w:rsid w:val="00CD5056"/>
    <w:rsid w:val="00CD76E8"/>
    <w:rsid w:val="00CD7D01"/>
    <w:rsid w:val="00CD7F5E"/>
    <w:rsid w:val="00CE18B2"/>
    <w:rsid w:val="00CE47C4"/>
    <w:rsid w:val="00D00B7D"/>
    <w:rsid w:val="00D038F6"/>
    <w:rsid w:val="00D055CA"/>
    <w:rsid w:val="00D16FDE"/>
    <w:rsid w:val="00D2186C"/>
    <w:rsid w:val="00D22499"/>
    <w:rsid w:val="00D33D44"/>
    <w:rsid w:val="00D442B3"/>
    <w:rsid w:val="00D635F6"/>
    <w:rsid w:val="00D639FC"/>
    <w:rsid w:val="00D67209"/>
    <w:rsid w:val="00D72106"/>
    <w:rsid w:val="00D971C9"/>
    <w:rsid w:val="00DA3C86"/>
    <w:rsid w:val="00DA45C9"/>
    <w:rsid w:val="00DB362D"/>
    <w:rsid w:val="00DB6386"/>
    <w:rsid w:val="00DB6EA0"/>
    <w:rsid w:val="00DB7FA6"/>
    <w:rsid w:val="00DC019B"/>
    <w:rsid w:val="00DD35D9"/>
    <w:rsid w:val="00DD5E22"/>
    <w:rsid w:val="00DE3ED9"/>
    <w:rsid w:val="00DF175D"/>
    <w:rsid w:val="00E02662"/>
    <w:rsid w:val="00E03C7B"/>
    <w:rsid w:val="00E047C7"/>
    <w:rsid w:val="00E05E81"/>
    <w:rsid w:val="00E102C6"/>
    <w:rsid w:val="00E11097"/>
    <w:rsid w:val="00E12F22"/>
    <w:rsid w:val="00E15B57"/>
    <w:rsid w:val="00E232C9"/>
    <w:rsid w:val="00E54BCE"/>
    <w:rsid w:val="00E603C2"/>
    <w:rsid w:val="00E605B7"/>
    <w:rsid w:val="00E62070"/>
    <w:rsid w:val="00E63016"/>
    <w:rsid w:val="00E71A62"/>
    <w:rsid w:val="00E911EF"/>
    <w:rsid w:val="00E91B48"/>
    <w:rsid w:val="00EA4D44"/>
    <w:rsid w:val="00EA5AE6"/>
    <w:rsid w:val="00EC1791"/>
    <w:rsid w:val="00EC7FE3"/>
    <w:rsid w:val="00ED67A8"/>
    <w:rsid w:val="00EE7CF6"/>
    <w:rsid w:val="00EF633E"/>
    <w:rsid w:val="00EF694D"/>
    <w:rsid w:val="00F31940"/>
    <w:rsid w:val="00F3328B"/>
    <w:rsid w:val="00F539AE"/>
    <w:rsid w:val="00F64624"/>
    <w:rsid w:val="00F662E4"/>
    <w:rsid w:val="00F71436"/>
    <w:rsid w:val="00F73023"/>
    <w:rsid w:val="00F76292"/>
    <w:rsid w:val="00F94E46"/>
    <w:rsid w:val="00FA5DC8"/>
    <w:rsid w:val="00FC3314"/>
    <w:rsid w:val="00FC3CC7"/>
    <w:rsid w:val="00FC4F8F"/>
    <w:rsid w:val="00FC6CF7"/>
    <w:rsid w:val="00FC7836"/>
    <w:rsid w:val="00FD47A9"/>
    <w:rsid w:val="00FF4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F4"/>
    <w:pPr>
      <w:spacing w:before="120" w:after="120"/>
    </w:pPr>
    <w:rPr>
      <w:rFonts w:ascii="Arial" w:hAnsi="Arial"/>
      <w:sz w:val="24"/>
      <w:lang w:eastAsia="en-US"/>
    </w:rPr>
  </w:style>
  <w:style w:type="paragraph" w:styleId="Heading1">
    <w:name w:val="heading 1"/>
    <w:next w:val="Normal"/>
    <w:qFormat/>
    <w:pPr>
      <w:keepNext/>
      <w:numPr>
        <w:numId w:val="1"/>
      </w:numPr>
      <w:spacing w:before="480" w:after="240"/>
      <w:outlineLvl w:val="0"/>
    </w:pPr>
    <w:rPr>
      <w:b/>
      <w:caps/>
      <w:sz w:val="28"/>
      <w:lang w:val="en-GB" w:eastAsia="en-US"/>
    </w:rPr>
  </w:style>
  <w:style w:type="paragraph" w:styleId="Heading2">
    <w:name w:val="heading 2"/>
    <w:next w:val="Normal"/>
    <w:qFormat/>
    <w:pPr>
      <w:keepNext/>
      <w:numPr>
        <w:ilvl w:val="1"/>
        <w:numId w:val="1"/>
      </w:numPr>
      <w:spacing w:before="120" w:after="120"/>
      <w:outlineLvl w:val="1"/>
    </w:pPr>
    <w:rPr>
      <w:b/>
      <w:sz w:val="28"/>
      <w:lang w:val="en-GB" w:eastAsia="en-US"/>
    </w:rPr>
  </w:style>
  <w:style w:type="paragraph" w:styleId="Heading3">
    <w:name w:val="heading 3"/>
    <w:next w:val="Normal"/>
    <w:qFormat/>
    <w:pPr>
      <w:keepNext/>
      <w:numPr>
        <w:ilvl w:val="2"/>
        <w:numId w:val="1"/>
      </w:numPr>
      <w:spacing w:after="120"/>
      <w:outlineLvl w:val="2"/>
    </w:pPr>
    <w:rPr>
      <w:i/>
      <w:sz w:val="24"/>
      <w:lang w:val="en-GB" w:eastAsia="en-US"/>
    </w:rPr>
  </w:style>
  <w:style w:type="paragraph" w:styleId="Heading4">
    <w:name w:val="heading 4"/>
    <w:next w:val="Normal"/>
    <w:qFormat/>
    <w:pPr>
      <w:keepNext/>
      <w:numPr>
        <w:ilvl w:val="3"/>
        <w:numId w:val="1"/>
      </w:numPr>
      <w:spacing w:after="120"/>
      <w:outlineLvl w:val="3"/>
    </w:pPr>
    <w:rPr>
      <w:i/>
      <w:sz w:val="24"/>
      <w:lang w:val="en-GB" w:eastAsia="en-US"/>
    </w:rPr>
  </w:style>
  <w:style w:type="paragraph" w:styleId="Heading5">
    <w:name w:val="heading 5"/>
    <w:basedOn w:val="Normal"/>
    <w:next w:val="Normal"/>
    <w:qFormat/>
    <w:pPr>
      <w:keepNext/>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pPr>
    <w:rPr>
      <w:b/>
      <w:lang w:val="en-GB"/>
    </w:rPr>
  </w:style>
  <w:style w:type="character" w:customStyle="1" w:styleId="Z-RedHidden">
    <w:name w:val="Z-Red Hidden"/>
    <w:rPr>
      <w:rFonts w:ascii="Arial" w:hAnsi="Arial"/>
      <w:vanish/>
      <w:color w:val="FF0000"/>
      <w:sz w:val="16"/>
    </w:rPr>
  </w:style>
  <w:style w:type="paragraph" w:customStyle="1" w:styleId="A-StudyTitle">
    <w:name w:val="A-Study Title"/>
    <w:basedOn w:val="Normal"/>
    <w:pPr>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aliases w:val="bullet 2"/>
    <w:next w:val="Normal"/>
    <w:qFormat/>
    <w:rsid w:val="004D36F4"/>
    <w:pPr>
      <w:spacing w:before="120" w:after="120"/>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pPr>
    <w:rPr>
      <w:b/>
      <w:lang w:val="en-GB"/>
    </w:rPr>
  </w:style>
  <w:style w:type="paragraph" w:customStyle="1" w:styleId="A-ListBullet">
    <w:name w:val="A-List Bullet"/>
    <w:basedOn w:val="Normal"/>
    <w:pPr>
      <w:numPr>
        <w:numId w:val="2"/>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3"/>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4"/>
      </w:numPr>
    </w:pPr>
    <w:rPr>
      <w:lang w:val="en-GB"/>
    </w:rPr>
  </w:style>
  <w:style w:type="paragraph" w:customStyle="1" w:styleId="A-Listi">
    <w:name w:val="A-List (i)"/>
    <w:basedOn w:val="Normal"/>
    <w:next w:val="Normal"/>
    <w:pPr>
      <w:numPr>
        <w:numId w:val="5"/>
      </w:numPr>
    </w:pPr>
    <w:rPr>
      <w:lang w:val="en-GB"/>
    </w:rPr>
  </w:style>
  <w:style w:type="paragraph" w:customStyle="1" w:styleId="A-TableTitle">
    <w:name w:val="A-Table Title"/>
    <w:basedOn w:val="Normal"/>
    <w:next w:val="Normal"/>
    <w:pPr>
      <w:keepNext/>
      <w:tabs>
        <w:tab w:val="left" w:pos="1800"/>
      </w:tabs>
      <w:ind w:left="1800" w:hanging="1800"/>
    </w:pPr>
    <w:rPr>
      <w:b/>
      <w:lang w:val="en-GB"/>
    </w:rPr>
  </w:style>
  <w:style w:type="paragraph" w:customStyle="1" w:styleId="A-FigureTitle">
    <w:name w:val="A-Figure Title"/>
    <w:basedOn w:val="Normal"/>
    <w:next w:val="Normal"/>
    <w:pPr>
      <w:keepNext/>
      <w:tabs>
        <w:tab w:val="left" w:pos="1800"/>
      </w:tabs>
      <w:ind w:left="1800" w:hanging="1800"/>
    </w:pPr>
    <w:rPr>
      <w:b/>
      <w:lang w:val="en-GB"/>
    </w:rPr>
  </w:style>
  <w:style w:type="paragraph" w:customStyle="1" w:styleId="A-TableFootnoteText">
    <w:name w:val="A-Table Footnote Text"/>
    <w:basedOn w:val="Normal"/>
    <w:next w:val="Normal"/>
    <w:pPr>
      <w:tabs>
        <w:tab w:val="left" w:pos="432"/>
      </w:tabs>
      <w:ind w:left="432" w:hanging="432"/>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outlineLvl w:val="1"/>
    </w:pPr>
    <w:rPr>
      <w:b/>
      <w:lang w:val="en-GB"/>
    </w:rPr>
  </w:style>
  <w:style w:type="paragraph" w:customStyle="1" w:styleId="A-Heading3">
    <w:name w:val="A-Heading 3"/>
    <w:basedOn w:val="Normal"/>
    <w:next w:val="Normal"/>
    <w:pPr>
      <w:keepNext/>
      <w:outlineLvl w:val="2"/>
    </w:pPr>
    <w:rPr>
      <w:b/>
      <w:i/>
      <w:lang w:val="en-GB"/>
    </w:rPr>
  </w:style>
  <w:style w:type="paragraph" w:customStyle="1" w:styleId="A-Heading4">
    <w:name w:val="A-Heading 4"/>
    <w:basedOn w:val="Normal"/>
    <w:next w:val="Normal"/>
    <w:pPr>
      <w:keepNext/>
      <w:outlineLvl w:val="3"/>
    </w:pPr>
    <w:rPr>
      <w:i/>
      <w:lang w:val="en-GB"/>
    </w:rPr>
  </w:style>
  <w:style w:type="paragraph" w:customStyle="1" w:styleId="Tableheading">
    <w:name w:val="Table heading"/>
    <w:basedOn w:val="Normal"/>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link w:val="TabletextChar"/>
    <w:qFormat/>
    <w:rPr>
      <w:sz w:val="20"/>
      <w:szCs w:val="24"/>
      <w:lang w:val="x-none"/>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semiHidden/>
    <w:pPr>
      <w:tabs>
        <w:tab w:val="left" w:pos="9000"/>
        <w:tab w:val="right" w:pos="9360"/>
      </w:tabs>
      <w:suppressAutoHyphens/>
      <w:spacing w:after="0"/>
    </w:pPr>
    <w:rPr>
      <w:rFonts w:ascii="Courier" w:hAnsi="Courier"/>
      <w:szCs w:val="24"/>
      <w:lang w:val="en-US"/>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styleId="FootnoteReference">
    <w:name w:val="footnote reference"/>
    <w:semiHidden/>
    <w:rPr>
      <w:vertAlign w:val="superscript"/>
    </w:rPr>
  </w:style>
  <w:style w:type="paragraph" w:styleId="BalloonText">
    <w:name w:val="Balloon Text"/>
    <w:basedOn w:val="Normal"/>
    <w:semiHidden/>
    <w:unhideWhenUsed/>
    <w:pPr>
      <w:spacing w:after="0"/>
    </w:pPr>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CommentReference">
    <w:name w:val="annotation reference"/>
    <w:semiHidden/>
    <w:unhideWhenUsed/>
    <w:rsid w:val="004D562F"/>
    <w:rPr>
      <w:sz w:val="16"/>
      <w:szCs w:val="16"/>
    </w:rPr>
  </w:style>
  <w:style w:type="paragraph" w:styleId="CommentText">
    <w:name w:val="annotation text"/>
    <w:basedOn w:val="Normal"/>
    <w:link w:val="CommentTextChar"/>
    <w:unhideWhenUsed/>
    <w:rsid w:val="004D562F"/>
    <w:rPr>
      <w:sz w:val="20"/>
      <w:lang w:val="x-none"/>
    </w:rPr>
  </w:style>
  <w:style w:type="character" w:customStyle="1" w:styleId="CommentTextChar">
    <w:name w:val="Comment Text Char"/>
    <w:link w:val="CommentText"/>
    <w:rsid w:val="004D562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D562F"/>
    <w:rPr>
      <w:b/>
      <w:bCs/>
    </w:rPr>
  </w:style>
  <w:style w:type="character" w:customStyle="1" w:styleId="CommentSubjectChar">
    <w:name w:val="Comment Subject Char"/>
    <w:link w:val="CommentSubject"/>
    <w:uiPriority w:val="99"/>
    <w:semiHidden/>
    <w:rsid w:val="004D562F"/>
    <w:rPr>
      <w:rFonts w:ascii="Arial" w:hAnsi="Arial"/>
      <w:b/>
      <w:bCs/>
      <w:lang w:eastAsia="en-US"/>
    </w:rPr>
  </w:style>
  <w:style w:type="character" w:customStyle="1" w:styleId="TabletextChar">
    <w:name w:val="Table text Char"/>
    <w:link w:val="Tabletext"/>
    <w:rsid w:val="00025018"/>
    <w:rPr>
      <w:rFonts w:ascii="Arial" w:hAnsi="Arial"/>
      <w:szCs w:val="24"/>
      <w:lang w:eastAsia="en-US"/>
    </w:rPr>
  </w:style>
  <w:style w:type="paragraph" w:customStyle="1" w:styleId="TableH1">
    <w:name w:val="Table H1"/>
    <w:basedOn w:val="BodyText"/>
    <w:uiPriority w:val="4"/>
    <w:qFormat/>
    <w:rsid w:val="00025018"/>
    <w:pPr>
      <w:keepNext/>
      <w:tabs>
        <w:tab w:val="left" w:pos="416"/>
        <w:tab w:val="left" w:pos="582"/>
        <w:tab w:val="left" w:pos="1134"/>
      </w:tabs>
      <w:spacing w:after="240"/>
    </w:pPr>
    <w:rPr>
      <w:rFonts w:ascii="Calibri" w:hAnsi="Calibri"/>
      <w:b/>
      <w:sz w:val="20"/>
      <w:lang w:val="en-US"/>
    </w:rPr>
  </w:style>
  <w:style w:type="paragraph" w:customStyle="1" w:styleId="TableFigNotes0">
    <w:name w:val="TableFigNotes+0"/>
    <w:basedOn w:val="Normal"/>
    <w:uiPriority w:val="4"/>
    <w:rsid w:val="00025018"/>
    <w:pPr>
      <w:keepNext/>
      <w:keepLines/>
      <w:spacing w:after="0"/>
    </w:pPr>
    <w:rPr>
      <w:rFonts w:ascii="Calibri" w:hAnsi="Calibri" w:cs="Tahoma"/>
      <w:color w:val="000000"/>
      <w:sz w:val="16"/>
      <w:szCs w:val="18"/>
      <w:lang w:val="en-US" w:eastAsia="en-AU"/>
    </w:rPr>
  </w:style>
  <w:style w:type="paragraph" w:styleId="BodyText">
    <w:name w:val="Body Text"/>
    <w:basedOn w:val="Normal"/>
    <w:link w:val="BodyTextChar"/>
    <w:uiPriority w:val="99"/>
    <w:unhideWhenUsed/>
    <w:rsid w:val="00025018"/>
    <w:rPr>
      <w:lang w:val="x-none"/>
    </w:rPr>
  </w:style>
  <w:style w:type="character" w:customStyle="1" w:styleId="BodyTextChar">
    <w:name w:val="Body Text Char"/>
    <w:link w:val="BodyText"/>
    <w:uiPriority w:val="99"/>
    <w:rsid w:val="00025018"/>
    <w:rPr>
      <w:rFonts w:ascii="Arial" w:hAnsi="Arial"/>
      <w:sz w:val="24"/>
      <w:lang w:eastAsia="en-US"/>
    </w:rPr>
  </w:style>
  <w:style w:type="paragraph" w:styleId="Revision">
    <w:name w:val="Revision"/>
    <w:hidden/>
    <w:uiPriority w:val="99"/>
    <w:semiHidden/>
    <w:rsid w:val="00431758"/>
    <w:rPr>
      <w:rFonts w:ascii="Arial" w:hAnsi="Arial"/>
      <w:sz w:val="24"/>
      <w:lang w:eastAsia="en-US"/>
    </w:rPr>
  </w:style>
  <w:style w:type="table" w:styleId="TableGrid">
    <w:name w:val="Table Grid"/>
    <w:basedOn w:val="TableNormal"/>
    <w:uiPriority w:val="59"/>
    <w:rsid w:val="003E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B6664"/>
    <w:rPr>
      <w:rFonts w:ascii="Arial" w:hAnsi="Arial"/>
      <w:sz w:val="16"/>
      <w:lang w:val="en-GB" w:eastAsia="en-US"/>
    </w:rPr>
  </w:style>
  <w:style w:type="character" w:styleId="Emphasis">
    <w:name w:val="Emphasis"/>
    <w:basedOn w:val="DefaultParagraphFont"/>
    <w:uiPriority w:val="20"/>
    <w:qFormat/>
    <w:rsid w:val="00847A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F4"/>
    <w:pPr>
      <w:spacing w:before="120" w:after="120"/>
    </w:pPr>
    <w:rPr>
      <w:rFonts w:ascii="Arial" w:hAnsi="Arial"/>
      <w:sz w:val="24"/>
      <w:lang w:eastAsia="en-US"/>
    </w:rPr>
  </w:style>
  <w:style w:type="paragraph" w:styleId="Heading1">
    <w:name w:val="heading 1"/>
    <w:next w:val="Normal"/>
    <w:qFormat/>
    <w:pPr>
      <w:keepNext/>
      <w:numPr>
        <w:numId w:val="1"/>
      </w:numPr>
      <w:spacing w:before="480" w:after="240"/>
      <w:outlineLvl w:val="0"/>
    </w:pPr>
    <w:rPr>
      <w:b/>
      <w:caps/>
      <w:sz w:val="28"/>
      <w:lang w:val="en-GB" w:eastAsia="en-US"/>
    </w:rPr>
  </w:style>
  <w:style w:type="paragraph" w:styleId="Heading2">
    <w:name w:val="heading 2"/>
    <w:next w:val="Normal"/>
    <w:qFormat/>
    <w:pPr>
      <w:keepNext/>
      <w:numPr>
        <w:ilvl w:val="1"/>
        <w:numId w:val="1"/>
      </w:numPr>
      <w:spacing w:before="120" w:after="120"/>
      <w:outlineLvl w:val="1"/>
    </w:pPr>
    <w:rPr>
      <w:b/>
      <w:sz w:val="28"/>
      <w:lang w:val="en-GB" w:eastAsia="en-US"/>
    </w:rPr>
  </w:style>
  <w:style w:type="paragraph" w:styleId="Heading3">
    <w:name w:val="heading 3"/>
    <w:next w:val="Normal"/>
    <w:qFormat/>
    <w:pPr>
      <w:keepNext/>
      <w:numPr>
        <w:ilvl w:val="2"/>
        <w:numId w:val="1"/>
      </w:numPr>
      <w:spacing w:after="120"/>
      <w:outlineLvl w:val="2"/>
    </w:pPr>
    <w:rPr>
      <w:i/>
      <w:sz w:val="24"/>
      <w:lang w:val="en-GB" w:eastAsia="en-US"/>
    </w:rPr>
  </w:style>
  <w:style w:type="paragraph" w:styleId="Heading4">
    <w:name w:val="heading 4"/>
    <w:next w:val="Normal"/>
    <w:qFormat/>
    <w:pPr>
      <w:keepNext/>
      <w:numPr>
        <w:ilvl w:val="3"/>
        <w:numId w:val="1"/>
      </w:numPr>
      <w:spacing w:after="120"/>
      <w:outlineLvl w:val="3"/>
    </w:pPr>
    <w:rPr>
      <w:i/>
      <w:sz w:val="24"/>
      <w:lang w:val="en-GB" w:eastAsia="en-US"/>
    </w:rPr>
  </w:style>
  <w:style w:type="paragraph" w:styleId="Heading5">
    <w:name w:val="heading 5"/>
    <w:basedOn w:val="Normal"/>
    <w:next w:val="Normal"/>
    <w:qFormat/>
    <w:pPr>
      <w:keepNext/>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pPr>
    <w:rPr>
      <w:b/>
      <w:lang w:val="en-GB"/>
    </w:rPr>
  </w:style>
  <w:style w:type="character" w:customStyle="1" w:styleId="Z-RedHidden">
    <w:name w:val="Z-Red Hidden"/>
    <w:rPr>
      <w:rFonts w:ascii="Arial" w:hAnsi="Arial"/>
      <w:vanish/>
      <w:color w:val="FF0000"/>
      <w:sz w:val="16"/>
    </w:rPr>
  </w:style>
  <w:style w:type="paragraph" w:customStyle="1" w:styleId="A-StudyTitle">
    <w:name w:val="A-Study Title"/>
    <w:basedOn w:val="Normal"/>
    <w:pPr>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semiHidden/>
    <w:rPr>
      <w:rFonts w:ascii="Arial" w:hAnsi="Arial"/>
      <w:sz w:val="20"/>
    </w:rPr>
  </w:style>
  <w:style w:type="paragraph" w:customStyle="1" w:styleId="A-TableText">
    <w:name w:val="A-Table Text"/>
    <w:basedOn w:val="Normal"/>
    <w:pPr>
      <w:spacing w:before="60" w:after="60"/>
    </w:pPr>
    <w:rPr>
      <w:sz w:val="22"/>
      <w:lang w:val="en-GB"/>
    </w:rPr>
  </w:style>
  <w:style w:type="paragraph" w:styleId="Caption">
    <w:name w:val="caption"/>
    <w:aliases w:val="bullet 2"/>
    <w:next w:val="Normal"/>
    <w:qFormat/>
    <w:rsid w:val="004D36F4"/>
    <w:pPr>
      <w:spacing w:before="120" w:after="120"/>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pPr>
    <w:rPr>
      <w:b/>
      <w:lang w:val="en-GB"/>
    </w:rPr>
  </w:style>
  <w:style w:type="paragraph" w:customStyle="1" w:styleId="A-ListBullet">
    <w:name w:val="A-List Bullet"/>
    <w:basedOn w:val="Normal"/>
    <w:pPr>
      <w:numPr>
        <w:numId w:val="2"/>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3"/>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4"/>
      </w:numPr>
    </w:pPr>
    <w:rPr>
      <w:lang w:val="en-GB"/>
    </w:rPr>
  </w:style>
  <w:style w:type="paragraph" w:customStyle="1" w:styleId="A-Listi">
    <w:name w:val="A-List (i)"/>
    <w:basedOn w:val="Normal"/>
    <w:next w:val="Normal"/>
    <w:pPr>
      <w:numPr>
        <w:numId w:val="5"/>
      </w:numPr>
    </w:pPr>
    <w:rPr>
      <w:lang w:val="en-GB"/>
    </w:rPr>
  </w:style>
  <w:style w:type="paragraph" w:customStyle="1" w:styleId="A-TableTitle">
    <w:name w:val="A-Table Title"/>
    <w:basedOn w:val="Normal"/>
    <w:next w:val="Normal"/>
    <w:pPr>
      <w:keepNext/>
      <w:tabs>
        <w:tab w:val="left" w:pos="1800"/>
      </w:tabs>
      <w:ind w:left="1800" w:hanging="1800"/>
    </w:pPr>
    <w:rPr>
      <w:b/>
      <w:lang w:val="en-GB"/>
    </w:rPr>
  </w:style>
  <w:style w:type="paragraph" w:customStyle="1" w:styleId="A-FigureTitle">
    <w:name w:val="A-Figure Title"/>
    <w:basedOn w:val="Normal"/>
    <w:next w:val="Normal"/>
    <w:pPr>
      <w:keepNext/>
      <w:tabs>
        <w:tab w:val="left" w:pos="1800"/>
      </w:tabs>
      <w:ind w:left="1800" w:hanging="1800"/>
    </w:pPr>
    <w:rPr>
      <w:b/>
      <w:lang w:val="en-GB"/>
    </w:rPr>
  </w:style>
  <w:style w:type="paragraph" w:customStyle="1" w:styleId="A-TableFootnoteText">
    <w:name w:val="A-Table Footnote Text"/>
    <w:basedOn w:val="Normal"/>
    <w:next w:val="Normal"/>
    <w:pPr>
      <w:tabs>
        <w:tab w:val="left" w:pos="432"/>
      </w:tabs>
      <w:ind w:left="432" w:hanging="432"/>
    </w:pPr>
    <w:rPr>
      <w:sz w:val="18"/>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outlineLvl w:val="1"/>
    </w:pPr>
    <w:rPr>
      <w:b/>
      <w:lang w:val="en-GB"/>
    </w:rPr>
  </w:style>
  <w:style w:type="paragraph" w:customStyle="1" w:styleId="A-Heading3">
    <w:name w:val="A-Heading 3"/>
    <w:basedOn w:val="Normal"/>
    <w:next w:val="Normal"/>
    <w:pPr>
      <w:keepNext/>
      <w:outlineLvl w:val="2"/>
    </w:pPr>
    <w:rPr>
      <w:b/>
      <w:i/>
      <w:lang w:val="en-GB"/>
    </w:rPr>
  </w:style>
  <w:style w:type="paragraph" w:customStyle="1" w:styleId="A-Heading4">
    <w:name w:val="A-Heading 4"/>
    <w:basedOn w:val="Normal"/>
    <w:next w:val="Normal"/>
    <w:pPr>
      <w:keepNext/>
      <w:outlineLvl w:val="3"/>
    </w:pPr>
    <w:rPr>
      <w:i/>
      <w:lang w:val="en-GB"/>
    </w:rPr>
  </w:style>
  <w:style w:type="paragraph" w:customStyle="1" w:styleId="Tableheading">
    <w:name w:val="Table heading"/>
    <w:basedOn w:val="Normal"/>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link w:val="TabletextChar"/>
    <w:qFormat/>
    <w:rPr>
      <w:sz w:val="20"/>
      <w:szCs w:val="24"/>
      <w:lang w:val="x-none"/>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semiHidden/>
    <w:pPr>
      <w:tabs>
        <w:tab w:val="left" w:pos="9000"/>
        <w:tab w:val="right" w:pos="9360"/>
      </w:tabs>
      <w:suppressAutoHyphens/>
      <w:spacing w:after="0"/>
    </w:pPr>
    <w:rPr>
      <w:rFonts w:ascii="Courier" w:hAnsi="Courier"/>
      <w:szCs w:val="24"/>
      <w:lang w:val="en-US"/>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styleId="FootnoteReference">
    <w:name w:val="footnote reference"/>
    <w:semiHidden/>
    <w:rPr>
      <w:vertAlign w:val="superscript"/>
    </w:rPr>
  </w:style>
  <w:style w:type="paragraph" w:styleId="BalloonText">
    <w:name w:val="Balloon Text"/>
    <w:basedOn w:val="Normal"/>
    <w:semiHidden/>
    <w:unhideWhenUsed/>
    <w:pPr>
      <w:spacing w:after="0"/>
    </w:pPr>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CommentReference">
    <w:name w:val="annotation reference"/>
    <w:semiHidden/>
    <w:unhideWhenUsed/>
    <w:rsid w:val="004D562F"/>
    <w:rPr>
      <w:sz w:val="16"/>
      <w:szCs w:val="16"/>
    </w:rPr>
  </w:style>
  <w:style w:type="paragraph" w:styleId="CommentText">
    <w:name w:val="annotation text"/>
    <w:basedOn w:val="Normal"/>
    <w:link w:val="CommentTextChar"/>
    <w:unhideWhenUsed/>
    <w:rsid w:val="004D562F"/>
    <w:rPr>
      <w:sz w:val="20"/>
      <w:lang w:val="x-none"/>
    </w:rPr>
  </w:style>
  <w:style w:type="character" w:customStyle="1" w:styleId="CommentTextChar">
    <w:name w:val="Comment Text Char"/>
    <w:link w:val="CommentText"/>
    <w:rsid w:val="004D562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D562F"/>
    <w:rPr>
      <w:b/>
      <w:bCs/>
    </w:rPr>
  </w:style>
  <w:style w:type="character" w:customStyle="1" w:styleId="CommentSubjectChar">
    <w:name w:val="Comment Subject Char"/>
    <w:link w:val="CommentSubject"/>
    <w:uiPriority w:val="99"/>
    <w:semiHidden/>
    <w:rsid w:val="004D562F"/>
    <w:rPr>
      <w:rFonts w:ascii="Arial" w:hAnsi="Arial"/>
      <w:b/>
      <w:bCs/>
      <w:lang w:eastAsia="en-US"/>
    </w:rPr>
  </w:style>
  <w:style w:type="character" w:customStyle="1" w:styleId="TabletextChar">
    <w:name w:val="Table text Char"/>
    <w:link w:val="Tabletext"/>
    <w:rsid w:val="00025018"/>
    <w:rPr>
      <w:rFonts w:ascii="Arial" w:hAnsi="Arial"/>
      <w:szCs w:val="24"/>
      <w:lang w:eastAsia="en-US"/>
    </w:rPr>
  </w:style>
  <w:style w:type="paragraph" w:customStyle="1" w:styleId="TableH1">
    <w:name w:val="Table H1"/>
    <w:basedOn w:val="BodyText"/>
    <w:uiPriority w:val="4"/>
    <w:qFormat/>
    <w:rsid w:val="00025018"/>
    <w:pPr>
      <w:keepNext/>
      <w:tabs>
        <w:tab w:val="left" w:pos="416"/>
        <w:tab w:val="left" w:pos="582"/>
        <w:tab w:val="left" w:pos="1134"/>
      </w:tabs>
      <w:spacing w:after="240"/>
    </w:pPr>
    <w:rPr>
      <w:rFonts w:ascii="Calibri" w:hAnsi="Calibri"/>
      <w:b/>
      <w:sz w:val="20"/>
      <w:lang w:val="en-US"/>
    </w:rPr>
  </w:style>
  <w:style w:type="paragraph" w:customStyle="1" w:styleId="TableFigNotes0">
    <w:name w:val="TableFigNotes+0"/>
    <w:basedOn w:val="Normal"/>
    <w:uiPriority w:val="4"/>
    <w:rsid w:val="00025018"/>
    <w:pPr>
      <w:keepNext/>
      <w:keepLines/>
      <w:spacing w:after="0"/>
    </w:pPr>
    <w:rPr>
      <w:rFonts w:ascii="Calibri" w:hAnsi="Calibri" w:cs="Tahoma"/>
      <w:color w:val="000000"/>
      <w:sz w:val="16"/>
      <w:szCs w:val="18"/>
      <w:lang w:val="en-US" w:eastAsia="en-AU"/>
    </w:rPr>
  </w:style>
  <w:style w:type="paragraph" w:styleId="BodyText">
    <w:name w:val="Body Text"/>
    <w:basedOn w:val="Normal"/>
    <w:link w:val="BodyTextChar"/>
    <w:uiPriority w:val="99"/>
    <w:unhideWhenUsed/>
    <w:rsid w:val="00025018"/>
    <w:rPr>
      <w:lang w:val="x-none"/>
    </w:rPr>
  </w:style>
  <w:style w:type="character" w:customStyle="1" w:styleId="BodyTextChar">
    <w:name w:val="Body Text Char"/>
    <w:link w:val="BodyText"/>
    <w:uiPriority w:val="99"/>
    <w:rsid w:val="00025018"/>
    <w:rPr>
      <w:rFonts w:ascii="Arial" w:hAnsi="Arial"/>
      <w:sz w:val="24"/>
      <w:lang w:eastAsia="en-US"/>
    </w:rPr>
  </w:style>
  <w:style w:type="paragraph" w:styleId="Revision">
    <w:name w:val="Revision"/>
    <w:hidden/>
    <w:uiPriority w:val="99"/>
    <w:semiHidden/>
    <w:rsid w:val="00431758"/>
    <w:rPr>
      <w:rFonts w:ascii="Arial" w:hAnsi="Arial"/>
      <w:sz w:val="24"/>
      <w:lang w:eastAsia="en-US"/>
    </w:rPr>
  </w:style>
  <w:style w:type="table" w:styleId="TableGrid">
    <w:name w:val="Table Grid"/>
    <w:basedOn w:val="TableNormal"/>
    <w:uiPriority w:val="59"/>
    <w:rsid w:val="003E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B6664"/>
    <w:rPr>
      <w:rFonts w:ascii="Arial" w:hAnsi="Arial"/>
      <w:sz w:val="16"/>
      <w:lang w:val="en-GB" w:eastAsia="en-US"/>
    </w:rPr>
  </w:style>
  <w:style w:type="character" w:styleId="Emphasis">
    <w:name w:val="Emphasis"/>
    <w:basedOn w:val="DefaultParagraphFont"/>
    <w:uiPriority w:val="20"/>
    <w:qFormat/>
    <w:rsid w:val="00847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9675">
      <w:bodyDiv w:val="1"/>
      <w:marLeft w:val="0"/>
      <w:marRight w:val="0"/>
      <w:marTop w:val="0"/>
      <w:marBottom w:val="0"/>
      <w:divBdr>
        <w:top w:val="none" w:sz="0" w:space="0" w:color="auto"/>
        <w:left w:val="none" w:sz="0" w:space="0" w:color="auto"/>
        <w:bottom w:val="none" w:sz="0" w:space="0" w:color="auto"/>
        <w:right w:val="none" w:sz="0" w:space="0" w:color="auto"/>
      </w:divBdr>
    </w:div>
    <w:div w:id="123188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2B6D4-BD3E-4A78-BE0B-4A70B7F1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5274</Words>
  <Characters>29757</Characters>
  <Application>Microsoft Office Word</Application>
  <DocSecurity>0</DocSecurity>
  <Lines>875</Lines>
  <Paragraphs>460</Paragraphs>
  <ScaleCrop>false</ScaleCrop>
  <HeadingPairs>
    <vt:vector size="2" baseType="variant">
      <vt:variant>
        <vt:lpstr>Title</vt:lpstr>
      </vt:variant>
      <vt:variant>
        <vt:i4>1</vt:i4>
      </vt:variant>
    </vt:vector>
  </HeadingPairs>
  <TitlesOfParts>
    <vt:vector size="1" baseType="lpstr">
      <vt:lpstr>Local Product Information - Australia</vt:lpstr>
    </vt:vector>
  </TitlesOfParts>
  <Company>AstraZeneca</Company>
  <LinksUpToDate>false</LinksUpToDate>
  <CharactersWithSpaces>34571</CharactersWithSpaces>
  <SharedDoc>false</SharedDoc>
  <HLinks>
    <vt:vector size="6" baseType="variant">
      <vt:variant>
        <vt:i4>4587531</vt:i4>
      </vt:variant>
      <vt:variant>
        <vt:i4>0</vt:i4>
      </vt:variant>
      <vt:variant>
        <vt:i4>0</vt:i4>
      </vt:variant>
      <vt:variant>
        <vt:i4>5</vt:i4>
      </vt:variant>
      <vt:variant>
        <vt:lpwstr/>
      </vt:variant>
      <vt:variant>
        <vt:lpwstr>_ENREF_7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Nolvadex Tamoxifen AstraZeneca</dc:title>
  <dc:subject>Prescription medicines</dc:subject>
  <dc:creator>Therapeutic Goods Administration</dc:creator>
  <cp:keywords>AusPARs</cp:keywords>
  <cp:lastModifiedBy>Therapeutic Goods Administration</cp:lastModifiedBy>
  <cp:revision>10</cp:revision>
  <cp:lastPrinted>2016-02-11T04:19:00Z</cp:lastPrinted>
  <dcterms:created xsi:type="dcterms:W3CDTF">2018-04-03T02:03:00Z</dcterms:created>
  <dcterms:modified xsi:type="dcterms:W3CDTF">2018-04-04T02:13:00Z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