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4C63C193" w14:textId="77777777" w:rsidTr="00BF1190">
        <w:trPr>
          <w:trHeight w:val="1863"/>
        </w:trPr>
        <w:tc>
          <w:tcPr>
            <w:tcW w:w="3652" w:type="dxa"/>
            <w:tcBorders>
              <w:top w:val="nil"/>
              <w:left w:val="nil"/>
              <w:bottom w:val="nil"/>
              <w:right w:val="nil"/>
            </w:tcBorders>
          </w:tcPr>
          <w:p w14:paraId="76699AC7" w14:textId="12DD3F07" w:rsidR="008E7846" w:rsidRPr="00096AA7" w:rsidRDefault="008F67B6" w:rsidP="008F67B6">
            <w:pPr>
              <w:rPr>
                <w:rFonts w:ascii="Arial" w:hAnsi="Arial" w:cs="Arial"/>
                <w:b/>
                <w:color w:val="002C47"/>
                <w:sz w:val="36"/>
                <w:szCs w:val="36"/>
              </w:rPr>
            </w:pPr>
            <w:r>
              <w:rPr>
                <w:rFonts w:ascii="Arial" w:hAnsi="Arial" w:cs="Arial"/>
                <w:b/>
                <w:color w:val="002C47"/>
                <w:sz w:val="36"/>
                <w:szCs w:val="36"/>
              </w:rPr>
              <w:t>August</w:t>
            </w:r>
            <w:r w:rsidR="007B002E">
              <w:rPr>
                <w:rFonts w:ascii="Arial" w:hAnsi="Arial" w:cs="Arial"/>
                <w:b/>
                <w:color w:val="002C47"/>
                <w:sz w:val="36"/>
                <w:szCs w:val="36"/>
              </w:rPr>
              <w:t xml:space="preserve"> </w:t>
            </w:r>
            <w:r w:rsidR="001C6796">
              <w:rPr>
                <w:rFonts w:ascii="Arial" w:hAnsi="Arial" w:cs="Arial"/>
                <w:b/>
                <w:color w:val="002C47"/>
                <w:sz w:val="36"/>
                <w:szCs w:val="36"/>
              </w:rPr>
              <w:t>2018</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414275DA" w14:textId="77777777" w:rsidTr="0032583B">
        <w:trPr>
          <w:trHeight w:val="868"/>
        </w:trPr>
        <w:tc>
          <w:tcPr>
            <w:tcW w:w="9079" w:type="dxa"/>
          </w:tcPr>
          <w:p w14:paraId="2A05F2DB" w14:textId="77777777" w:rsidR="0032583B" w:rsidRPr="00A964D1" w:rsidRDefault="0032583B" w:rsidP="00A964D1">
            <w:pPr>
              <w:pStyle w:val="Title"/>
              <w:rPr>
                <w:color w:val="FFFFFF" w:themeColor="background1"/>
              </w:rPr>
            </w:pPr>
            <w:r w:rsidRPr="00A964D1">
              <w:rPr>
                <w:color w:val="FFFFFF" w:themeColor="background1"/>
              </w:rPr>
              <w:t xml:space="preserve">Australian Public Assessment Report for </w:t>
            </w:r>
            <w:r w:rsidR="00566E55" w:rsidRPr="00566E55">
              <w:rPr>
                <w:color w:val="FFFFFF" w:themeColor="background1"/>
              </w:rPr>
              <w:t>Nivolumab</w:t>
            </w:r>
          </w:p>
        </w:tc>
      </w:tr>
      <w:tr w:rsidR="0032583B" w:rsidRPr="00B64760" w14:paraId="56B603FD" w14:textId="77777777" w:rsidTr="0032583B">
        <w:tc>
          <w:tcPr>
            <w:tcW w:w="9079" w:type="dxa"/>
          </w:tcPr>
          <w:p w14:paraId="2DB0122D" w14:textId="77777777" w:rsidR="0032583B" w:rsidRPr="008E7846" w:rsidRDefault="0032583B" w:rsidP="00C10495">
            <w:pPr>
              <w:pStyle w:val="Subtitle"/>
              <w:ind w:left="0"/>
              <w:rPr>
                <w:color w:val="FFFFFF" w:themeColor="background1"/>
              </w:rPr>
            </w:pPr>
            <w:r w:rsidRPr="008E7846">
              <w:rPr>
                <w:color w:val="FFFFFF" w:themeColor="background1"/>
              </w:rPr>
              <w:t xml:space="preserve">Proprietary Product Name: </w:t>
            </w:r>
            <w:r w:rsidR="00566E55">
              <w:rPr>
                <w:color w:val="FFFFFF" w:themeColor="background1"/>
              </w:rPr>
              <w:t>Opdivo</w:t>
            </w:r>
          </w:p>
        </w:tc>
      </w:tr>
      <w:tr w:rsidR="0032583B" w:rsidRPr="00B64760" w14:paraId="3B0A22A0" w14:textId="77777777" w:rsidTr="0032583B">
        <w:trPr>
          <w:trHeight w:val="486"/>
        </w:trPr>
        <w:tc>
          <w:tcPr>
            <w:tcW w:w="9079" w:type="dxa"/>
          </w:tcPr>
          <w:p w14:paraId="1FC3F13B" w14:textId="4C5D91E7" w:rsidR="0032583B" w:rsidRPr="008E7846" w:rsidRDefault="0032583B" w:rsidP="00C10495">
            <w:pPr>
              <w:pStyle w:val="Subtitle"/>
              <w:ind w:left="0"/>
              <w:rPr>
                <w:color w:val="FFFFFF" w:themeColor="background1"/>
              </w:rPr>
            </w:pPr>
            <w:r w:rsidRPr="008E7846">
              <w:rPr>
                <w:color w:val="FFFFFF" w:themeColor="background1"/>
              </w:rPr>
              <w:t xml:space="preserve">Sponsor: </w:t>
            </w:r>
            <w:r w:rsidR="001C6796" w:rsidRPr="001C6796">
              <w:rPr>
                <w:color w:val="FFFFFF" w:themeColor="background1"/>
              </w:rPr>
              <w:t>Bristol-Myers Squibb Australia Pty Ltd</w:t>
            </w:r>
          </w:p>
        </w:tc>
      </w:tr>
    </w:tbl>
    <w:p w14:paraId="0EDF24D3" w14:textId="77777777" w:rsidR="008E7846" w:rsidRPr="0085156D" w:rsidRDefault="008E7846" w:rsidP="0085156D">
      <w:r w:rsidRPr="0085156D">
        <w:br w:type="page"/>
      </w:r>
    </w:p>
    <w:p w14:paraId="21947E2F" w14:textId="77777777" w:rsidR="008E7846" w:rsidRPr="001F6CBA" w:rsidRDefault="008E7846" w:rsidP="008E7846">
      <w:pPr>
        <w:pStyle w:val="NonTOCHeading2"/>
      </w:pPr>
      <w:r w:rsidRPr="001F6CBA">
        <w:lastRenderedPageBreak/>
        <w:t>About the Therapeutic Goods Administration (TGA)</w:t>
      </w:r>
    </w:p>
    <w:p w14:paraId="58B98825"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60A8E0AF"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49C09355"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7BE10415"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0266A287"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14:paraId="3675C320" w14:textId="77777777" w:rsidR="008E7846" w:rsidRDefault="008E7846" w:rsidP="00875A6B">
      <w:pPr>
        <w:pStyle w:val="NonTOCHeading2"/>
      </w:pPr>
      <w:r>
        <w:t>About AusPARs</w:t>
      </w:r>
    </w:p>
    <w:p w14:paraId="5ECB714D"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3DC67D2D" w14:textId="77777777" w:rsidR="008E7846" w:rsidRDefault="008E7846" w:rsidP="008E7846">
      <w:pPr>
        <w:pStyle w:val="ListBullet"/>
        <w:numPr>
          <w:ilvl w:val="0"/>
          <w:numId w:val="3"/>
        </w:numPr>
        <w:ind w:left="357" w:hanging="357"/>
      </w:pPr>
      <w:r>
        <w:t>AusPARs are prepared and published by the TGA.</w:t>
      </w:r>
    </w:p>
    <w:p w14:paraId="02BCF7E6"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267EF026"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6ECFA11E"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2E64FF66" w14:textId="77777777" w:rsidR="00924482" w:rsidRPr="00DF1D7F" w:rsidRDefault="00924482" w:rsidP="00F54B65">
      <w:pPr>
        <w:pStyle w:val="LegalSubheading"/>
        <w:spacing w:before="3120"/>
      </w:pPr>
      <w:r w:rsidRPr="00DF1D7F">
        <w:t>Copyright</w:t>
      </w:r>
    </w:p>
    <w:p w14:paraId="73A6BD80" w14:textId="70D5379B" w:rsidR="00924482" w:rsidRDefault="00924482" w:rsidP="00924482">
      <w:pPr>
        <w:pStyle w:val="LegalCopy"/>
      </w:pPr>
      <w:r w:rsidRPr="00191B3B">
        <w:rPr>
          <w:rFonts w:cs="Arial"/>
          <w:lang w:val="en-GB"/>
        </w:rPr>
        <w:t>© Comm</w:t>
      </w:r>
      <w:r>
        <w:rPr>
          <w:rFonts w:cs="Arial"/>
          <w:lang w:val="en-GB"/>
        </w:rPr>
        <w:t>onwealth of Australia 201</w:t>
      </w:r>
      <w:r w:rsidR="009E7793">
        <w:rPr>
          <w:rFonts w:cs="Arial"/>
          <w:lang w:val="en-GB"/>
        </w:rPr>
        <w:t>8</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14:paraId="5EC0C259" w14:textId="77777777"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23ECAB12" w14:textId="77777777" w:rsidR="0089635C" w:rsidRPr="0089635C" w:rsidRDefault="0089635C" w:rsidP="0010788A">
          <w:pPr>
            <w:pStyle w:val="Contents"/>
          </w:pPr>
          <w:r w:rsidRPr="0010788A">
            <w:t>Con</w:t>
          </w:r>
          <w:bookmarkStart w:id="2" w:name="_GoBack"/>
          <w:bookmarkEnd w:id="2"/>
          <w:r w:rsidRPr="0010788A">
            <w:t>tents</w:t>
          </w:r>
        </w:p>
        <w:p w14:paraId="546EDEFE" w14:textId="77777777" w:rsidR="00D1157D"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522802888" w:history="1">
            <w:r w:rsidR="00D1157D" w:rsidRPr="00476788">
              <w:rPr>
                <w:rStyle w:val="Hyperlink"/>
                <w:noProof/>
              </w:rPr>
              <w:t>Common abbreviations</w:t>
            </w:r>
            <w:r w:rsidR="00D1157D">
              <w:rPr>
                <w:noProof/>
                <w:webHidden/>
              </w:rPr>
              <w:tab/>
            </w:r>
            <w:r w:rsidR="00D1157D">
              <w:rPr>
                <w:noProof/>
                <w:webHidden/>
              </w:rPr>
              <w:fldChar w:fldCharType="begin"/>
            </w:r>
            <w:r w:rsidR="00D1157D">
              <w:rPr>
                <w:noProof/>
                <w:webHidden/>
              </w:rPr>
              <w:instrText xml:space="preserve"> PAGEREF _Toc522802888 \h </w:instrText>
            </w:r>
            <w:r w:rsidR="00D1157D">
              <w:rPr>
                <w:noProof/>
                <w:webHidden/>
              </w:rPr>
            </w:r>
            <w:r w:rsidR="00D1157D">
              <w:rPr>
                <w:noProof/>
                <w:webHidden/>
              </w:rPr>
              <w:fldChar w:fldCharType="separate"/>
            </w:r>
            <w:r w:rsidR="00D1157D">
              <w:rPr>
                <w:noProof/>
                <w:webHidden/>
              </w:rPr>
              <w:t>4</w:t>
            </w:r>
            <w:r w:rsidR="00D1157D">
              <w:rPr>
                <w:noProof/>
                <w:webHidden/>
              </w:rPr>
              <w:fldChar w:fldCharType="end"/>
            </w:r>
          </w:hyperlink>
        </w:p>
        <w:p w14:paraId="3C6D9908" w14:textId="77777777" w:rsidR="00D1157D" w:rsidRDefault="00D1157D">
          <w:pPr>
            <w:pStyle w:val="TOC2"/>
            <w:rPr>
              <w:rFonts w:asciiTheme="minorHAnsi" w:eastAsiaTheme="minorEastAsia" w:hAnsiTheme="minorHAnsi" w:cstheme="minorBidi"/>
              <w:b w:val="0"/>
              <w:noProof/>
              <w:sz w:val="22"/>
              <w:lang w:eastAsia="en-AU"/>
            </w:rPr>
          </w:pPr>
          <w:hyperlink w:anchor="_Toc522802889" w:history="1">
            <w:r w:rsidRPr="00476788">
              <w:rPr>
                <w:rStyle w:val="Hyperlink"/>
                <w:noProof/>
              </w:rPr>
              <w:t>I. Introduction to product submission</w:t>
            </w:r>
            <w:r>
              <w:rPr>
                <w:noProof/>
                <w:webHidden/>
              </w:rPr>
              <w:tab/>
            </w:r>
            <w:r>
              <w:rPr>
                <w:noProof/>
                <w:webHidden/>
              </w:rPr>
              <w:fldChar w:fldCharType="begin"/>
            </w:r>
            <w:r>
              <w:rPr>
                <w:noProof/>
                <w:webHidden/>
              </w:rPr>
              <w:instrText xml:space="preserve"> PAGEREF _Toc522802889 \h </w:instrText>
            </w:r>
            <w:r>
              <w:rPr>
                <w:noProof/>
                <w:webHidden/>
              </w:rPr>
            </w:r>
            <w:r>
              <w:rPr>
                <w:noProof/>
                <w:webHidden/>
              </w:rPr>
              <w:fldChar w:fldCharType="separate"/>
            </w:r>
            <w:r>
              <w:rPr>
                <w:noProof/>
                <w:webHidden/>
              </w:rPr>
              <w:t>5</w:t>
            </w:r>
            <w:r>
              <w:rPr>
                <w:noProof/>
                <w:webHidden/>
              </w:rPr>
              <w:fldChar w:fldCharType="end"/>
            </w:r>
          </w:hyperlink>
        </w:p>
        <w:p w14:paraId="53948AD1" w14:textId="77777777" w:rsidR="00D1157D" w:rsidRDefault="00D1157D">
          <w:pPr>
            <w:pStyle w:val="TOC3"/>
            <w:rPr>
              <w:rFonts w:asciiTheme="minorHAnsi" w:eastAsiaTheme="minorEastAsia" w:hAnsiTheme="minorHAnsi" w:cstheme="minorBidi"/>
              <w:noProof/>
              <w:lang w:eastAsia="en-AU"/>
            </w:rPr>
          </w:pPr>
          <w:hyperlink w:anchor="_Toc522802890" w:history="1">
            <w:r w:rsidRPr="00476788">
              <w:rPr>
                <w:rStyle w:val="Hyperlink"/>
                <w:noProof/>
                <w:lang w:eastAsia="en-AU"/>
              </w:rPr>
              <w:t>Submission details</w:t>
            </w:r>
            <w:r>
              <w:rPr>
                <w:noProof/>
                <w:webHidden/>
              </w:rPr>
              <w:tab/>
            </w:r>
            <w:r>
              <w:rPr>
                <w:noProof/>
                <w:webHidden/>
              </w:rPr>
              <w:fldChar w:fldCharType="begin"/>
            </w:r>
            <w:r>
              <w:rPr>
                <w:noProof/>
                <w:webHidden/>
              </w:rPr>
              <w:instrText xml:space="preserve"> PAGEREF _Toc522802890 \h </w:instrText>
            </w:r>
            <w:r>
              <w:rPr>
                <w:noProof/>
                <w:webHidden/>
              </w:rPr>
            </w:r>
            <w:r>
              <w:rPr>
                <w:noProof/>
                <w:webHidden/>
              </w:rPr>
              <w:fldChar w:fldCharType="separate"/>
            </w:r>
            <w:r>
              <w:rPr>
                <w:noProof/>
                <w:webHidden/>
              </w:rPr>
              <w:t>5</w:t>
            </w:r>
            <w:r>
              <w:rPr>
                <w:noProof/>
                <w:webHidden/>
              </w:rPr>
              <w:fldChar w:fldCharType="end"/>
            </w:r>
          </w:hyperlink>
        </w:p>
        <w:p w14:paraId="049E55A3" w14:textId="77777777" w:rsidR="00D1157D" w:rsidRDefault="00D1157D">
          <w:pPr>
            <w:pStyle w:val="TOC3"/>
            <w:rPr>
              <w:rFonts w:asciiTheme="minorHAnsi" w:eastAsiaTheme="minorEastAsia" w:hAnsiTheme="minorHAnsi" w:cstheme="minorBidi"/>
              <w:noProof/>
              <w:lang w:eastAsia="en-AU"/>
            </w:rPr>
          </w:pPr>
          <w:hyperlink w:anchor="_Toc522802891" w:history="1">
            <w:r w:rsidRPr="00476788">
              <w:rPr>
                <w:rStyle w:val="Hyperlink"/>
                <w:noProof/>
              </w:rPr>
              <w:t>Product background</w:t>
            </w:r>
            <w:r>
              <w:rPr>
                <w:noProof/>
                <w:webHidden/>
              </w:rPr>
              <w:tab/>
            </w:r>
            <w:r>
              <w:rPr>
                <w:noProof/>
                <w:webHidden/>
              </w:rPr>
              <w:fldChar w:fldCharType="begin"/>
            </w:r>
            <w:r>
              <w:rPr>
                <w:noProof/>
                <w:webHidden/>
              </w:rPr>
              <w:instrText xml:space="preserve"> PAGEREF _Toc522802891 \h </w:instrText>
            </w:r>
            <w:r>
              <w:rPr>
                <w:noProof/>
                <w:webHidden/>
              </w:rPr>
            </w:r>
            <w:r>
              <w:rPr>
                <w:noProof/>
                <w:webHidden/>
              </w:rPr>
              <w:fldChar w:fldCharType="separate"/>
            </w:r>
            <w:r>
              <w:rPr>
                <w:noProof/>
                <w:webHidden/>
              </w:rPr>
              <w:t>5</w:t>
            </w:r>
            <w:r>
              <w:rPr>
                <w:noProof/>
                <w:webHidden/>
              </w:rPr>
              <w:fldChar w:fldCharType="end"/>
            </w:r>
          </w:hyperlink>
        </w:p>
        <w:p w14:paraId="4947FC4C" w14:textId="77777777" w:rsidR="00D1157D" w:rsidRDefault="00D1157D">
          <w:pPr>
            <w:pStyle w:val="TOC3"/>
            <w:rPr>
              <w:rFonts w:asciiTheme="minorHAnsi" w:eastAsiaTheme="minorEastAsia" w:hAnsiTheme="minorHAnsi" w:cstheme="minorBidi"/>
              <w:noProof/>
              <w:lang w:eastAsia="en-AU"/>
            </w:rPr>
          </w:pPr>
          <w:hyperlink w:anchor="_Toc522802892" w:history="1">
            <w:r w:rsidRPr="00476788">
              <w:rPr>
                <w:rStyle w:val="Hyperlink"/>
                <w:noProof/>
              </w:rPr>
              <w:t>Regulatory status</w:t>
            </w:r>
            <w:r>
              <w:rPr>
                <w:noProof/>
                <w:webHidden/>
              </w:rPr>
              <w:tab/>
            </w:r>
            <w:r>
              <w:rPr>
                <w:noProof/>
                <w:webHidden/>
              </w:rPr>
              <w:fldChar w:fldCharType="begin"/>
            </w:r>
            <w:r>
              <w:rPr>
                <w:noProof/>
                <w:webHidden/>
              </w:rPr>
              <w:instrText xml:space="preserve"> PAGEREF _Toc522802892 \h </w:instrText>
            </w:r>
            <w:r>
              <w:rPr>
                <w:noProof/>
                <w:webHidden/>
              </w:rPr>
            </w:r>
            <w:r>
              <w:rPr>
                <w:noProof/>
                <w:webHidden/>
              </w:rPr>
              <w:fldChar w:fldCharType="separate"/>
            </w:r>
            <w:r>
              <w:rPr>
                <w:noProof/>
                <w:webHidden/>
              </w:rPr>
              <w:t>6</w:t>
            </w:r>
            <w:r>
              <w:rPr>
                <w:noProof/>
                <w:webHidden/>
              </w:rPr>
              <w:fldChar w:fldCharType="end"/>
            </w:r>
          </w:hyperlink>
        </w:p>
        <w:p w14:paraId="69A6BE48" w14:textId="77777777" w:rsidR="00D1157D" w:rsidRDefault="00D1157D">
          <w:pPr>
            <w:pStyle w:val="TOC3"/>
            <w:rPr>
              <w:rFonts w:asciiTheme="minorHAnsi" w:eastAsiaTheme="minorEastAsia" w:hAnsiTheme="minorHAnsi" w:cstheme="minorBidi"/>
              <w:noProof/>
              <w:lang w:eastAsia="en-AU"/>
            </w:rPr>
          </w:pPr>
          <w:hyperlink w:anchor="_Toc522802893" w:history="1">
            <w:r w:rsidRPr="00476788">
              <w:rPr>
                <w:rStyle w:val="Hyperlink"/>
                <w:noProof/>
              </w:rPr>
              <w:t>Product Information</w:t>
            </w:r>
            <w:r>
              <w:rPr>
                <w:noProof/>
                <w:webHidden/>
              </w:rPr>
              <w:tab/>
            </w:r>
            <w:r>
              <w:rPr>
                <w:noProof/>
                <w:webHidden/>
              </w:rPr>
              <w:fldChar w:fldCharType="begin"/>
            </w:r>
            <w:r>
              <w:rPr>
                <w:noProof/>
                <w:webHidden/>
              </w:rPr>
              <w:instrText xml:space="preserve"> PAGEREF _Toc522802893 \h </w:instrText>
            </w:r>
            <w:r>
              <w:rPr>
                <w:noProof/>
                <w:webHidden/>
              </w:rPr>
            </w:r>
            <w:r>
              <w:rPr>
                <w:noProof/>
                <w:webHidden/>
              </w:rPr>
              <w:fldChar w:fldCharType="separate"/>
            </w:r>
            <w:r>
              <w:rPr>
                <w:noProof/>
                <w:webHidden/>
              </w:rPr>
              <w:t>7</w:t>
            </w:r>
            <w:r>
              <w:rPr>
                <w:noProof/>
                <w:webHidden/>
              </w:rPr>
              <w:fldChar w:fldCharType="end"/>
            </w:r>
          </w:hyperlink>
        </w:p>
        <w:p w14:paraId="3CDEC5B8" w14:textId="77777777" w:rsidR="00D1157D" w:rsidRDefault="00D1157D">
          <w:pPr>
            <w:pStyle w:val="TOC2"/>
            <w:rPr>
              <w:rFonts w:asciiTheme="minorHAnsi" w:eastAsiaTheme="minorEastAsia" w:hAnsiTheme="minorHAnsi" w:cstheme="minorBidi"/>
              <w:b w:val="0"/>
              <w:noProof/>
              <w:sz w:val="22"/>
              <w:lang w:eastAsia="en-AU"/>
            </w:rPr>
          </w:pPr>
          <w:hyperlink w:anchor="_Toc522802894" w:history="1">
            <w:r w:rsidRPr="00476788">
              <w:rPr>
                <w:rStyle w:val="Hyperlink"/>
                <w:noProof/>
              </w:rPr>
              <w:t>II. Registration time line</w:t>
            </w:r>
            <w:r>
              <w:rPr>
                <w:noProof/>
                <w:webHidden/>
              </w:rPr>
              <w:tab/>
            </w:r>
            <w:r>
              <w:rPr>
                <w:noProof/>
                <w:webHidden/>
              </w:rPr>
              <w:fldChar w:fldCharType="begin"/>
            </w:r>
            <w:r>
              <w:rPr>
                <w:noProof/>
                <w:webHidden/>
              </w:rPr>
              <w:instrText xml:space="preserve"> PAGEREF _Toc522802894 \h </w:instrText>
            </w:r>
            <w:r>
              <w:rPr>
                <w:noProof/>
                <w:webHidden/>
              </w:rPr>
            </w:r>
            <w:r>
              <w:rPr>
                <w:noProof/>
                <w:webHidden/>
              </w:rPr>
              <w:fldChar w:fldCharType="separate"/>
            </w:r>
            <w:r>
              <w:rPr>
                <w:noProof/>
                <w:webHidden/>
              </w:rPr>
              <w:t>7</w:t>
            </w:r>
            <w:r>
              <w:rPr>
                <w:noProof/>
                <w:webHidden/>
              </w:rPr>
              <w:fldChar w:fldCharType="end"/>
            </w:r>
          </w:hyperlink>
        </w:p>
        <w:p w14:paraId="4953FD75" w14:textId="77777777" w:rsidR="00D1157D" w:rsidRDefault="00D1157D">
          <w:pPr>
            <w:pStyle w:val="TOC2"/>
            <w:rPr>
              <w:rFonts w:asciiTheme="minorHAnsi" w:eastAsiaTheme="minorEastAsia" w:hAnsiTheme="minorHAnsi" w:cstheme="minorBidi"/>
              <w:b w:val="0"/>
              <w:noProof/>
              <w:sz w:val="22"/>
              <w:lang w:eastAsia="en-AU"/>
            </w:rPr>
          </w:pPr>
          <w:hyperlink w:anchor="_Toc522802895" w:history="1">
            <w:r w:rsidRPr="00476788">
              <w:rPr>
                <w:rStyle w:val="Hyperlink"/>
                <w:noProof/>
              </w:rPr>
              <w:t>III. Quality findings</w:t>
            </w:r>
            <w:r>
              <w:rPr>
                <w:noProof/>
                <w:webHidden/>
              </w:rPr>
              <w:tab/>
            </w:r>
            <w:r>
              <w:rPr>
                <w:noProof/>
                <w:webHidden/>
              </w:rPr>
              <w:fldChar w:fldCharType="begin"/>
            </w:r>
            <w:r>
              <w:rPr>
                <w:noProof/>
                <w:webHidden/>
              </w:rPr>
              <w:instrText xml:space="preserve"> PAGEREF _Toc522802895 \h </w:instrText>
            </w:r>
            <w:r>
              <w:rPr>
                <w:noProof/>
                <w:webHidden/>
              </w:rPr>
            </w:r>
            <w:r>
              <w:rPr>
                <w:noProof/>
                <w:webHidden/>
              </w:rPr>
              <w:fldChar w:fldCharType="separate"/>
            </w:r>
            <w:r>
              <w:rPr>
                <w:noProof/>
                <w:webHidden/>
              </w:rPr>
              <w:t>8</w:t>
            </w:r>
            <w:r>
              <w:rPr>
                <w:noProof/>
                <w:webHidden/>
              </w:rPr>
              <w:fldChar w:fldCharType="end"/>
            </w:r>
          </w:hyperlink>
        </w:p>
        <w:p w14:paraId="362F54A3" w14:textId="77777777" w:rsidR="00D1157D" w:rsidRDefault="00D1157D">
          <w:pPr>
            <w:pStyle w:val="TOC2"/>
            <w:rPr>
              <w:rFonts w:asciiTheme="minorHAnsi" w:eastAsiaTheme="minorEastAsia" w:hAnsiTheme="minorHAnsi" w:cstheme="minorBidi"/>
              <w:b w:val="0"/>
              <w:noProof/>
              <w:sz w:val="22"/>
              <w:lang w:eastAsia="en-AU"/>
            </w:rPr>
          </w:pPr>
          <w:hyperlink w:anchor="_Toc522802896" w:history="1">
            <w:r w:rsidRPr="00476788">
              <w:rPr>
                <w:rStyle w:val="Hyperlink"/>
                <w:noProof/>
              </w:rPr>
              <w:t>IV. Nonclinical findings</w:t>
            </w:r>
            <w:r>
              <w:rPr>
                <w:noProof/>
                <w:webHidden/>
              </w:rPr>
              <w:tab/>
            </w:r>
            <w:r>
              <w:rPr>
                <w:noProof/>
                <w:webHidden/>
              </w:rPr>
              <w:fldChar w:fldCharType="begin"/>
            </w:r>
            <w:r>
              <w:rPr>
                <w:noProof/>
                <w:webHidden/>
              </w:rPr>
              <w:instrText xml:space="preserve"> PAGEREF _Toc522802896 \h </w:instrText>
            </w:r>
            <w:r>
              <w:rPr>
                <w:noProof/>
                <w:webHidden/>
              </w:rPr>
            </w:r>
            <w:r>
              <w:rPr>
                <w:noProof/>
                <w:webHidden/>
              </w:rPr>
              <w:fldChar w:fldCharType="separate"/>
            </w:r>
            <w:r>
              <w:rPr>
                <w:noProof/>
                <w:webHidden/>
              </w:rPr>
              <w:t>8</w:t>
            </w:r>
            <w:r>
              <w:rPr>
                <w:noProof/>
                <w:webHidden/>
              </w:rPr>
              <w:fldChar w:fldCharType="end"/>
            </w:r>
          </w:hyperlink>
        </w:p>
        <w:p w14:paraId="50CEB09A" w14:textId="77777777" w:rsidR="00D1157D" w:rsidRDefault="00D1157D">
          <w:pPr>
            <w:pStyle w:val="TOC2"/>
            <w:rPr>
              <w:rFonts w:asciiTheme="minorHAnsi" w:eastAsiaTheme="minorEastAsia" w:hAnsiTheme="minorHAnsi" w:cstheme="minorBidi"/>
              <w:b w:val="0"/>
              <w:noProof/>
              <w:sz w:val="22"/>
              <w:lang w:eastAsia="en-AU"/>
            </w:rPr>
          </w:pPr>
          <w:hyperlink w:anchor="_Toc522802897" w:history="1">
            <w:r w:rsidRPr="00476788">
              <w:rPr>
                <w:rStyle w:val="Hyperlink"/>
                <w:noProof/>
              </w:rPr>
              <w:t>V. Clinical findings</w:t>
            </w:r>
            <w:r>
              <w:rPr>
                <w:noProof/>
                <w:webHidden/>
              </w:rPr>
              <w:tab/>
            </w:r>
            <w:r>
              <w:rPr>
                <w:noProof/>
                <w:webHidden/>
              </w:rPr>
              <w:fldChar w:fldCharType="begin"/>
            </w:r>
            <w:r>
              <w:rPr>
                <w:noProof/>
                <w:webHidden/>
              </w:rPr>
              <w:instrText xml:space="preserve"> PAGEREF _Toc522802897 \h </w:instrText>
            </w:r>
            <w:r>
              <w:rPr>
                <w:noProof/>
                <w:webHidden/>
              </w:rPr>
            </w:r>
            <w:r>
              <w:rPr>
                <w:noProof/>
                <w:webHidden/>
              </w:rPr>
              <w:fldChar w:fldCharType="separate"/>
            </w:r>
            <w:r>
              <w:rPr>
                <w:noProof/>
                <w:webHidden/>
              </w:rPr>
              <w:t>8</w:t>
            </w:r>
            <w:r>
              <w:rPr>
                <w:noProof/>
                <w:webHidden/>
              </w:rPr>
              <w:fldChar w:fldCharType="end"/>
            </w:r>
          </w:hyperlink>
        </w:p>
        <w:p w14:paraId="2459F769" w14:textId="77777777" w:rsidR="00D1157D" w:rsidRDefault="00D1157D">
          <w:pPr>
            <w:pStyle w:val="TOC3"/>
            <w:rPr>
              <w:rFonts w:asciiTheme="minorHAnsi" w:eastAsiaTheme="minorEastAsia" w:hAnsiTheme="minorHAnsi" w:cstheme="minorBidi"/>
              <w:noProof/>
              <w:lang w:eastAsia="en-AU"/>
            </w:rPr>
          </w:pPr>
          <w:hyperlink w:anchor="_Toc522802898" w:history="1">
            <w:r w:rsidRPr="00476788">
              <w:rPr>
                <w:rStyle w:val="Hyperlink"/>
                <w:noProof/>
              </w:rPr>
              <w:t>Introduction</w:t>
            </w:r>
            <w:r>
              <w:rPr>
                <w:noProof/>
                <w:webHidden/>
              </w:rPr>
              <w:tab/>
            </w:r>
            <w:r>
              <w:rPr>
                <w:noProof/>
                <w:webHidden/>
              </w:rPr>
              <w:fldChar w:fldCharType="begin"/>
            </w:r>
            <w:r>
              <w:rPr>
                <w:noProof/>
                <w:webHidden/>
              </w:rPr>
              <w:instrText xml:space="preserve"> PAGEREF _Toc522802898 \h </w:instrText>
            </w:r>
            <w:r>
              <w:rPr>
                <w:noProof/>
                <w:webHidden/>
              </w:rPr>
            </w:r>
            <w:r>
              <w:rPr>
                <w:noProof/>
                <w:webHidden/>
              </w:rPr>
              <w:fldChar w:fldCharType="separate"/>
            </w:r>
            <w:r>
              <w:rPr>
                <w:noProof/>
                <w:webHidden/>
              </w:rPr>
              <w:t>8</w:t>
            </w:r>
            <w:r>
              <w:rPr>
                <w:noProof/>
                <w:webHidden/>
              </w:rPr>
              <w:fldChar w:fldCharType="end"/>
            </w:r>
          </w:hyperlink>
        </w:p>
        <w:p w14:paraId="2A754D77" w14:textId="77777777" w:rsidR="00D1157D" w:rsidRDefault="00D1157D">
          <w:pPr>
            <w:pStyle w:val="TOC3"/>
            <w:rPr>
              <w:rFonts w:asciiTheme="minorHAnsi" w:eastAsiaTheme="minorEastAsia" w:hAnsiTheme="minorHAnsi" w:cstheme="minorBidi"/>
              <w:noProof/>
              <w:lang w:eastAsia="en-AU"/>
            </w:rPr>
          </w:pPr>
          <w:hyperlink w:anchor="_Toc522802899" w:history="1">
            <w:r w:rsidRPr="00476788">
              <w:rPr>
                <w:rStyle w:val="Hyperlink"/>
                <w:noProof/>
              </w:rPr>
              <w:t>Pharmacokinetics</w:t>
            </w:r>
            <w:r>
              <w:rPr>
                <w:noProof/>
                <w:webHidden/>
              </w:rPr>
              <w:tab/>
            </w:r>
            <w:r>
              <w:rPr>
                <w:noProof/>
                <w:webHidden/>
              </w:rPr>
              <w:fldChar w:fldCharType="begin"/>
            </w:r>
            <w:r>
              <w:rPr>
                <w:noProof/>
                <w:webHidden/>
              </w:rPr>
              <w:instrText xml:space="preserve"> PAGEREF _Toc522802899 \h </w:instrText>
            </w:r>
            <w:r>
              <w:rPr>
                <w:noProof/>
                <w:webHidden/>
              </w:rPr>
            </w:r>
            <w:r>
              <w:rPr>
                <w:noProof/>
                <w:webHidden/>
              </w:rPr>
              <w:fldChar w:fldCharType="separate"/>
            </w:r>
            <w:r>
              <w:rPr>
                <w:noProof/>
                <w:webHidden/>
              </w:rPr>
              <w:t>9</w:t>
            </w:r>
            <w:r>
              <w:rPr>
                <w:noProof/>
                <w:webHidden/>
              </w:rPr>
              <w:fldChar w:fldCharType="end"/>
            </w:r>
          </w:hyperlink>
        </w:p>
        <w:p w14:paraId="71298B4B" w14:textId="77777777" w:rsidR="00D1157D" w:rsidRDefault="00D1157D">
          <w:pPr>
            <w:pStyle w:val="TOC3"/>
            <w:rPr>
              <w:rFonts w:asciiTheme="minorHAnsi" w:eastAsiaTheme="minorEastAsia" w:hAnsiTheme="minorHAnsi" w:cstheme="minorBidi"/>
              <w:noProof/>
              <w:lang w:eastAsia="en-AU"/>
            </w:rPr>
          </w:pPr>
          <w:hyperlink w:anchor="_Toc522802900" w:history="1">
            <w:r w:rsidRPr="00476788">
              <w:rPr>
                <w:rStyle w:val="Hyperlink"/>
                <w:noProof/>
              </w:rPr>
              <w:t>Pharmacodynamics</w:t>
            </w:r>
            <w:r>
              <w:rPr>
                <w:noProof/>
                <w:webHidden/>
              </w:rPr>
              <w:tab/>
            </w:r>
            <w:r>
              <w:rPr>
                <w:noProof/>
                <w:webHidden/>
              </w:rPr>
              <w:fldChar w:fldCharType="begin"/>
            </w:r>
            <w:r>
              <w:rPr>
                <w:noProof/>
                <w:webHidden/>
              </w:rPr>
              <w:instrText xml:space="preserve"> PAGEREF _Toc522802900 \h </w:instrText>
            </w:r>
            <w:r>
              <w:rPr>
                <w:noProof/>
                <w:webHidden/>
              </w:rPr>
            </w:r>
            <w:r>
              <w:rPr>
                <w:noProof/>
                <w:webHidden/>
              </w:rPr>
              <w:fldChar w:fldCharType="separate"/>
            </w:r>
            <w:r>
              <w:rPr>
                <w:noProof/>
                <w:webHidden/>
              </w:rPr>
              <w:t>10</w:t>
            </w:r>
            <w:r>
              <w:rPr>
                <w:noProof/>
                <w:webHidden/>
              </w:rPr>
              <w:fldChar w:fldCharType="end"/>
            </w:r>
          </w:hyperlink>
        </w:p>
        <w:p w14:paraId="61D1BDDF" w14:textId="77777777" w:rsidR="00D1157D" w:rsidRDefault="00D1157D">
          <w:pPr>
            <w:pStyle w:val="TOC3"/>
            <w:rPr>
              <w:rFonts w:asciiTheme="minorHAnsi" w:eastAsiaTheme="minorEastAsia" w:hAnsiTheme="minorHAnsi" w:cstheme="minorBidi"/>
              <w:noProof/>
              <w:lang w:eastAsia="en-AU"/>
            </w:rPr>
          </w:pPr>
          <w:hyperlink w:anchor="_Toc522802901" w:history="1">
            <w:r w:rsidRPr="00476788">
              <w:rPr>
                <w:rStyle w:val="Hyperlink"/>
                <w:noProof/>
              </w:rPr>
              <w:t>Dosage selection for the pivotal studies</w:t>
            </w:r>
            <w:r>
              <w:rPr>
                <w:noProof/>
                <w:webHidden/>
              </w:rPr>
              <w:tab/>
            </w:r>
            <w:r>
              <w:rPr>
                <w:noProof/>
                <w:webHidden/>
              </w:rPr>
              <w:fldChar w:fldCharType="begin"/>
            </w:r>
            <w:r>
              <w:rPr>
                <w:noProof/>
                <w:webHidden/>
              </w:rPr>
              <w:instrText xml:space="preserve"> PAGEREF _Toc522802901 \h </w:instrText>
            </w:r>
            <w:r>
              <w:rPr>
                <w:noProof/>
                <w:webHidden/>
              </w:rPr>
            </w:r>
            <w:r>
              <w:rPr>
                <w:noProof/>
                <w:webHidden/>
              </w:rPr>
              <w:fldChar w:fldCharType="separate"/>
            </w:r>
            <w:r>
              <w:rPr>
                <w:noProof/>
                <w:webHidden/>
              </w:rPr>
              <w:t>10</w:t>
            </w:r>
            <w:r>
              <w:rPr>
                <w:noProof/>
                <w:webHidden/>
              </w:rPr>
              <w:fldChar w:fldCharType="end"/>
            </w:r>
          </w:hyperlink>
        </w:p>
        <w:p w14:paraId="466DF6FE" w14:textId="77777777" w:rsidR="00D1157D" w:rsidRDefault="00D1157D">
          <w:pPr>
            <w:pStyle w:val="TOC3"/>
            <w:rPr>
              <w:rFonts w:asciiTheme="minorHAnsi" w:eastAsiaTheme="minorEastAsia" w:hAnsiTheme="minorHAnsi" w:cstheme="minorBidi"/>
              <w:noProof/>
              <w:lang w:eastAsia="en-AU"/>
            </w:rPr>
          </w:pPr>
          <w:hyperlink w:anchor="_Toc522802902" w:history="1">
            <w:r w:rsidRPr="00476788">
              <w:rPr>
                <w:rStyle w:val="Hyperlink"/>
                <w:noProof/>
              </w:rPr>
              <w:t>Efficacy</w:t>
            </w:r>
            <w:r>
              <w:rPr>
                <w:noProof/>
                <w:webHidden/>
              </w:rPr>
              <w:tab/>
            </w:r>
            <w:r>
              <w:rPr>
                <w:noProof/>
                <w:webHidden/>
              </w:rPr>
              <w:fldChar w:fldCharType="begin"/>
            </w:r>
            <w:r>
              <w:rPr>
                <w:noProof/>
                <w:webHidden/>
              </w:rPr>
              <w:instrText xml:space="preserve"> PAGEREF _Toc522802902 \h </w:instrText>
            </w:r>
            <w:r>
              <w:rPr>
                <w:noProof/>
                <w:webHidden/>
              </w:rPr>
            </w:r>
            <w:r>
              <w:rPr>
                <w:noProof/>
                <w:webHidden/>
              </w:rPr>
              <w:fldChar w:fldCharType="separate"/>
            </w:r>
            <w:r>
              <w:rPr>
                <w:noProof/>
                <w:webHidden/>
              </w:rPr>
              <w:t>11</w:t>
            </w:r>
            <w:r>
              <w:rPr>
                <w:noProof/>
                <w:webHidden/>
              </w:rPr>
              <w:fldChar w:fldCharType="end"/>
            </w:r>
          </w:hyperlink>
        </w:p>
        <w:p w14:paraId="03A94618" w14:textId="77777777" w:rsidR="00D1157D" w:rsidRDefault="00D1157D">
          <w:pPr>
            <w:pStyle w:val="TOC3"/>
            <w:rPr>
              <w:rFonts w:asciiTheme="minorHAnsi" w:eastAsiaTheme="minorEastAsia" w:hAnsiTheme="minorHAnsi" w:cstheme="minorBidi"/>
              <w:noProof/>
              <w:lang w:eastAsia="en-AU"/>
            </w:rPr>
          </w:pPr>
          <w:hyperlink w:anchor="_Toc522802903" w:history="1">
            <w:r w:rsidRPr="00476788">
              <w:rPr>
                <w:rStyle w:val="Hyperlink"/>
                <w:noProof/>
              </w:rPr>
              <w:t>Safety</w:t>
            </w:r>
            <w:r>
              <w:rPr>
                <w:noProof/>
                <w:webHidden/>
              </w:rPr>
              <w:tab/>
            </w:r>
            <w:r>
              <w:rPr>
                <w:noProof/>
                <w:webHidden/>
              </w:rPr>
              <w:fldChar w:fldCharType="begin"/>
            </w:r>
            <w:r>
              <w:rPr>
                <w:noProof/>
                <w:webHidden/>
              </w:rPr>
              <w:instrText xml:space="preserve"> PAGEREF _Toc522802903 \h </w:instrText>
            </w:r>
            <w:r>
              <w:rPr>
                <w:noProof/>
                <w:webHidden/>
              </w:rPr>
            </w:r>
            <w:r>
              <w:rPr>
                <w:noProof/>
                <w:webHidden/>
              </w:rPr>
              <w:fldChar w:fldCharType="separate"/>
            </w:r>
            <w:r>
              <w:rPr>
                <w:noProof/>
                <w:webHidden/>
              </w:rPr>
              <w:t>12</w:t>
            </w:r>
            <w:r>
              <w:rPr>
                <w:noProof/>
                <w:webHidden/>
              </w:rPr>
              <w:fldChar w:fldCharType="end"/>
            </w:r>
          </w:hyperlink>
        </w:p>
        <w:p w14:paraId="0FF2B5B4" w14:textId="77777777" w:rsidR="00D1157D" w:rsidRDefault="00D1157D">
          <w:pPr>
            <w:pStyle w:val="TOC3"/>
            <w:rPr>
              <w:rFonts w:asciiTheme="minorHAnsi" w:eastAsiaTheme="minorEastAsia" w:hAnsiTheme="minorHAnsi" w:cstheme="minorBidi"/>
              <w:noProof/>
              <w:lang w:eastAsia="en-AU"/>
            </w:rPr>
          </w:pPr>
          <w:hyperlink w:anchor="_Toc522802904" w:history="1">
            <w:r w:rsidRPr="00476788">
              <w:rPr>
                <w:rStyle w:val="Hyperlink"/>
                <w:noProof/>
              </w:rPr>
              <w:t>First round benefit-risk assessment</w:t>
            </w:r>
            <w:r>
              <w:rPr>
                <w:noProof/>
                <w:webHidden/>
              </w:rPr>
              <w:tab/>
            </w:r>
            <w:r>
              <w:rPr>
                <w:noProof/>
                <w:webHidden/>
              </w:rPr>
              <w:fldChar w:fldCharType="begin"/>
            </w:r>
            <w:r>
              <w:rPr>
                <w:noProof/>
                <w:webHidden/>
              </w:rPr>
              <w:instrText xml:space="preserve"> PAGEREF _Toc522802904 \h </w:instrText>
            </w:r>
            <w:r>
              <w:rPr>
                <w:noProof/>
                <w:webHidden/>
              </w:rPr>
            </w:r>
            <w:r>
              <w:rPr>
                <w:noProof/>
                <w:webHidden/>
              </w:rPr>
              <w:fldChar w:fldCharType="separate"/>
            </w:r>
            <w:r>
              <w:rPr>
                <w:noProof/>
                <w:webHidden/>
              </w:rPr>
              <w:t>14</w:t>
            </w:r>
            <w:r>
              <w:rPr>
                <w:noProof/>
                <w:webHidden/>
              </w:rPr>
              <w:fldChar w:fldCharType="end"/>
            </w:r>
          </w:hyperlink>
        </w:p>
        <w:p w14:paraId="6D316998" w14:textId="77777777" w:rsidR="00D1157D" w:rsidRDefault="00D1157D">
          <w:pPr>
            <w:pStyle w:val="TOC3"/>
            <w:rPr>
              <w:rFonts w:asciiTheme="minorHAnsi" w:eastAsiaTheme="minorEastAsia" w:hAnsiTheme="minorHAnsi" w:cstheme="minorBidi"/>
              <w:noProof/>
              <w:lang w:eastAsia="en-AU"/>
            </w:rPr>
          </w:pPr>
          <w:hyperlink w:anchor="_Toc522802905" w:history="1">
            <w:r w:rsidRPr="00476788">
              <w:rPr>
                <w:rStyle w:val="Hyperlink"/>
                <w:noProof/>
              </w:rPr>
              <w:t>First round recommendation regarding authorisation</w:t>
            </w:r>
            <w:r>
              <w:rPr>
                <w:noProof/>
                <w:webHidden/>
              </w:rPr>
              <w:tab/>
            </w:r>
            <w:r>
              <w:rPr>
                <w:noProof/>
                <w:webHidden/>
              </w:rPr>
              <w:fldChar w:fldCharType="begin"/>
            </w:r>
            <w:r>
              <w:rPr>
                <w:noProof/>
                <w:webHidden/>
              </w:rPr>
              <w:instrText xml:space="preserve"> PAGEREF _Toc522802905 \h </w:instrText>
            </w:r>
            <w:r>
              <w:rPr>
                <w:noProof/>
                <w:webHidden/>
              </w:rPr>
            </w:r>
            <w:r>
              <w:rPr>
                <w:noProof/>
                <w:webHidden/>
              </w:rPr>
              <w:fldChar w:fldCharType="separate"/>
            </w:r>
            <w:r>
              <w:rPr>
                <w:noProof/>
                <w:webHidden/>
              </w:rPr>
              <w:t>16</w:t>
            </w:r>
            <w:r>
              <w:rPr>
                <w:noProof/>
                <w:webHidden/>
              </w:rPr>
              <w:fldChar w:fldCharType="end"/>
            </w:r>
          </w:hyperlink>
        </w:p>
        <w:p w14:paraId="1BACD6B2" w14:textId="77777777" w:rsidR="00D1157D" w:rsidRDefault="00D1157D">
          <w:pPr>
            <w:pStyle w:val="TOC3"/>
            <w:rPr>
              <w:rFonts w:asciiTheme="minorHAnsi" w:eastAsiaTheme="minorEastAsia" w:hAnsiTheme="minorHAnsi" w:cstheme="minorBidi"/>
              <w:noProof/>
              <w:lang w:eastAsia="en-AU"/>
            </w:rPr>
          </w:pPr>
          <w:hyperlink w:anchor="_Toc522802906" w:history="1">
            <w:r w:rsidRPr="00476788">
              <w:rPr>
                <w:rStyle w:val="Hyperlink"/>
                <w:noProof/>
              </w:rPr>
              <w:t>Second round evaluation</w:t>
            </w:r>
            <w:r>
              <w:rPr>
                <w:noProof/>
                <w:webHidden/>
              </w:rPr>
              <w:tab/>
            </w:r>
            <w:r>
              <w:rPr>
                <w:noProof/>
                <w:webHidden/>
              </w:rPr>
              <w:fldChar w:fldCharType="begin"/>
            </w:r>
            <w:r>
              <w:rPr>
                <w:noProof/>
                <w:webHidden/>
              </w:rPr>
              <w:instrText xml:space="preserve"> PAGEREF _Toc522802906 \h </w:instrText>
            </w:r>
            <w:r>
              <w:rPr>
                <w:noProof/>
                <w:webHidden/>
              </w:rPr>
            </w:r>
            <w:r>
              <w:rPr>
                <w:noProof/>
                <w:webHidden/>
              </w:rPr>
              <w:fldChar w:fldCharType="separate"/>
            </w:r>
            <w:r>
              <w:rPr>
                <w:noProof/>
                <w:webHidden/>
              </w:rPr>
              <w:t>16</w:t>
            </w:r>
            <w:r>
              <w:rPr>
                <w:noProof/>
                <w:webHidden/>
              </w:rPr>
              <w:fldChar w:fldCharType="end"/>
            </w:r>
          </w:hyperlink>
        </w:p>
        <w:p w14:paraId="50B5227C" w14:textId="77777777" w:rsidR="00D1157D" w:rsidRDefault="00D1157D">
          <w:pPr>
            <w:pStyle w:val="TOC3"/>
            <w:rPr>
              <w:rFonts w:asciiTheme="minorHAnsi" w:eastAsiaTheme="minorEastAsia" w:hAnsiTheme="minorHAnsi" w:cstheme="minorBidi"/>
              <w:noProof/>
              <w:lang w:eastAsia="en-AU"/>
            </w:rPr>
          </w:pPr>
          <w:hyperlink w:anchor="_Toc522802907" w:history="1">
            <w:r w:rsidRPr="00476788">
              <w:rPr>
                <w:rStyle w:val="Hyperlink"/>
                <w:noProof/>
              </w:rPr>
              <w:t>Second round benefit-risk assessment</w:t>
            </w:r>
            <w:r>
              <w:rPr>
                <w:noProof/>
                <w:webHidden/>
              </w:rPr>
              <w:tab/>
            </w:r>
            <w:r>
              <w:rPr>
                <w:noProof/>
                <w:webHidden/>
              </w:rPr>
              <w:fldChar w:fldCharType="begin"/>
            </w:r>
            <w:r>
              <w:rPr>
                <w:noProof/>
                <w:webHidden/>
              </w:rPr>
              <w:instrText xml:space="preserve"> PAGEREF _Toc522802907 \h </w:instrText>
            </w:r>
            <w:r>
              <w:rPr>
                <w:noProof/>
                <w:webHidden/>
              </w:rPr>
            </w:r>
            <w:r>
              <w:rPr>
                <w:noProof/>
                <w:webHidden/>
              </w:rPr>
              <w:fldChar w:fldCharType="separate"/>
            </w:r>
            <w:r>
              <w:rPr>
                <w:noProof/>
                <w:webHidden/>
              </w:rPr>
              <w:t>16</w:t>
            </w:r>
            <w:r>
              <w:rPr>
                <w:noProof/>
                <w:webHidden/>
              </w:rPr>
              <w:fldChar w:fldCharType="end"/>
            </w:r>
          </w:hyperlink>
        </w:p>
        <w:p w14:paraId="4FF8D540" w14:textId="77777777" w:rsidR="00D1157D" w:rsidRDefault="00D1157D">
          <w:pPr>
            <w:pStyle w:val="TOC2"/>
            <w:rPr>
              <w:rFonts w:asciiTheme="minorHAnsi" w:eastAsiaTheme="minorEastAsia" w:hAnsiTheme="minorHAnsi" w:cstheme="minorBidi"/>
              <w:b w:val="0"/>
              <w:noProof/>
              <w:sz w:val="22"/>
              <w:lang w:eastAsia="en-AU"/>
            </w:rPr>
          </w:pPr>
          <w:hyperlink w:anchor="_Toc522802908" w:history="1">
            <w:r w:rsidRPr="00476788">
              <w:rPr>
                <w:rStyle w:val="Hyperlink"/>
                <w:noProof/>
              </w:rPr>
              <w:t>VI. Pharmacovigilance findings</w:t>
            </w:r>
            <w:r>
              <w:rPr>
                <w:noProof/>
                <w:webHidden/>
              </w:rPr>
              <w:tab/>
            </w:r>
            <w:r>
              <w:rPr>
                <w:noProof/>
                <w:webHidden/>
              </w:rPr>
              <w:fldChar w:fldCharType="begin"/>
            </w:r>
            <w:r>
              <w:rPr>
                <w:noProof/>
                <w:webHidden/>
              </w:rPr>
              <w:instrText xml:space="preserve"> PAGEREF _Toc522802908 \h </w:instrText>
            </w:r>
            <w:r>
              <w:rPr>
                <w:noProof/>
                <w:webHidden/>
              </w:rPr>
            </w:r>
            <w:r>
              <w:rPr>
                <w:noProof/>
                <w:webHidden/>
              </w:rPr>
              <w:fldChar w:fldCharType="separate"/>
            </w:r>
            <w:r>
              <w:rPr>
                <w:noProof/>
                <w:webHidden/>
              </w:rPr>
              <w:t>16</w:t>
            </w:r>
            <w:r>
              <w:rPr>
                <w:noProof/>
                <w:webHidden/>
              </w:rPr>
              <w:fldChar w:fldCharType="end"/>
            </w:r>
          </w:hyperlink>
        </w:p>
        <w:p w14:paraId="1819C8CD" w14:textId="77777777" w:rsidR="00D1157D" w:rsidRDefault="00D1157D">
          <w:pPr>
            <w:pStyle w:val="TOC3"/>
            <w:rPr>
              <w:rFonts w:asciiTheme="minorHAnsi" w:eastAsiaTheme="minorEastAsia" w:hAnsiTheme="minorHAnsi" w:cstheme="minorBidi"/>
              <w:noProof/>
              <w:lang w:eastAsia="en-AU"/>
            </w:rPr>
          </w:pPr>
          <w:hyperlink w:anchor="_Toc522802909" w:history="1">
            <w:r w:rsidRPr="00476788">
              <w:rPr>
                <w:rStyle w:val="Hyperlink"/>
                <w:noProof/>
                <w:lang w:eastAsia="en-AU"/>
              </w:rPr>
              <w:t>Risk management plan</w:t>
            </w:r>
            <w:r>
              <w:rPr>
                <w:noProof/>
                <w:webHidden/>
              </w:rPr>
              <w:tab/>
            </w:r>
            <w:r>
              <w:rPr>
                <w:noProof/>
                <w:webHidden/>
              </w:rPr>
              <w:fldChar w:fldCharType="begin"/>
            </w:r>
            <w:r>
              <w:rPr>
                <w:noProof/>
                <w:webHidden/>
              </w:rPr>
              <w:instrText xml:space="preserve"> PAGEREF _Toc522802909 \h </w:instrText>
            </w:r>
            <w:r>
              <w:rPr>
                <w:noProof/>
                <w:webHidden/>
              </w:rPr>
            </w:r>
            <w:r>
              <w:rPr>
                <w:noProof/>
                <w:webHidden/>
              </w:rPr>
              <w:fldChar w:fldCharType="separate"/>
            </w:r>
            <w:r>
              <w:rPr>
                <w:noProof/>
                <w:webHidden/>
              </w:rPr>
              <w:t>16</w:t>
            </w:r>
            <w:r>
              <w:rPr>
                <w:noProof/>
                <w:webHidden/>
              </w:rPr>
              <w:fldChar w:fldCharType="end"/>
            </w:r>
          </w:hyperlink>
        </w:p>
        <w:p w14:paraId="30391E11" w14:textId="77777777" w:rsidR="00D1157D" w:rsidRDefault="00D1157D">
          <w:pPr>
            <w:pStyle w:val="TOC2"/>
            <w:rPr>
              <w:rFonts w:asciiTheme="minorHAnsi" w:eastAsiaTheme="minorEastAsia" w:hAnsiTheme="minorHAnsi" w:cstheme="minorBidi"/>
              <w:b w:val="0"/>
              <w:noProof/>
              <w:sz w:val="22"/>
              <w:lang w:eastAsia="en-AU"/>
            </w:rPr>
          </w:pPr>
          <w:hyperlink w:anchor="_Toc522802910" w:history="1">
            <w:r w:rsidRPr="00476788">
              <w:rPr>
                <w:rStyle w:val="Hyperlink"/>
                <w:noProof/>
              </w:rPr>
              <w:t>VII. Overall conclusion and risk/benefit assessment</w:t>
            </w:r>
            <w:r>
              <w:rPr>
                <w:noProof/>
                <w:webHidden/>
              </w:rPr>
              <w:tab/>
            </w:r>
            <w:r>
              <w:rPr>
                <w:noProof/>
                <w:webHidden/>
              </w:rPr>
              <w:fldChar w:fldCharType="begin"/>
            </w:r>
            <w:r>
              <w:rPr>
                <w:noProof/>
                <w:webHidden/>
              </w:rPr>
              <w:instrText xml:space="preserve"> PAGEREF _Toc522802910 \h </w:instrText>
            </w:r>
            <w:r>
              <w:rPr>
                <w:noProof/>
                <w:webHidden/>
              </w:rPr>
            </w:r>
            <w:r>
              <w:rPr>
                <w:noProof/>
                <w:webHidden/>
              </w:rPr>
              <w:fldChar w:fldCharType="separate"/>
            </w:r>
            <w:r>
              <w:rPr>
                <w:noProof/>
                <w:webHidden/>
              </w:rPr>
              <w:t>19</w:t>
            </w:r>
            <w:r>
              <w:rPr>
                <w:noProof/>
                <w:webHidden/>
              </w:rPr>
              <w:fldChar w:fldCharType="end"/>
            </w:r>
          </w:hyperlink>
        </w:p>
        <w:p w14:paraId="1A43317E" w14:textId="77777777" w:rsidR="00D1157D" w:rsidRDefault="00D1157D">
          <w:pPr>
            <w:pStyle w:val="TOC3"/>
            <w:rPr>
              <w:rFonts w:asciiTheme="minorHAnsi" w:eastAsiaTheme="minorEastAsia" w:hAnsiTheme="minorHAnsi" w:cstheme="minorBidi"/>
              <w:noProof/>
              <w:lang w:eastAsia="en-AU"/>
            </w:rPr>
          </w:pPr>
          <w:hyperlink w:anchor="_Toc522802911" w:history="1">
            <w:r w:rsidRPr="00476788">
              <w:rPr>
                <w:rStyle w:val="Hyperlink"/>
                <w:noProof/>
              </w:rPr>
              <w:t>Quality</w:t>
            </w:r>
            <w:r>
              <w:rPr>
                <w:noProof/>
                <w:webHidden/>
              </w:rPr>
              <w:tab/>
            </w:r>
            <w:r>
              <w:rPr>
                <w:noProof/>
                <w:webHidden/>
              </w:rPr>
              <w:fldChar w:fldCharType="begin"/>
            </w:r>
            <w:r>
              <w:rPr>
                <w:noProof/>
                <w:webHidden/>
              </w:rPr>
              <w:instrText xml:space="preserve"> PAGEREF _Toc522802911 \h </w:instrText>
            </w:r>
            <w:r>
              <w:rPr>
                <w:noProof/>
                <w:webHidden/>
              </w:rPr>
            </w:r>
            <w:r>
              <w:rPr>
                <w:noProof/>
                <w:webHidden/>
              </w:rPr>
              <w:fldChar w:fldCharType="separate"/>
            </w:r>
            <w:r>
              <w:rPr>
                <w:noProof/>
                <w:webHidden/>
              </w:rPr>
              <w:t>19</w:t>
            </w:r>
            <w:r>
              <w:rPr>
                <w:noProof/>
                <w:webHidden/>
              </w:rPr>
              <w:fldChar w:fldCharType="end"/>
            </w:r>
          </w:hyperlink>
        </w:p>
        <w:p w14:paraId="1ECE74E9" w14:textId="77777777" w:rsidR="00D1157D" w:rsidRDefault="00D1157D">
          <w:pPr>
            <w:pStyle w:val="TOC3"/>
            <w:rPr>
              <w:rFonts w:asciiTheme="minorHAnsi" w:eastAsiaTheme="minorEastAsia" w:hAnsiTheme="minorHAnsi" w:cstheme="minorBidi"/>
              <w:noProof/>
              <w:lang w:eastAsia="en-AU"/>
            </w:rPr>
          </w:pPr>
          <w:hyperlink w:anchor="_Toc522802912" w:history="1">
            <w:r w:rsidRPr="00476788">
              <w:rPr>
                <w:rStyle w:val="Hyperlink"/>
                <w:noProof/>
              </w:rPr>
              <w:t>Nonclinical</w:t>
            </w:r>
            <w:r>
              <w:rPr>
                <w:noProof/>
                <w:webHidden/>
              </w:rPr>
              <w:tab/>
            </w:r>
            <w:r>
              <w:rPr>
                <w:noProof/>
                <w:webHidden/>
              </w:rPr>
              <w:fldChar w:fldCharType="begin"/>
            </w:r>
            <w:r>
              <w:rPr>
                <w:noProof/>
                <w:webHidden/>
              </w:rPr>
              <w:instrText xml:space="preserve"> PAGEREF _Toc522802912 \h </w:instrText>
            </w:r>
            <w:r>
              <w:rPr>
                <w:noProof/>
                <w:webHidden/>
              </w:rPr>
            </w:r>
            <w:r>
              <w:rPr>
                <w:noProof/>
                <w:webHidden/>
              </w:rPr>
              <w:fldChar w:fldCharType="separate"/>
            </w:r>
            <w:r>
              <w:rPr>
                <w:noProof/>
                <w:webHidden/>
              </w:rPr>
              <w:t>19</w:t>
            </w:r>
            <w:r>
              <w:rPr>
                <w:noProof/>
                <w:webHidden/>
              </w:rPr>
              <w:fldChar w:fldCharType="end"/>
            </w:r>
          </w:hyperlink>
        </w:p>
        <w:p w14:paraId="7167C2B8" w14:textId="77777777" w:rsidR="00D1157D" w:rsidRDefault="00D1157D">
          <w:pPr>
            <w:pStyle w:val="TOC3"/>
            <w:rPr>
              <w:rFonts w:asciiTheme="minorHAnsi" w:eastAsiaTheme="minorEastAsia" w:hAnsiTheme="minorHAnsi" w:cstheme="minorBidi"/>
              <w:noProof/>
              <w:lang w:eastAsia="en-AU"/>
            </w:rPr>
          </w:pPr>
          <w:hyperlink w:anchor="_Toc522802913" w:history="1">
            <w:r w:rsidRPr="00476788">
              <w:rPr>
                <w:rStyle w:val="Hyperlink"/>
                <w:noProof/>
              </w:rPr>
              <w:t>Clinical</w:t>
            </w:r>
            <w:r>
              <w:rPr>
                <w:noProof/>
                <w:webHidden/>
              </w:rPr>
              <w:tab/>
            </w:r>
            <w:r>
              <w:rPr>
                <w:noProof/>
                <w:webHidden/>
              </w:rPr>
              <w:fldChar w:fldCharType="begin"/>
            </w:r>
            <w:r>
              <w:rPr>
                <w:noProof/>
                <w:webHidden/>
              </w:rPr>
              <w:instrText xml:space="preserve"> PAGEREF _Toc522802913 \h </w:instrText>
            </w:r>
            <w:r>
              <w:rPr>
                <w:noProof/>
                <w:webHidden/>
              </w:rPr>
            </w:r>
            <w:r>
              <w:rPr>
                <w:noProof/>
                <w:webHidden/>
              </w:rPr>
              <w:fldChar w:fldCharType="separate"/>
            </w:r>
            <w:r>
              <w:rPr>
                <w:noProof/>
                <w:webHidden/>
              </w:rPr>
              <w:t>19</w:t>
            </w:r>
            <w:r>
              <w:rPr>
                <w:noProof/>
                <w:webHidden/>
              </w:rPr>
              <w:fldChar w:fldCharType="end"/>
            </w:r>
          </w:hyperlink>
        </w:p>
        <w:p w14:paraId="34A5EFE6" w14:textId="77777777" w:rsidR="00D1157D" w:rsidRDefault="00D1157D">
          <w:pPr>
            <w:pStyle w:val="TOC3"/>
            <w:rPr>
              <w:rFonts w:asciiTheme="minorHAnsi" w:eastAsiaTheme="minorEastAsia" w:hAnsiTheme="minorHAnsi" w:cstheme="minorBidi"/>
              <w:noProof/>
              <w:lang w:eastAsia="en-AU"/>
            </w:rPr>
          </w:pPr>
          <w:hyperlink w:anchor="_Toc522802914" w:history="1">
            <w:r w:rsidRPr="00476788">
              <w:rPr>
                <w:rStyle w:val="Hyperlink"/>
                <w:noProof/>
                <w:lang w:eastAsia="en-AU"/>
              </w:rPr>
              <w:t>Risk management plan</w:t>
            </w:r>
            <w:r>
              <w:rPr>
                <w:noProof/>
                <w:webHidden/>
              </w:rPr>
              <w:tab/>
            </w:r>
            <w:r>
              <w:rPr>
                <w:noProof/>
                <w:webHidden/>
              </w:rPr>
              <w:fldChar w:fldCharType="begin"/>
            </w:r>
            <w:r>
              <w:rPr>
                <w:noProof/>
                <w:webHidden/>
              </w:rPr>
              <w:instrText xml:space="preserve"> PAGEREF _Toc522802914 \h </w:instrText>
            </w:r>
            <w:r>
              <w:rPr>
                <w:noProof/>
                <w:webHidden/>
              </w:rPr>
            </w:r>
            <w:r>
              <w:rPr>
                <w:noProof/>
                <w:webHidden/>
              </w:rPr>
              <w:fldChar w:fldCharType="separate"/>
            </w:r>
            <w:r>
              <w:rPr>
                <w:noProof/>
                <w:webHidden/>
              </w:rPr>
              <w:t>27</w:t>
            </w:r>
            <w:r>
              <w:rPr>
                <w:noProof/>
                <w:webHidden/>
              </w:rPr>
              <w:fldChar w:fldCharType="end"/>
            </w:r>
          </w:hyperlink>
        </w:p>
        <w:p w14:paraId="5CF12956" w14:textId="77777777" w:rsidR="00D1157D" w:rsidRDefault="00D1157D">
          <w:pPr>
            <w:pStyle w:val="TOC3"/>
            <w:rPr>
              <w:rFonts w:asciiTheme="minorHAnsi" w:eastAsiaTheme="minorEastAsia" w:hAnsiTheme="minorHAnsi" w:cstheme="minorBidi"/>
              <w:noProof/>
              <w:lang w:eastAsia="en-AU"/>
            </w:rPr>
          </w:pPr>
          <w:hyperlink w:anchor="_Toc522802915" w:history="1">
            <w:r w:rsidRPr="00476788">
              <w:rPr>
                <w:rStyle w:val="Hyperlink"/>
                <w:noProof/>
              </w:rPr>
              <w:t>Risk-benefit analysis</w:t>
            </w:r>
            <w:r>
              <w:rPr>
                <w:noProof/>
                <w:webHidden/>
              </w:rPr>
              <w:tab/>
            </w:r>
            <w:r>
              <w:rPr>
                <w:noProof/>
                <w:webHidden/>
              </w:rPr>
              <w:fldChar w:fldCharType="begin"/>
            </w:r>
            <w:r>
              <w:rPr>
                <w:noProof/>
                <w:webHidden/>
              </w:rPr>
              <w:instrText xml:space="preserve"> PAGEREF _Toc522802915 \h </w:instrText>
            </w:r>
            <w:r>
              <w:rPr>
                <w:noProof/>
                <w:webHidden/>
              </w:rPr>
            </w:r>
            <w:r>
              <w:rPr>
                <w:noProof/>
                <w:webHidden/>
              </w:rPr>
              <w:fldChar w:fldCharType="separate"/>
            </w:r>
            <w:r>
              <w:rPr>
                <w:noProof/>
                <w:webHidden/>
              </w:rPr>
              <w:t>27</w:t>
            </w:r>
            <w:r>
              <w:rPr>
                <w:noProof/>
                <w:webHidden/>
              </w:rPr>
              <w:fldChar w:fldCharType="end"/>
            </w:r>
          </w:hyperlink>
        </w:p>
        <w:p w14:paraId="2ACBBFD4" w14:textId="77777777" w:rsidR="00D1157D" w:rsidRDefault="00D1157D">
          <w:pPr>
            <w:pStyle w:val="TOC3"/>
            <w:rPr>
              <w:rFonts w:asciiTheme="minorHAnsi" w:eastAsiaTheme="minorEastAsia" w:hAnsiTheme="minorHAnsi" w:cstheme="minorBidi"/>
              <w:noProof/>
              <w:lang w:eastAsia="en-AU"/>
            </w:rPr>
          </w:pPr>
          <w:hyperlink w:anchor="_Toc522802916" w:history="1">
            <w:r w:rsidRPr="00476788">
              <w:rPr>
                <w:rStyle w:val="Hyperlink"/>
                <w:noProof/>
              </w:rPr>
              <w:t>Outcome</w:t>
            </w:r>
            <w:r>
              <w:rPr>
                <w:noProof/>
                <w:webHidden/>
              </w:rPr>
              <w:tab/>
            </w:r>
            <w:r>
              <w:rPr>
                <w:noProof/>
                <w:webHidden/>
              </w:rPr>
              <w:fldChar w:fldCharType="begin"/>
            </w:r>
            <w:r>
              <w:rPr>
                <w:noProof/>
                <w:webHidden/>
              </w:rPr>
              <w:instrText xml:space="preserve"> PAGEREF _Toc522802916 \h </w:instrText>
            </w:r>
            <w:r>
              <w:rPr>
                <w:noProof/>
                <w:webHidden/>
              </w:rPr>
            </w:r>
            <w:r>
              <w:rPr>
                <w:noProof/>
                <w:webHidden/>
              </w:rPr>
              <w:fldChar w:fldCharType="separate"/>
            </w:r>
            <w:r>
              <w:rPr>
                <w:noProof/>
                <w:webHidden/>
              </w:rPr>
              <w:t>30</w:t>
            </w:r>
            <w:r>
              <w:rPr>
                <w:noProof/>
                <w:webHidden/>
              </w:rPr>
              <w:fldChar w:fldCharType="end"/>
            </w:r>
          </w:hyperlink>
        </w:p>
        <w:p w14:paraId="658AFDF5" w14:textId="77777777" w:rsidR="00D1157D" w:rsidRDefault="00D1157D">
          <w:pPr>
            <w:pStyle w:val="TOC2"/>
            <w:rPr>
              <w:rFonts w:asciiTheme="minorHAnsi" w:eastAsiaTheme="minorEastAsia" w:hAnsiTheme="minorHAnsi" w:cstheme="minorBidi"/>
              <w:b w:val="0"/>
              <w:noProof/>
              <w:sz w:val="22"/>
              <w:lang w:eastAsia="en-AU"/>
            </w:rPr>
          </w:pPr>
          <w:hyperlink w:anchor="_Toc522802917" w:history="1">
            <w:r w:rsidRPr="00476788">
              <w:rPr>
                <w:rStyle w:val="Hyperlink"/>
                <w:noProof/>
              </w:rPr>
              <w:t>Attachment 1. Product Information</w:t>
            </w:r>
            <w:r>
              <w:rPr>
                <w:noProof/>
                <w:webHidden/>
              </w:rPr>
              <w:tab/>
            </w:r>
            <w:r>
              <w:rPr>
                <w:noProof/>
                <w:webHidden/>
              </w:rPr>
              <w:fldChar w:fldCharType="begin"/>
            </w:r>
            <w:r>
              <w:rPr>
                <w:noProof/>
                <w:webHidden/>
              </w:rPr>
              <w:instrText xml:space="preserve"> PAGEREF _Toc522802917 \h </w:instrText>
            </w:r>
            <w:r>
              <w:rPr>
                <w:noProof/>
                <w:webHidden/>
              </w:rPr>
            </w:r>
            <w:r>
              <w:rPr>
                <w:noProof/>
                <w:webHidden/>
              </w:rPr>
              <w:fldChar w:fldCharType="separate"/>
            </w:r>
            <w:r>
              <w:rPr>
                <w:noProof/>
                <w:webHidden/>
              </w:rPr>
              <w:t>31</w:t>
            </w:r>
            <w:r>
              <w:rPr>
                <w:noProof/>
                <w:webHidden/>
              </w:rPr>
              <w:fldChar w:fldCharType="end"/>
            </w:r>
          </w:hyperlink>
        </w:p>
        <w:p w14:paraId="203D86F5" w14:textId="77777777" w:rsidR="00D1157D" w:rsidRDefault="00D1157D">
          <w:pPr>
            <w:pStyle w:val="TOC2"/>
            <w:rPr>
              <w:rFonts w:asciiTheme="minorHAnsi" w:eastAsiaTheme="minorEastAsia" w:hAnsiTheme="minorHAnsi" w:cstheme="minorBidi"/>
              <w:b w:val="0"/>
              <w:noProof/>
              <w:sz w:val="22"/>
              <w:lang w:eastAsia="en-AU"/>
            </w:rPr>
          </w:pPr>
          <w:hyperlink w:anchor="_Toc522802918" w:history="1">
            <w:r w:rsidRPr="00476788">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_Toc522802918 \h </w:instrText>
            </w:r>
            <w:r>
              <w:rPr>
                <w:noProof/>
                <w:webHidden/>
              </w:rPr>
            </w:r>
            <w:r>
              <w:rPr>
                <w:noProof/>
                <w:webHidden/>
              </w:rPr>
              <w:fldChar w:fldCharType="separate"/>
            </w:r>
            <w:r>
              <w:rPr>
                <w:noProof/>
                <w:webHidden/>
              </w:rPr>
              <w:t>31</w:t>
            </w:r>
            <w:r>
              <w:rPr>
                <w:noProof/>
                <w:webHidden/>
              </w:rPr>
              <w:fldChar w:fldCharType="end"/>
            </w:r>
          </w:hyperlink>
        </w:p>
        <w:p w14:paraId="357CB4E0" w14:textId="77777777" w:rsidR="003A7F6C" w:rsidRPr="00B811C6" w:rsidRDefault="00DB6124" w:rsidP="00B811C6">
          <w:pPr>
            <w:pStyle w:val="TOC2"/>
          </w:pPr>
          <w:r>
            <w:fldChar w:fldCharType="end"/>
          </w:r>
        </w:p>
      </w:sdtContent>
    </w:sdt>
    <w:bookmarkStart w:id="3" w:name="_Toc314842482" w:displacedByCustomXml="prev"/>
    <w:p w14:paraId="0C33B837" w14:textId="77777777" w:rsidR="00FD119B" w:rsidRDefault="00FD119B">
      <w:pPr>
        <w:spacing w:before="0" w:after="200" w:line="0" w:lineRule="auto"/>
      </w:pPr>
      <w:r>
        <w:br w:type="page"/>
      </w:r>
    </w:p>
    <w:p w14:paraId="372ECA5B" w14:textId="77777777" w:rsidR="00FD119B" w:rsidRDefault="00441C3F" w:rsidP="004F0C4A">
      <w:pPr>
        <w:pStyle w:val="Heading2"/>
      </w:pPr>
      <w:bookmarkStart w:id="4" w:name="_Toc351716269"/>
      <w:bookmarkStart w:id="5" w:name="_Toc351718881"/>
      <w:bookmarkStart w:id="6" w:name="_Toc355338616"/>
      <w:bookmarkStart w:id="7" w:name="_Toc356306144"/>
      <w:bookmarkStart w:id="8" w:name="_Toc522802888"/>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90"/>
        <w:gridCol w:w="6830"/>
      </w:tblGrid>
      <w:tr w:rsidR="00747FD1" w14:paraId="267D5552" w14:textId="77777777" w:rsidTr="00747FD1">
        <w:trPr>
          <w:cnfStyle w:val="100000000000" w:firstRow="1" w:lastRow="0" w:firstColumn="0" w:lastColumn="0" w:oddVBand="0" w:evenVBand="0" w:oddHBand="0" w:evenHBand="0" w:firstRowFirstColumn="0" w:firstRowLastColumn="0" w:lastRowFirstColumn="0" w:lastRowLastColumn="0"/>
          <w:cantSplit/>
        </w:trPr>
        <w:tc>
          <w:tcPr>
            <w:tcW w:w="1890" w:type="dxa"/>
            <w:hideMark/>
          </w:tcPr>
          <w:p w14:paraId="1915DDA0" w14:textId="77777777" w:rsidR="00747FD1" w:rsidRDefault="00747FD1" w:rsidP="004B303A">
            <w:r>
              <w:t>Abbreviation</w:t>
            </w:r>
          </w:p>
        </w:tc>
        <w:tc>
          <w:tcPr>
            <w:tcW w:w="6830" w:type="dxa"/>
            <w:hideMark/>
          </w:tcPr>
          <w:p w14:paraId="76E4116C" w14:textId="77777777" w:rsidR="00747FD1" w:rsidRDefault="00747FD1" w:rsidP="004B303A">
            <w:r>
              <w:t>Meaning</w:t>
            </w:r>
          </w:p>
        </w:tc>
      </w:tr>
      <w:tr w:rsidR="00747FD1" w14:paraId="3DD5C686" w14:textId="77777777" w:rsidTr="00747FD1">
        <w:tc>
          <w:tcPr>
            <w:tcW w:w="1890" w:type="dxa"/>
            <w:hideMark/>
          </w:tcPr>
          <w:p w14:paraId="313EF2A6" w14:textId="77777777" w:rsidR="00747FD1" w:rsidRDefault="00747FD1" w:rsidP="004B303A">
            <w:r>
              <w:t>ADA</w:t>
            </w:r>
          </w:p>
        </w:tc>
        <w:tc>
          <w:tcPr>
            <w:tcW w:w="6830" w:type="dxa"/>
            <w:hideMark/>
          </w:tcPr>
          <w:p w14:paraId="56EF8532" w14:textId="77777777" w:rsidR="00747FD1" w:rsidRDefault="00747FD1" w:rsidP="004B303A">
            <w:r>
              <w:t>Anti-drug antibody</w:t>
            </w:r>
          </w:p>
        </w:tc>
      </w:tr>
      <w:tr w:rsidR="00747FD1" w14:paraId="62A8C082" w14:textId="77777777" w:rsidTr="00747FD1">
        <w:tc>
          <w:tcPr>
            <w:tcW w:w="1890" w:type="dxa"/>
            <w:hideMark/>
          </w:tcPr>
          <w:p w14:paraId="4D2DEA15" w14:textId="77777777" w:rsidR="00747FD1" w:rsidRDefault="00747FD1" w:rsidP="004B303A">
            <w:r>
              <w:t>AJCC</w:t>
            </w:r>
          </w:p>
        </w:tc>
        <w:tc>
          <w:tcPr>
            <w:tcW w:w="6830" w:type="dxa"/>
            <w:hideMark/>
          </w:tcPr>
          <w:p w14:paraId="7579F494" w14:textId="77777777" w:rsidR="00747FD1" w:rsidRDefault="00747FD1" w:rsidP="004B303A">
            <w:r>
              <w:t>American Joint Committee on Cancer</w:t>
            </w:r>
          </w:p>
        </w:tc>
      </w:tr>
      <w:tr w:rsidR="00747FD1" w14:paraId="3302EA22" w14:textId="77777777" w:rsidTr="00747FD1">
        <w:tc>
          <w:tcPr>
            <w:tcW w:w="1890" w:type="dxa"/>
            <w:hideMark/>
          </w:tcPr>
          <w:p w14:paraId="7EEE270B" w14:textId="77777777" w:rsidR="00747FD1" w:rsidRDefault="00747FD1" w:rsidP="004B303A">
            <w:r>
              <w:t>AM</w:t>
            </w:r>
          </w:p>
        </w:tc>
        <w:tc>
          <w:tcPr>
            <w:tcW w:w="6830" w:type="dxa"/>
            <w:hideMark/>
          </w:tcPr>
          <w:p w14:paraId="115CDFD0" w14:textId="77777777" w:rsidR="00747FD1" w:rsidRDefault="00747FD1" w:rsidP="004B303A">
            <w:r>
              <w:t>‘adjuvant melanoma’</w:t>
            </w:r>
          </w:p>
        </w:tc>
      </w:tr>
      <w:tr w:rsidR="00747FD1" w14:paraId="40434BB2" w14:textId="77777777" w:rsidTr="00747FD1">
        <w:tc>
          <w:tcPr>
            <w:tcW w:w="1890" w:type="dxa"/>
            <w:hideMark/>
          </w:tcPr>
          <w:p w14:paraId="11DCDD57" w14:textId="77777777" w:rsidR="00747FD1" w:rsidRDefault="00747FD1" w:rsidP="004B303A">
            <w:r>
              <w:t>BW</w:t>
            </w:r>
          </w:p>
        </w:tc>
        <w:tc>
          <w:tcPr>
            <w:tcW w:w="6830" w:type="dxa"/>
            <w:hideMark/>
          </w:tcPr>
          <w:p w14:paraId="612414EA" w14:textId="77777777" w:rsidR="00747FD1" w:rsidRDefault="00747FD1" w:rsidP="004B303A">
            <w:r>
              <w:t>Body weight</w:t>
            </w:r>
          </w:p>
        </w:tc>
      </w:tr>
      <w:tr w:rsidR="00747FD1" w14:paraId="52B64C0D" w14:textId="77777777" w:rsidTr="00747FD1">
        <w:tc>
          <w:tcPr>
            <w:tcW w:w="1890" w:type="dxa"/>
            <w:hideMark/>
          </w:tcPr>
          <w:p w14:paraId="70BBBAB6" w14:textId="77777777" w:rsidR="00747FD1" w:rsidRDefault="00747FD1" w:rsidP="004B303A">
            <w:r>
              <w:t>CO</w:t>
            </w:r>
          </w:p>
        </w:tc>
        <w:tc>
          <w:tcPr>
            <w:tcW w:w="6830" w:type="dxa"/>
            <w:hideMark/>
          </w:tcPr>
          <w:p w14:paraId="6CF6CA28" w14:textId="77777777" w:rsidR="00747FD1" w:rsidRDefault="00747FD1" w:rsidP="004B303A">
            <w:r>
              <w:t>Clinical overview</w:t>
            </w:r>
          </w:p>
        </w:tc>
      </w:tr>
      <w:tr w:rsidR="00747FD1" w14:paraId="5A43F133" w14:textId="77777777" w:rsidTr="00747FD1">
        <w:tc>
          <w:tcPr>
            <w:tcW w:w="1890" w:type="dxa"/>
            <w:hideMark/>
          </w:tcPr>
          <w:p w14:paraId="369081BD" w14:textId="77777777" w:rsidR="00747FD1" w:rsidRDefault="00747FD1" w:rsidP="004B303A">
            <w:r>
              <w:t>CSR</w:t>
            </w:r>
          </w:p>
        </w:tc>
        <w:tc>
          <w:tcPr>
            <w:tcW w:w="6830" w:type="dxa"/>
            <w:hideMark/>
          </w:tcPr>
          <w:p w14:paraId="60CE0287" w14:textId="77777777" w:rsidR="00747FD1" w:rsidRDefault="00747FD1" w:rsidP="004B303A">
            <w:r>
              <w:t>Clinical study report</w:t>
            </w:r>
          </w:p>
        </w:tc>
      </w:tr>
      <w:tr w:rsidR="00747FD1" w14:paraId="15EE52F6" w14:textId="77777777" w:rsidTr="00747FD1">
        <w:tc>
          <w:tcPr>
            <w:tcW w:w="1890" w:type="dxa"/>
            <w:hideMark/>
          </w:tcPr>
          <w:p w14:paraId="7B890A8A" w14:textId="77777777" w:rsidR="00747FD1" w:rsidRDefault="00747FD1" w:rsidP="004B303A">
            <w:r>
              <w:t>DMC</w:t>
            </w:r>
          </w:p>
        </w:tc>
        <w:tc>
          <w:tcPr>
            <w:tcW w:w="6830" w:type="dxa"/>
            <w:hideMark/>
          </w:tcPr>
          <w:p w14:paraId="5366483E" w14:textId="77777777" w:rsidR="00747FD1" w:rsidRDefault="00747FD1" w:rsidP="004B303A">
            <w:r>
              <w:t>Data Monitoring Committee</w:t>
            </w:r>
          </w:p>
        </w:tc>
      </w:tr>
      <w:tr w:rsidR="00747FD1" w14:paraId="5E5FF355" w14:textId="77777777" w:rsidTr="00747FD1">
        <w:tc>
          <w:tcPr>
            <w:tcW w:w="1890" w:type="dxa"/>
            <w:hideMark/>
          </w:tcPr>
          <w:p w14:paraId="72F15213" w14:textId="77777777" w:rsidR="00747FD1" w:rsidRDefault="00747FD1" w:rsidP="004B303A">
            <w:r>
              <w:t>DMFS</w:t>
            </w:r>
          </w:p>
        </w:tc>
        <w:tc>
          <w:tcPr>
            <w:tcW w:w="6830" w:type="dxa"/>
            <w:hideMark/>
          </w:tcPr>
          <w:p w14:paraId="2EE69146" w14:textId="77777777" w:rsidR="00747FD1" w:rsidRDefault="00747FD1" w:rsidP="004B303A">
            <w:r>
              <w:t>Distant metastasis-free survival</w:t>
            </w:r>
          </w:p>
        </w:tc>
      </w:tr>
      <w:tr w:rsidR="00747FD1" w14:paraId="08E36B20" w14:textId="77777777" w:rsidTr="00747FD1">
        <w:tc>
          <w:tcPr>
            <w:tcW w:w="1890" w:type="dxa"/>
            <w:hideMark/>
          </w:tcPr>
          <w:p w14:paraId="2206F9F8" w14:textId="77777777" w:rsidR="00747FD1" w:rsidRDefault="00747FD1" w:rsidP="004B303A">
            <w:r>
              <w:t>HR</w:t>
            </w:r>
          </w:p>
        </w:tc>
        <w:tc>
          <w:tcPr>
            <w:tcW w:w="6830" w:type="dxa"/>
            <w:hideMark/>
          </w:tcPr>
          <w:p w14:paraId="00B05CC4" w14:textId="77777777" w:rsidR="00747FD1" w:rsidRDefault="00747FD1" w:rsidP="004B303A">
            <w:r>
              <w:t>Hazard ratio</w:t>
            </w:r>
          </w:p>
        </w:tc>
      </w:tr>
      <w:tr w:rsidR="00747FD1" w14:paraId="73EC1C39" w14:textId="77777777" w:rsidTr="00747FD1">
        <w:tc>
          <w:tcPr>
            <w:tcW w:w="1890" w:type="dxa"/>
            <w:hideMark/>
          </w:tcPr>
          <w:p w14:paraId="17916CA4" w14:textId="77777777" w:rsidR="00747FD1" w:rsidRDefault="00747FD1" w:rsidP="004B303A">
            <w:r>
              <w:t>IMAE</w:t>
            </w:r>
          </w:p>
        </w:tc>
        <w:tc>
          <w:tcPr>
            <w:tcW w:w="6830" w:type="dxa"/>
            <w:hideMark/>
          </w:tcPr>
          <w:p w14:paraId="41018F88" w14:textId="77777777" w:rsidR="00747FD1" w:rsidRDefault="00747FD1" w:rsidP="004B303A">
            <w:r>
              <w:t>Immune-mediated Adverse events</w:t>
            </w:r>
          </w:p>
        </w:tc>
      </w:tr>
      <w:tr w:rsidR="00747FD1" w14:paraId="0DCA3704" w14:textId="77777777" w:rsidTr="00747FD1">
        <w:tc>
          <w:tcPr>
            <w:tcW w:w="1890" w:type="dxa"/>
            <w:hideMark/>
          </w:tcPr>
          <w:p w14:paraId="4403A7B3" w14:textId="77777777" w:rsidR="00747FD1" w:rsidRDefault="00747FD1" w:rsidP="004B303A">
            <w:r>
              <w:t>IrAEs</w:t>
            </w:r>
          </w:p>
        </w:tc>
        <w:tc>
          <w:tcPr>
            <w:tcW w:w="6830" w:type="dxa"/>
            <w:hideMark/>
          </w:tcPr>
          <w:p w14:paraId="5B455491" w14:textId="77777777" w:rsidR="00747FD1" w:rsidRDefault="00747FD1" w:rsidP="004B303A">
            <w:r>
              <w:t>Immune-related Adverse events</w:t>
            </w:r>
          </w:p>
        </w:tc>
      </w:tr>
      <w:tr w:rsidR="00747FD1" w14:paraId="216658B5" w14:textId="77777777" w:rsidTr="00747FD1">
        <w:tc>
          <w:tcPr>
            <w:tcW w:w="1890" w:type="dxa"/>
            <w:hideMark/>
          </w:tcPr>
          <w:p w14:paraId="21AD3CFE" w14:textId="77777777" w:rsidR="00747FD1" w:rsidRDefault="00747FD1" w:rsidP="004B303A">
            <w:r>
              <w:t>IRC</w:t>
            </w:r>
          </w:p>
        </w:tc>
        <w:tc>
          <w:tcPr>
            <w:tcW w:w="6830" w:type="dxa"/>
            <w:hideMark/>
          </w:tcPr>
          <w:p w14:paraId="0E099A05" w14:textId="77777777" w:rsidR="00747FD1" w:rsidRDefault="00747FD1" w:rsidP="004B303A">
            <w:r>
              <w:t>Independent review committee</w:t>
            </w:r>
          </w:p>
        </w:tc>
      </w:tr>
      <w:tr w:rsidR="00747FD1" w14:paraId="530C2C13" w14:textId="77777777" w:rsidTr="00747FD1">
        <w:tc>
          <w:tcPr>
            <w:tcW w:w="1890" w:type="dxa"/>
            <w:hideMark/>
          </w:tcPr>
          <w:p w14:paraId="6E65D5A4" w14:textId="77777777" w:rsidR="00747FD1" w:rsidRDefault="00747FD1" w:rsidP="004B303A">
            <w:r>
              <w:t>ITT</w:t>
            </w:r>
          </w:p>
        </w:tc>
        <w:tc>
          <w:tcPr>
            <w:tcW w:w="6830" w:type="dxa"/>
            <w:hideMark/>
          </w:tcPr>
          <w:p w14:paraId="53C1F621" w14:textId="77777777" w:rsidR="00747FD1" w:rsidRDefault="00747FD1" w:rsidP="004B303A">
            <w:r>
              <w:t>Intention to treat</w:t>
            </w:r>
          </w:p>
        </w:tc>
      </w:tr>
      <w:tr w:rsidR="00747FD1" w14:paraId="42C512D3" w14:textId="77777777" w:rsidTr="00747FD1">
        <w:tc>
          <w:tcPr>
            <w:tcW w:w="1890" w:type="dxa"/>
            <w:hideMark/>
          </w:tcPr>
          <w:p w14:paraId="1503B7D0" w14:textId="77777777" w:rsidR="00747FD1" w:rsidRDefault="00747FD1" w:rsidP="004B303A">
            <w:r>
              <w:t>NAB/NAb</w:t>
            </w:r>
          </w:p>
        </w:tc>
        <w:tc>
          <w:tcPr>
            <w:tcW w:w="6830" w:type="dxa"/>
            <w:hideMark/>
          </w:tcPr>
          <w:p w14:paraId="4AAF510C" w14:textId="1C543841" w:rsidR="00747FD1" w:rsidRDefault="007B002E" w:rsidP="004B303A">
            <w:r>
              <w:t xml:space="preserve">Neutralising </w:t>
            </w:r>
            <w:r w:rsidR="00747FD1">
              <w:t xml:space="preserve">anti-drug antibody </w:t>
            </w:r>
          </w:p>
        </w:tc>
      </w:tr>
      <w:tr w:rsidR="00747FD1" w14:paraId="4191E295" w14:textId="77777777" w:rsidTr="00747FD1">
        <w:tc>
          <w:tcPr>
            <w:tcW w:w="1890" w:type="dxa"/>
            <w:hideMark/>
          </w:tcPr>
          <w:p w14:paraId="1D6FFDD9" w14:textId="77777777" w:rsidR="00747FD1" w:rsidRDefault="00747FD1" w:rsidP="004B303A">
            <w:r>
              <w:t>NED</w:t>
            </w:r>
          </w:p>
        </w:tc>
        <w:tc>
          <w:tcPr>
            <w:tcW w:w="6830" w:type="dxa"/>
            <w:hideMark/>
          </w:tcPr>
          <w:p w14:paraId="6C6A3576" w14:textId="77777777" w:rsidR="00747FD1" w:rsidRDefault="00747FD1" w:rsidP="004B303A">
            <w:r>
              <w:t>No evidence of disease</w:t>
            </w:r>
          </w:p>
        </w:tc>
      </w:tr>
      <w:tr w:rsidR="00747FD1" w14:paraId="75090157" w14:textId="77777777" w:rsidTr="00747FD1">
        <w:tc>
          <w:tcPr>
            <w:tcW w:w="1890" w:type="dxa"/>
            <w:hideMark/>
          </w:tcPr>
          <w:p w14:paraId="14AE4B91" w14:textId="77777777" w:rsidR="00747FD1" w:rsidRDefault="00747FD1" w:rsidP="004B303A">
            <w:r>
              <w:t>OESI</w:t>
            </w:r>
          </w:p>
        </w:tc>
        <w:tc>
          <w:tcPr>
            <w:tcW w:w="6830" w:type="dxa"/>
            <w:hideMark/>
          </w:tcPr>
          <w:p w14:paraId="7D95C08E" w14:textId="77777777" w:rsidR="00747FD1" w:rsidRDefault="00747FD1" w:rsidP="004B303A">
            <w:r>
              <w:t>Other event of special interest</w:t>
            </w:r>
          </w:p>
        </w:tc>
      </w:tr>
      <w:tr w:rsidR="00747FD1" w14:paraId="63948AF1" w14:textId="77777777" w:rsidTr="00747FD1">
        <w:tc>
          <w:tcPr>
            <w:tcW w:w="1890" w:type="dxa"/>
            <w:hideMark/>
          </w:tcPr>
          <w:p w14:paraId="75856D40" w14:textId="77777777" w:rsidR="00747FD1" w:rsidRDefault="00747FD1" w:rsidP="004B303A">
            <w:r>
              <w:t>OS</w:t>
            </w:r>
          </w:p>
        </w:tc>
        <w:tc>
          <w:tcPr>
            <w:tcW w:w="6830" w:type="dxa"/>
            <w:hideMark/>
          </w:tcPr>
          <w:p w14:paraId="1ABD19D4" w14:textId="77777777" w:rsidR="00747FD1" w:rsidRDefault="00747FD1" w:rsidP="004B303A">
            <w:r>
              <w:t>Overall survival</w:t>
            </w:r>
          </w:p>
        </w:tc>
      </w:tr>
      <w:tr w:rsidR="00747FD1" w14:paraId="6D55C82A" w14:textId="77777777" w:rsidTr="00747FD1">
        <w:tc>
          <w:tcPr>
            <w:tcW w:w="1890" w:type="dxa"/>
            <w:hideMark/>
          </w:tcPr>
          <w:p w14:paraId="54A330D7" w14:textId="77777777" w:rsidR="00747FD1" w:rsidRDefault="00747FD1" w:rsidP="004B303A">
            <w:r>
              <w:t xml:space="preserve">PP </w:t>
            </w:r>
          </w:p>
        </w:tc>
        <w:tc>
          <w:tcPr>
            <w:tcW w:w="6830" w:type="dxa"/>
            <w:hideMark/>
          </w:tcPr>
          <w:p w14:paraId="13959A86" w14:textId="77777777" w:rsidR="00747FD1" w:rsidRDefault="00747FD1" w:rsidP="004B303A">
            <w:r>
              <w:t>Per protocol</w:t>
            </w:r>
          </w:p>
        </w:tc>
      </w:tr>
      <w:tr w:rsidR="00747FD1" w14:paraId="2A02942C" w14:textId="77777777" w:rsidTr="00747FD1">
        <w:tc>
          <w:tcPr>
            <w:tcW w:w="1890" w:type="dxa"/>
            <w:hideMark/>
          </w:tcPr>
          <w:p w14:paraId="0EECEA06" w14:textId="77777777" w:rsidR="00747FD1" w:rsidRDefault="00747FD1" w:rsidP="004B303A">
            <w:r>
              <w:t>PS</w:t>
            </w:r>
          </w:p>
        </w:tc>
        <w:tc>
          <w:tcPr>
            <w:tcW w:w="6830" w:type="dxa"/>
            <w:hideMark/>
          </w:tcPr>
          <w:p w14:paraId="31DA97E9" w14:textId="77777777" w:rsidR="00747FD1" w:rsidRDefault="00747FD1" w:rsidP="004B303A">
            <w:r>
              <w:t>Performance status</w:t>
            </w:r>
          </w:p>
        </w:tc>
      </w:tr>
      <w:tr w:rsidR="00747FD1" w14:paraId="0603EA68" w14:textId="77777777" w:rsidTr="00747FD1">
        <w:tc>
          <w:tcPr>
            <w:tcW w:w="1890" w:type="dxa"/>
            <w:hideMark/>
          </w:tcPr>
          <w:p w14:paraId="3FFB1D3F" w14:textId="77777777" w:rsidR="00747FD1" w:rsidRDefault="00747FD1" w:rsidP="004B303A">
            <w:r>
              <w:t>RFS</w:t>
            </w:r>
          </w:p>
        </w:tc>
        <w:tc>
          <w:tcPr>
            <w:tcW w:w="6830" w:type="dxa"/>
            <w:hideMark/>
          </w:tcPr>
          <w:p w14:paraId="1F9DDBBF" w14:textId="77777777" w:rsidR="00747FD1" w:rsidRDefault="00747FD1" w:rsidP="004B303A">
            <w:r>
              <w:t>Recurrence-free survival</w:t>
            </w:r>
          </w:p>
        </w:tc>
      </w:tr>
      <w:tr w:rsidR="00747FD1" w14:paraId="79D80407" w14:textId="77777777" w:rsidTr="00747FD1">
        <w:tc>
          <w:tcPr>
            <w:tcW w:w="1890" w:type="dxa"/>
            <w:hideMark/>
          </w:tcPr>
          <w:p w14:paraId="5F445E36" w14:textId="77777777" w:rsidR="00747FD1" w:rsidRDefault="00747FD1" w:rsidP="004B303A">
            <w:r>
              <w:t>SCS</w:t>
            </w:r>
          </w:p>
        </w:tc>
        <w:tc>
          <w:tcPr>
            <w:tcW w:w="6830" w:type="dxa"/>
            <w:hideMark/>
          </w:tcPr>
          <w:p w14:paraId="5CDF33ED" w14:textId="77777777" w:rsidR="00747FD1" w:rsidRDefault="00747FD1" w:rsidP="004B303A">
            <w:r>
              <w:t>Summary of clinical safety</w:t>
            </w:r>
          </w:p>
        </w:tc>
      </w:tr>
      <w:tr w:rsidR="00747FD1" w14:paraId="2CC91862" w14:textId="77777777" w:rsidTr="00747FD1">
        <w:tc>
          <w:tcPr>
            <w:tcW w:w="1890" w:type="dxa"/>
            <w:hideMark/>
          </w:tcPr>
          <w:p w14:paraId="6F1F8730" w14:textId="77777777" w:rsidR="00747FD1" w:rsidRDefault="00747FD1" w:rsidP="004B303A">
            <w:r>
              <w:t>SJS</w:t>
            </w:r>
          </w:p>
        </w:tc>
        <w:tc>
          <w:tcPr>
            <w:tcW w:w="6830" w:type="dxa"/>
            <w:hideMark/>
          </w:tcPr>
          <w:p w14:paraId="27922603" w14:textId="65FEDF57" w:rsidR="00747FD1" w:rsidRDefault="00747FD1" w:rsidP="004B303A">
            <w:r>
              <w:t xml:space="preserve">Stevens-Johnson </w:t>
            </w:r>
            <w:r w:rsidR="007B002E">
              <w:t>syndrome</w:t>
            </w:r>
          </w:p>
        </w:tc>
      </w:tr>
      <w:tr w:rsidR="00747FD1" w14:paraId="3D2C0B5B" w14:textId="77777777" w:rsidTr="00747FD1">
        <w:tc>
          <w:tcPr>
            <w:tcW w:w="1890" w:type="dxa"/>
            <w:hideMark/>
          </w:tcPr>
          <w:p w14:paraId="39B93288" w14:textId="77777777" w:rsidR="00747FD1" w:rsidRDefault="00747FD1" w:rsidP="004B303A">
            <w:r>
              <w:t>TEN</w:t>
            </w:r>
          </w:p>
        </w:tc>
        <w:tc>
          <w:tcPr>
            <w:tcW w:w="6830" w:type="dxa"/>
            <w:hideMark/>
          </w:tcPr>
          <w:p w14:paraId="10D45776" w14:textId="77777777" w:rsidR="00747FD1" w:rsidRDefault="00747FD1" w:rsidP="004B303A">
            <w:r>
              <w:t>Toxic epidermal necrolysis</w:t>
            </w:r>
          </w:p>
        </w:tc>
      </w:tr>
      <w:tr w:rsidR="00747FD1" w14:paraId="3E3C843D" w14:textId="77777777" w:rsidTr="00747FD1">
        <w:tc>
          <w:tcPr>
            <w:tcW w:w="1890" w:type="dxa"/>
            <w:hideMark/>
          </w:tcPr>
          <w:p w14:paraId="5DBC7275" w14:textId="55F82BD2" w:rsidR="00747FD1" w:rsidRDefault="00747FD1" w:rsidP="004B303A">
            <w:r>
              <w:t>VPC</w:t>
            </w:r>
          </w:p>
        </w:tc>
        <w:tc>
          <w:tcPr>
            <w:tcW w:w="6830" w:type="dxa"/>
            <w:hideMark/>
          </w:tcPr>
          <w:p w14:paraId="217FC886" w14:textId="77777777" w:rsidR="00747FD1" w:rsidRDefault="00747FD1" w:rsidP="004B303A">
            <w:r>
              <w:t>Visual predictive check</w:t>
            </w:r>
          </w:p>
        </w:tc>
      </w:tr>
    </w:tbl>
    <w:p w14:paraId="32A9DD8B" w14:textId="77777777" w:rsidR="008E7846" w:rsidRDefault="00F53C07" w:rsidP="008E7846">
      <w:pPr>
        <w:pStyle w:val="Heading2"/>
      </w:pPr>
      <w:bookmarkStart w:id="9" w:name="_Toc522802889"/>
      <w:r>
        <w:lastRenderedPageBreak/>
        <w:t>I.</w:t>
      </w:r>
      <w:r w:rsidR="008E7846">
        <w:t xml:space="preserve"> Introduction to product submission</w:t>
      </w:r>
      <w:bookmarkEnd w:id="3"/>
      <w:bookmarkEnd w:id="0"/>
      <w:bookmarkEnd w:id="9"/>
    </w:p>
    <w:p w14:paraId="39A4FEFA" w14:textId="77777777" w:rsidR="008E7846" w:rsidRDefault="008E7846" w:rsidP="008E7846">
      <w:pPr>
        <w:pStyle w:val="Heading3"/>
        <w:rPr>
          <w:lang w:eastAsia="en-AU"/>
        </w:rPr>
      </w:pPr>
      <w:bookmarkStart w:id="10" w:name="_Toc247691502"/>
      <w:bookmarkStart w:id="11" w:name="_Toc314842483"/>
      <w:bookmarkStart w:id="12" w:name="_Toc522802890"/>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0BEB34F7" w14:textId="77777777" w:rsidTr="00CA702F">
        <w:trPr>
          <w:trHeight w:hRule="exact" w:val="396"/>
        </w:trPr>
        <w:tc>
          <w:tcPr>
            <w:tcW w:w="2907" w:type="dxa"/>
          </w:tcPr>
          <w:p w14:paraId="09D6A2BA"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0A2D6E40" w14:textId="77777777" w:rsidR="008E7846" w:rsidRPr="003D1E62" w:rsidRDefault="001C6796" w:rsidP="001B5C90">
            <w:r w:rsidRPr="001C6796">
              <w:t>Extension of indications</w:t>
            </w:r>
          </w:p>
        </w:tc>
      </w:tr>
      <w:tr w:rsidR="008E7846" w:rsidRPr="003D1E62" w14:paraId="67D79F66" w14:textId="77777777" w:rsidTr="00500337">
        <w:trPr>
          <w:trHeight w:hRule="exact" w:val="454"/>
        </w:trPr>
        <w:tc>
          <w:tcPr>
            <w:tcW w:w="2907" w:type="dxa"/>
          </w:tcPr>
          <w:p w14:paraId="595BA58C" w14:textId="77777777" w:rsidR="008E7846" w:rsidRPr="003D1E62" w:rsidRDefault="008E7846" w:rsidP="003D1E62">
            <w:r w:rsidRPr="003D1E62">
              <w:rPr>
                <w:i/>
              </w:rPr>
              <w:t>Decision</w:t>
            </w:r>
            <w:r w:rsidRPr="003D1E62">
              <w:t>:</w:t>
            </w:r>
          </w:p>
        </w:tc>
        <w:tc>
          <w:tcPr>
            <w:tcW w:w="6307" w:type="dxa"/>
          </w:tcPr>
          <w:p w14:paraId="2BEAC015" w14:textId="77777777" w:rsidR="008E7846" w:rsidRPr="003D1E62" w:rsidRDefault="001C6796" w:rsidP="001C6796">
            <w:r>
              <w:t>Approved</w:t>
            </w:r>
          </w:p>
        </w:tc>
      </w:tr>
      <w:tr w:rsidR="008E7846" w:rsidRPr="003D1E62" w14:paraId="574BA229" w14:textId="77777777" w:rsidTr="00500337">
        <w:trPr>
          <w:trHeight w:hRule="exact" w:val="454"/>
        </w:trPr>
        <w:tc>
          <w:tcPr>
            <w:tcW w:w="2907" w:type="dxa"/>
          </w:tcPr>
          <w:p w14:paraId="560AE79E"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7B6470E3" w14:textId="77777777" w:rsidR="008E7846" w:rsidRPr="003D1E62" w:rsidRDefault="00BA6AD6" w:rsidP="001B5C90">
            <w:r>
              <w:t>23 April 2018</w:t>
            </w:r>
          </w:p>
        </w:tc>
      </w:tr>
      <w:tr w:rsidR="00ED2922" w:rsidRPr="003D1E62" w14:paraId="6E1CF8DB" w14:textId="77777777" w:rsidTr="00500337">
        <w:trPr>
          <w:trHeight w:hRule="exact" w:val="454"/>
        </w:trPr>
        <w:tc>
          <w:tcPr>
            <w:tcW w:w="2907" w:type="dxa"/>
          </w:tcPr>
          <w:p w14:paraId="0B98D5BD" w14:textId="77777777" w:rsidR="00ED2922" w:rsidRPr="00441C3F" w:rsidRDefault="00ED2922" w:rsidP="001B5C90">
            <w:pPr>
              <w:rPr>
                <w:i/>
              </w:rPr>
            </w:pPr>
            <w:r w:rsidRPr="00441C3F">
              <w:rPr>
                <w:i/>
              </w:rPr>
              <w:t>Date of entry onto ARTG</w:t>
            </w:r>
            <w:r w:rsidR="00500337">
              <w:rPr>
                <w:i/>
              </w:rPr>
              <w:t>:</w:t>
            </w:r>
          </w:p>
        </w:tc>
        <w:tc>
          <w:tcPr>
            <w:tcW w:w="6307" w:type="dxa"/>
          </w:tcPr>
          <w:p w14:paraId="014C7B25" w14:textId="77777777" w:rsidR="00ED2922" w:rsidRPr="00441C3F" w:rsidRDefault="00BA6AD6" w:rsidP="00EC463D">
            <w:pPr>
              <w:rPr>
                <w:i/>
              </w:rPr>
            </w:pPr>
            <w:r>
              <w:t>24 April 2018</w:t>
            </w:r>
          </w:p>
        </w:tc>
      </w:tr>
      <w:tr w:rsidR="00500337" w:rsidRPr="003D1E62" w14:paraId="168EE2E1" w14:textId="77777777" w:rsidTr="00500337">
        <w:trPr>
          <w:trHeight w:hRule="exact" w:val="454"/>
        </w:trPr>
        <w:tc>
          <w:tcPr>
            <w:tcW w:w="2907" w:type="dxa"/>
          </w:tcPr>
          <w:p w14:paraId="6883CF29" w14:textId="77777777" w:rsidR="00500337" w:rsidRPr="00441C3F" w:rsidRDefault="00500337" w:rsidP="001B5C90">
            <w:pPr>
              <w:rPr>
                <w:i/>
              </w:rPr>
            </w:pPr>
            <w:r>
              <w:rPr>
                <w:i/>
              </w:rPr>
              <w:t>ARTG number(s):</w:t>
            </w:r>
          </w:p>
        </w:tc>
        <w:tc>
          <w:tcPr>
            <w:tcW w:w="6307" w:type="dxa"/>
          </w:tcPr>
          <w:p w14:paraId="23AF48F7" w14:textId="77777777" w:rsidR="00500337" w:rsidRPr="00441C3F" w:rsidRDefault="00BA6AD6" w:rsidP="00BA6AD6">
            <w:r w:rsidRPr="00BA6AD6">
              <w:t>231867</w:t>
            </w:r>
            <w:r>
              <w:t xml:space="preserve"> and </w:t>
            </w:r>
            <w:r w:rsidRPr="00BA6AD6">
              <w:t>231868</w:t>
            </w:r>
          </w:p>
        </w:tc>
      </w:tr>
      <w:tr w:rsidR="008E7846" w:rsidRPr="00487162" w14:paraId="44B02C0D" w14:textId="77777777" w:rsidTr="00BF1190">
        <w:tc>
          <w:tcPr>
            <w:tcW w:w="2907" w:type="dxa"/>
          </w:tcPr>
          <w:p w14:paraId="33D13321" w14:textId="2B63B342" w:rsidR="008E7846" w:rsidRPr="00487162" w:rsidRDefault="001B5C90" w:rsidP="00E45619">
            <w:pPr>
              <w:rPr>
                <w:i/>
              </w:rPr>
            </w:pPr>
            <w:r>
              <w:rPr>
                <w:i/>
              </w:rPr>
              <w:t>Active ingredient:</w:t>
            </w:r>
          </w:p>
        </w:tc>
        <w:tc>
          <w:tcPr>
            <w:tcW w:w="6307" w:type="dxa"/>
          </w:tcPr>
          <w:p w14:paraId="7BA35992" w14:textId="77777777" w:rsidR="008E7846" w:rsidRPr="00487162" w:rsidRDefault="001C6796" w:rsidP="00E45619">
            <w:r w:rsidRPr="001C6796">
              <w:t>Nivolumab</w:t>
            </w:r>
          </w:p>
        </w:tc>
      </w:tr>
      <w:tr w:rsidR="008E7846" w:rsidRPr="00487162" w14:paraId="22D48921" w14:textId="77777777" w:rsidTr="00BF1190">
        <w:tc>
          <w:tcPr>
            <w:tcW w:w="2907" w:type="dxa"/>
          </w:tcPr>
          <w:p w14:paraId="3596CBDC" w14:textId="2AE0B3A9" w:rsidR="008E7846" w:rsidRPr="00487162" w:rsidRDefault="008E7846" w:rsidP="001B5C90">
            <w:pPr>
              <w:rPr>
                <w:i/>
              </w:rPr>
            </w:pPr>
            <w:r w:rsidRPr="00487162">
              <w:rPr>
                <w:i/>
              </w:rPr>
              <w:t>Product</w:t>
            </w:r>
            <w:r w:rsidR="001B5C90">
              <w:rPr>
                <w:i/>
              </w:rPr>
              <w:t xml:space="preserve"> name:</w:t>
            </w:r>
          </w:p>
        </w:tc>
        <w:tc>
          <w:tcPr>
            <w:tcW w:w="6307" w:type="dxa"/>
          </w:tcPr>
          <w:p w14:paraId="7517884B" w14:textId="77777777" w:rsidR="008E7846" w:rsidRPr="00487162" w:rsidRDefault="001C6796" w:rsidP="00E45619">
            <w:r>
              <w:t>Opdivo</w:t>
            </w:r>
          </w:p>
        </w:tc>
      </w:tr>
      <w:tr w:rsidR="008E7846" w:rsidRPr="00487162" w14:paraId="082EF550" w14:textId="77777777" w:rsidTr="00BF1190">
        <w:tc>
          <w:tcPr>
            <w:tcW w:w="2907" w:type="dxa"/>
          </w:tcPr>
          <w:p w14:paraId="4E9D6F69"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08C7E05F" w14:textId="77777777" w:rsidR="008E7846" w:rsidRDefault="001C6796" w:rsidP="00E45619">
            <w:r w:rsidRPr="001C6796">
              <w:t>Bristol-Myers Squibb Australia Pty Ltd</w:t>
            </w:r>
          </w:p>
          <w:p w14:paraId="76F74C17" w14:textId="77777777" w:rsidR="00BA6AD6" w:rsidRPr="00487162" w:rsidRDefault="00BA6AD6" w:rsidP="00BA6AD6">
            <w:r>
              <w:t>4 Nexus Court Mulgrave VIC 3170.</w:t>
            </w:r>
          </w:p>
        </w:tc>
      </w:tr>
      <w:tr w:rsidR="008E7846" w:rsidRPr="00487162" w14:paraId="7B6C7BD7" w14:textId="77777777" w:rsidTr="00BF1190">
        <w:tc>
          <w:tcPr>
            <w:tcW w:w="2907" w:type="dxa"/>
          </w:tcPr>
          <w:p w14:paraId="0C85A15B" w14:textId="09591538" w:rsidR="008E7846" w:rsidRPr="00487162" w:rsidRDefault="001B5C90" w:rsidP="00E45619">
            <w:pPr>
              <w:rPr>
                <w:i/>
              </w:rPr>
            </w:pPr>
            <w:r>
              <w:rPr>
                <w:i/>
              </w:rPr>
              <w:t>Dose form:</w:t>
            </w:r>
          </w:p>
        </w:tc>
        <w:tc>
          <w:tcPr>
            <w:tcW w:w="6307" w:type="dxa"/>
          </w:tcPr>
          <w:p w14:paraId="7D8BE8BC" w14:textId="77777777" w:rsidR="008E7846" w:rsidRPr="00487162" w:rsidRDefault="001C6796" w:rsidP="001C6796">
            <w:r w:rsidRPr="001C6796">
              <w:t xml:space="preserve">Concentrate solution for intravenous infusion </w:t>
            </w:r>
          </w:p>
        </w:tc>
      </w:tr>
      <w:tr w:rsidR="008E7846" w:rsidRPr="00487162" w14:paraId="314F7FBC" w14:textId="77777777" w:rsidTr="00BF1190">
        <w:tc>
          <w:tcPr>
            <w:tcW w:w="2907" w:type="dxa"/>
          </w:tcPr>
          <w:p w14:paraId="0BD7D794" w14:textId="398FA903" w:rsidR="008E7846" w:rsidRPr="00487162" w:rsidRDefault="008E7846" w:rsidP="00E45619">
            <w:pPr>
              <w:rPr>
                <w:i/>
              </w:rPr>
            </w:pPr>
            <w:r w:rsidRPr="00487162">
              <w:rPr>
                <w:i/>
              </w:rPr>
              <w:t>Strength</w:t>
            </w:r>
            <w:r w:rsidR="007B002E">
              <w:rPr>
                <w:i/>
              </w:rPr>
              <w:t>s</w:t>
            </w:r>
            <w:r w:rsidRPr="00487162">
              <w:rPr>
                <w:i/>
              </w:rPr>
              <w:t xml:space="preserve">: </w:t>
            </w:r>
          </w:p>
        </w:tc>
        <w:tc>
          <w:tcPr>
            <w:tcW w:w="6307" w:type="dxa"/>
          </w:tcPr>
          <w:p w14:paraId="7275EE9A" w14:textId="77777777" w:rsidR="008E7846" w:rsidRPr="00487162" w:rsidRDefault="001C6796" w:rsidP="001C6796">
            <w:r w:rsidRPr="001C6796">
              <w:t>40 mg / 4mL and 100 mg /10 mL</w:t>
            </w:r>
            <w:r w:rsidRPr="00487162">
              <w:t xml:space="preserve"> </w:t>
            </w:r>
          </w:p>
        </w:tc>
      </w:tr>
      <w:tr w:rsidR="008E7846" w:rsidRPr="00487162" w14:paraId="4B8B1228" w14:textId="77777777" w:rsidTr="00BF1190">
        <w:tc>
          <w:tcPr>
            <w:tcW w:w="2907" w:type="dxa"/>
          </w:tcPr>
          <w:p w14:paraId="51E41774" w14:textId="3DC46CD4" w:rsidR="008E7846" w:rsidRPr="00487162" w:rsidRDefault="008E7846" w:rsidP="00E45619">
            <w:pPr>
              <w:rPr>
                <w:i/>
              </w:rPr>
            </w:pPr>
            <w:r w:rsidRPr="00487162">
              <w:rPr>
                <w:i/>
              </w:rPr>
              <w:t>Containers:</w:t>
            </w:r>
          </w:p>
        </w:tc>
        <w:tc>
          <w:tcPr>
            <w:tcW w:w="6307" w:type="dxa"/>
          </w:tcPr>
          <w:p w14:paraId="366493E9" w14:textId="338FCCEB" w:rsidR="008E7846" w:rsidRPr="00487162" w:rsidRDefault="007B002E" w:rsidP="00BA6AD6">
            <w:r>
              <w:t>Clear Type 1 glass</w:t>
            </w:r>
          </w:p>
        </w:tc>
      </w:tr>
      <w:tr w:rsidR="008E7846" w:rsidRPr="00487162" w14:paraId="5650107C" w14:textId="77777777" w:rsidTr="00BF1190">
        <w:tc>
          <w:tcPr>
            <w:tcW w:w="2907" w:type="dxa"/>
          </w:tcPr>
          <w:p w14:paraId="3144716F" w14:textId="77777777" w:rsidR="008E7846" w:rsidRPr="00487162" w:rsidRDefault="008E7846" w:rsidP="00E45619">
            <w:pPr>
              <w:rPr>
                <w:i/>
              </w:rPr>
            </w:pPr>
            <w:r w:rsidRPr="00487162">
              <w:rPr>
                <w:i/>
              </w:rPr>
              <w:t>Pack size(s):</w:t>
            </w:r>
          </w:p>
        </w:tc>
        <w:tc>
          <w:tcPr>
            <w:tcW w:w="6307" w:type="dxa"/>
          </w:tcPr>
          <w:p w14:paraId="29C06E31" w14:textId="2EB52D49" w:rsidR="008E7846" w:rsidRPr="00487162" w:rsidRDefault="00CA702F" w:rsidP="00CA702F">
            <w:r>
              <w:t xml:space="preserve">Pack of </w:t>
            </w:r>
            <w:r w:rsidR="00B33BB3">
              <w:t>1</w:t>
            </w:r>
          </w:p>
        </w:tc>
      </w:tr>
      <w:tr w:rsidR="008E7846" w:rsidRPr="00487162" w14:paraId="05C55327" w14:textId="77777777" w:rsidTr="00BF1190">
        <w:tc>
          <w:tcPr>
            <w:tcW w:w="2907" w:type="dxa"/>
          </w:tcPr>
          <w:p w14:paraId="58955836"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7465F06C" w14:textId="77777777" w:rsidR="008E7846" w:rsidRPr="00BA6AD6" w:rsidRDefault="00BA6AD6" w:rsidP="00BA6AD6">
            <w:pPr>
              <w:rPr>
                <w:rFonts w:eastAsia="MS Mincho"/>
                <w:i/>
                <w:lang w:eastAsia="ja-JP"/>
              </w:rPr>
            </w:pPr>
            <w:r w:rsidRPr="00BA6AD6">
              <w:rPr>
                <w:i/>
              </w:rPr>
              <w:t xml:space="preserve">Opdivo as monotherapy is indicated for the adjuvant treatment of patients with melanoma with involvement of lymph nodes or metastatic disease </w:t>
            </w:r>
            <w:proofErr w:type="gramStart"/>
            <w:r w:rsidRPr="00BA6AD6">
              <w:rPr>
                <w:i/>
              </w:rPr>
              <w:t>who</w:t>
            </w:r>
            <w:proofErr w:type="gramEnd"/>
            <w:r w:rsidRPr="00BA6AD6">
              <w:rPr>
                <w:i/>
              </w:rPr>
              <w:t xml:space="preserve"> have undergone complete resection.</w:t>
            </w:r>
          </w:p>
        </w:tc>
      </w:tr>
      <w:tr w:rsidR="008E7846" w:rsidRPr="00487162" w14:paraId="604AA193" w14:textId="77777777" w:rsidTr="00BF1190">
        <w:tc>
          <w:tcPr>
            <w:tcW w:w="2907" w:type="dxa"/>
          </w:tcPr>
          <w:p w14:paraId="7E13B2A4" w14:textId="77972228" w:rsidR="008E7846" w:rsidRPr="00487162" w:rsidRDefault="008E7846" w:rsidP="00E45619">
            <w:pPr>
              <w:rPr>
                <w:i/>
              </w:rPr>
            </w:pPr>
            <w:r w:rsidRPr="00487162">
              <w:rPr>
                <w:i/>
              </w:rPr>
              <w:t>Route of administration:</w:t>
            </w:r>
          </w:p>
        </w:tc>
        <w:tc>
          <w:tcPr>
            <w:tcW w:w="6307" w:type="dxa"/>
          </w:tcPr>
          <w:p w14:paraId="54B9359D" w14:textId="77777777" w:rsidR="008E7846" w:rsidRPr="00487162" w:rsidRDefault="001C6796" w:rsidP="001C6796">
            <w:r>
              <w:t>Intravenous (IV) infusion</w:t>
            </w:r>
          </w:p>
        </w:tc>
      </w:tr>
      <w:tr w:rsidR="008E7846" w:rsidRPr="00487162" w14:paraId="55E03919" w14:textId="77777777" w:rsidTr="00BF1190">
        <w:tc>
          <w:tcPr>
            <w:tcW w:w="2907" w:type="dxa"/>
          </w:tcPr>
          <w:p w14:paraId="2A256091" w14:textId="77777777" w:rsidR="008E7846" w:rsidRPr="00487162" w:rsidRDefault="008E7846" w:rsidP="00E45619">
            <w:pPr>
              <w:rPr>
                <w:i/>
              </w:rPr>
            </w:pPr>
            <w:r w:rsidRPr="00487162">
              <w:rPr>
                <w:i/>
              </w:rPr>
              <w:t>Dosage:</w:t>
            </w:r>
          </w:p>
        </w:tc>
        <w:tc>
          <w:tcPr>
            <w:tcW w:w="6307" w:type="dxa"/>
          </w:tcPr>
          <w:p w14:paraId="76F65E2F" w14:textId="77777777" w:rsidR="00BA6AD6" w:rsidRDefault="00BA6AD6" w:rsidP="00BA6AD6">
            <w:r>
              <w:t xml:space="preserve">The recommended dose of </w:t>
            </w:r>
            <w:r w:rsidR="009B53C8">
              <w:t>Opdivo</w:t>
            </w:r>
            <w:r>
              <w:t xml:space="preserve"> as a monotherapy is 3 mg/kg administered intravenously over 60 minutes every 2 weeks. Treatment should be continued as long as clinical benefit is observed or until treatment is no longer tolerated by the patient.</w:t>
            </w:r>
          </w:p>
          <w:p w14:paraId="6488242A" w14:textId="77777777" w:rsidR="008E7846" w:rsidRPr="00487162" w:rsidRDefault="00BA6AD6" w:rsidP="00BA6AD6">
            <w:r>
              <w:t xml:space="preserve">The maximum treatment duration with </w:t>
            </w:r>
            <w:r w:rsidR="009B53C8">
              <w:t>Opdivo</w:t>
            </w:r>
            <w:r>
              <w:t xml:space="preserve"> as monotherapy for adjuvant melanoma is 12 months.</w:t>
            </w:r>
          </w:p>
        </w:tc>
      </w:tr>
    </w:tbl>
    <w:p w14:paraId="15FB45C2" w14:textId="77777777" w:rsidR="008E7846" w:rsidRDefault="008E7846" w:rsidP="008E7846">
      <w:pPr>
        <w:pStyle w:val="Heading3"/>
      </w:pPr>
      <w:bookmarkStart w:id="13" w:name="_Toc247691503"/>
      <w:bookmarkStart w:id="14" w:name="_Toc314842484"/>
      <w:bookmarkStart w:id="15" w:name="_Toc522802891"/>
      <w:r>
        <w:t>Product background</w:t>
      </w:r>
      <w:bookmarkEnd w:id="13"/>
      <w:bookmarkEnd w:id="14"/>
      <w:bookmarkEnd w:id="15"/>
    </w:p>
    <w:p w14:paraId="63AFD680" w14:textId="5EA97C90" w:rsidR="005354BD" w:rsidRDefault="00481789" w:rsidP="00731EA8">
      <w:r>
        <w:t>T</w:t>
      </w:r>
      <w:r w:rsidRPr="00940A89">
        <w:t xml:space="preserve">his AusPAR describes </w:t>
      </w:r>
      <w:r>
        <w:t>the application by the sponsor</w:t>
      </w:r>
      <w:r w:rsidR="007B002E">
        <w:t xml:space="preserve"> t</w:t>
      </w:r>
      <w:r w:rsidR="00731EA8" w:rsidRPr="00731EA8">
        <w:t>o extend the indications of nivolumab (</w:t>
      </w:r>
      <w:r w:rsidR="009B53C8">
        <w:t>Opdivo</w:t>
      </w:r>
      <w:r w:rsidR="00731EA8" w:rsidRPr="00731EA8">
        <w:t>) to include the adjuvant treatment of patients with completely resected Stage III or Stage IV melanoma, as monotherapy.</w:t>
      </w:r>
    </w:p>
    <w:p w14:paraId="7AFBFB1B" w14:textId="416B502F" w:rsidR="00731EA8" w:rsidRDefault="009B53C8" w:rsidP="00731EA8">
      <w:r>
        <w:t>Opdivo</w:t>
      </w:r>
      <w:r w:rsidR="00731EA8">
        <w:t xml:space="preserve"> is administered by intravenous infusion at a dose of 3 mg/kg every 2 weeks as monotherapy for the following indications: unresectable (Stage III) or metastatic (Stage IV) melanoma; locally advanced or metastatic squamous and non-squamous non-small cell lung cancer (NSCLC); advanced clear cell renal cell carcinoma; relapsed or refractory</w:t>
      </w:r>
      <w:r w:rsidR="007B002E">
        <w:t xml:space="preserve"> </w:t>
      </w:r>
      <w:r w:rsidR="00731EA8">
        <w:t xml:space="preserve">classical Hodgkin lymphoma (cHL), recurrent or metastatic squamous cell cancer of the head and neck and </w:t>
      </w:r>
      <w:proofErr w:type="spellStart"/>
      <w:r w:rsidR="00731EA8">
        <w:t>for</w:t>
      </w:r>
      <w:r w:rsidR="00CA65F2" w:rsidRPr="00CA65F2">
        <w:t>urothelial</w:t>
      </w:r>
      <w:proofErr w:type="spellEnd"/>
      <w:r w:rsidR="00CA65F2" w:rsidRPr="00CA65F2">
        <w:t xml:space="preserve"> cancer</w:t>
      </w:r>
      <w:r w:rsidR="00731EA8">
        <w:t>.</w:t>
      </w:r>
    </w:p>
    <w:p w14:paraId="2FDD2D3A" w14:textId="262A1850" w:rsidR="00731EA8" w:rsidRDefault="00731EA8" w:rsidP="00731EA8">
      <w:r>
        <w:lastRenderedPageBreak/>
        <w:t xml:space="preserve">For metastatic melanoma with M1c disease or elevated </w:t>
      </w:r>
      <w:r w:rsidR="007B002E">
        <w:t>lactate dehydrogenase (</w:t>
      </w:r>
      <w:r>
        <w:t>LDH</w:t>
      </w:r>
      <w:r w:rsidR="007B002E">
        <w:t>)</w:t>
      </w:r>
      <w:r>
        <w:t xml:space="preserve">, </w:t>
      </w:r>
      <w:r w:rsidR="009B53C8">
        <w:t>Opdivo</w:t>
      </w:r>
      <w:r>
        <w:t xml:space="preserve"> in combination with ipilimumab, is administered intravenously every 3 weeks.</w:t>
      </w:r>
    </w:p>
    <w:p w14:paraId="531CCBA2" w14:textId="77777777" w:rsidR="00747FD1" w:rsidRDefault="00747FD1" w:rsidP="00747FD1">
      <w:pPr>
        <w:pStyle w:val="Heading5"/>
      </w:pPr>
      <w:r>
        <w:t>Drug class and therapeutic indication</w:t>
      </w:r>
    </w:p>
    <w:p w14:paraId="12BCDD39" w14:textId="77777777" w:rsidR="00747FD1" w:rsidRDefault="00747FD1" w:rsidP="00747FD1">
      <w:r>
        <w:t xml:space="preserve">Nivolumab is a fully </w:t>
      </w:r>
      <w:r w:rsidRPr="00FF2FC5">
        <w:t xml:space="preserve">humanised monoclonal antibody antineoplastic agent, a </w:t>
      </w:r>
      <w:r w:rsidR="00FF2FC5" w:rsidRPr="00FF2FC5">
        <w:t>programmed death-1 receptor (</w:t>
      </w:r>
      <w:r w:rsidRPr="00FF2FC5">
        <w:t>PD-1</w:t>
      </w:r>
      <w:r w:rsidR="00FF2FC5" w:rsidRPr="00FF2FC5">
        <w:t>)</w:t>
      </w:r>
      <w:r w:rsidRPr="00FF2FC5">
        <w:t xml:space="preserve"> blocking antibody with </w:t>
      </w:r>
      <w:r w:rsidR="00FF2FC5" w:rsidRPr="00FF2FC5">
        <w:t>World Health Organization (</w:t>
      </w:r>
      <w:r w:rsidRPr="00FF2FC5">
        <w:t>WHO</w:t>
      </w:r>
      <w:r w:rsidR="00FF2FC5" w:rsidRPr="00FF2FC5">
        <w:t>)</w:t>
      </w:r>
      <w:r w:rsidRPr="00FF2FC5">
        <w:t xml:space="preserve"> </w:t>
      </w:r>
      <w:r w:rsidR="00FF2FC5" w:rsidRPr="00FF2FC5">
        <w:t>Anatomical Therapeutic Chemical (ATC)</w:t>
      </w:r>
      <w:r w:rsidRPr="00FF2FC5">
        <w:t xml:space="preserve"> code L01XC17.</w:t>
      </w:r>
      <w:r>
        <w:t xml:space="preserve"> </w:t>
      </w:r>
    </w:p>
    <w:p w14:paraId="727F7F3D" w14:textId="77777777" w:rsidR="00747FD1" w:rsidRDefault="00747FD1" w:rsidP="00747FD1">
      <w:r>
        <w:t>Current indications approved in Australia are:</w:t>
      </w:r>
    </w:p>
    <w:p w14:paraId="20413575" w14:textId="77777777" w:rsidR="00747FD1" w:rsidRPr="0085049D" w:rsidRDefault="009B53C8" w:rsidP="0085049D">
      <w:pPr>
        <w:ind w:left="720"/>
        <w:rPr>
          <w:i/>
        </w:rPr>
      </w:pPr>
      <w:r w:rsidRPr="0085049D">
        <w:rPr>
          <w:i/>
        </w:rPr>
        <w:t>Opdivo</w:t>
      </w:r>
      <w:r w:rsidR="00747FD1" w:rsidRPr="0085049D">
        <w:rPr>
          <w:i/>
        </w:rPr>
        <w:t xml:space="preserve">, as monotherapy is indicated for the treatment of patients with unresectable (Stage III) or metastatic (Stage IV) melanoma. </w:t>
      </w:r>
    </w:p>
    <w:p w14:paraId="00AC8B5F" w14:textId="77777777" w:rsidR="00747FD1" w:rsidRPr="0085049D" w:rsidRDefault="009B53C8" w:rsidP="0085049D">
      <w:pPr>
        <w:ind w:left="720"/>
        <w:rPr>
          <w:i/>
        </w:rPr>
      </w:pPr>
      <w:r w:rsidRPr="0085049D">
        <w:rPr>
          <w:i/>
        </w:rPr>
        <w:t>Opdivo</w:t>
      </w:r>
      <w:r w:rsidR="00747FD1" w:rsidRPr="0085049D">
        <w:rPr>
          <w:i/>
        </w:rPr>
        <w:t xml:space="preserve">, in combination with YERVOY (ipilimumab) is indicated for the treatment of patients with metastatic (Stage IV) melanoma with M1c disease or elevated lactic dehydrogenase (LDH). </w:t>
      </w:r>
    </w:p>
    <w:p w14:paraId="766B6206" w14:textId="77777777" w:rsidR="00747FD1" w:rsidRPr="0085049D" w:rsidRDefault="009B53C8" w:rsidP="0085049D">
      <w:pPr>
        <w:ind w:left="720"/>
        <w:rPr>
          <w:i/>
        </w:rPr>
      </w:pPr>
      <w:r w:rsidRPr="0085049D">
        <w:rPr>
          <w:i/>
        </w:rPr>
        <w:t>Opdivo</w:t>
      </w:r>
      <w:r w:rsidR="00747FD1" w:rsidRPr="0085049D">
        <w:rPr>
          <w:i/>
        </w:rPr>
        <w:t xml:space="preserve">, as monotherapy is indicated for the treatment of locally advanced or metastatic squamous non-small cell lung cancer (NSCLC) with progression on or after prior chemotherapy. </w:t>
      </w:r>
    </w:p>
    <w:p w14:paraId="109C67F6" w14:textId="77777777" w:rsidR="00747FD1" w:rsidRPr="0085049D" w:rsidRDefault="009B53C8" w:rsidP="0085049D">
      <w:pPr>
        <w:ind w:left="720"/>
        <w:rPr>
          <w:i/>
        </w:rPr>
      </w:pPr>
      <w:r w:rsidRPr="0085049D">
        <w:rPr>
          <w:i/>
        </w:rPr>
        <w:t>Opdivo</w:t>
      </w:r>
      <w:r w:rsidR="00747FD1" w:rsidRPr="0085049D">
        <w:rPr>
          <w:i/>
        </w:rPr>
        <w:t xml:space="preserve">, as monotherapy is indicated for the treatment of locally advanced or metastatic non squamous non-small cell lung cancer (NSCLC) with progression on or after prior chemotherapy. In patients with tumour EGFR or ALK genomic aberrations, </w:t>
      </w:r>
      <w:r w:rsidRPr="0085049D">
        <w:rPr>
          <w:i/>
        </w:rPr>
        <w:t>Opdivo</w:t>
      </w:r>
      <w:r w:rsidR="00747FD1" w:rsidRPr="0085049D">
        <w:rPr>
          <w:i/>
        </w:rPr>
        <w:t xml:space="preserve"> should be used after progression on or after targeted therapy. </w:t>
      </w:r>
    </w:p>
    <w:p w14:paraId="5B4CF70C" w14:textId="77777777" w:rsidR="00747FD1" w:rsidRPr="0085049D" w:rsidRDefault="009B53C8" w:rsidP="0085049D">
      <w:pPr>
        <w:ind w:left="720"/>
        <w:rPr>
          <w:i/>
        </w:rPr>
      </w:pPr>
      <w:r w:rsidRPr="0085049D">
        <w:rPr>
          <w:i/>
        </w:rPr>
        <w:t>Opdivo</w:t>
      </w:r>
      <w:r w:rsidR="00747FD1" w:rsidRPr="0085049D">
        <w:rPr>
          <w:i/>
        </w:rPr>
        <w:t xml:space="preserve"> as monotherapy is indicated for the treatment of patients with advanced clear cell renal cell carcinoma after prior anti-angiogenic therapy in adults. </w:t>
      </w:r>
    </w:p>
    <w:p w14:paraId="32AE676B" w14:textId="77777777" w:rsidR="00747FD1" w:rsidRPr="0085049D" w:rsidRDefault="009B53C8" w:rsidP="0085049D">
      <w:pPr>
        <w:ind w:left="720"/>
        <w:rPr>
          <w:i/>
        </w:rPr>
      </w:pPr>
      <w:r w:rsidRPr="0085049D">
        <w:rPr>
          <w:i/>
        </w:rPr>
        <w:t>Opdivo</w:t>
      </w:r>
      <w:r w:rsidR="00747FD1" w:rsidRPr="0085049D">
        <w:rPr>
          <w:i/>
        </w:rPr>
        <w:t xml:space="preserve">, as monotherapy is indicated for the treatment of adult patients with relapsed or refractory classical Hodgkin lymphoma (cHL) after autologous stem cell transplant and treatment with brentuximab vedotin. The approval of this indication is based on objective response rate. See CLINICAL TRIALS. </w:t>
      </w:r>
    </w:p>
    <w:p w14:paraId="67C24877" w14:textId="77777777" w:rsidR="00747FD1" w:rsidRDefault="009B53C8" w:rsidP="0085049D">
      <w:pPr>
        <w:ind w:left="720"/>
        <w:rPr>
          <w:i/>
        </w:rPr>
      </w:pPr>
      <w:r w:rsidRPr="0085049D">
        <w:rPr>
          <w:i/>
        </w:rPr>
        <w:t>Opdivo</w:t>
      </w:r>
      <w:r w:rsidR="00747FD1" w:rsidRPr="0085049D">
        <w:rPr>
          <w:i/>
        </w:rPr>
        <w:t xml:space="preserve"> as monotherapy is indicated for the treatment of recurrent or metastatic squamous cell cancer of the head and neck in adults progressing on or after platinum based therapy.</w:t>
      </w:r>
    </w:p>
    <w:p w14:paraId="294E4D6C" w14:textId="7A46ED50" w:rsidR="00CA65F2" w:rsidRPr="0085049D" w:rsidRDefault="00CA65F2" w:rsidP="0085049D">
      <w:pPr>
        <w:ind w:left="720"/>
        <w:rPr>
          <w:i/>
        </w:rPr>
      </w:pPr>
      <w:r w:rsidRPr="00CA65F2">
        <w:rPr>
          <w:i/>
        </w:rPr>
        <w:t>O</w:t>
      </w:r>
      <w:r>
        <w:rPr>
          <w:i/>
        </w:rPr>
        <w:t>pdivo</w:t>
      </w:r>
      <w:r w:rsidRPr="00CA65F2">
        <w:rPr>
          <w:i/>
        </w:rPr>
        <w:t>, as monotherapy is indicated for the treatment of patients with locally advanced unresectable or metastatic urothelial carcinoma after prior platinum-containing therapy. The approval of this indication is based on objective response rate and duration of response in a single arm study</w:t>
      </w:r>
      <w:r>
        <w:rPr>
          <w:i/>
        </w:rPr>
        <w:t>.</w:t>
      </w:r>
    </w:p>
    <w:p w14:paraId="2362D9D8" w14:textId="77777777" w:rsidR="008E7846" w:rsidRPr="003F31A2" w:rsidRDefault="00386150" w:rsidP="008E7846">
      <w:pPr>
        <w:pStyle w:val="Heading3"/>
      </w:pPr>
      <w:bookmarkStart w:id="16" w:name="_Toc314842485"/>
      <w:bookmarkStart w:id="17" w:name="_Toc247691504"/>
      <w:bookmarkStart w:id="18" w:name="_Toc522802892"/>
      <w:r>
        <w:t>Regulatory s</w:t>
      </w:r>
      <w:r w:rsidR="008E7846">
        <w:t>tatus</w:t>
      </w:r>
      <w:bookmarkEnd w:id="16"/>
      <w:bookmarkEnd w:id="17"/>
      <w:bookmarkEnd w:id="18"/>
    </w:p>
    <w:p w14:paraId="224BFA6E" w14:textId="77777777" w:rsidR="00747FD1" w:rsidRPr="00747FD1" w:rsidRDefault="00747FD1" w:rsidP="00CA702F">
      <w:pPr>
        <w:pStyle w:val="Heading4"/>
      </w:pPr>
      <w:bookmarkStart w:id="19" w:name="_Toc247691505"/>
      <w:bookmarkStart w:id="20" w:name="_Toc314842486"/>
      <w:r w:rsidRPr="00747FD1">
        <w:t>Australian regulatory history</w:t>
      </w:r>
    </w:p>
    <w:p w14:paraId="15568A40" w14:textId="2DED3C5A" w:rsidR="007B002E" w:rsidRPr="00747FD1" w:rsidRDefault="00747FD1" w:rsidP="00747FD1">
      <w:r w:rsidRPr="00747FD1">
        <w:t xml:space="preserve">Nivolumab was first registered in January 2016. </w:t>
      </w:r>
      <w:r w:rsidR="0085049D">
        <w:t>N</w:t>
      </w:r>
      <w:r w:rsidRPr="00747FD1">
        <w:t>ivolumab</w:t>
      </w:r>
      <w:r w:rsidR="0085049D">
        <w:t xml:space="preserve"> (</w:t>
      </w:r>
      <w:r w:rsidR="009B53C8">
        <w:t>Opdivo</w:t>
      </w:r>
      <w:r w:rsidR="0085049D">
        <w:t>)</w:t>
      </w:r>
      <w:r w:rsidRPr="00747FD1">
        <w:t xml:space="preserve"> has since been approved for multiple oncology indications, including the treatment of patients with unresectable (Stage III) or metastatic (Stage IV) melanoma, and in combination with </w:t>
      </w:r>
      <w:r w:rsidR="0085049D" w:rsidRPr="00747FD1">
        <w:t xml:space="preserve">Yervoy </w:t>
      </w:r>
      <w:r w:rsidRPr="00747FD1">
        <w:t xml:space="preserve">(ipilimumab), the treatment of patients with metastatic (Stage IV) melanoma with M1c disease or elevated LDH. </w:t>
      </w:r>
      <w:r w:rsidR="00CA65F2">
        <w:t xml:space="preserve">See </w:t>
      </w:r>
      <w:r w:rsidR="00CA65F2" w:rsidRPr="00CA702F">
        <w:rPr>
          <w:i/>
        </w:rPr>
        <w:t>Current indications approved in Australia</w:t>
      </w:r>
      <w:r w:rsidR="00CA65F2">
        <w:t xml:space="preserve"> above for full indications.</w:t>
      </w:r>
    </w:p>
    <w:p w14:paraId="54FF1674" w14:textId="599FFFCA" w:rsidR="00747FD1" w:rsidRPr="00747FD1" w:rsidRDefault="00747FD1" w:rsidP="007B002E">
      <w:pPr>
        <w:pStyle w:val="Heading5"/>
      </w:pPr>
      <w:r w:rsidRPr="00747FD1">
        <w:t>Orphan/</w:t>
      </w:r>
      <w:r w:rsidR="004B303A">
        <w:t>p</w:t>
      </w:r>
      <w:r w:rsidRPr="00747FD1">
        <w:t>riority designation</w:t>
      </w:r>
    </w:p>
    <w:p w14:paraId="590D430B" w14:textId="226F1186" w:rsidR="00747FD1" w:rsidRPr="00747FD1" w:rsidRDefault="00747FD1" w:rsidP="00747FD1">
      <w:r w:rsidRPr="00747FD1">
        <w:t>Orphan designation was not a</w:t>
      </w:r>
      <w:r w:rsidR="004B303A">
        <w:t>pplicable to this submission.</w:t>
      </w:r>
    </w:p>
    <w:p w14:paraId="6CD1F434" w14:textId="77777777" w:rsidR="00747FD1" w:rsidRPr="00747FD1" w:rsidRDefault="00747FD1" w:rsidP="00747FD1">
      <w:r w:rsidRPr="00747FD1">
        <w:t>The application for nivolumab for the proposed indication was accepted for Priority review designatio</w:t>
      </w:r>
      <w:r w:rsidR="0085049D">
        <w:t>n in Australia</w:t>
      </w:r>
      <w:r w:rsidRPr="00747FD1">
        <w:t>.</w:t>
      </w:r>
    </w:p>
    <w:p w14:paraId="0D602D02" w14:textId="77777777" w:rsidR="00747FD1" w:rsidRPr="00747FD1" w:rsidRDefault="00747FD1" w:rsidP="00CA702F">
      <w:pPr>
        <w:pStyle w:val="Heading4"/>
      </w:pPr>
      <w:r w:rsidRPr="00747FD1">
        <w:lastRenderedPageBreak/>
        <w:t>Overseas regulatory history</w:t>
      </w:r>
    </w:p>
    <w:p w14:paraId="3DAB69D6" w14:textId="77777777" w:rsidR="00747FD1" w:rsidRPr="00747FD1" w:rsidRDefault="00747FD1" w:rsidP="00747FD1">
      <w:r w:rsidRPr="00747FD1">
        <w:t xml:space="preserve">At time of </w:t>
      </w:r>
      <w:r w:rsidR="00A42A89">
        <w:t xml:space="preserve">this </w:t>
      </w:r>
      <w:r w:rsidRPr="00747FD1">
        <w:t>submission</w:t>
      </w:r>
      <w:r w:rsidR="00A42A89">
        <w:t xml:space="preserve"> to the TGA</w:t>
      </w:r>
      <w:r w:rsidR="0085049D">
        <w:t xml:space="preserve"> the following was known regarding overseas regulatory history of this product</w:t>
      </w:r>
      <w:r w:rsidRPr="00747FD1">
        <w:t>:</w:t>
      </w:r>
    </w:p>
    <w:p w14:paraId="740814D9" w14:textId="77777777" w:rsidR="00A42A89" w:rsidRDefault="00747FD1" w:rsidP="00CA702F">
      <w:pPr>
        <w:pStyle w:val="Heading5"/>
      </w:pPr>
      <w:r w:rsidRPr="00747FD1">
        <w:t>USA</w:t>
      </w:r>
    </w:p>
    <w:p w14:paraId="7514CE6D" w14:textId="086E5044" w:rsidR="00A42A89" w:rsidRPr="00747FD1" w:rsidRDefault="00A42A89" w:rsidP="00A42A89">
      <w:r w:rsidRPr="00747FD1">
        <w:t>As of 20 December 2017, the US FDA had approved the additional indication corresponding to this submission, resected melanoma in the adjuvant setting</w:t>
      </w:r>
      <w:r w:rsidR="00171A37">
        <w:t>:</w:t>
      </w:r>
    </w:p>
    <w:p w14:paraId="590AA72C" w14:textId="0C80350A" w:rsidR="00747FD1" w:rsidRPr="00747FD1" w:rsidRDefault="00171A37" w:rsidP="00CA702F">
      <w:pPr>
        <w:ind w:left="720"/>
      </w:pPr>
      <w:r>
        <w:rPr>
          <w:i/>
        </w:rPr>
        <w:t>‘</w:t>
      </w:r>
      <w:r w:rsidR="00A42A89" w:rsidRPr="00A42A89">
        <w:rPr>
          <w:i/>
        </w:rPr>
        <w:t>Opdivo is indicated for the adjuvant treatment of patients with melanoma with involvement of lymph nodes or metastatic disease who have undergone complete resection</w:t>
      </w:r>
      <w:r>
        <w:rPr>
          <w:i/>
        </w:rPr>
        <w:t>’</w:t>
      </w:r>
      <w:r>
        <w:rPr>
          <w:rStyle w:val="FootnoteReference"/>
        </w:rPr>
        <w:footnoteReference w:id="1"/>
      </w:r>
    </w:p>
    <w:p w14:paraId="08BC1F86" w14:textId="77777777" w:rsidR="008E7846" w:rsidRDefault="008E7846" w:rsidP="00747FD1">
      <w:pPr>
        <w:pStyle w:val="Heading3"/>
      </w:pPr>
      <w:bookmarkStart w:id="21" w:name="_Toc522802893"/>
      <w:r>
        <w:t>Product Information</w:t>
      </w:r>
      <w:bookmarkEnd w:id="19"/>
      <w:bookmarkEnd w:id="20"/>
      <w:bookmarkEnd w:id="21"/>
    </w:p>
    <w:p w14:paraId="341217AB" w14:textId="77777777" w:rsidR="00940A89" w:rsidRDefault="006136D7" w:rsidP="00940A89">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4" w:history="1">
        <w:r w:rsidR="00441C3F" w:rsidRPr="00441C3F">
          <w:rPr>
            <w:rStyle w:val="Hyperlink"/>
          </w:rPr>
          <w:t>https://www.tga.gov.au/product-information-pi</w:t>
        </w:r>
      </w:hyperlink>
      <w:r w:rsidR="00441C3F">
        <w:t>&gt;</w:t>
      </w:r>
      <w:r w:rsidR="00940A89" w:rsidRPr="00940A89">
        <w:t>.</w:t>
      </w:r>
    </w:p>
    <w:p w14:paraId="3522D99B" w14:textId="77777777" w:rsidR="00500337" w:rsidRDefault="00500337" w:rsidP="00500337">
      <w:pPr>
        <w:pStyle w:val="Heading2"/>
      </w:pPr>
      <w:bookmarkStart w:id="24" w:name="_Toc504480011"/>
      <w:bookmarkStart w:id="25" w:name="_Toc522802894"/>
      <w:r>
        <w:t>II. Registration time line</w:t>
      </w:r>
      <w:bookmarkEnd w:id="24"/>
      <w:bookmarkEnd w:id="25"/>
    </w:p>
    <w:p w14:paraId="1502EB06" w14:textId="77777777" w:rsidR="00500337" w:rsidRPr="00A42A89" w:rsidRDefault="00500337" w:rsidP="00500337">
      <w:r>
        <w:t xml:space="preserve">The following table captures the key </w:t>
      </w:r>
      <w:r w:rsidRPr="00A42A89">
        <w:t xml:space="preserve">steps and dates for this application </w:t>
      </w:r>
      <w:r w:rsidR="00A42A89" w:rsidRPr="00A42A89">
        <w:t xml:space="preserve">(PM-2017-03752-1-4) </w:t>
      </w:r>
      <w:r w:rsidRPr="00A42A89">
        <w:t>and which are detailed and discussed in this AusPAR and Attachment 2.</w:t>
      </w:r>
    </w:p>
    <w:p w14:paraId="2BFF053F" w14:textId="77777777" w:rsidR="00673E24" w:rsidRPr="00673E24" w:rsidRDefault="00673E24" w:rsidP="00673E24">
      <w:pPr>
        <w:pStyle w:val="TableTitle"/>
      </w:pPr>
      <w:r>
        <w:t xml:space="preserve">Table 1: Registration time line for Priority review </w:t>
      </w:r>
      <w:r w:rsidRPr="00A42A89">
        <w:t>application PM-2017-03752-1-4</w:t>
      </w:r>
    </w:p>
    <w:tbl>
      <w:tblPr>
        <w:tblStyle w:val="TableTGAblue"/>
        <w:tblW w:w="0" w:type="auto"/>
        <w:tblLook w:val="04A0" w:firstRow="1" w:lastRow="0" w:firstColumn="1" w:lastColumn="0" w:noHBand="0" w:noVBand="1"/>
      </w:tblPr>
      <w:tblGrid>
        <w:gridCol w:w="4360"/>
        <w:gridCol w:w="4360"/>
      </w:tblGrid>
      <w:tr w:rsidR="00500337" w14:paraId="60F7F905" w14:textId="77777777" w:rsidTr="00500337">
        <w:trPr>
          <w:cnfStyle w:val="100000000000" w:firstRow="1" w:lastRow="0" w:firstColumn="0" w:lastColumn="0" w:oddVBand="0" w:evenVBand="0" w:oddHBand="0" w:evenHBand="0" w:firstRowFirstColumn="0" w:firstRowLastColumn="0" w:lastRowFirstColumn="0" w:lastRowLastColumn="0"/>
          <w:cantSplit/>
        </w:trPr>
        <w:tc>
          <w:tcPr>
            <w:tcW w:w="4360" w:type="dxa"/>
          </w:tcPr>
          <w:p w14:paraId="717900F9" w14:textId="77777777" w:rsidR="00500337" w:rsidRDefault="00500337" w:rsidP="00500337">
            <w:pPr>
              <w:ind w:left="0" w:right="0"/>
            </w:pPr>
            <w:r>
              <w:t>Description</w:t>
            </w:r>
          </w:p>
        </w:tc>
        <w:tc>
          <w:tcPr>
            <w:tcW w:w="4360" w:type="dxa"/>
          </w:tcPr>
          <w:p w14:paraId="4A274E69" w14:textId="77777777" w:rsidR="00500337" w:rsidRDefault="00500337" w:rsidP="00500337">
            <w:pPr>
              <w:ind w:left="0" w:right="0"/>
            </w:pPr>
            <w:r>
              <w:t>Date</w:t>
            </w:r>
          </w:p>
        </w:tc>
      </w:tr>
      <w:tr w:rsidR="00500337" w14:paraId="79F43ACD" w14:textId="77777777" w:rsidTr="00500337">
        <w:tc>
          <w:tcPr>
            <w:tcW w:w="4360" w:type="dxa"/>
          </w:tcPr>
          <w:p w14:paraId="24191DB8" w14:textId="77777777" w:rsidR="00500337" w:rsidRDefault="00500337" w:rsidP="00500337">
            <w:pPr>
              <w:ind w:left="0" w:right="0"/>
            </w:pPr>
            <w:r>
              <w:t>Submission dossier accepted and first round evaluation commenced</w:t>
            </w:r>
          </w:p>
        </w:tc>
        <w:tc>
          <w:tcPr>
            <w:tcW w:w="4360" w:type="dxa"/>
          </w:tcPr>
          <w:p w14:paraId="7295DAB5" w14:textId="77777777" w:rsidR="00500337" w:rsidRPr="00587A4B" w:rsidRDefault="00A42A89" w:rsidP="00587A4B">
            <w:pPr>
              <w:jc w:val="both"/>
            </w:pPr>
            <w:r w:rsidRPr="00587A4B">
              <w:t>23 October 2017</w:t>
            </w:r>
          </w:p>
        </w:tc>
      </w:tr>
      <w:tr w:rsidR="00500337" w14:paraId="025C2263" w14:textId="77777777" w:rsidTr="00500337">
        <w:tc>
          <w:tcPr>
            <w:tcW w:w="4360" w:type="dxa"/>
          </w:tcPr>
          <w:p w14:paraId="2980BDCA" w14:textId="77777777" w:rsidR="00500337" w:rsidRDefault="00500337" w:rsidP="00500337">
            <w:pPr>
              <w:ind w:left="0" w:right="0"/>
            </w:pPr>
            <w:r>
              <w:t>Evaluation completed</w:t>
            </w:r>
          </w:p>
        </w:tc>
        <w:tc>
          <w:tcPr>
            <w:tcW w:w="4360" w:type="dxa"/>
          </w:tcPr>
          <w:p w14:paraId="4AFDB6D7" w14:textId="77777777" w:rsidR="00500337" w:rsidRPr="00587A4B" w:rsidRDefault="00500B77" w:rsidP="00587A4B">
            <w:pPr>
              <w:jc w:val="both"/>
            </w:pPr>
            <w:r w:rsidRPr="00587A4B">
              <w:t>17 March 2018</w:t>
            </w:r>
          </w:p>
        </w:tc>
      </w:tr>
      <w:tr w:rsidR="00500337" w14:paraId="6EF09DA0" w14:textId="77777777" w:rsidTr="00500337">
        <w:tc>
          <w:tcPr>
            <w:tcW w:w="4360" w:type="dxa"/>
          </w:tcPr>
          <w:p w14:paraId="239FDFFF" w14:textId="77777777" w:rsidR="00500337" w:rsidRDefault="00500337" w:rsidP="00587A4B">
            <w:pPr>
              <w:ind w:left="0" w:right="0"/>
            </w:pPr>
            <w:r>
              <w:t>Sponsor’s response</w:t>
            </w:r>
            <w:r w:rsidR="00500B77">
              <w:t xml:space="preserve"> to Delegate’s </w:t>
            </w:r>
            <w:r w:rsidR="00587A4B">
              <w:t>Questions</w:t>
            </w:r>
          </w:p>
        </w:tc>
        <w:tc>
          <w:tcPr>
            <w:tcW w:w="4360" w:type="dxa"/>
          </w:tcPr>
          <w:p w14:paraId="4760FDAC" w14:textId="77777777" w:rsidR="00500337" w:rsidRPr="00587A4B" w:rsidRDefault="00500B77" w:rsidP="00587A4B">
            <w:pPr>
              <w:jc w:val="both"/>
            </w:pPr>
            <w:r w:rsidRPr="00587A4B">
              <w:t>9 April 2018</w:t>
            </w:r>
          </w:p>
        </w:tc>
      </w:tr>
      <w:tr w:rsidR="00587A4B" w14:paraId="7D5D890A" w14:textId="77777777" w:rsidTr="00500337">
        <w:tc>
          <w:tcPr>
            <w:tcW w:w="4360" w:type="dxa"/>
          </w:tcPr>
          <w:p w14:paraId="1FDC03C7" w14:textId="77777777" w:rsidR="00587A4B" w:rsidRDefault="00587A4B" w:rsidP="004D470D">
            <w:pPr>
              <w:ind w:left="0" w:right="0"/>
            </w:pPr>
            <w:r>
              <w:t>Delegate’s Overall benefit-risk assessment and request for Advisory Committee advice</w:t>
            </w:r>
          </w:p>
        </w:tc>
        <w:tc>
          <w:tcPr>
            <w:tcW w:w="4360" w:type="dxa"/>
          </w:tcPr>
          <w:p w14:paraId="5689BE7C" w14:textId="77777777" w:rsidR="00587A4B" w:rsidRPr="00587A4B" w:rsidRDefault="00587A4B" w:rsidP="004D470D">
            <w:pPr>
              <w:jc w:val="both"/>
            </w:pPr>
            <w:r w:rsidRPr="00587A4B">
              <w:t>18 April 2018</w:t>
            </w:r>
          </w:p>
        </w:tc>
      </w:tr>
      <w:tr w:rsidR="00587A4B" w14:paraId="3E9E0273" w14:textId="77777777" w:rsidTr="00500337">
        <w:tc>
          <w:tcPr>
            <w:tcW w:w="4360" w:type="dxa"/>
          </w:tcPr>
          <w:p w14:paraId="085F375A" w14:textId="77777777" w:rsidR="00587A4B" w:rsidRDefault="00587A4B" w:rsidP="00500337">
            <w:pPr>
              <w:ind w:left="0" w:right="0"/>
            </w:pPr>
            <w:r>
              <w:t>Advisory Committee meeting</w:t>
            </w:r>
          </w:p>
        </w:tc>
        <w:tc>
          <w:tcPr>
            <w:tcW w:w="4360" w:type="dxa"/>
          </w:tcPr>
          <w:p w14:paraId="47DB2EC4" w14:textId="77777777" w:rsidR="00587A4B" w:rsidRPr="00587A4B" w:rsidRDefault="00587A4B" w:rsidP="00587A4B">
            <w:pPr>
              <w:jc w:val="both"/>
            </w:pPr>
            <w:r w:rsidRPr="00587A4B">
              <w:t>Not applicable</w:t>
            </w:r>
          </w:p>
        </w:tc>
      </w:tr>
      <w:tr w:rsidR="00587A4B" w14:paraId="5249A355" w14:textId="77777777" w:rsidTr="00500337">
        <w:tc>
          <w:tcPr>
            <w:tcW w:w="4360" w:type="dxa"/>
          </w:tcPr>
          <w:p w14:paraId="4ED0C92C" w14:textId="77777777" w:rsidR="00587A4B" w:rsidRDefault="00587A4B" w:rsidP="00500337">
            <w:pPr>
              <w:ind w:left="0" w:right="0"/>
            </w:pPr>
            <w:r>
              <w:t>Registration decision (Outcome)</w:t>
            </w:r>
          </w:p>
        </w:tc>
        <w:tc>
          <w:tcPr>
            <w:tcW w:w="4360" w:type="dxa"/>
          </w:tcPr>
          <w:p w14:paraId="3AC27D31" w14:textId="77777777" w:rsidR="00587A4B" w:rsidRPr="00587A4B" w:rsidRDefault="00587A4B" w:rsidP="00587A4B">
            <w:pPr>
              <w:jc w:val="both"/>
            </w:pPr>
            <w:r w:rsidRPr="00587A4B">
              <w:t>23 April 2018</w:t>
            </w:r>
          </w:p>
        </w:tc>
      </w:tr>
      <w:tr w:rsidR="00587A4B" w14:paraId="162DB867" w14:textId="77777777" w:rsidTr="00500337">
        <w:tc>
          <w:tcPr>
            <w:tcW w:w="4360" w:type="dxa"/>
          </w:tcPr>
          <w:p w14:paraId="6E0BC83F" w14:textId="77777777" w:rsidR="00587A4B" w:rsidRDefault="00587A4B" w:rsidP="00500337">
            <w:pPr>
              <w:ind w:left="0" w:right="0"/>
            </w:pPr>
            <w:r>
              <w:t>Completion of administrative activities and registration on ARTG</w:t>
            </w:r>
          </w:p>
        </w:tc>
        <w:tc>
          <w:tcPr>
            <w:tcW w:w="4360" w:type="dxa"/>
          </w:tcPr>
          <w:p w14:paraId="550E06F5" w14:textId="77777777" w:rsidR="00587A4B" w:rsidRPr="00587A4B" w:rsidRDefault="00587A4B" w:rsidP="00587A4B">
            <w:pPr>
              <w:jc w:val="both"/>
            </w:pPr>
            <w:r w:rsidRPr="00587A4B">
              <w:t>24 April 2018</w:t>
            </w:r>
          </w:p>
        </w:tc>
      </w:tr>
      <w:tr w:rsidR="00587A4B" w14:paraId="528FC475" w14:textId="77777777" w:rsidTr="00500337">
        <w:tc>
          <w:tcPr>
            <w:tcW w:w="4360" w:type="dxa"/>
          </w:tcPr>
          <w:p w14:paraId="73080143" w14:textId="77777777" w:rsidR="00587A4B" w:rsidRDefault="00587A4B" w:rsidP="00500337">
            <w:pPr>
              <w:ind w:left="0" w:right="0"/>
            </w:pPr>
            <w:r>
              <w:t>Number of working days from submission dossier acceptance to registration decision*</w:t>
            </w:r>
          </w:p>
        </w:tc>
        <w:tc>
          <w:tcPr>
            <w:tcW w:w="4360" w:type="dxa"/>
          </w:tcPr>
          <w:p w14:paraId="152549E0" w14:textId="77777777" w:rsidR="00587A4B" w:rsidRPr="00587A4B" w:rsidRDefault="00481789" w:rsidP="00587A4B">
            <w:pPr>
              <w:jc w:val="both"/>
            </w:pPr>
            <w:r>
              <w:t>125</w:t>
            </w:r>
          </w:p>
        </w:tc>
      </w:tr>
    </w:tbl>
    <w:p w14:paraId="70708B2D" w14:textId="77777777" w:rsidR="00500337" w:rsidRDefault="00500337" w:rsidP="00500337">
      <w:pPr>
        <w:pStyle w:val="TableDescription"/>
      </w:pPr>
      <w:r>
        <w:t>*</w:t>
      </w:r>
      <w:r w:rsidR="00731EA8">
        <w:t xml:space="preserve">Statutory time frame is 255 </w:t>
      </w:r>
      <w:r w:rsidR="00A42A89">
        <w:t xml:space="preserve">TGA </w:t>
      </w:r>
      <w:r w:rsidR="00731EA8">
        <w:t>working days</w:t>
      </w:r>
      <w:r>
        <w:t>.</w:t>
      </w:r>
    </w:p>
    <w:p w14:paraId="289832E9" w14:textId="77777777" w:rsidR="008E7846" w:rsidRPr="003602A9" w:rsidRDefault="00500337" w:rsidP="008E7846">
      <w:pPr>
        <w:pStyle w:val="Heading2"/>
        <w:ind w:left="-11"/>
      </w:pPr>
      <w:bookmarkStart w:id="26" w:name="_Toc522802895"/>
      <w:r>
        <w:lastRenderedPageBreak/>
        <w:t>I</w:t>
      </w:r>
      <w:r w:rsidR="008E7846">
        <w:t>II. Quality</w:t>
      </w:r>
      <w:bookmarkEnd w:id="1"/>
      <w:r w:rsidR="008E7846">
        <w:t xml:space="preserve"> findings</w:t>
      </w:r>
      <w:bookmarkEnd w:id="22"/>
      <w:bookmarkEnd w:id="23"/>
      <w:bookmarkEnd w:id="26"/>
    </w:p>
    <w:p w14:paraId="71E5EE55" w14:textId="77777777" w:rsidR="00940A89" w:rsidRPr="00940A89" w:rsidRDefault="00940A89" w:rsidP="00940A89">
      <w:bookmarkStart w:id="27" w:name="_Toc247691507"/>
      <w:bookmarkStart w:id="28" w:name="_Toc314842488"/>
      <w:r w:rsidRPr="00940A89">
        <w:t>There was no requirement for a quality evaluation in a submission of this type.</w:t>
      </w:r>
    </w:p>
    <w:p w14:paraId="1CF51CFB" w14:textId="77777777" w:rsidR="008E7846" w:rsidRDefault="008E7846" w:rsidP="008E7846">
      <w:pPr>
        <w:pStyle w:val="Heading2"/>
      </w:pPr>
      <w:bookmarkStart w:id="29" w:name="_Toc196046439"/>
      <w:bookmarkStart w:id="30" w:name="_Toc247691510"/>
      <w:bookmarkStart w:id="31" w:name="_Toc314842494"/>
      <w:bookmarkStart w:id="32" w:name="_Toc522802896"/>
      <w:bookmarkEnd w:id="27"/>
      <w:bookmarkEnd w:id="28"/>
      <w:r>
        <w:t>I</w:t>
      </w:r>
      <w:r w:rsidR="00500337">
        <w:t>V</w:t>
      </w:r>
      <w:r>
        <w:t>. Nonclinical</w:t>
      </w:r>
      <w:bookmarkEnd w:id="29"/>
      <w:r>
        <w:t xml:space="preserve"> findings</w:t>
      </w:r>
      <w:bookmarkEnd w:id="30"/>
      <w:bookmarkEnd w:id="31"/>
      <w:bookmarkEnd w:id="32"/>
    </w:p>
    <w:p w14:paraId="02658475" w14:textId="77777777" w:rsidR="00940A89" w:rsidRDefault="00940A89" w:rsidP="000E6196">
      <w:bookmarkStart w:id="33" w:name="_Toc247691511"/>
      <w:bookmarkStart w:id="34" w:name="_Toc314842495"/>
      <w:r>
        <w:t>There was no requirement for a nonclinical evaluation in a submission of this type.</w:t>
      </w:r>
    </w:p>
    <w:p w14:paraId="0B97239F" w14:textId="77777777" w:rsidR="008E7846" w:rsidRPr="00254787" w:rsidRDefault="008E7846" w:rsidP="008E7846">
      <w:pPr>
        <w:pStyle w:val="Heading2"/>
      </w:pPr>
      <w:bookmarkStart w:id="35" w:name="_Toc196046462"/>
      <w:bookmarkStart w:id="36" w:name="_Toc247691516"/>
      <w:bookmarkStart w:id="37" w:name="_Toc314842500"/>
      <w:bookmarkStart w:id="38" w:name="_Toc163441353"/>
      <w:bookmarkStart w:id="39" w:name="_Toc163441348"/>
      <w:bookmarkStart w:id="40" w:name="_Toc522802897"/>
      <w:bookmarkEnd w:id="33"/>
      <w:bookmarkEnd w:id="34"/>
      <w:r>
        <w:t xml:space="preserve">V. </w:t>
      </w:r>
      <w:r w:rsidRPr="00254787">
        <w:t>Clinical</w:t>
      </w:r>
      <w:bookmarkEnd w:id="35"/>
      <w:r>
        <w:t xml:space="preserve"> </w:t>
      </w:r>
      <w:r w:rsidR="003A7F6C">
        <w:t>f</w:t>
      </w:r>
      <w:r>
        <w:t>indings</w:t>
      </w:r>
      <w:bookmarkEnd w:id="36"/>
      <w:bookmarkEnd w:id="37"/>
      <w:bookmarkEnd w:id="40"/>
    </w:p>
    <w:p w14:paraId="403E3732" w14:textId="77777777" w:rsidR="00C80137" w:rsidRDefault="00C80137" w:rsidP="00D425BB">
      <w:bookmarkStart w:id="41"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14:paraId="2DD85EFC" w14:textId="77777777" w:rsidR="008E7846" w:rsidRDefault="008E7846" w:rsidP="008E7846">
      <w:pPr>
        <w:pStyle w:val="Heading3"/>
      </w:pPr>
      <w:bookmarkStart w:id="42" w:name="_Toc247691517"/>
      <w:bookmarkStart w:id="43" w:name="_Toc314842501"/>
      <w:bookmarkStart w:id="44" w:name="_Toc522802898"/>
      <w:r w:rsidRPr="00254787">
        <w:t>Introduction</w:t>
      </w:r>
      <w:bookmarkEnd w:id="41"/>
      <w:bookmarkEnd w:id="42"/>
      <w:bookmarkEnd w:id="43"/>
      <w:bookmarkEnd w:id="44"/>
    </w:p>
    <w:p w14:paraId="60C0AE54" w14:textId="77777777" w:rsidR="00605AD4" w:rsidRDefault="00605AD4" w:rsidP="00605AD4">
      <w:pPr>
        <w:pStyle w:val="Heading4"/>
      </w:pPr>
      <w:bookmarkStart w:id="45" w:name="_Toc196046464"/>
      <w:bookmarkStart w:id="46" w:name="_Toc247691518"/>
      <w:bookmarkStart w:id="47" w:name="_Toc314842502"/>
      <w:r w:rsidRPr="00605AD4">
        <w:t xml:space="preserve">Clinical </w:t>
      </w:r>
      <w:r w:rsidR="00EF59DC">
        <w:t>r</w:t>
      </w:r>
      <w:r w:rsidRPr="00605AD4">
        <w:t>ationale</w:t>
      </w:r>
    </w:p>
    <w:p w14:paraId="5AECC2FA" w14:textId="77777777" w:rsidR="00E828CC" w:rsidRDefault="001C5E9A" w:rsidP="00E828CC">
      <w:pPr>
        <w:rPr>
          <w:lang w:eastAsia="ja-JP"/>
        </w:rPr>
      </w:pPr>
      <w:r>
        <w:rPr>
          <w:lang w:eastAsia="ja-JP"/>
        </w:rPr>
        <w:t>The sponsor</w:t>
      </w:r>
      <w:r w:rsidR="00E828CC">
        <w:rPr>
          <w:lang w:eastAsia="ja-JP"/>
        </w:rPr>
        <w:t xml:space="preserve"> provided the reasoning as summarised below for the use of nivolumab as adjuvant therapy in resected Stage IIIB/C and Stage IV melanoma:</w:t>
      </w:r>
    </w:p>
    <w:p w14:paraId="4800D154" w14:textId="2D7F6FD7" w:rsidR="00E828CC" w:rsidRPr="00A41B04" w:rsidRDefault="00E828CC" w:rsidP="00E828CC">
      <w:pPr>
        <w:pStyle w:val="ListBullet"/>
        <w:rPr>
          <w:lang w:eastAsia="ja-JP"/>
        </w:rPr>
      </w:pPr>
      <w:r w:rsidRPr="00A41B04">
        <w:rPr>
          <w:lang w:eastAsia="ja-JP"/>
        </w:rPr>
        <w:t>Post</w:t>
      </w:r>
      <w:r w:rsidR="001C5E9A">
        <w:rPr>
          <w:lang w:eastAsia="ja-JP"/>
        </w:rPr>
        <w:t>-resection, most patients with S</w:t>
      </w:r>
      <w:r w:rsidRPr="00A41B04">
        <w:rPr>
          <w:lang w:eastAsia="ja-JP"/>
        </w:rPr>
        <w:t>tage III and IV disease will develop unresectable recurrences. Unresectable disease has high mortality even with new treatments for advanced melanoma. There is a rising incidence. Younger age groups lose productive years.</w:t>
      </w:r>
    </w:p>
    <w:p w14:paraId="626B5B8E" w14:textId="77777777" w:rsidR="00E828CC" w:rsidRDefault="00E828CC" w:rsidP="00E828CC">
      <w:pPr>
        <w:pStyle w:val="ListBullet"/>
        <w:rPr>
          <w:lang w:eastAsia="ja-JP"/>
        </w:rPr>
      </w:pPr>
      <w:r w:rsidRPr="00A41B04">
        <w:rPr>
          <w:lang w:eastAsia="ja-JP"/>
        </w:rPr>
        <w:t>Current treatments do not show clear clinical benefi</w:t>
      </w:r>
      <w:r>
        <w:rPr>
          <w:lang w:eastAsia="ja-JP"/>
        </w:rPr>
        <w:t>t and have substantial toxicity.</w:t>
      </w:r>
    </w:p>
    <w:p w14:paraId="4BA440D5" w14:textId="0CF24F38" w:rsidR="00E828CC" w:rsidRPr="00A41B04" w:rsidRDefault="00E828CC" w:rsidP="00E828CC">
      <w:pPr>
        <w:pStyle w:val="ListBullet"/>
        <w:rPr>
          <w:lang w:eastAsia="ja-JP"/>
        </w:rPr>
      </w:pPr>
      <w:r>
        <w:rPr>
          <w:lang w:eastAsia="ja-JP"/>
        </w:rPr>
        <w:t>I</w:t>
      </w:r>
      <w:r w:rsidRPr="00A41B04">
        <w:rPr>
          <w:lang w:eastAsia="ja-JP"/>
        </w:rPr>
        <w:t xml:space="preserve">pilimumab is </w:t>
      </w:r>
      <w:r>
        <w:rPr>
          <w:lang w:eastAsia="ja-JP"/>
        </w:rPr>
        <w:t xml:space="preserve">not approved for adjuvant melanoma treatment in Australia; it is </w:t>
      </w:r>
      <w:r w:rsidRPr="00A41B04">
        <w:rPr>
          <w:lang w:eastAsia="ja-JP"/>
        </w:rPr>
        <w:t xml:space="preserve">approved in the USA for </w:t>
      </w:r>
      <w:r w:rsidR="001C5E9A">
        <w:rPr>
          <w:lang w:eastAsia="ja-JP"/>
        </w:rPr>
        <w:t>Stage III</w:t>
      </w:r>
      <w:r w:rsidRPr="00A41B04">
        <w:rPr>
          <w:lang w:eastAsia="ja-JP"/>
        </w:rPr>
        <w:t xml:space="preserve"> patients after complete resection</w:t>
      </w:r>
      <w:r>
        <w:rPr>
          <w:lang w:eastAsia="ja-JP"/>
        </w:rPr>
        <w:t>.</w:t>
      </w:r>
    </w:p>
    <w:p w14:paraId="77581AF2" w14:textId="77777777" w:rsidR="00E828CC" w:rsidRPr="00A41B04" w:rsidRDefault="00E828CC" w:rsidP="00E828CC">
      <w:pPr>
        <w:rPr>
          <w:lang w:eastAsia="ja-JP"/>
        </w:rPr>
      </w:pPr>
      <w:r>
        <w:rPr>
          <w:lang w:eastAsia="ja-JP"/>
        </w:rPr>
        <w:t xml:space="preserve">The sponsor concluded there is unmet clinical need in Australia for adjuvant treatment for this patient population. Nivolumab is approved in Australia as monotherapy for treatment of advanced (unresectable </w:t>
      </w:r>
      <w:r w:rsidR="001C5E9A">
        <w:rPr>
          <w:lang w:eastAsia="ja-JP"/>
        </w:rPr>
        <w:t>Stage III or metastatic (S</w:t>
      </w:r>
      <w:r>
        <w:rPr>
          <w:lang w:eastAsia="ja-JP"/>
        </w:rPr>
        <w:t>tage IV)) melanoma.</w:t>
      </w:r>
    </w:p>
    <w:p w14:paraId="0A0EA184" w14:textId="77777777" w:rsidR="00605AD4" w:rsidRDefault="00605AD4" w:rsidP="00605AD4">
      <w:pPr>
        <w:pStyle w:val="Heading4"/>
      </w:pPr>
      <w:r w:rsidRPr="00605AD4">
        <w:t>Guidance</w:t>
      </w:r>
    </w:p>
    <w:p w14:paraId="6E56F222" w14:textId="13768498" w:rsidR="00E828CC" w:rsidRDefault="00171A37" w:rsidP="001C5E9A">
      <w:pPr>
        <w:pStyle w:val="ListBullet"/>
      </w:pPr>
      <w:r w:rsidRPr="00171A37">
        <w:rPr>
          <w:lang w:val="en-GB"/>
        </w:rPr>
        <w:t>EMA/CHMP/205/95/Rev.4</w:t>
      </w:r>
      <w:r>
        <w:rPr>
          <w:lang w:val="en-GB"/>
        </w:rPr>
        <w:t>:</w:t>
      </w:r>
      <w:r w:rsidRPr="00171A37">
        <w:rPr>
          <w:lang w:val="en-GB"/>
        </w:rPr>
        <w:t xml:space="preserve"> </w:t>
      </w:r>
      <w:r w:rsidR="00E828CC">
        <w:t>Guideline on the evaluation of anticancer medicinal products in man</w:t>
      </w:r>
      <w:r>
        <w:t>.</w:t>
      </w:r>
    </w:p>
    <w:p w14:paraId="1893F080" w14:textId="6A373F8E" w:rsidR="00E828CC" w:rsidRDefault="00E828CC" w:rsidP="001C5E9A">
      <w:pPr>
        <w:pStyle w:val="ListBullet"/>
      </w:pPr>
      <w:r>
        <w:t>It was noted there is a newly adopted guideline</w:t>
      </w:r>
      <w:r w:rsidR="00171A37">
        <w:t xml:space="preserve"> (</w:t>
      </w:r>
      <w:r w:rsidR="00171A37" w:rsidRPr="00171A37">
        <w:rPr>
          <w:lang w:val="en-GB"/>
        </w:rPr>
        <w:t>EMA/CHMP/205/95/Rev.</w:t>
      </w:r>
      <w:r w:rsidR="00171A37">
        <w:rPr>
          <w:lang w:val="en-GB"/>
        </w:rPr>
        <w:t>5)</w:t>
      </w:r>
      <w:r>
        <w:t xml:space="preserve">, effective from </w:t>
      </w:r>
      <w:r w:rsidR="00171A37">
        <w:t xml:space="preserve">1 April </w:t>
      </w:r>
      <w:r>
        <w:t xml:space="preserve">2018 </w:t>
      </w:r>
      <w:r w:rsidR="00171A37">
        <w:t xml:space="preserve">at the </w:t>
      </w:r>
      <w:r>
        <w:t xml:space="preserve">EMA, and not yet adopted by TGA; </w:t>
      </w:r>
    </w:p>
    <w:p w14:paraId="7E7E1292" w14:textId="77777777" w:rsidR="00E828CC" w:rsidRDefault="00E828CC" w:rsidP="001C5E9A">
      <w:pPr>
        <w:ind w:left="426"/>
      </w:pPr>
      <w:r>
        <w:t>Of note, this new guideline states, on page 39/43, ‘</w:t>
      </w:r>
      <w:proofErr w:type="gramStart"/>
      <w:r w:rsidRPr="001C5E9A">
        <w:rPr>
          <w:i/>
        </w:rPr>
        <w:t>As</w:t>
      </w:r>
      <w:proofErr w:type="gramEnd"/>
      <w:r w:rsidRPr="001C5E9A">
        <w:rPr>
          <w:i/>
        </w:rPr>
        <w:t xml:space="preserve"> there is often no way to identify the </w:t>
      </w:r>
      <w:r w:rsidR="009B53C8" w:rsidRPr="001C5E9A">
        <w:rPr>
          <w:i/>
        </w:rPr>
        <w:t>‘</w:t>
      </w:r>
      <w:r w:rsidRPr="001C5E9A">
        <w:rPr>
          <w:i/>
        </w:rPr>
        <w:t>true</w:t>
      </w:r>
      <w:r w:rsidR="009B53C8" w:rsidRPr="001C5E9A">
        <w:rPr>
          <w:i/>
        </w:rPr>
        <w:t>’</w:t>
      </w:r>
      <w:r w:rsidRPr="001C5E9A">
        <w:rPr>
          <w:i/>
        </w:rPr>
        <w:t xml:space="preserve"> incidence of an ADR, the least biased measure should be consistently used. For events fulfilling the causality requirement of ADR, the frequency categories in the tabulated list of adverse reactions should therefore be based on the frequencies of all-causality AEs (</w:t>
      </w:r>
      <w:r w:rsidR="00673E24">
        <w:rPr>
          <w:i/>
        </w:rPr>
        <w:t>that is,</w:t>
      </w:r>
      <w:r w:rsidRPr="001C5E9A">
        <w:rPr>
          <w:i/>
        </w:rPr>
        <w:t xml:space="preserve"> irrespective of investigators’ assessments of relatedness)</w:t>
      </w:r>
      <w:r>
        <w:t xml:space="preserve">.’ </w:t>
      </w:r>
    </w:p>
    <w:p w14:paraId="459B7475" w14:textId="648E1F3F" w:rsidR="00500337" w:rsidRPr="00500337" w:rsidRDefault="00171A37" w:rsidP="001C5E9A">
      <w:pPr>
        <w:pStyle w:val="ListBullet"/>
      </w:pPr>
      <w:r w:rsidRPr="00171A37">
        <w:rPr>
          <w:lang w:val="en-GB"/>
        </w:rPr>
        <w:t>CPMP/EWP/2330/99</w:t>
      </w:r>
      <w:r>
        <w:rPr>
          <w:lang w:val="en-GB"/>
        </w:rPr>
        <w:t xml:space="preserve">: </w:t>
      </w:r>
      <w:r w:rsidR="00E828CC">
        <w:t>Points to consider on application with 1 Meta-analyses 2. One pivotal study’</w:t>
      </w:r>
      <w:r>
        <w:t>.</w:t>
      </w:r>
    </w:p>
    <w:p w14:paraId="77CF8B6F" w14:textId="77777777" w:rsidR="00605AD4" w:rsidRDefault="00605AD4" w:rsidP="00605AD4">
      <w:pPr>
        <w:pStyle w:val="Heading4"/>
      </w:pPr>
      <w:r w:rsidRPr="00605AD4">
        <w:lastRenderedPageBreak/>
        <w:t>Contents of the clinical dossier</w:t>
      </w:r>
    </w:p>
    <w:p w14:paraId="702526D8" w14:textId="77777777" w:rsidR="00E828CC" w:rsidRDefault="00E828CC" w:rsidP="00E828CC">
      <w:pPr>
        <w:pStyle w:val="Heading5"/>
      </w:pPr>
      <w:r>
        <w:t>Scope of the clinical dossier</w:t>
      </w:r>
    </w:p>
    <w:p w14:paraId="5C5020AE" w14:textId="1EF7A252" w:rsidR="00E828CC" w:rsidRDefault="00E828CC" w:rsidP="00E828CC">
      <w:pPr>
        <w:pStyle w:val="ListBullet"/>
      </w:pPr>
      <w:r>
        <w:t xml:space="preserve">One interim pivotal </w:t>
      </w:r>
      <w:r w:rsidR="001C5E9A">
        <w:t>company study report (</w:t>
      </w:r>
      <w:r>
        <w:t>CSR</w:t>
      </w:r>
      <w:r w:rsidR="001C5E9A">
        <w:t>)</w:t>
      </w:r>
      <w:r>
        <w:t xml:space="preserve"> for </w:t>
      </w:r>
      <w:r w:rsidR="0053790D">
        <w:t xml:space="preserve">Study </w:t>
      </w:r>
      <w:r>
        <w:t xml:space="preserve">CA209238, an ongoing Phase </w:t>
      </w:r>
      <w:r w:rsidR="001C5E9A">
        <w:t>III</w:t>
      </w:r>
      <w:r>
        <w:t xml:space="preserve"> randomised double</w:t>
      </w:r>
      <w:r w:rsidR="0053790D">
        <w:t xml:space="preserve"> </w:t>
      </w:r>
      <w:r>
        <w:t>blind efficacy and safety trial of nivolumab (n = 452) v</w:t>
      </w:r>
      <w:r w:rsidR="001C5E9A">
        <w:t>ersu</w:t>
      </w:r>
      <w:r>
        <w:t xml:space="preserve">s ipilimumab (n = 453) in subjects with completely resected Stage IIIB/C or </w:t>
      </w:r>
      <w:r w:rsidR="001C5E9A">
        <w:t>Stage</w:t>
      </w:r>
      <w:r w:rsidR="0053790D">
        <w:t> </w:t>
      </w:r>
      <w:r w:rsidR="001C5E9A">
        <w:t>IV</w:t>
      </w:r>
      <w:r>
        <w:t xml:space="preserve"> </w:t>
      </w:r>
      <w:r w:rsidRPr="00790646">
        <w:t>‘NED’</w:t>
      </w:r>
      <w:r>
        <w:t xml:space="preserve"> melanoma who are at high risk for recurrence.</w:t>
      </w:r>
    </w:p>
    <w:p w14:paraId="0902A8ED" w14:textId="1D1AF4CA" w:rsidR="00E828CC" w:rsidRDefault="00E828CC" w:rsidP="00E828CC">
      <w:pPr>
        <w:pStyle w:val="ListBullet"/>
      </w:pPr>
      <w:r>
        <w:t>One supporting CSR with two addenda for</w:t>
      </w:r>
      <w:r w:rsidR="0053790D">
        <w:t xml:space="preserve"> Study</w:t>
      </w:r>
      <w:r>
        <w:t xml:space="preserve"> CA184029, an ongoing </w:t>
      </w:r>
      <w:r w:rsidR="001C5E9A">
        <w:t>Phase III</w:t>
      </w:r>
      <w:r>
        <w:t xml:space="preserve"> randomised double</w:t>
      </w:r>
      <w:r w:rsidR="0053790D">
        <w:t xml:space="preserve"> </w:t>
      </w:r>
      <w:r>
        <w:t>blind efficacy and safety trial of ipilimumab (n= 471) v</w:t>
      </w:r>
      <w:r w:rsidR="008347B6">
        <w:t>ersu</w:t>
      </w:r>
      <w:r>
        <w:t>s placebo (n = 474) in subjects with complete resection of Stage IIIA, IIIB and IIIC cutaneous melanoma.</w:t>
      </w:r>
    </w:p>
    <w:p w14:paraId="46174D49" w14:textId="08621E27" w:rsidR="00500337" w:rsidRPr="00500337" w:rsidRDefault="00E828CC" w:rsidP="00E828CC">
      <w:pPr>
        <w:pStyle w:val="ListBullet"/>
      </w:pPr>
      <w:r>
        <w:t xml:space="preserve">Population </w:t>
      </w:r>
      <w:r w:rsidR="0053790D">
        <w:t>pharmacokinetics (PopPK)</w:t>
      </w:r>
      <w:r>
        <w:t xml:space="preserve"> study report 930118022 v1.0 nivolumab PopPK analysis of adjuvant treatment nivolumab monotherapy in resected </w:t>
      </w:r>
      <w:r w:rsidR="001C5E9A">
        <w:t>Stage</w:t>
      </w:r>
      <w:r w:rsidR="0053790D">
        <w:t> </w:t>
      </w:r>
      <w:r w:rsidR="001C5E9A">
        <w:t>III</w:t>
      </w:r>
      <w:r>
        <w:t xml:space="preserve">B/C or Stage IV melanoma. This includes a summary measure of simulated exposure 240 mg </w:t>
      </w:r>
      <w:r w:rsidR="008347B6">
        <w:t>every</w:t>
      </w:r>
      <w:r>
        <w:t xml:space="preserve"> 2 weeks v</w:t>
      </w:r>
      <w:r w:rsidR="001C5E9A">
        <w:t>ersu</w:t>
      </w:r>
      <w:r>
        <w:t xml:space="preserve">s 3 mg/kg </w:t>
      </w:r>
      <w:r w:rsidR="001C5E9A">
        <w:t>every</w:t>
      </w:r>
      <w:r>
        <w:t xml:space="preserve"> 2 weeks. The sponsor also requested that the </w:t>
      </w:r>
      <w:r w:rsidR="0053790D">
        <w:t>PopPK</w:t>
      </w:r>
      <w:r>
        <w:t xml:space="preserve"> evaluation of </w:t>
      </w:r>
      <w:r w:rsidR="008347B6">
        <w:t xml:space="preserve">another of their TGA </w:t>
      </w:r>
      <w:r>
        <w:t>application</w:t>
      </w:r>
      <w:r w:rsidR="008347B6">
        <w:t>’s</w:t>
      </w:r>
      <w:r>
        <w:t xml:space="preserve"> is cross</w:t>
      </w:r>
      <w:r w:rsidR="00993A64">
        <w:noBreakHyphen/>
      </w:r>
      <w:r>
        <w:t>referred to when assessing the adjuvant melanoma application.</w:t>
      </w:r>
    </w:p>
    <w:p w14:paraId="06FCC469" w14:textId="77777777" w:rsidR="00605AD4" w:rsidRDefault="00605AD4" w:rsidP="00605AD4">
      <w:pPr>
        <w:pStyle w:val="Heading4"/>
      </w:pPr>
      <w:r w:rsidRPr="00605AD4">
        <w:t>Paediatric data</w:t>
      </w:r>
    </w:p>
    <w:p w14:paraId="2A07B049" w14:textId="372B632F" w:rsidR="00E828CC" w:rsidRDefault="00E828CC" w:rsidP="00E828CC">
      <w:r>
        <w:t>No paediatric data were provided.</w:t>
      </w:r>
    </w:p>
    <w:p w14:paraId="0402A695" w14:textId="67943636" w:rsidR="00E828CC" w:rsidRDefault="00E828CC" w:rsidP="00E828CC">
      <w:r>
        <w:t xml:space="preserve">Although the pivotal trial protocol allowed for the enrolment of patients 15 </w:t>
      </w:r>
      <w:r w:rsidR="008347B6">
        <w:t xml:space="preserve">to </w:t>
      </w:r>
      <w:r>
        <w:t xml:space="preserve">18 years in countries where this was permitted, no subjects &lt; 18 years of age were enrolled. </w:t>
      </w:r>
    </w:p>
    <w:p w14:paraId="1D9597FA" w14:textId="5D42A1C6" w:rsidR="00500337" w:rsidRPr="00500337" w:rsidRDefault="00E828CC" w:rsidP="00E828CC">
      <w:r>
        <w:t xml:space="preserve">The application form states </w:t>
      </w:r>
      <w:r w:rsidR="008347B6">
        <w:t xml:space="preserve">that </w:t>
      </w:r>
      <w:r>
        <w:t xml:space="preserve">the sponsor is not seeking approval for paediatric use in this application. The letter of </w:t>
      </w:r>
      <w:r w:rsidR="008347B6">
        <w:t>a</w:t>
      </w:r>
      <w:r>
        <w:t>pplication also confirms the Australian proposed indication which does not refer to age of patients.</w:t>
      </w:r>
    </w:p>
    <w:p w14:paraId="0EF409F2" w14:textId="77777777" w:rsidR="00605AD4" w:rsidRDefault="00605AD4" w:rsidP="00605AD4">
      <w:pPr>
        <w:pStyle w:val="Heading4"/>
      </w:pPr>
      <w:r w:rsidRPr="00605AD4">
        <w:t>Good clinical practice</w:t>
      </w:r>
    </w:p>
    <w:p w14:paraId="432E3E43" w14:textId="6045095C" w:rsidR="00E828CC" w:rsidRDefault="00E828CC" w:rsidP="00E828CC">
      <w:r>
        <w:t xml:space="preserve">According to each CSR, the studies were conducted in accordance with </w:t>
      </w:r>
      <w:r w:rsidR="00934B0C">
        <w:t>Good Clinical Practice (</w:t>
      </w:r>
      <w:r>
        <w:t>GCP</w:t>
      </w:r>
      <w:r w:rsidR="00934B0C">
        <w:t>)</w:t>
      </w:r>
      <w:r>
        <w:t xml:space="preserve"> and protected the rights of subjects. The protocol amendments and subject informed consent forms received appropriate approval prior to initiation of study at the sit</w:t>
      </w:r>
      <w:r w:rsidR="00934B0C">
        <w:t>e</w:t>
      </w:r>
      <w:r>
        <w:t>.</w:t>
      </w:r>
    </w:p>
    <w:p w14:paraId="601776C4" w14:textId="538505DB" w:rsidR="00E828CC" w:rsidRDefault="00E828CC" w:rsidP="00E828CC">
      <w:r>
        <w:t>An independent Data Monit</w:t>
      </w:r>
      <w:r w:rsidR="00934B0C">
        <w:t>oring Committee (DMC) was utilis</w:t>
      </w:r>
      <w:r>
        <w:t xml:space="preserve">ed to provide oversight of safety and efficacy considerations in </w:t>
      </w:r>
      <w:r w:rsidR="00934B0C">
        <w:t>S</w:t>
      </w:r>
      <w:r>
        <w:t xml:space="preserve">tudy CA209238, and to provide advice to the </w:t>
      </w:r>
      <w:r w:rsidR="00934B0C">
        <w:t>s</w:t>
      </w:r>
      <w:r>
        <w:t>ponsor for the continuing protection of subjects enrolled in the trial. The DMC acted in an advisory capacity, and monitored subject safety and evaluated the available efficacy data for the study.</w:t>
      </w:r>
    </w:p>
    <w:p w14:paraId="7F3422A7" w14:textId="313E90EE" w:rsidR="00500337" w:rsidRPr="00500337" w:rsidRDefault="00E828CC" w:rsidP="00E828CC">
      <w:r>
        <w:t>Efficacy was reviewed by the DMC as part of the benefit-to-risk assessment. The DMC reviewed the formal interim analysis</w:t>
      </w:r>
      <w:r w:rsidR="00934B0C">
        <w:t xml:space="preserve"> results for </w:t>
      </w:r>
      <w:r w:rsidR="00993A64">
        <w:t>recurrence</w:t>
      </w:r>
      <w:r w:rsidR="00934B0C">
        <w:t>-free survival (RFS).</w:t>
      </w:r>
    </w:p>
    <w:p w14:paraId="0E225EA0" w14:textId="77777777" w:rsidR="008E7846" w:rsidRDefault="008E7846" w:rsidP="00605AD4">
      <w:pPr>
        <w:pStyle w:val="Heading3"/>
      </w:pPr>
      <w:bookmarkStart w:id="48" w:name="_Toc522802899"/>
      <w:r w:rsidRPr="00254787">
        <w:t>Pharmacokinetics</w:t>
      </w:r>
      <w:bookmarkEnd w:id="38"/>
      <w:bookmarkEnd w:id="45"/>
      <w:bookmarkEnd w:id="46"/>
      <w:bookmarkEnd w:id="47"/>
      <w:bookmarkEnd w:id="48"/>
    </w:p>
    <w:p w14:paraId="5794E0A3" w14:textId="77777777" w:rsidR="00605AD4" w:rsidRDefault="00605AD4" w:rsidP="00605AD4">
      <w:pPr>
        <w:pStyle w:val="Heading4"/>
      </w:pPr>
      <w:r>
        <w:t>Studies</w:t>
      </w:r>
      <w:r w:rsidR="00500337">
        <w:t xml:space="preserve"> providing pharmacokinetic data</w:t>
      </w:r>
    </w:p>
    <w:p w14:paraId="057AB61E" w14:textId="77777777" w:rsidR="00E828CC" w:rsidRDefault="00E828CC" w:rsidP="00E828CC">
      <w:r>
        <w:t xml:space="preserve">The summary of clinical pharmacology for the adjuvant melanoma study refers to previous studies. The pharmacokinetics (PK) of nivolumab in solid tumours and </w:t>
      </w:r>
      <w:r w:rsidR="00673E24">
        <w:t>c</w:t>
      </w:r>
      <w:r w:rsidR="00934B0C" w:rsidRPr="00934B0C">
        <w:t>lassical Hodgkin lymphoma (</w:t>
      </w:r>
      <w:r w:rsidR="00673E24">
        <w:t>c</w:t>
      </w:r>
      <w:r w:rsidR="00934B0C" w:rsidRPr="00934B0C">
        <w:t>HL)</w:t>
      </w:r>
      <w:r>
        <w:t xml:space="preserve"> has been characterised by PPK analysis. There were no new specific PK studies provided with this submission for healthy subjects or the target population. There were no new PK studies for special populations or drug-drug interactions provided with the submission for this application.</w:t>
      </w:r>
    </w:p>
    <w:p w14:paraId="4FA95BC3" w14:textId="77777777" w:rsidR="00E828CC" w:rsidRDefault="00E828CC" w:rsidP="00E828CC">
      <w:r>
        <w:lastRenderedPageBreak/>
        <w:t xml:space="preserve">The Pop PK analysis report provided with this submission notes that PK, clinical activity, and safety of nivolumab have been assessed in several Phase </w:t>
      </w:r>
      <w:r w:rsidR="00673E24">
        <w:t>I</w:t>
      </w:r>
      <w:r>
        <w:t xml:space="preserve">, Phase </w:t>
      </w:r>
      <w:r w:rsidR="00673E24">
        <w:t>II</w:t>
      </w:r>
      <w:r>
        <w:t xml:space="preserve">, and </w:t>
      </w:r>
      <w:r w:rsidR="001C5E9A">
        <w:t>Phase III</w:t>
      </w:r>
      <w:r>
        <w:t xml:space="preserve"> clinical studies in adult subjects with solid tumours, including non-small cell lung cancer (NSCLC), small cell lung cancer (SCLC), advanced melanoma, renal cell carcinoma (RCC), squamous cell carcinoma of the head and neck (SCCHN), urothelial carcinoma (UC), and gastric cancer (GC), and in the haematologic tumour, classical Hodgkin’s lymphoma (cHL). Nivolumab 3 mg/kg given once every 2 weeks (Q2W) was the dose for these indications where approved. </w:t>
      </w:r>
    </w:p>
    <w:p w14:paraId="2F3230E4" w14:textId="77777777" w:rsidR="00E828CC" w:rsidRDefault="00E828CC" w:rsidP="00E828CC">
      <w:r>
        <w:t xml:space="preserve">The PopPK analysis described in this report was intended to characterise the PK of nivolumab in adjuvant melanoma subjects combined with PK from prior studies in different tumour types. </w:t>
      </w:r>
    </w:p>
    <w:p w14:paraId="338A67A1" w14:textId="77777777" w:rsidR="00500337" w:rsidRDefault="00E828CC" w:rsidP="00E828CC">
      <w:r>
        <w:t>Analysis evaluated the PK in adjuvant melanoma relative to metastatic/advanced melanoma and the historical reference tumour type, second line use in non-small cell lung cancer (NSCLC 2L+).</w:t>
      </w:r>
    </w:p>
    <w:p w14:paraId="5FB66C4B" w14:textId="77777777" w:rsidR="00E828CC" w:rsidRDefault="00E828CC" w:rsidP="00E828CC">
      <w:pPr>
        <w:pStyle w:val="TableTitle"/>
      </w:pPr>
      <w:bookmarkStart w:id="49" w:name="_Toc506216920"/>
      <w:r>
        <w:t>Table</w:t>
      </w:r>
      <w:r w:rsidR="00673E24">
        <w:t xml:space="preserve"> 2:</w:t>
      </w:r>
      <w:r>
        <w:t xml:space="preserve"> Newly submitted pharmacokinetic studies</w:t>
      </w:r>
      <w:bookmarkEnd w:id="49"/>
    </w:p>
    <w:tbl>
      <w:tblPr>
        <w:tblStyle w:val="TableTGAblue"/>
        <w:tblW w:w="8897" w:type="dxa"/>
        <w:tblLayout w:type="fixed"/>
        <w:tblLook w:val="04A0" w:firstRow="1" w:lastRow="0" w:firstColumn="1" w:lastColumn="0" w:noHBand="0" w:noVBand="1"/>
      </w:tblPr>
      <w:tblGrid>
        <w:gridCol w:w="1951"/>
        <w:gridCol w:w="3827"/>
        <w:gridCol w:w="3119"/>
      </w:tblGrid>
      <w:tr w:rsidR="00673E24" w:rsidRPr="00C37A1D" w14:paraId="43F5D169" w14:textId="77777777" w:rsidTr="00673E24">
        <w:trPr>
          <w:cnfStyle w:val="100000000000" w:firstRow="1" w:lastRow="0" w:firstColumn="0" w:lastColumn="0" w:oddVBand="0" w:evenVBand="0" w:oddHBand="0" w:evenHBand="0" w:firstRowFirstColumn="0" w:firstRowLastColumn="0" w:lastRowFirstColumn="0" w:lastRowLastColumn="0"/>
        </w:trPr>
        <w:tc>
          <w:tcPr>
            <w:tcW w:w="1951" w:type="dxa"/>
          </w:tcPr>
          <w:p w14:paraId="74656D28" w14:textId="77777777" w:rsidR="00673E24" w:rsidRPr="00C37A1D" w:rsidRDefault="00673E24" w:rsidP="00D63F45">
            <w:pPr>
              <w:rPr>
                <w:b w:val="0"/>
              </w:rPr>
            </w:pPr>
            <w:r w:rsidRPr="00C37A1D">
              <w:t>PK topic</w:t>
            </w:r>
          </w:p>
        </w:tc>
        <w:tc>
          <w:tcPr>
            <w:tcW w:w="3827" w:type="dxa"/>
          </w:tcPr>
          <w:p w14:paraId="721997A8" w14:textId="77777777" w:rsidR="00673E24" w:rsidRPr="00C37A1D" w:rsidRDefault="00673E24" w:rsidP="00D63F45">
            <w:pPr>
              <w:rPr>
                <w:b w:val="0"/>
              </w:rPr>
            </w:pPr>
            <w:r w:rsidRPr="00C37A1D">
              <w:t>Subtopic</w:t>
            </w:r>
          </w:p>
        </w:tc>
        <w:tc>
          <w:tcPr>
            <w:tcW w:w="3119" w:type="dxa"/>
          </w:tcPr>
          <w:p w14:paraId="5ADBF93F" w14:textId="77777777" w:rsidR="00673E24" w:rsidRPr="00C37A1D" w:rsidRDefault="00673E24" w:rsidP="00D63F45">
            <w:pPr>
              <w:rPr>
                <w:b w:val="0"/>
              </w:rPr>
            </w:pPr>
            <w:r w:rsidRPr="00C37A1D">
              <w:t>Study ID</w:t>
            </w:r>
          </w:p>
        </w:tc>
      </w:tr>
      <w:tr w:rsidR="00673E24" w:rsidRPr="00C37A1D" w14:paraId="5CA036A2" w14:textId="77777777" w:rsidTr="00673E24">
        <w:tc>
          <w:tcPr>
            <w:tcW w:w="1951" w:type="dxa"/>
            <w:vMerge w:val="restart"/>
          </w:tcPr>
          <w:p w14:paraId="486F75B9" w14:textId="77777777" w:rsidR="00673E24" w:rsidRPr="00C37A1D" w:rsidRDefault="00673E24" w:rsidP="00D63F45">
            <w:r w:rsidRPr="00C37A1D">
              <w:t>Population PK analyses</w:t>
            </w:r>
          </w:p>
        </w:tc>
        <w:tc>
          <w:tcPr>
            <w:tcW w:w="3827" w:type="dxa"/>
          </w:tcPr>
          <w:p w14:paraId="7704061B" w14:textId="77777777" w:rsidR="00673E24" w:rsidRPr="00C37A1D" w:rsidRDefault="00673E24" w:rsidP="00D63F45">
            <w:r w:rsidRPr="00C37A1D">
              <w:t>Healthy subjects</w:t>
            </w:r>
          </w:p>
        </w:tc>
        <w:tc>
          <w:tcPr>
            <w:tcW w:w="3119" w:type="dxa"/>
          </w:tcPr>
          <w:p w14:paraId="706B3A15" w14:textId="77777777" w:rsidR="00673E24" w:rsidRPr="00C37A1D" w:rsidRDefault="00673E24" w:rsidP="00D63F45">
            <w:r w:rsidRPr="009F139C">
              <w:t>n/a</w:t>
            </w:r>
          </w:p>
        </w:tc>
      </w:tr>
      <w:tr w:rsidR="00673E24" w:rsidRPr="00C37A1D" w14:paraId="2BF770E5" w14:textId="77777777" w:rsidTr="00673E24">
        <w:tc>
          <w:tcPr>
            <w:tcW w:w="1951" w:type="dxa"/>
            <w:vMerge/>
          </w:tcPr>
          <w:p w14:paraId="095CBA33" w14:textId="77777777" w:rsidR="00673E24" w:rsidRPr="00C37A1D" w:rsidRDefault="00673E24" w:rsidP="00D63F45"/>
        </w:tc>
        <w:tc>
          <w:tcPr>
            <w:tcW w:w="3827" w:type="dxa"/>
          </w:tcPr>
          <w:p w14:paraId="455FE5BB" w14:textId="77777777" w:rsidR="00673E24" w:rsidRPr="00C37A1D" w:rsidRDefault="00673E24" w:rsidP="00D63F45">
            <w:r w:rsidRPr="00C37A1D">
              <w:t>Target population</w:t>
            </w:r>
          </w:p>
        </w:tc>
        <w:tc>
          <w:tcPr>
            <w:tcW w:w="3119" w:type="dxa"/>
          </w:tcPr>
          <w:p w14:paraId="0AFD2169" w14:textId="77777777" w:rsidR="00673E24" w:rsidRPr="00C37A1D" w:rsidRDefault="00673E24" w:rsidP="00D63F45">
            <w:r>
              <w:t>PopPK analysis CA 209238</w:t>
            </w:r>
          </w:p>
        </w:tc>
      </w:tr>
      <w:tr w:rsidR="00673E24" w:rsidRPr="00C37A1D" w14:paraId="5737E98A" w14:textId="77777777" w:rsidTr="00673E24">
        <w:tc>
          <w:tcPr>
            <w:tcW w:w="1951" w:type="dxa"/>
            <w:vMerge/>
          </w:tcPr>
          <w:p w14:paraId="4EB2BA10" w14:textId="77777777" w:rsidR="00673E24" w:rsidRPr="00C37A1D" w:rsidRDefault="00673E24" w:rsidP="00D63F45"/>
        </w:tc>
        <w:tc>
          <w:tcPr>
            <w:tcW w:w="3827" w:type="dxa"/>
          </w:tcPr>
          <w:p w14:paraId="3998CC7B" w14:textId="77777777" w:rsidR="00673E24" w:rsidRPr="00C37A1D" w:rsidRDefault="00673E24" w:rsidP="00D63F45">
            <w:r w:rsidRPr="00C37A1D">
              <w:t>Other</w:t>
            </w:r>
          </w:p>
        </w:tc>
        <w:tc>
          <w:tcPr>
            <w:tcW w:w="3119" w:type="dxa"/>
          </w:tcPr>
          <w:p w14:paraId="35E96E44" w14:textId="6363387D" w:rsidR="00673E24" w:rsidRPr="00C37A1D" w:rsidRDefault="00D63F45" w:rsidP="00D63F45">
            <w:r>
              <w:t>See previous evaluations</w:t>
            </w:r>
          </w:p>
        </w:tc>
      </w:tr>
    </w:tbl>
    <w:p w14:paraId="17072DE0" w14:textId="77777777" w:rsidR="00E828CC" w:rsidRDefault="00E828CC" w:rsidP="00E828CC">
      <w:r>
        <w:t>No p</w:t>
      </w:r>
      <w:r w:rsidRPr="00E828CC">
        <w:t>harmacokinetic results excluded from consideration</w:t>
      </w:r>
      <w:r>
        <w:t>.</w:t>
      </w:r>
    </w:p>
    <w:p w14:paraId="09779C95" w14:textId="77777777" w:rsidR="00605AD4" w:rsidRDefault="00605AD4" w:rsidP="00605AD4">
      <w:pPr>
        <w:pStyle w:val="Heading4"/>
      </w:pPr>
      <w:r>
        <w:t>Evaluator’s conclusions on pharmacokinetics</w:t>
      </w:r>
    </w:p>
    <w:p w14:paraId="4CBEA811" w14:textId="484AC34B" w:rsidR="00B25A54" w:rsidRDefault="00B25A54" w:rsidP="00B25A54">
      <w:r>
        <w:t>Previous nivolumab PopPK analyses were acceptable. From a regulatory perspective, the analysis attached to this submission would also be acceptable.</w:t>
      </w:r>
    </w:p>
    <w:p w14:paraId="494266E5" w14:textId="77777777" w:rsidR="00500337" w:rsidRPr="00500337" w:rsidRDefault="00B25A54" w:rsidP="00B25A54">
      <w:r>
        <w:t>Adjuvant melanoma subjects have a 13</w:t>
      </w:r>
      <w:r w:rsidR="00673E24">
        <w:t xml:space="preserve"> to </w:t>
      </w:r>
      <w:r>
        <w:t>45% higher predicted dose</w:t>
      </w:r>
      <w:r w:rsidR="00673E24">
        <w:t xml:space="preserve"> </w:t>
      </w:r>
      <w:r>
        <w:t>normalised exposure relative to the advanced melanoma subjects after the first dose and at steady state due to differences observed in clearance between advanced and adjuvant melanoma patient populations. The evaluator has reservations about possible implications for optimal dosing with respect to safety if flat dosing is adopted.</w:t>
      </w:r>
    </w:p>
    <w:p w14:paraId="13724D6A" w14:textId="77777777" w:rsidR="008E7846" w:rsidRDefault="008E7846" w:rsidP="008E7846">
      <w:pPr>
        <w:pStyle w:val="Heading3"/>
      </w:pPr>
      <w:bookmarkStart w:id="50" w:name="_Toc196046481"/>
      <w:bookmarkStart w:id="51" w:name="_Toc247691520"/>
      <w:bookmarkStart w:id="52" w:name="_Toc314842503"/>
      <w:bookmarkStart w:id="53" w:name="_Toc522802900"/>
      <w:r w:rsidRPr="00254787">
        <w:t>Pharmacodynamics</w:t>
      </w:r>
      <w:bookmarkEnd w:id="39"/>
      <w:bookmarkEnd w:id="50"/>
      <w:bookmarkEnd w:id="51"/>
      <w:bookmarkEnd w:id="52"/>
      <w:bookmarkEnd w:id="53"/>
    </w:p>
    <w:p w14:paraId="23109667" w14:textId="77777777" w:rsidR="00605AD4" w:rsidRDefault="00605AD4" w:rsidP="00605AD4">
      <w:pPr>
        <w:pStyle w:val="Heading4"/>
      </w:pPr>
      <w:r>
        <w:t xml:space="preserve">Studies providing pharmacodynamic </w:t>
      </w:r>
      <w:r w:rsidR="00673E24">
        <w:t xml:space="preserve">(PD) </w:t>
      </w:r>
      <w:r>
        <w:t>data</w:t>
      </w:r>
    </w:p>
    <w:p w14:paraId="4E66BE6A" w14:textId="77777777" w:rsidR="00500337" w:rsidRPr="00500337" w:rsidRDefault="00B25A54" w:rsidP="00B25A54">
      <w:r>
        <w:t>There were no specific PD studies provided with this submission.</w:t>
      </w:r>
    </w:p>
    <w:p w14:paraId="56A3CFE8" w14:textId="77777777" w:rsidR="00605AD4" w:rsidRDefault="00605AD4" w:rsidP="00605AD4">
      <w:pPr>
        <w:pStyle w:val="Heading4"/>
      </w:pPr>
      <w:r>
        <w:t>Evaluator’s conclusions on pharmacodynamics</w:t>
      </w:r>
    </w:p>
    <w:p w14:paraId="656BEA98" w14:textId="77777777" w:rsidR="00500337" w:rsidRPr="00500337" w:rsidRDefault="00B25A54" w:rsidP="00B25A54">
      <w:r>
        <w:t xml:space="preserve">See the analysis of </w:t>
      </w:r>
      <w:r w:rsidR="00673E24">
        <w:t xml:space="preserve">Study </w:t>
      </w:r>
      <w:r>
        <w:t>CA209238 safety and efficacy, in particular with respect to PD-L1 status and anti-drug antibodies.</w:t>
      </w:r>
    </w:p>
    <w:p w14:paraId="7813B7F6" w14:textId="77777777" w:rsidR="008E7846" w:rsidRDefault="00605AD4" w:rsidP="00605AD4">
      <w:pPr>
        <w:pStyle w:val="Heading3"/>
      </w:pPr>
      <w:bookmarkStart w:id="54" w:name="_Toc522802901"/>
      <w:r>
        <w:t>Dosage selection for the pivotal studies</w:t>
      </w:r>
      <w:bookmarkEnd w:id="54"/>
    </w:p>
    <w:p w14:paraId="2785440A" w14:textId="77777777" w:rsidR="00B25A54" w:rsidRDefault="00B25A54" w:rsidP="00B25A54">
      <w:r>
        <w:t>No new information on dose-finding was provided. The single trial provided with this submission used the same weight</w:t>
      </w:r>
      <w:r w:rsidR="00673E24">
        <w:t xml:space="preserve"> </w:t>
      </w:r>
      <w:r>
        <w:t xml:space="preserve">based dosing for adjuvant melanoma treatment as used </w:t>
      </w:r>
      <w:r>
        <w:lastRenderedPageBreak/>
        <w:t xml:space="preserve">for other tumour clinical trials, including advanced melanoma, </w:t>
      </w:r>
      <w:r w:rsidR="00673E24">
        <w:t>that is,</w:t>
      </w:r>
      <w:r>
        <w:t xml:space="preserve"> 3 mg/kg every two weeks.</w:t>
      </w:r>
    </w:p>
    <w:p w14:paraId="377E6B56" w14:textId="604B6B13" w:rsidR="00B25A54" w:rsidRDefault="00B25A54" w:rsidP="00B25A54">
      <w:r>
        <w:t xml:space="preserve">This dose of nivolumab selected for </w:t>
      </w:r>
      <w:r w:rsidR="00673E24">
        <w:t xml:space="preserve">Study </w:t>
      </w:r>
      <w:r>
        <w:t>CA209238</w:t>
      </w:r>
      <w:r w:rsidR="00673E24">
        <w:t xml:space="preserve"> was</w:t>
      </w:r>
      <w:r>
        <w:t xml:space="preserve"> based upon the totality of experience, as the dose expected to provide an appropriate balance of benefit and risk in </w:t>
      </w:r>
      <w:r w:rsidR="00673E24">
        <w:t xml:space="preserve">Study </w:t>
      </w:r>
      <w:r>
        <w:t>CA209238.</w:t>
      </w:r>
    </w:p>
    <w:p w14:paraId="07E898CA" w14:textId="77777777" w:rsidR="00B25A54" w:rsidRDefault="00B25A54" w:rsidP="00B25A54">
      <w:pPr>
        <w:pStyle w:val="Heading4"/>
      </w:pPr>
      <w:r>
        <w:t>Pharmacokinetics and pharmacodynamics: dose finding studies</w:t>
      </w:r>
    </w:p>
    <w:p w14:paraId="013A28FF" w14:textId="4857A3E0" w:rsidR="00B25A54" w:rsidRDefault="006815DF" w:rsidP="00B25A54">
      <w:r>
        <w:t>T</w:t>
      </w:r>
      <w:r w:rsidR="00B25A54">
        <w:t xml:space="preserve">he </w:t>
      </w:r>
      <w:r>
        <w:t xml:space="preserve">sponsor’s </w:t>
      </w:r>
      <w:r w:rsidR="00B25A54">
        <w:t xml:space="preserve">Clinical Overview summarises previous dose-finding studies in melanoma, in particular </w:t>
      </w:r>
      <w:r>
        <w:t xml:space="preserve">Study </w:t>
      </w:r>
      <w:r w:rsidR="00B25A54">
        <w:t xml:space="preserve">CA209003 </w:t>
      </w:r>
      <w:r>
        <w:t xml:space="preserve">which was a </w:t>
      </w:r>
      <w:r w:rsidR="00B25A54">
        <w:t>Phase I safety, efficacy, PK study multidose escalation of doses  0.1, 0.3 , 1, 3, or 10 mg/kg every 2 weeks.</w:t>
      </w:r>
    </w:p>
    <w:p w14:paraId="2F43672D" w14:textId="77777777" w:rsidR="00B25A54" w:rsidRDefault="00B25A54" w:rsidP="00B25A54">
      <w:r>
        <w:t xml:space="preserve">These doses were also used in combination with ipilimumab in </w:t>
      </w:r>
      <w:r w:rsidR="00934B0C">
        <w:t>Study CA2</w:t>
      </w:r>
      <w:r>
        <w:t>09004.</w:t>
      </w:r>
    </w:p>
    <w:p w14:paraId="47D9E717" w14:textId="77777777" w:rsidR="00B25A54" w:rsidRDefault="00B25A54" w:rsidP="00B25A54">
      <w:r>
        <w:t xml:space="preserve">Based upon the analyses of safety, efficacy and Exposure-Response data from the Phase </w:t>
      </w:r>
      <w:r w:rsidR="006815DF">
        <w:t>I</w:t>
      </w:r>
      <w:r>
        <w:t xml:space="preserve"> Study CA20900</w:t>
      </w:r>
      <w:r w:rsidR="006815DF">
        <w:t>3, the dose 3 mg/kg was chosen.</w:t>
      </w:r>
    </w:p>
    <w:p w14:paraId="0D83361D" w14:textId="77777777" w:rsidR="00B25A54" w:rsidRDefault="00B25A54" w:rsidP="00B25A54">
      <w:pPr>
        <w:pStyle w:val="Heading4"/>
      </w:pPr>
      <w:r>
        <w:t>Evaluator’s conclusions on dose finding for the pivotal studies</w:t>
      </w:r>
    </w:p>
    <w:p w14:paraId="7DBF9CBF" w14:textId="77777777" w:rsidR="00B25A54" w:rsidRPr="00B25A54" w:rsidRDefault="00B25A54" w:rsidP="00B25A54">
      <w:r>
        <w:t xml:space="preserve">The rationale for the dose utilised was acceptable for the clinical </w:t>
      </w:r>
      <w:r w:rsidR="006815DF">
        <w:t>Study</w:t>
      </w:r>
      <w:r>
        <w:t xml:space="preserve"> CA209238.</w:t>
      </w:r>
    </w:p>
    <w:p w14:paraId="3AED3DA7" w14:textId="77777777" w:rsidR="008E7846" w:rsidRPr="00254787" w:rsidRDefault="008E7846" w:rsidP="008E7846">
      <w:pPr>
        <w:pStyle w:val="Heading3"/>
      </w:pPr>
      <w:bookmarkStart w:id="55" w:name="_Toc163441372"/>
      <w:bookmarkStart w:id="56" w:name="_Toc196046485"/>
      <w:bookmarkStart w:id="57" w:name="_Toc247691521"/>
      <w:bookmarkStart w:id="58" w:name="_Toc314842504"/>
      <w:bookmarkStart w:id="59" w:name="_Toc522802902"/>
      <w:r w:rsidRPr="00254787">
        <w:t>Efficacy</w:t>
      </w:r>
      <w:bookmarkEnd w:id="55"/>
      <w:bookmarkEnd w:id="56"/>
      <w:bookmarkEnd w:id="57"/>
      <w:bookmarkEnd w:id="58"/>
      <w:bookmarkEnd w:id="59"/>
    </w:p>
    <w:p w14:paraId="3A6309A8" w14:textId="77777777" w:rsidR="00605AD4" w:rsidRDefault="00605AD4" w:rsidP="00605AD4">
      <w:pPr>
        <w:pStyle w:val="Heading4"/>
      </w:pPr>
      <w:bookmarkStart w:id="60" w:name="_Toc184439992"/>
      <w:bookmarkStart w:id="61" w:name="_Toc184440279"/>
      <w:bookmarkStart w:id="62" w:name="_Toc184444657"/>
      <w:bookmarkStart w:id="63" w:name="_Toc196046487"/>
      <w:r>
        <w:t>Studies providing efficacy data</w:t>
      </w:r>
    </w:p>
    <w:p w14:paraId="047651A5" w14:textId="77777777" w:rsidR="00B25A54" w:rsidRDefault="00B25A54" w:rsidP="00B25A54">
      <w:r>
        <w:t xml:space="preserve">There was one </w:t>
      </w:r>
      <w:r w:rsidR="001C5E9A">
        <w:t>Phase III</w:t>
      </w:r>
      <w:r>
        <w:t xml:space="preserve"> efficacy and safety study of nivolumab used in the indication for adjuvant treatment of fully resected </w:t>
      </w:r>
      <w:r w:rsidR="006815DF">
        <w:t>Stag</w:t>
      </w:r>
      <w:r>
        <w:t xml:space="preserve">e IIIB/C and </w:t>
      </w:r>
      <w:r w:rsidR="001C5E9A">
        <w:t>Stage IV</w:t>
      </w:r>
      <w:r>
        <w:t xml:space="preserve"> melanoma.</w:t>
      </w:r>
    </w:p>
    <w:p w14:paraId="4A26D1BA" w14:textId="77777777" w:rsidR="00B25A54" w:rsidRDefault="00B25A54" w:rsidP="00B25A54">
      <w:r>
        <w:t>Also provided was a CSR of the trial of the comparator ipilimumab against placebo.</w:t>
      </w:r>
    </w:p>
    <w:p w14:paraId="4E489B8B" w14:textId="77777777" w:rsidR="00B25A54" w:rsidRDefault="00B25A54" w:rsidP="00B25A54">
      <w:pPr>
        <w:pStyle w:val="Heading4"/>
      </w:pPr>
      <w:r>
        <w:t>Studies providing evaluable efficacy data</w:t>
      </w:r>
    </w:p>
    <w:p w14:paraId="52840E91" w14:textId="77777777" w:rsidR="00500337" w:rsidRPr="00500337" w:rsidRDefault="00B25A54" w:rsidP="00B25A54">
      <w:r>
        <w:t xml:space="preserve">The available data for nivolumab in adjuvant melanoma is from the </w:t>
      </w:r>
      <w:r w:rsidR="001C5E9A">
        <w:t>Phase III</w:t>
      </w:r>
      <w:r>
        <w:t xml:space="preserve"> </w:t>
      </w:r>
      <w:r w:rsidR="00934B0C">
        <w:t>Study CA2</w:t>
      </w:r>
      <w:r>
        <w:t>09238. The trial data provided for ipilimumab v</w:t>
      </w:r>
      <w:r w:rsidR="006815DF">
        <w:t>ersus</w:t>
      </w:r>
      <w:r>
        <w:t xml:space="preserve"> placebo were provided to justify the use of the active comparator, ipilimumab. The latter study also provided context for outcomes in a comparable patient group.</w:t>
      </w:r>
    </w:p>
    <w:p w14:paraId="2F2FC02C" w14:textId="77777777" w:rsidR="008E7846" w:rsidRDefault="00605AD4" w:rsidP="00605AD4">
      <w:pPr>
        <w:pStyle w:val="Heading4"/>
      </w:pPr>
      <w:r>
        <w:t>Evaluator’s conclusions on efficacy</w:t>
      </w:r>
    </w:p>
    <w:p w14:paraId="55EC1640" w14:textId="77777777" w:rsidR="00B25A54" w:rsidRDefault="00B25A54" w:rsidP="00B25A54">
      <w:r>
        <w:t xml:space="preserve">In the interim CSR for </w:t>
      </w:r>
      <w:r w:rsidR="006815DF">
        <w:t xml:space="preserve">Study </w:t>
      </w:r>
      <w:r>
        <w:t>CA209238 the primary efficacy analysis showed a significant improvement in RFS in the population with completely resected Stage IIIB/C or Stage IV melanoma, for adjuvant treatment with nivolumab compared to ipilimumab.</w:t>
      </w:r>
    </w:p>
    <w:p w14:paraId="5D1E6CEA" w14:textId="77777777" w:rsidR="00B25A54" w:rsidRDefault="00B25A54" w:rsidP="00B25A54">
      <w:r>
        <w:t>The one</w:t>
      </w:r>
      <w:r w:rsidR="006815DF">
        <w:t xml:space="preserve"> </w:t>
      </w:r>
      <w:r>
        <w:t xml:space="preserve">year RFS rates (95% </w:t>
      </w:r>
      <w:r w:rsidR="009C2211">
        <w:t>confidence interval (</w:t>
      </w:r>
      <w:r>
        <w:t>CI</w:t>
      </w:r>
      <w:r w:rsidR="009C2211">
        <w:t>)</w:t>
      </w:r>
      <w:r>
        <w:t>) estimated from K</w:t>
      </w:r>
      <w:r w:rsidR="006815DF">
        <w:t>aplan</w:t>
      </w:r>
      <w:r>
        <w:t>-M</w:t>
      </w:r>
      <w:r w:rsidR="006815DF">
        <w:t>eier</w:t>
      </w:r>
      <w:r>
        <w:t xml:space="preserve"> curves were nivolumab 70.5% (66.1, 74.5) v</w:t>
      </w:r>
      <w:r w:rsidR="006815DF">
        <w:t>ersus</w:t>
      </w:r>
      <w:r>
        <w:t xml:space="preserve"> ipilimumab 60.8% (61.8, 70.6).</w:t>
      </w:r>
    </w:p>
    <w:p w14:paraId="73453AC6" w14:textId="77777777" w:rsidR="00B25A54" w:rsidRDefault="00B25A54" w:rsidP="00B25A54">
      <w:r>
        <w:t>Pre-specified analyses of multiple sub-groups were supportive of the overall findings.</w:t>
      </w:r>
    </w:p>
    <w:p w14:paraId="41ECC21A" w14:textId="77777777" w:rsidR="00B25A54" w:rsidRDefault="00B25A54" w:rsidP="00B25A54">
      <w:r>
        <w:t>The evaluator remains uncertain about the implications of the 5% cut-off for positive/negative PD-L1 expression status.</w:t>
      </w:r>
    </w:p>
    <w:p w14:paraId="32DF492C" w14:textId="3A92B7E4" w:rsidR="00B25A54" w:rsidRDefault="00B25A54" w:rsidP="00B25A54">
      <w:r>
        <w:t xml:space="preserve">The RFS rate for ipilimumab in </w:t>
      </w:r>
      <w:r w:rsidR="006815DF">
        <w:t xml:space="preserve">Study </w:t>
      </w:r>
      <w:r>
        <w:t>CA209238 was consistent with the findings in Study</w:t>
      </w:r>
      <w:r w:rsidR="00993A64">
        <w:t> </w:t>
      </w:r>
      <w:r>
        <w:t xml:space="preserve">CA184029 (also known as EORTC 18071) trial, </w:t>
      </w:r>
      <w:r w:rsidR="00673E24">
        <w:t>that is,</w:t>
      </w:r>
      <w:r>
        <w:t xml:space="preserve"> RFS at 1 year in </w:t>
      </w:r>
      <w:r w:rsidR="006815DF">
        <w:t>Study</w:t>
      </w:r>
      <w:r w:rsidR="00993A64">
        <w:t> </w:t>
      </w:r>
      <w:r>
        <w:t xml:space="preserve">CA184029 was 63.5% with the same dose of ipilimumab. This provides some indirect support for validity of the </w:t>
      </w:r>
      <w:r w:rsidR="006815DF">
        <w:t xml:space="preserve">Study </w:t>
      </w:r>
      <w:r>
        <w:t xml:space="preserve">CA209238 findings, although the patient groups were not exactly the same; the pivotal </w:t>
      </w:r>
      <w:r w:rsidR="00934B0C">
        <w:t>Study CA2</w:t>
      </w:r>
      <w:r>
        <w:t>09238 for this submission included Stage</w:t>
      </w:r>
      <w:r w:rsidR="00993A64">
        <w:t> </w:t>
      </w:r>
      <w:r>
        <w:t xml:space="preserve">IV resected melanoma and excluded Stage IIIA resected melanoma, whereas </w:t>
      </w:r>
      <w:r w:rsidR="006815DF">
        <w:lastRenderedPageBreak/>
        <w:t>Study</w:t>
      </w:r>
      <w:r w:rsidR="00993A64">
        <w:t> </w:t>
      </w:r>
      <w:r>
        <w:t>CA184029 excluded Stage IV and about 20% of subjects ha</w:t>
      </w:r>
      <w:r w:rsidR="00D63F45">
        <w:t>d resected Stage IIIA melanoma.</w:t>
      </w:r>
    </w:p>
    <w:p w14:paraId="3B06DBC6" w14:textId="77777777" w:rsidR="00500337" w:rsidRPr="00500337" w:rsidRDefault="00B25A54" w:rsidP="00B25A54">
      <w:r>
        <w:t xml:space="preserve">For context, reflecting ‘observation’, the RFS rate in supportive </w:t>
      </w:r>
      <w:r w:rsidR="006815DF">
        <w:t>S</w:t>
      </w:r>
      <w:r>
        <w:t xml:space="preserve">tudy CA184029 for the placebo arm at one year was 56%, and 44% and 35% at 2 and 3 years respectively. While these represent cross-study comparisons, an improvement in RFS of more than 10% might be expected for nivolumab adjuvant treatment compared to ‘observation’ over 1 year. Also for context, it is noted that </w:t>
      </w:r>
      <w:r w:rsidR="006815DF">
        <w:t>Overall survival (</w:t>
      </w:r>
      <w:r>
        <w:t>OS</w:t>
      </w:r>
      <w:r w:rsidR="006815DF">
        <w:t>)</w:t>
      </w:r>
      <w:r>
        <w:t xml:space="preserve"> for the placebo arm of </w:t>
      </w:r>
      <w:r w:rsidR="006815DF">
        <w:t xml:space="preserve">Study </w:t>
      </w:r>
      <w:r>
        <w:t>CA184029 was 60% at 4 years.</w:t>
      </w:r>
    </w:p>
    <w:p w14:paraId="112A1D04" w14:textId="77777777" w:rsidR="008E7846" w:rsidRPr="002E238E" w:rsidRDefault="008E7846" w:rsidP="008E7846">
      <w:pPr>
        <w:pStyle w:val="Heading3"/>
      </w:pPr>
      <w:bookmarkStart w:id="64" w:name="_Toc163441378"/>
      <w:bookmarkStart w:id="65" w:name="_Toc196046495"/>
      <w:bookmarkStart w:id="66" w:name="_Toc247691522"/>
      <w:bookmarkStart w:id="67" w:name="_Toc314842505"/>
      <w:bookmarkStart w:id="68" w:name="_Toc522802903"/>
      <w:bookmarkEnd w:id="60"/>
      <w:bookmarkEnd w:id="61"/>
      <w:bookmarkEnd w:id="62"/>
      <w:bookmarkEnd w:id="63"/>
      <w:r w:rsidRPr="002E238E">
        <w:t>Safety</w:t>
      </w:r>
      <w:bookmarkEnd w:id="64"/>
      <w:bookmarkEnd w:id="65"/>
      <w:bookmarkEnd w:id="66"/>
      <w:bookmarkEnd w:id="67"/>
      <w:bookmarkEnd w:id="68"/>
    </w:p>
    <w:p w14:paraId="17A7CD04" w14:textId="77777777" w:rsidR="00605AD4" w:rsidRDefault="00605AD4" w:rsidP="00605AD4">
      <w:pPr>
        <w:pStyle w:val="Heading4"/>
      </w:pPr>
      <w:bookmarkStart w:id="69" w:name="_Toc247691524"/>
      <w:bookmarkStart w:id="70" w:name="_Toc314842508"/>
      <w:bookmarkStart w:id="71" w:name="_Toc196046504"/>
      <w:bookmarkStart w:id="72" w:name="_Toc163441390"/>
      <w:r w:rsidRPr="00605AD4">
        <w:t>Studies providing safety data</w:t>
      </w:r>
    </w:p>
    <w:p w14:paraId="1B70CC86" w14:textId="4D928F9F" w:rsidR="00B25A54" w:rsidRDefault="00B25A54" w:rsidP="00B25A54">
      <w:r>
        <w:t xml:space="preserve">Clinical safety was addressed in the efficacy/safety studies provided. Safety data were available from the interim CSR for </w:t>
      </w:r>
      <w:r w:rsidR="00934B0C">
        <w:t>Study CA2</w:t>
      </w:r>
      <w:r>
        <w:t xml:space="preserve">09238 for nivolumab </w:t>
      </w:r>
      <w:r w:rsidR="00D63F45">
        <w:t>in adjuvant melanoma treatment.</w:t>
      </w:r>
    </w:p>
    <w:p w14:paraId="516301C0" w14:textId="6344A943" w:rsidR="00B25A54" w:rsidRDefault="00B25A54" w:rsidP="00B25A54">
      <w:r>
        <w:t xml:space="preserve">Apart from the CSR, additional safety analyses were prepared for the </w:t>
      </w:r>
      <w:r w:rsidR="006815DF">
        <w:t xml:space="preserve">sponsor’s </w:t>
      </w:r>
      <w:r>
        <w:t>Summary of Clinical Safety</w:t>
      </w:r>
      <w:r w:rsidR="006815DF">
        <w:t xml:space="preserve"> (SCS)</w:t>
      </w:r>
      <w:r>
        <w:t>. These SCS analyses used a safety window of 30 days and 100 days (</w:t>
      </w:r>
      <w:r w:rsidR="006815DF">
        <w:t>that is,</w:t>
      </w:r>
      <w:r>
        <w:t xml:space="preserve"> extended follow-up) after last dose and included summaries of:</w:t>
      </w:r>
    </w:p>
    <w:p w14:paraId="5E47111E" w14:textId="5C1E492D" w:rsidR="00B25A54" w:rsidRDefault="00B25A54" w:rsidP="005125AE">
      <w:pPr>
        <w:pStyle w:val="ListBullet"/>
      </w:pPr>
      <w:r>
        <w:t xml:space="preserve">On-treatment worst </w:t>
      </w:r>
      <w:r w:rsidR="005125AE" w:rsidRPr="005125AE">
        <w:t xml:space="preserve">Common Terminology Criteria </w:t>
      </w:r>
      <w:r w:rsidR="005125AE">
        <w:t>(</w:t>
      </w:r>
      <w:r>
        <w:t>CTC</w:t>
      </w:r>
      <w:r w:rsidR="005125AE">
        <w:t>)</w:t>
      </w:r>
      <w:r>
        <w:t xml:space="preserve"> grade laboratory parameters that worsened relative to </w:t>
      </w:r>
      <w:r w:rsidR="00DE4DCC">
        <w:t xml:space="preserve">Baseline </w:t>
      </w:r>
      <w:r>
        <w:t>(</w:t>
      </w:r>
      <w:r w:rsidR="006815DF">
        <w:t>Standard International (</w:t>
      </w:r>
      <w:r>
        <w:t>SI</w:t>
      </w:r>
      <w:r w:rsidR="006815DF">
        <w:t>)</w:t>
      </w:r>
      <w:r>
        <w:t xml:space="preserve"> units)</w:t>
      </w:r>
    </w:p>
    <w:p w14:paraId="67689B17" w14:textId="10EA3B63" w:rsidR="00B25A54" w:rsidRDefault="00B25A54" w:rsidP="00B25A54">
      <w:pPr>
        <w:pStyle w:val="ListBullet"/>
      </w:pPr>
      <w:r>
        <w:t>All Grade 3</w:t>
      </w:r>
      <w:r w:rsidR="00DE4DCC">
        <w:t xml:space="preserve"> or </w:t>
      </w:r>
      <w:r>
        <w:t xml:space="preserve">4 </w:t>
      </w:r>
      <w:r w:rsidR="006815DF">
        <w:t>adverse events (</w:t>
      </w:r>
      <w:r>
        <w:t>AEs</w:t>
      </w:r>
      <w:r w:rsidR="006815DF">
        <w:t>)</w:t>
      </w:r>
    </w:p>
    <w:p w14:paraId="3312B07A" w14:textId="04F4F7FF" w:rsidR="00B25A54" w:rsidRDefault="00B25A54" w:rsidP="00B25A54">
      <w:pPr>
        <w:pStyle w:val="ListBullet"/>
      </w:pPr>
      <w:r>
        <w:t xml:space="preserve">Any AEs leading to discontinuation, </w:t>
      </w:r>
      <w:r w:rsidR="006815DF">
        <w:t>serious AEs (</w:t>
      </w:r>
      <w:r>
        <w:t>SAEs</w:t>
      </w:r>
      <w:r w:rsidR="006815DF">
        <w:t>)</w:t>
      </w:r>
      <w:r>
        <w:t xml:space="preserve"> and any Grade 3</w:t>
      </w:r>
      <w:r w:rsidR="00DE4DCC">
        <w:t xml:space="preserve"> or </w:t>
      </w:r>
      <w:r>
        <w:t>4 AEs excluding terms clearly not study drug related</w:t>
      </w:r>
    </w:p>
    <w:p w14:paraId="6F08FA1B" w14:textId="77777777" w:rsidR="00B25A54" w:rsidRDefault="00B25A54" w:rsidP="00B25A54">
      <w:pPr>
        <w:pStyle w:val="ListBullet"/>
      </w:pPr>
      <w:r>
        <w:t>All causality and drug</w:t>
      </w:r>
      <w:r w:rsidR="005125AE">
        <w:t xml:space="preserve"> </w:t>
      </w:r>
      <w:r>
        <w:t xml:space="preserve">related AEs (remapped terms) to support the product information, including terms included and excluded from </w:t>
      </w:r>
      <w:r w:rsidR="005125AE">
        <w:t>PI</w:t>
      </w:r>
    </w:p>
    <w:p w14:paraId="466FCA14" w14:textId="77777777" w:rsidR="00B25A54" w:rsidRDefault="005125AE" w:rsidP="005125AE">
      <w:pPr>
        <w:pStyle w:val="ListBullet"/>
      </w:pPr>
      <w:r>
        <w:t>Individual Standardis</w:t>
      </w:r>
      <w:r w:rsidR="00B25A54">
        <w:t xml:space="preserve">ed </w:t>
      </w:r>
      <w:r w:rsidRPr="005125AE">
        <w:t>Medical Dictionary for Regulatory Activities</w:t>
      </w:r>
      <w:r>
        <w:t xml:space="preserve"> (</w:t>
      </w:r>
      <w:r w:rsidR="00B25A54">
        <w:t>MedDRA</w:t>
      </w:r>
      <w:r>
        <w:t>)</w:t>
      </w:r>
      <w:r w:rsidR="00B25A54">
        <w:t xml:space="preserve"> </w:t>
      </w:r>
      <w:r>
        <w:t>Q</w:t>
      </w:r>
      <w:r w:rsidR="00B25A54">
        <w:t xml:space="preserve">uery </w:t>
      </w:r>
      <w:r>
        <w:t>(SMQ) broad and narrow scopes</w:t>
      </w:r>
    </w:p>
    <w:p w14:paraId="49A84D3D" w14:textId="77777777" w:rsidR="00B25A54" w:rsidRDefault="00B25A54" w:rsidP="00B25A54">
      <w:r>
        <w:t xml:space="preserve">The SCS included support for the proposed wording for ‘Adverse reactions’ in the </w:t>
      </w:r>
      <w:r w:rsidR="005125AE">
        <w:t>EU Summary of Product Characteristics (</w:t>
      </w:r>
      <w:r>
        <w:t>SmPC</w:t>
      </w:r>
      <w:r w:rsidR="005125AE">
        <w:t>)</w:t>
      </w:r>
      <w:r>
        <w:t>.</w:t>
      </w:r>
    </w:p>
    <w:p w14:paraId="58A7ED2F" w14:textId="44DA9980" w:rsidR="00B25A54" w:rsidRDefault="00B25A54" w:rsidP="00B25A54">
      <w:r>
        <w:t>The SCS also provided comparison with updated pooled safety data for nivolumab in other tumour indications.</w:t>
      </w:r>
    </w:p>
    <w:p w14:paraId="1187C05D" w14:textId="77C0C682" w:rsidR="00500337" w:rsidRPr="00500337" w:rsidRDefault="00B25A54" w:rsidP="00CA702F">
      <w:r>
        <w:t>The currently approved Australian PI contains pooled safety data assessed to date for nivolumab.</w:t>
      </w:r>
    </w:p>
    <w:p w14:paraId="1FEB6343" w14:textId="77777777" w:rsidR="00605AD4" w:rsidRDefault="00605AD4" w:rsidP="00605AD4">
      <w:pPr>
        <w:pStyle w:val="Heading4"/>
      </w:pPr>
      <w:r w:rsidRPr="00605AD4">
        <w:t>Patient exposure</w:t>
      </w:r>
    </w:p>
    <w:p w14:paraId="244BD304" w14:textId="27622FF5" w:rsidR="000E58A0" w:rsidRPr="000E58A0" w:rsidRDefault="000E58A0" w:rsidP="000E58A0">
      <w:r>
        <w:t>The following table summarises the patient exposure to nivolumab in Study CA209238</w:t>
      </w:r>
      <w:r w:rsidR="00DE4DCC">
        <w:t>.</w:t>
      </w:r>
    </w:p>
    <w:p w14:paraId="0BEAF37C" w14:textId="77777777" w:rsidR="00500337" w:rsidRDefault="00B25A54" w:rsidP="00D63F45">
      <w:pPr>
        <w:pStyle w:val="TableTitle"/>
        <w:pageBreakBefore/>
      </w:pPr>
      <w:bookmarkStart w:id="73" w:name="_Toc506216922"/>
      <w:r>
        <w:lastRenderedPageBreak/>
        <w:t xml:space="preserve">Table </w:t>
      </w:r>
      <w:r w:rsidR="00772A74">
        <w:t>3</w:t>
      </w:r>
      <w:r w:rsidR="000E58A0">
        <w:rPr>
          <w:noProof/>
        </w:rPr>
        <w:t>:</w:t>
      </w:r>
      <w:r>
        <w:t xml:space="preserve"> </w:t>
      </w:r>
      <w:r w:rsidRPr="008A132D">
        <w:t xml:space="preserve">Exposure to </w:t>
      </w:r>
      <w:r>
        <w:t xml:space="preserve">nivolumab </w:t>
      </w:r>
      <w:r w:rsidRPr="008A132D">
        <w:t xml:space="preserve">and </w:t>
      </w:r>
      <w:r>
        <w:t>ipilimumab in CA209238</w:t>
      </w:r>
      <w:bookmarkEnd w:id="73"/>
    </w:p>
    <w:tbl>
      <w:tblPr>
        <w:tblStyle w:val="TableTGAblue"/>
        <w:tblW w:w="9372" w:type="dxa"/>
        <w:tblLayout w:type="fixed"/>
        <w:tblLook w:val="04A0" w:firstRow="1" w:lastRow="0" w:firstColumn="1" w:lastColumn="0" w:noHBand="0" w:noVBand="1"/>
      </w:tblPr>
      <w:tblGrid>
        <w:gridCol w:w="1632"/>
        <w:gridCol w:w="1800"/>
        <w:gridCol w:w="1350"/>
        <w:gridCol w:w="1705"/>
        <w:gridCol w:w="1625"/>
        <w:gridCol w:w="1260"/>
      </w:tblGrid>
      <w:tr w:rsidR="00DE4DCC" w:rsidRPr="00D63F45" w14:paraId="3A5A615C" w14:textId="77777777" w:rsidTr="00CA702F">
        <w:trPr>
          <w:cnfStyle w:val="100000000000" w:firstRow="1" w:lastRow="0" w:firstColumn="0" w:lastColumn="0" w:oddVBand="0" w:evenVBand="0" w:oddHBand="0" w:evenHBand="0" w:firstRowFirstColumn="0" w:firstRowLastColumn="0" w:lastRowFirstColumn="0" w:lastRowLastColumn="0"/>
          <w:cantSplit/>
        </w:trPr>
        <w:tc>
          <w:tcPr>
            <w:tcW w:w="1632" w:type="dxa"/>
            <w:vMerge w:val="restart"/>
            <w:tcBorders>
              <w:right w:val="single" w:sz="4" w:space="0" w:color="000000"/>
            </w:tcBorders>
          </w:tcPr>
          <w:p w14:paraId="4F8B83E8" w14:textId="77777777" w:rsidR="00B25A54" w:rsidRPr="00D63F45" w:rsidRDefault="00B25A54" w:rsidP="00D63F45">
            <w:pPr>
              <w:rPr>
                <w:sz w:val="20"/>
                <w:szCs w:val="20"/>
              </w:rPr>
            </w:pPr>
            <w:r w:rsidRPr="00D63F45">
              <w:rPr>
                <w:sz w:val="20"/>
                <w:szCs w:val="20"/>
              </w:rPr>
              <w:t>Study type/</w:t>
            </w:r>
            <w:r w:rsidRPr="00D63F45">
              <w:rPr>
                <w:sz w:val="20"/>
                <w:szCs w:val="20"/>
              </w:rPr>
              <w:br/>
              <w:t>Indication</w:t>
            </w:r>
          </w:p>
        </w:tc>
        <w:tc>
          <w:tcPr>
            <w:tcW w:w="4855" w:type="dxa"/>
            <w:gridSpan w:val="3"/>
            <w:tcBorders>
              <w:left w:val="single" w:sz="4" w:space="0" w:color="000000"/>
              <w:right w:val="single" w:sz="4" w:space="0" w:color="000000"/>
            </w:tcBorders>
          </w:tcPr>
          <w:p w14:paraId="36504D66" w14:textId="77777777" w:rsidR="00B25A54" w:rsidRPr="00D63F45" w:rsidRDefault="00B25A54" w:rsidP="00D63F45">
            <w:pPr>
              <w:rPr>
                <w:sz w:val="20"/>
                <w:szCs w:val="20"/>
              </w:rPr>
            </w:pPr>
            <w:r w:rsidRPr="00D63F45">
              <w:rPr>
                <w:sz w:val="20"/>
                <w:szCs w:val="20"/>
              </w:rPr>
              <w:t>Controlled studies</w:t>
            </w:r>
          </w:p>
        </w:tc>
        <w:tc>
          <w:tcPr>
            <w:tcW w:w="1625" w:type="dxa"/>
            <w:tcBorders>
              <w:left w:val="single" w:sz="4" w:space="0" w:color="000000"/>
              <w:right w:val="single" w:sz="4" w:space="0" w:color="000000"/>
            </w:tcBorders>
          </w:tcPr>
          <w:p w14:paraId="004529CB" w14:textId="398C7066" w:rsidR="00B25A54" w:rsidRPr="00D63F45" w:rsidRDefault="00B25A54" w:rsidP="00D63F45">
            <w:pPr>
              <w:rPr>
                <w:sz w:val="20"/>
                <w:szCs w:val="20"/>
              </w:rPr>
            </w:pPr>
            <w:r w:rsidRPr="00D63F45">
              <w:rPr>
                <w:sz w:val="20"/>
                <w:szCs w:val="20"/>
              </w:rPr>
              <w:t>Uncontrolled</w:t>
            </w:r>
            <w:r w:rsidR="00DE4DCC" w:rsidRPr="00D63F45">
              <w:rPr>
                <w:sz w:val="20"/>
                <w:szCs w:val="20"/>
              </w:rPr>
              <w:t xml:space="preserve"> </w:t>
            </w:r>
            <w:r w:rsidRPr="00D63F45">
              <w:rPr>
                <w:sz w:val="20"/>
                <w:szCs w:val="20"/>
              </w:rPr>
              <w:t>studies</w:t>
            </w:r>
          </w:p>
        </w:tc>
        <w:tc>
          <w:tcPr>
            <w:tcW w:w="1260" w:type="dxa"/>
            <w:vMerge w:val="restart"/>
            <w:tcBorders>
              <w:left w:val="single" w:sz="4" w:space="0" w:color="000000"/>
            </w:tcBorders>
          </w:tcPr>
          <w:p w14:paraId="281EA2DB" w14:textId="3403DA0D" w:rsidR="00B25A54" w:rsidRPr="00D63F45" w:rsidRDefault="00B25A54" w:rsidP="00D63F45">
            <w:pPr>
              <w:rPr>
                <w:sz w:val="20"/>
                <w:szCs w:val="20"/>
              </w:rPr>
            </w:pPr>
            <w:r w:rsidRPr="00D63F45">
              <w:rPr>
                <w:sz w:val="20"/>
                <w:szCs w:val="20"/>
              </w:rPr>
              <w:t>Total</w:t>
            </w:r>
            <w:r w:rsidR="00D63F45" w:rsidRPr="00D63F45">
              <w:rPr>
                <w:sz w:val="20"/>
                <w:szCs w:val="20"/>
              </w:rPr>
              <w:t xml:space="preserve"> </w:t>
            </w:r>
            <w:proofErr w:type="spellStart"/>
            <w:r w:rsidRPr="00D63F45">
              <w:rPr>
                <w:sz w:val="20"/>
                <w:szCs w:val="20"/>
              </w:rPr>
              <w:t>Nivolumab</w:t>
            </w:r>
            <w:proofErr w:type="spellEnd"/>
          </w:p>
        </w:tc>
      </w:tr>
      <w:tr w:rsidR="00DE4DCC" w:rsidRPr="00D63F45" w14:paraId="1313B0C3" w14:textId="77777777" w:rsidTr="00CA702F">
        <w:trPr>
          <w:cantSplit/>
        </w:trPr>
        <w:tc>
          <w:tcPr>
            <w:tcW w:w="1632" w:type="dxa"/>
            <w:vMerge/>
            <w:tcBorders>
              <w:right w:val="single" w:sz="4" w:space="0" w:color="000000"/>
            </w:tcBorders>
          </w:tcPr>
          <w:p w14:paraId="3855C9EF" w14:textId="77777777" w:rsidR="00B25A54" w:rsidRPr="00D63F45" w:rsidRDefault="00B25A54" w:rsidP="00D63F45">
            <w:pPr>
              <w:rPr>
                <w:sz w:val="20"/>
                <w:szCs w:val="20"/>
              </w:rPr>
            </w:pPr>
          </w:p>
        </w:tc>
        <w:tc>
          <w:tcPr>
            <w:tcW w:w="1800" w:type="dxa"/>
            <w:tcBorders>
              <w:left w:val="single" w:sz="4" w:space="0" w:color="000000"/>
            </w:tcBorders>
          </w:tcPr>
          <w:p w14:paraId="4E30A28D" w14:textId="0D900213" w:rsidR="00B25A54" w:rsidRPr="00D63F45" w:rsidRDefault="00B25A54" w:rsidP="00D63F45">
            <w:pPr>
              <w:rPr>
                <w:sz w:val="20"/>
                <w:szCs w:val="20"/>
              </w:rPr>
            </w:pPr>
            <w:r w:rsidRPr="00D63F45">
              <w:rPr>
                <w:sz w:val="20"/>
                <w:szCs w:val="20"/>
              </w:rPr>
              <w:t>Nivolumab</w:t>
            </w:r>
          </w:p>
        </w:tc>
        <w:tc>
          <w:tcPr>
            <w:tcW w:w="1350" w:type="dxa"/>
          </w:tcPr>
          <w:p w14:paraId="3AD8D510" w14:textId="77777777" w:rsidR="00B25A54" w:rsidRPr="00D63F45" w:rsidRDefault="00B25A54" w:rsidP="00D63F45">
            <w:pPr>
              <w:rPr>
                <w:sz w:val="20"/>
                <w:szCs w:val="20"/>
              </w:rPr>
            </w:pPr>
            <w:r w:rsidRPr="00D63F45">
              <w:rPr>
                <w:sz w:val="20"/>
                <w:szCs w:val="20"/>
              </w:rPr>
              <w:t>Placebo</w:t>
            </w:r>
          </w:p>
        </w:tc>
        <w:tc>
          <w:tcPr>
            <w:tcW w:w="1705" w:type="dxa"/>
          </w:tcPr>
          <w:p w14:paraId="2B72987C" w14:textId="77777777" w:rsidR="00B25A54" w:rsidRPr="00D63F45" w:rsidRDefault="00B25A54" w:rsidP="00D63F45">
            <w:pPr>
              <w:rPr>
                <w:sz w:val="20"/>
                <w:szCs w:val="20"/>
              </w:rPr>
            </w:pPr>
            <w:r w:rsidRPr="00D63F45">
              <w:rPr>
                <w:sz w:val="20"/>
                <w:szCs w:val="20"/>
              </w:rPr>
              <w:t>Ipilimumab</w:t>
            </w:r>
          </w:p>
        </w:tc>
        <w:tc>
          <w:tcPr>
            <w:tcW w:w="1625" w:type="dxa"/>
            <w:tcBorders>
              <w:right w:val="single" w:sz="4" w:space="0" w:color="000000"/>
            </w:tcBorders>
          </w:tcPr>
          <w:p w14:paraId="6650A66F" w14:textId="77777777" w:rsidR="00B25A54" w:rsidRPr="00D63F45" w:rsidRDefault="00B25A54" w:rsidP="00D63F45">
            <w:pPr>
              <w:rPr>
                <w:sz w:val="20"/>
                <w:szCs w:val="20"/>
              </w:rPr>
            </w:pPr>
            <w:r w:rsidRPr="00D63F45">
              <w:rPr>
                <w:sz w:val="20"/>
                <w:szCs w:val="20"/>
              </w:rPr>
              <w:t xml:space="preserve">Nivolumab </w:t>
            </w:r>
          </w:p>
        </w:tc>
        <w:tc>
          <w:tcPr>
            <w:tcW w:w="1260" w:type="dxa"/>
            <w:vMerge/>
            <w:tcBorders>
              <w:left w:val="single" w:sz="4" w:space="0" w:color="000000"/>
            </w:tcBorders>
          </w:tcPr>
          <w:p w14:paraId="3F0DE4EA" w14:textId="77777777" w:rsidR="00B25A54" w:rsidRPr="00D63F45" w:rsidRDefault="00B25A54" w:rsidP="00D63F45">
            <w:pPr>
              <w:rPr>
                <w:sz w:val="20"/>
                <w:szCs w:val="20"/>
              </w:rPr>
            </w:pPr>
          </w:p>
        </w:tc>
      </w:tr>
      <w:tr w:rsidR="00DE4DCC" w:rsidRPr="00D63F45" w14:paraId="717ADB81" w14:textId="77777777" w:rsidTr="00CA702F">
        <w:trPr>
          <w:trHeight w:val="1194"/>
        </w:trPr>
        <w:tc>
          <w:tcPr>
            <w:tcW w:w="1632" w:type="dxa"/>
          </w:tcPr>
          <w:p w14:paraId="7570F4D0" w14:textId="7CD67FA6" w:rsidR="00B25A54" w:rsidRPr="00D63F45" w:rsidRDefault="00DE4DCC" w:rsidP="00D63F45">
            <w:pPr>
              <w:rPr>
                <w:sz w:val="20"/>
                <w:szCs w:val="20"/>
              </w:rPr>
            </w:pPr>
            <w:r w:rsidRPr="00D63F45">
              <w:rPr>
                <w:sz w:val="20"/>
                <w:szCs w:val="20"/>
              </w:rPr>
              <w:t xml:space="preserve">Study </w:t>
            </w:r>
            <w:r w:rsidR="00B25A54" w:rsidRPr="00D63F45">
              <w:rPr>
                <w:sz w:val="20"/>
                <w:szCs w:val="20"/>
              </w:rPr>
              <w:t>CA209238 for adjuvant melanoma</w:t>
            </w:r>
          </w:p>
          <w:p w14:paraId="096CD6D0" w14:textId="0734853C" w:rsidR="00B25A54" w:rsidRPr="00D63F45" w:rsidRDefault="00B25A54" w:rsidP="00D63F45">
            <w:pPr>
              <w:rPr>
                <w:sz w:val="20"/>
                <w:szCs w:val="20"/>
              </w:rPr>
            </w:pPr>
            <w:r w:rsidRPr="00D63F45">
              <w:rPr>
                <w:sz w:val="20"/>
                <w:szCs w:val="20"/>
              </w:rPr>
              <w:t>Cumulative dose</w:t>
            </w:r>
            <w:r w:rsidR="00DE4DCC" w:rsidRPr="00D63F45">
              <w:rPr>
                <w:sz w:val="20"/>
                <w:szCs w:val="20"/>
              </w:rPr>
              <w:t xml:space="preserve"> </w:t>
            </w:r>
            <w:r w:rsidRPr="00D63F45">
              <w:rPr>
                <w:sz w:val="20"/>
                <w:szCs w:val="20"/>
              </w:rPr>
              <w:t xml:space="preserve">(mg/kg) </w:t>
            </w:r>
          </w:p>
        </w:tc>
        <w:tc>
          <w:tcPr>
            <w:tcW w:w="1800" w:type="dxa"/>
          </w:tcPr>
          <w:p w14:paraId="2F7997CB" w14:textId="77777777" w:rsidR="00B25A54" w:rsidRPr="00D63F45" w:rsidRDefault="00B25A54" w:rsidP="00D63F45">
            <w:pPr>
              <w:rPr>
                <w:sz w:val="20"/>
                <w:szCs w:val="20"/>
                <w:lang w:eastAsia="ja-JP"/>
              </w:rPr>
            </w:pPr>
            <w:r w:rsidRPr="00D63F45">
              <w:rPr>
                <w:sz w:val="20"/>
                <w:szCs w:val="20"/>
              </w:rPr>
              <w:t xml:space="preserve">N = </w:t>
            </w:r>
            <w:r w:rsidRPr="00D63F45">
              <w:rPr>
                <w:sz w:val="20"/>
                <w:szCs w:val="20"/>
                <w:lang w:eastAsia="ja-JP"/>
              </w:rPr>
              <w:t>452</w:t>
            </w:r>
          </w:p>
          <w:p w14:paraId="66C1235B" w14:textId="68AC5D9B" w:rsidR="00B25A54" w:rsidRPr="00D63F45" w:rsidRDefault="00B25A54" w:rsidP="00D63F45">
            <w:pPr>
              <w:rPr>
                <w:sz w:val="20"/>
                <w:szCs w:val="20"/>
                <w:lang w:eastAsia="ja-JP"/>
              </w:rPr>
            </w:pPr>
            <w:r w:rsidRPr="00D63F45">
              <w:rPr>
                <w:sz w:val="20"/>
                <w:szCs w:val="20"/>
                <w:lang w:eastAsia="ja-JP"/>
              </w:rPr>
              <w:t>Mean 58.90 (SD</w:t>
            </w:r>
            <w:r w:rsidR="00DE4DCC" w:rsidRPr="00D63F45">
              <w:rPr>
                <w:sz w:val="20"/>
                <w:szCs w:val="20"/>
                <w:lang w:eastAsia="ja-JP"/>
              </w:rPr>
              <w:t> </w:t>
            </w:r>
            <w:r w:rsidRPr="00D63F45">
              <w:rPr>
                <w:sz w:val="20"/>
                <w:szCs w:val="20"/>
                <w:lang w:eastAsia="ja-JP"/>
              </w:rPr>
              <w:t>23.827)</w:t>
            </w:r>
          </w:p>
          <w:p w14:paraId="1A764762" w14:textId="378FE0D2" w:rsidR="00B25A54" w:rsidRPr="00D63F45" w:rsidRDefault="00B25A54" w:rsidP="00D63F45">
            <w:pPr>
              <w:rPr>
                <w:sz w:val="20"/>
                <w:szCs w:val="20"/>
              </w:rPr>
            </w:pPr>
            <w:r w:rsidRPr="00D63F45">
              <w:rPr>
                <w:sz w:val="20"/>
                <w:szCs w:val="20"/>
              </w:rPr>
              <w:t>Median</w:t>
            </w:r>
            <w:r w:rsidR="00DE4DCC" w:rsidRPr="00D63F45">
              <w:rPr>
                <w:sz w:val="20"/>
                <w:szCs w:val="20"/>
              </w:rPr>
              <w:t>:</w:t>
            </w:r>
            <w:r w:rsidRPr="00D63F45">
              <w:rPr>
                <w:sz w:val="20"/>
                <w:szCs w:val="20"/>
              </w:rPr>
              <w:t xml:space="preserve"> 72 Range</w:t>
            </w:r>
            <w:r w:rsidR="00DE4DCC" w:rsidRPr="00D63F45">
              <w:rPr>
                <w:sz w:val="20"/>
                <w:szCs w:val="20"/>
              </w:rPr>
              <w:t>:</w:t>
            </w:r>
            <w:r w:rsidRPr="00D63F45">
              <w:rPr>
                <w:sz w:val="20"/>
                <w:szCs w:val="20"/>
              </w:rPr>
              <w:t xml:space="preserve"> 3</w:t>
            </w:r>
            <w:r w:rsidR="00DE4DCC" w:rsidRPr="00D63F45">
              <w:rPr>
                <w:sz w:val="20"/>
                <w:szCs w:val="20"/>
              </w:rPr>
              <w:t xml:space="preserve"> to </w:t>
            </w:r>
            <w:r w:rsidRPr="00D63F45">
              <w:rPr>
                <w:sz w:val="20"/>
                <w:szCs w:val="20"/>
              </w:rPr>
              <w:t>80.1</w:t>
            </w:r>
          </w:p>
        </w:tc>
        <w:tc>
          <w:tcPr>
            <w:tcW w:w="1350" w:type="dxa"/>
          </w:tcPr>
          <w:p w14:paraId="469D2E9A" w14:textId="25B0A624" w:rsidR="00B25A54" w:rsidRPr="00D63F45" w:rsidRDefault="00DE4DCC" w:rsidP="00D63F45">
            <w:pPr>
              <w:rPr>
                <w:sz w:val="20"/>
                <w:szCs w:val="20"/>
              </w:rPr>
            </w:pPr>
            <w:r w:rsidRPr="00D63F45">
              <w:rPr>
                <w:sz w:val="20"/>
                <w:szCs w:val="20"/>
              </w:rPr>
              <w:t>Not applicable</w:t>
            </w:r>
          </w:p>
        </w:tc>
        <w:tc>
          <w:tcPr>
            <w:tcW w:w="1705" w:type="dxa"/>
          </w:tcPr>
          <w:p w14:paraId="1711A609" w14:textId="77777777" w:rsidR="00B25A54" w:rsidRPr="00D63F45" w:rsidRDefault="00B25A54" w:rsidP="00D63F45">
            <w:pPr>
              <w:rPr>
                <w:sz w:val="20"/>
                <w:szCs w:val="20"/>
              </w:rPr>
            </w:pPr>
            <w:r w:rsidRPr="00D63F45">
              <w:rPr>
                <w:sz w:val="20"/>
                <w:szCs w:val="20"/>
              </w:rPr>
              <w:t>N = 453</w:t>
            </w:r>
          </w:p>
          <w:p w14:paraId="1B1B63D0" w14:textId="04E2825B" w:rsidR="00B25A54" w:rsidRPr="00D63F45" w:rsidRDefault="00B25A54" w:rsidP="00D63F45">
            <w:pPr>
              <w:rPr>
                <w:sz w:val="20"/>
                <w:szCs w:val="20"/>
              </w:rPr>
            </w:pPr>
            <w:r w:rsidRPr="00D63F45">
              <w:rPr>
                <w:sz w:val="20"/>
                <w:szCs w:val="20"/>
              </w:rPr>
              <w:t>Mean 41.07</w:t>
            </w:r>
            <w:r w:rsidR="00DE4DCC" w:rsidRPr="00D63F45">
              <w:rPr>
                <w:sz w:val="20"/>
                <w:szCs w:val="20"/>
              </w:rPr>
              <w:t xml:space="preserve"> </w:t>
            </w:r>
            <w:r w:rsidRPr="00D63F45">
              <w:rPr>
                <w:sz w:val="20"/>
                <w:szCs w:val="20"/>
              </w:rPr>
              <w:t>(SD</w:t>
            </w:r>
            <w:r w:rsidR="00DE4DCC" w:rsidRPr="00D63F45">
              <w:rPr>
                <w:sz w:val="20"/>
                <w:szCs w:val="20"/>
              </w:rPr>
              <w:t> </w:t>
            </w:r>
            <w:r w:rsidRPr="00D63F45">
              <w:rPr>
                <w:sz w:val="20"/>
                <w:szCs w:val="20"/>
              </w:rPr>
              <w:t>18.340)</w:t>
            </w:r>
          </w:p>
          <w:p w14:paraId="04D0F36A" w14:textId="77777777" w:rsidR="00B25A54" w:rsidRPr="00D63F45" w:rsidRDefault="00B25A54" w:rsidP="00D63F45">
            <w:pPr>
              <w:rPr>
                <w:sz w:val="20"/>
                <w:szCs w:val="20"/>
              </w:rPr>
            </w:pPr>
            <w:r w:rsidRPr="00D63F45">
              <w:rPr>
                <w:sz w:val="20"/>
                <w:szCs w:val="20"/>
              </w:rPr>
              <w:t>Median 40</w:t>
            </w:r>
          </w:p>
          <w:p w14:paraId="5F16DC9B" w14:textId="00AF9748" w:rsidR="00B25A54" w:rsidRPr="00D63F45" w:rsidRDefault="00B25A54" w:rsidP="00D63F45">
            <w:pPr>
              <w:rPr>
                <w:sz w:val="20"/>
                <w:szCs w:val="20"/>
              </w:rPr>
            </w:pPr>
            <w:r w:rsidRPr="00D63F45">
              <w:rPr>
                <w:sz w:val="20"/>
                <w:szCs w:val="20"/>
              </w:rPr>
              <w:t>Range 9.8</w:t>
            </w:r>
            <w:r w:rsidR="00DE4DCC" w:rsidRPr="00D63F45">
              <w:rPr>
                <w:sz w:val="20"/>
                <w:szCs w:val="20"/>
              </w:rPr>
              <w:t xml:space="preserve"> to </w:t>
            </w:r>
            <w:r w:rsidRPr="00D63F45">
              <w:rPr>
                <w:sz w:val="20"/>
                <w:szCs w:val="20"/>
              </w:rPr>
              <w:t xml:space="preserve">70 </w:t>
            </w:r>
          </w:p>
        </w:tc>
        <w:tc>
          <w:tcPr>
            <w:tcW w:w="1625" w:type="dxa"/>
          </w:tcPr>
          <w:p w14:paraId="0B1A21DE" w14:textId="6B4B5DCD" w:rsidR="00B25A54" w:rsidRPr="00D63F45" w:rsidRDefault="00DE4DCC" w:rsidP="00D63F45">
            <w:pPr>
              <w:rPr>
                <w:sz w:val="20"/>
                <w:szCs w:val="20"/>
              </w:rPr>
            </w:pPr>
            <w:r w:rsidRPr="00D63F45">
              <w:rPr>
                <w:sz w:val="20"/>
                <w:szCs w:val="20"/>
              </w:rPr>
              <w:t>Not applicable</w:t>
            </w:r>
          </w:p>
        </w:tc>
        <w:tc>
          <w:tcPr>
            <w:tcW w:w="1260" w:type="dxa"/>
          </w:tcPr>
          <w:p w14:paraId="04920949" w14:textId="77777777" w:rsidR="00B25A54" w:rsidRPr="00D63F45" w:rsidRDefault="00B25A54" w:rsidP="00D63F45">
            <w:pPr>
              <w:rPr>
                <w:sz w:val="20"/>
                <w:szCs w:val="20"/>
              </w:rPr>
            </w:pPr>
            <w:r w:rsidRPr="00D63F45">
              <w:rPr>
                <w:sz w:val="20"/>
                <w:szCs w:val="20"/>
              </w:rPr>
              <w:t>N = 453</w:t>
            </w:r>
          </w:p>
        </w:tc>
      </w:tr>
    </w:tbl>
    <w:p w14:paraId="1143E797" w14:textId="77777777" w:rsidR="00605AD4" w:rsidRDefault="00605AD4" w:rsidP="00605AD4">
      <w:pPr>
        <w:pStyle w:val="Heading4"/>
      </w:pPr>
      <w:r w:rsidRPr="00605AD4">
        <w:t>Safety issues with the potential for major regulatory impact</w:t>
      </w:r>
    </w:p>
    <w:p w14:paraId="75184BEB" w14:textId="77777777" w:rsidR="00084711" w:rsidRDefault="000E58A0" w:rsidP="00084711">
      <w:r>
        <w:t>The sponsor’s</w:t>
      </w:r>
      <w:r w:rsidR="00084711">
        <w:t xml:space="preserve"> SCS describes identification of AEs of special clinical interest that are potentially associated with the use of nivolumab, based on the following guiding principles:</w:t>
      </w:r>
    </w:p>
    <w:p w14:paraId="40255BD3" w14:textId="77777777" w:rsidR="00084711" w:rsidRDefault="00084711" w:rsidP="00084711">
      <w:pPr>
        <w:pStyle w:val="ListBullet"/>
      </w:pPr>
      <w:r>
        <w:t>AEs that may differ in type, frequency or severity from AEs caused by non-immunotherapies</w:t>
      </w:r>
    </w:p>
    <w:p w14:paraId="74408564" w14:textId="77777777" w:rsidR="00084711" w:rsidRDefault="00084711" w:rsidP="00084711">
      <w:pPr>
        <w:pStyle w:val="ListBullet"/>
      </w:pPr>
      <w:r>
        <w:t>AEs that may require immunosuppression (</w:t>
      </w:r>
      <w:r w:rsidR="000E58A0">
        <w:t>such as</w:t>
      </w:r>
      <w:r>
        <w:t xml:space="preserve"> corticosteroids) as part of their management</w:t>
      </w:r>
    </w:p>
    <w:p w14:paraId="6A4A4210" w14:textId="77777777" w:rsidR="00084711" w:rsidRDefault="00084711" w:rsidP="00084711">
      <w:pPr>
        <w:pStyle w:val="ListBullet"/>
      </w:pPr>
      <w:r>
        <w:t>AEs whose early recognition and management may mitigate severe toxicity</w:t>
      </w:r>
    </w:p>
    <w:p w14:paraId="3DD56004" w14:textId="77777777" w:rsidR="00084711" w:rsidRDefault="00084711" w:rsidP="00084711">
      <w:pPr>
        <w:pStyle w:val="ListBullet"/>
      </w:pPr>
      <w:r>
        <w:t>AEs for which multiple event terms may be used to describe a single type of AE, thereby necessitating the pooli</w:t>
      </w:r>
      <w:r w:rsidR="000E58A0">
        <w:t>ng of terms for full characteris</w:t>
      </w:r>
      <w:r>
        <w:t>ation.</w:t>
      </w:r>
    </w:p>
    <w:p w14:paraId="3DD14B20" w14:textId="455A679A" w:rsidR="00084711" w:rsidRDefault="00084711" w:rsidP="00772A74">
      <w:r>
        <w:t>Taking into account the types of AEs already observed across studies of nivolumab monotherapy, endocrinopathies, diarrhoea/colitis, hepatitis, pneumonitis, interstitial nephritis and rash were considered to be select AEs. Multiple event terms that may describe each of these were grouped into endocrine, gastrointestinal (GI), hepatic, pulmonary, renal and skin select AE categories, respectively.</w:t>
      </w:r>
    </w:p>
    <w:p w14:paraId="213BE404" w14:textId="77777777" w:rsidR="00084711" w:rsidRDefault="00084711" w:rsidP="00772A74">
      <w:r>
        <w:t>Although hypersensitivity/infusion reactions did not otherwise meet criteria to be considered select AEs, these were analysed along with the select AE categories because multiple event terms may be used to describe such events and pooling of terms was necessary for full characterisation.</w:t>
      </w:r>
    </w:p>
    <w:p w14:paraId="11A73BAE" w14:textId="77777777" w:rsidR="00084711" w:rsidRPr="003C0481" w:rsidRDefault="00084711" w:rsidP="00772A74">
      <w:r>
        <w:t xml:space="preserve">Other Events of Special Interest (‘OESIs’) included the following categories: demyelination, encephalitis, Guillain-Barré syndrome, myasthenic syndrome, pancreatitis, uveitis, myocarditis, myositis and rhabdomyolysis. These events may differ from those caused by non-immunotherapies and may require immunosuppression as part of their management. </w:t>
      </w:r>
      <w:r w:rsidRPr="003C0481">
        <w:t>Analyses of OESIs also had extended follow-up (100</w:t>
      </w:r>
      <w:r w:rsidR="00772A74" w:rsidRPr="003C0481">
        <w:t xml:space="preserve"> </w:t>
      </w:r>
      <w:r w:rsidRPr="003C0481">
        <w:t>day window).</w:t>
      </w:r>
    </w:p>
    <w:p w14:paraId="57A94DF6" w14:textId="77777777" w:rsidR="00084711" w:rsidRPr="003C0481" w:rsidRDefault="00084711" w:rsidP="00772A74">
      <w:r w:rsidRPr="003C0481">
        <w:t xml:space="preserve">See </w:t>
      </w:r>
      <w:r w:rsidRPr="00713D88">
        <w:t xml:space="preserve">Table </w:t>
      </w:r>
      <w:r w:rsidR="0099474E" w:rsidRPr="00713D88">
        <w:t>30</w:t>
      </w:r>
      <w:r w:rsidRPr="00713D88">
        <w:t xml:space="preserve"> ADRs Investigations:</w:t>
      </w:r>
      <w:r w:rsidRPr="003C0481">
        <w:t xml:space="preserve"> Nivolumab monotherapy CA209238 and other tumour types, for laboratory investigations from </w:t>
      </w:r>
      <w:r w:rsidR="00772A74" w:rsidRPr="003C0481">
        <w:t xml:space="preserve">Study </w:t>
      </w:r>
      <w:r w:rsidRPr="003C0481">
        <w:t>CA209238 compared to SCS pooled nivolumab data</w:t>
      </w:r>
      <w:r w:rsidR="003C0481" w:rsidRPr="003C0481">
        <w:t xml:space="preserve"> in Attachment 2</w:t>
      </w:r>
      <w:r w:rsidRPr="003C0481">
        <w:t>.</w:t>
      </w:r>
    </w:p>
    <w:p w14:paraId="1520C8B6" w14:textId="77777777" w:rsidR="00500337" w:rsidRPr="00500337" w:rsidRDefault="00084711" w:rsidP="00772A74">
      <w:r w:rsidRPr="003C0481">
        <w:t>Frequencies for some events are also briefly</w:t>
      </w:r>
      <w:r>
        <w:t xml:space="preserve"> presented for ipilimumab and placebo arms from </w:t>
      </w:r>
      <w:r w:rsidR="00772A74" w:rsidRPr="00772A74">
        <w:t>Study</w:t>
      </w:r>
      <w:r w:rsidR="00772A74">
        <w:t xml:space="preserve"> </w:t>
      </w:r>
      <w:r>
        <w:t>CA184029, for comparison.</w:t>
      </w:r>
    </w:p>
    <w:p w14:paraId="25C0A8A3" w14:textId="77777777" w:rsidR="00605AD4" w:rsidRDefault="00605AD4" w:rsidP="00605AD4">
      <w:pPr>
        <w:pStyle w:val="Heading4"/>
      </w:pPr>
      <w:r w:rsidRPr="00605AD4">
        <w:t>Postmarketing data</w:t>
      </w:r>
    </w:p>
    <w:p w14:paraId="6B1249BB" w14:textId="77777777" w:rsidR="00500337" w:rsidRPr="00500337" w:rsidRDefault="00084711" w:rsidP="00084711">
      <w:r>
        <w:t>Not applicable to this indication in this submission.</w:t>
      </w:r>
    </w:p>
    <w:p w14:paraId="37A386F1" w14:textId="77777777" w:rsidR="00605AD4" w:rsidRPr="00605AD4" w:rsidRDefault="00605AD4" w:rsidP="00605AD4">
      <w:pPr>
        <w:pStyle w:val="Heading4"/>
      </w:pPr>
      <w:r w:rsidRPr="00605AD4">
        <w:lastRenderedPageBreak/>
        <w:t>Evaluator’s conclusions on safety</w:t>
      </w:r>
    </w:p>
    <w:p w14:paraId="177C96B5" w14:textId="77777777" w:rsidR="00084711" w:rsidRDefault="00084711" w:rsidP="00084711">
      <w:r>
        <w:t xml:space="preserve">At data lock point </w:t>
      </w:r>
      <w:r w:rsidR="00673E24">
        <w:t>that is,</w:t>
      </w:r>
      <w:r>
        <w:t xml:space="preserve"> after 18 months follow-up, the rates of death were very similar. The majority of deaths in both treatment groups on </w:t>
      </w:r>
      <w:r w:rsidR="00934B0C">
        <w:t>Study CA2</w:t>
      </w:r>
      <w:r>
        <w:t>09238 were due to disease and occurred &gt; 100 d</w:t>
      </w:r>
      <w:r w:rsidR="00772A74">
        <w:t>ays after last study drug dose.</w:t>
      </w:r>
    </w:p>
    <w:p w14:paraId="21AE585A" w14:textId="77777777" w:rsidR="00084711" w:rsidRDefault="00084711" w:rsidP="00084711">
      <w:r>
        <w:t>No new safety concerns about the types of adverse events were identified in nivolumab monotherapy adjuvant treatment compared to studies in other tumour types.</w:t>
      </w:r>
    </w:p>
    <w:p w14:paraId="388029D2" w14:textId="77777777" w:rsidR="00084711" w:rsidRDefault="00084711" w:rsidP="00084711">
      <w:r>
        <w:t>However it appears that some events, particularly immune-mediated AEs in GI, skin and endocrine categories occurred with higher frequency in this study population than for the other previously approved indications.</w:t>
      </w:r>
    </w:p>
    <w:p w14:paraId="27D12ED0" w14:textId="77777777" w:rsidR="00605AD4" w:rsidRPr="00605AD4" w:rsidRDefault="00084711" w:rsidP="00084711">
      <w:r>
        <w:t>If this extension to indications is approved, this should be adequately documented in the PI.</w:t>
      </w:r>
    </w:p>
    <w:p w14:paraId="1EFDAD05" w14:textId="468B1CC6" w:rsidR="00605AD4" w:rsidRPr="00605AD4" w:rsidRDefault="00605AD4" w:rsidP="00605AD4">
      <w:pPr>
        <w:pStyle w:val="Heading3"/>
        <w:rPr>
          <w:rFonts w:eastAsia="Cambria"/>
        </w:rPr>
      </w:pPr>
      <w:bookmarkStart w:id="74" w:name="_Toc522802904"/>
      <w:r w:rsidRPr="00605AD4">
        <w:rPr>
          <w:rFonts w:eastAsia="Cambria"/>
        </w:rPr>
        <w:t xml:space="preserve">First </w:t>
      </w:r>
      <w:r w:rsidR="00D63F45" w:rsidRPr="00605AD4">
        <w:rPr>
          <w:rFonts w:eastAsia="Cambria"/>
        </w:rPr>
        <w:t>round benefit-risk assessment</w:t>
      </w:r>
      <w:bookmarkEnd w:id="74"/>
    </w:p>
    <w:p w14:paraId="04E348ED" w14:textId="77777777" w:rsidR="00605AD4" w:rsidRDefault="00605AD4" w:rsidP="00605AD4">
      <w:pPr>
        <w:pStyle w:val="Heading4"/>
      </w:pPr>
      <w:r w:rsidRPr="00605AD4">
        <w:t>First round assessment of benefits</w:t>
      </w:r>
    </w:p>
    <w:p w14:paraId="1E7150BD" w14:textId="77777777" w:rsidR="00772A74" w:rsidRDefault="00772A74" w:rsidP="00772A74">
      <w:r>
        <w:t>Table 4 summarises the evaluator’s assessment of benefits.</w:t>
      </w:r>
    </w:p>
    <w:p w14:paraId="7C3335AD" w14:textId="77777777" w:rsidR="00772A74" w:rsidRPr="00772A74" w:rsidRDefault="00772A74" w:rsidP="00250550">
      <w:pPr>
        <w:pStyle w:val="TableTitle"/>
      </w:pPr>
      <w:r>
        <w:t xml:space="preserve">Table 4: </w:t>
      </w:r>
      <w:r w:rsidRPr="00605AD4">
        <w:t>First round assessment of benefits</w:t>
      </w:r>
    </w:p>
    <w:tbl>
      <w:tblPr>
        <w:tblStyle w:val="TableGrid"/>
        <w:tblW w:w="0" w:type="auto"/>
        <w:tblInd w:w="108" w:type="dxa"/>
        <w:tblLook w:val="04A0" w:firstRow="1" w:lastRow="0" w:firstColumn="1" w:lastColumn="0" w:noHBand="0" w:noVBand="1"/>
      </w:tblPr>
      <w:tblGrid>
        <w:gridCol w:w="4440"/>
        <w:gridCol w:w="4172"/>
      </w:tblGrid>
      <w:tr w:rsidR="00084711" w:rsidRPr="004D470D" w14:paraId="1E31E967" w14:textId="77777777" w:rsidTr="002F15EC">
        <w:trPr>
          <w:tblHeader/>
        </w:trPr>
        <w:tc>
          <w:tcPr>
            <w:tcW w:w="8789" w:type="dxa"/>
            <w:gridSpan w:val="2"/>
            <w:shd w:val="clear" w:color="auto" w:fill="006DA7" w:themeFill="accent3"/>
          </w:tcPr>
          <w:p w14:paraId="539F37F1" w14:textId="77777777" w:rsidR="00084711" w:rsidRPr="004D470D" w:rsidRDefault="00084711" w:rsidP="00250550">
            <w:pPr>
              <w:keepNext/>
              <w:rPr>
                <w:b/>
                <w:color w:val="FFFFFF" w:themeColor="background1"/>
              </w:rPr>
            </w:pPr>
            <w:r w:rsidRPr="004D470D">
              <w:rPr>
                <w:b/>
                <w:color w:val="FFFFFF" w:themeColor="background1"/>
              </w:rPr>
              <w:t>Indication</w:t>
            </w:r>
          </w:p>
        </w:tc>
      </w:tr>
      <w:tr w:rsidR="004D470D" w:rsidRPr="004D470D" w14:paraId="5F2B7F4B" w14:textId="77777777" w:rsidTr="002F15EC">
        <w:trPr>
          <w:tblHeader/>
        </w:trPr>
        <w:tc>
          <w:tcPr>
            <w:tcW w:w="4536" w:type="dxa"/>
            <w:shd w:val="clear" w:color="auto" w:fill="00517D" w:themeFill="accent3" w:themeFillShade="BF"/>
          </w:tcPr>
          <w:p w14:paraId="7BD3C784" w14:textId="77777777" w:rsidR="00084711" w:rsidRPr="004D470D" w:rsidRDefault="00084711" w:rsidP="00250550">
            <w:pPr>
              <w:keepNext/>
              <w:rPr>
                <w:b/>
              </w:rPr>
            </w:pPr>
            <w:r w:rsidRPr="004D470D">
              <w:rPr>
                <w:b/>
                <w:color w:val="FFFFFF" w:themeColor="background1"/>
              </w:rPr>
              <w:t>Benefits</w:t>
            </w:r>
          </w:p>
        </w:tc>
        <w:tc>
          <w:tcPr>
            <w:tcW w:w="4253" w:type="dxa"/>
            <w:shd w:val="clear" w:color="auto" w:fill="00517D" w:themeFill="accent3" w:themeFillShade="BF"/>
          </w:tcPr>
          <w:p w14:paraId="069A0E84" w14:textId="77777777" w:rsidR="00084711" w:rsidRPr="004D470D" w:rsidRDefault="00084711" w:rsidP="00250550">
            <w:pPr>
              <w:keepNext/>
              <w:rPr>
                <w:b/>
                <w:color w:val="FFFFFF" w:themeColor="background1"/>
              </w:rPr>
            </w:pPr>
            <w:r w:rsidRPr="004D470D">
              <w:rPr>
                <w:b/>
                <w:color w:val="FFFFFF" w:themeColor="background1"/>
              </w:rPr>
              <w:t>Strengths and Uncertainties</w:t>
            </w:r>
          </w:p>
        </w:tc>
      </w:tr>
      <w:tr w:rsidR="00084711" w:rsidRPr="0006680D" w14:paraId="2D561757" w14:textId="77777777" w:rsidTr="002F15EC">
        <w:tc>
          <w:tcPr>
            <w:tcW w:w="4536" w:type="dxa"/>
          </w:tcPr>
          <w:p w14:paraId="22BF59EF" w14:textId="384553FD" w:rsidR="00084711" w:rsidRPr="0006680D" w:rsidRDefault="00084711" w:rsidP="004D470D">
            <w:pPr>
              <w:rPr>
                <w:rFonts w:cstheme="minorHAnsi"/>
              </w:rPr>
            </w:pPr>
            <w:r w:rsidRPr="0006680D">
              <w:rPr>
                <w:rFonts w:cstheme="minorHAnsi"/>
              </w:rPr>
              <w:t>The interim CSR for CA209238 showed improvement in RFS for adjuvant treatment with nivolumab compared to ipilimumab in subjects with completely resected Stage IIIB/C or Stage IV melanoma.</w:t>
            </w:r>
          </w:p>
          <w:p w14:paraId="21E9D8B4" w14:textId="56B3F0F8" w:rsidR="00084711" w:rsidRPr="0006680D" w:rsidRDefault="00084711" w:rsidP="004D470D">
            <w:pPr>
              <w:rPr>
                <w:rFonts w:cstheme="minorHAnsi"/>
              </w:rPr>
            </w:pPr>
            <w:r w:rsidRPr="0006680D">
              <w:rPr>
                <w:rFonts w:cstheme="minorHAnsi"/>
              </w:rPr>
              <w:t>One</w:t>
            </w:r>
            <w:r w:rsidR="00713D88">
              <w:rPr>
                <w:rFonts w:cstheme="minorHAnsi"/>
              </w:rPr>
              <w:t xml:space="preserve"> </w:t>
            </w:r>
            <w:r w:rsidRPr="0006680D">
              <w:rPr>
                <w:rFonts w:cstheme="minorHAnsi"/>
              </w:rPr>
              <w:t xml:space="preserve">year RFS rates (95% CI) were nivolumab 70.5% (66.1, 74.5) vs. ipilimumab 60.8% (61.8, 70.6). </w:t>
            </w:r>
          </w:p>
        </w:tc>
        <w:tc>
          <w:tcPr>
            <w:tcW w:w="4253" w:type="dxa"/>
          </w:tcPr>
          <w:p w14:paraId="232B31AE" w14:textId="77777777" w:rsidR="00084711" w:rsidRPr="0006680D" w:rsidRDefault="00084711" w:rsidP="004D470D">
            <w:pPr>
              <w:rPr>
                <w:rFonts w:cstheme="minorHAnsi"/>
              </w:rPr>
            </w:pPr>
            <w:r w:rsidRPr="0006680D">
              <w:rPr>
                <w:rFonts w:cstheme="minorHAnsi"/>
              </w:rPr>
              <w:t xml:space="preserve">Nivolumab 3 mg/kg as adjuvant therapy compared to ipilimumab 10 mg/kg; </w:t>
            </w:r>
          </w:p>
          <w:p w14:paraId="4B1DB435" w14:textId="77777777" w:rsidR="00084711" w:rsidRPr="0006680D" w:rsidRDefault="00084711" w:rsidP="004D470D">
            <w:pPr>
              <w:rPr>
                <w:rFonts w:cstheme="minorHAnsi"/>
              </w:rPr>
            </w:pPr>
            <w:r w:rsidRPr="0006680D">
              <w:rPr>
                <w:rFonts w:cstheme="minorHAnsi"/>
              </w:rPr>
              <w:t>HR = 0.65 (97.56% CI: 0.51, 0.83).</w:t>
            </w:r>
          </w:p>
          <w:p w14:paraId="4D97207B" w14:textId="77777777" w:rsidR="00084711" w:rsidRPr="0006680D" w:rsidRDefault="00084711" w:rsidP="004D470D">
            <w:pPr>
              <w:pStyle w:val="ListBullet"/>
              <w:rPr>
                <w:i/>
              </w:rPr>
            </w:pPr>
            <w:r w:rsidRPr="0006680D">
              <w:t>No OS outcomes available in interim study after 18 month follow-up.</w:t>
            </w:r>
          </w:p>
          <w:p w14:paraId="39C5F69C" w14:textId="77777777" w:rsidR="00084711" w:rsidRPr="0006680D" w:rsidRDefault="00084711" w:rsidP="004D470D">
            <w:pPr>
              <w:pStyle w:val="ListBullet"/>
              <w:rPr>
                <w:i/>
              </w:rPr>
            </w:pPr>
            <w:r w:rsidRPr="0006680D">
              <w:t xml:space="preserve">Comparator not registered in Australia; extent of use where registered not clear. </w:t>
            </w:r>
          </w:p>
          <w:p w14:paraId="7A929609" w14:textId="77777777" w:rsidR="00084711" w:rsidRPr="0006680D" w:rsidRDefault="00084711" w:rsidP="004D470D">
            <w:pPr>
              <w:pStyle w:val="ListBullet"/>
              <w:rPr>
                <w:i/>
              </w:rPr>
            </w:pPr>
            <w:r w:rsidRPr="0006680D">
              <w:t>Difficult to interpret the study data using perspective of currently used treatments for this patient group in Australia</w:t>
            </w:r>
          </w:p>
          <w:p w14:paraId="6492CF87" w14:textId="77777777" w:rsidR="00084711" w:rsidRPr="0006680D" w:rsidRDefault="00084711" w:rsidP="004D470D">
            <w:pPr>
              <w:pStyle w:val="ListBullet"/>
            </w:pPr>
            <w:r w:rsidRPr="0006680D">
              <w:t>Also unclear if PD-L1 status might be  relevant for use in this population in  the  Australian context</w:t>
            </w:r>
          </w:p>
          <w:p w14:paraId="6F305C69" w14:textId="77777777" w:rsidR="00084711" w:rsidRPr="0006680D" w:rsidRDefault="00084711" w:rsidP="004D470D">
            <w:pPr>
              <w:pStyle w:val="ListBullet"/>
            </w:pPr>
            <w:r w:rsidRPr="0006680D">
              <w:t>No information available for resected Stage IIIA melanoma</w:t>
            </w:r>
          </w:p>
        </w:tc>
      </w:tr>
    </w:tbl>
    <w:p w14:paraId="5ACA2D5C" w14:textId="77777777" w:rsidR="00605AD4" w:rsidRDefault="00605AD4" w:rsidP="00713D88">
      <w:pPr>
        <w:pStyle w:val="Heading4"/>
      </w:pPr>
      <w:r w:rsidRPr="00605AD4">
        <w:t>First round assessment of risks</w:t>
      </w:r>
    </w:p>
    <w:p w14:paraId="193B0A93" w14:textId="77777777" w:rsidR="004D470D" w:rsidRDefault="004D470D" w:rsidP="00D63F45">
      <w:r>
        <w:t>Table 5 summarises the evaluator’s assessment of risks.</w:t>
      </w:r>
    </w:p>
    <w:p w14:paraId="09116F50" w14:textId="77777777" w:rsidR="004D470D" w:rsidRPr="004D470D" w:rsidRDefault="004D470D" w:rsidP="00713D88">
      <w:pPr>
        <w:pStyle w:val="TableTitle"/>
      </w:pPr>
      <w:r>
        <w:lastRenderedPageBreak/>
        <w:t xml:space="preserve">Table 5: </w:t>
      </w:r>
      <w:r w:rsidRPr="00605AD4">
        <w:t xml:space="preserve">First round assessment of </w:t>
      </w:r>
      <w:r>
        <w:t>risks</w:t>
      </w:r>
    </w:p>
    <w:tbl>
      <w:tblPr>
        <w:tblStyle w:val="TableTGAblue"/>
        <w:tblW w:w="0" w:type="auto"/>
        <w:tblLook w:val="04A0" w:firstRow="1" w:lastRow="0" w:firstColumn="1" w:lastColumn="0" w:noHBand="0" w:noVBand="1"/>
      </w:tblPr>
      <w:tblGrid>
        <w:gridCol w:w="4361"/>
        <w:gridCol w:w="4359"/>
      </w:tblGrid>
      <w:tr w:rsidR="004D470D" w:rsidRPr="004D470D" w14:paraId="58DBE5F3" w14:textId="77777777" w:rsidTr="00125515">
        <w:trPr>
          <w:cnfStyle w:val="100000000000" w:firstRow="1" w:lastRow="0" w:firstColumn="0" w:lastColumn="0" w:oddVBand="0" w:evenVBand="0" w:oddHBand="0" w:evenHBand="0" w:firstRowFirstColumn="0" w:firstRowLastColumn="0" w:lastRowFirstColumn="0" w:lastRowLastColumn="0"/>
        </w:trPr>
        <w:tc>
          <w:tcPr>
            <w:tcW w:w="4395" w:type="dxa"/>
          </w:tcPr>
          <w:p w14:paraId="7CE81598" w14:textId="77777777" w:rsidR="00084711" w:rsidRPr="004D470D" w:rsidRDefault="00084711" w:rsidP="00125515">
            <w:pPr>
              <w:rPr>
                <w:b w:val="0"/>
              </w:rPr>
            </w:pPr>
            <w:r w:rsidRPr="004D470D">
              <w:rPr>
                <w:b w:val="0"/>
              </w:rPr>
              <w:t>Risks</w:t>
            </w:r>
          </w:p>
        </w:tc>
        <w:tc>
          <w:tcPr>
            <w:tcW w:w="4394" w:type="dxa"/>
          </w:tcPr>
          <w:p w14:paraId="6E9157A2" w14:textId="77777777" w:rsidR="00084711" w:rsidRPr="004D470D" w:rsidRDefault="00084711" w:rsidP="00125515">
            <w:pPr>
              <w:rPr>
                <w:b w:val="0"/>
              </w:rPr>
            </w:pPr>
            <w:r w:rsidRPr="004D470D">
              <w:rPr>
                <w:b w:val="0"/>
              </w:rPr>
              <w:t>Strengths and Uncertainties</w:t>
            </w:r>
          </w:p>
        </w:tc>
      </w:tr>
      <w:tr w:rsidR="00084711" w:rsidRPr="00C37A1D" w14:paraId="5DDC19A3" w14:textId="77777777" w:rsidTr="00125515">
        <w:tc>
          <w:tcPr>
            <w:tcW w:w="4395" w:type="dxa"/>
          </w:tcPr>
          <w:p w14:paraId="07117E1D" w14:textId="77777777" w:rsidR="00084711" w:rsidRPr="0006680D" w:rsidRDefault="00084711" w:rsidP="00125515">
            <w:pPr>
              <w:rPr>
                <w:rFonts w:cstheme="minorHAnsi"/>
              </w:rPr>
            </w:pPr>
            <w:r w:rsidRPr="0006680D">
              <w:rPr>
                <w:rFonts w:cstheme="minorHAnsi"/>
              </w:rPr>
              <w:t xml:space="preserve">No new safety concerns about the types of adverse events were identified in nivolumab monotherapy adjuvant treatment compared to studies in other tumour types. </w:t>
            </w:r>
          </w:p>
          <w:p w14:paraId="451FC20D" w14:textId="77777777" w:rsidR="00084711" w:rsidRPr="0006680D" w:rsidRDefault="00084711" w:rsidP="00125515">
            <w:pPr>
              <w:rPr>
                <w:rFonts w:cstheme="minorHAnsi"/>
              </w:rPr>
            </w:pPr>
            <w:r w:rsidRPr="0006680D">
              <w:rPr>
                <w:rFonts w:cstheme="minorHAnsi"/>
              </w:rPr>
              <w:t xml:space="preserve">However immune-mediated AEs in GI, skin and endocrine categories appeared to occur with higher frequency in this study population compared to populations studied for previously approved indications. </w:t>
            </w:r>
          </w:p>
          <w:p w14:paraId="6E644A4E" w14:textId="77777777" w:rsidR="00084711" w:rsidRPr="0006680D" w:rsidRDefault="00084711" w:rsidP="00125515">
            <w:pPr>
              <w:rPr>
                <w:rFonts w:cstheme="minorHAnsi"/>
              </w:rPr>
            </w:pPr>
            <w:r w:rsidRPr="0006680D">
              <w:rPr>
                <w:rFonts w:cstheme="minorHAnsi"/>
              </w:rPr>
              <w:t>It was considered by the sponsor that this may be due to the intact immune system in patients in the adjuvant setting.</w:t>
            </w:r>
          </w:p>
          <w:p w14:paraId="18838D85" w14:textId="50302EB0" w:rsidR="00084711" w:rsidRPr="0006680D" w:rsidRDefault="00084711" w:rsidP="00125515">
            <w:pPr>
              <w:rPr>
                <w:rFonts w:cstheme="minorHAnsi"/>
              </w:rPr>
            </w:pPr>
            <w:r w:rsidRPr="0006680D">
              <w:rPr>
                <w:rFonts w:cstheme="minorHAnsi"/>
              </w:rPr>
              <w:t>Adjuvant melanoma subjects have a 13</w:t>
            </w:r>
            <w:r w:rsidR="00713D88">
              <w:rPr>
                <w:rFonts w:cstheme="minorHAnsi"/>
              </w:rPr>
              <w:t xml:space="preserve"> to </w:t>
            </w:r>
            <w:r w:rsidRPr="0006680D">
              <w:rPr>
                <w:rFonts w:cstheme="minorHAnsi"/>
              </w:rPr>
              <w:t>45% higher predicted dose-normalised exposure relative to the advanced melanoma subjects.</w:t>
            </w:r>
          </w:p>
        </w:tc>
        <w:tc>
          <w:tcPr>
            <w:tcW w:w="4394" w:type="dxa"/>
          </w:tcPr>
          <w:p w14:paraId="09D8F279" w14:textId="77777777" w:rsidR="00084711" w:rsidRPr="0006680D" w:rsidRDefault="00084711" w:rsidP="00125515">
            <w:pPr>
              <w:rPr>
                <w:rFonts w:cstheme="minorHAnsi"/>
              </w:rPr>
            </w:pPr>
            <w:r w:rsidRPr="0006680D">
              <w:rPr>
                <w:rFonts w:cstheme="minorHAnsi"/>
              </w:rPr>
              <w:t xml:space="preserve">The comparator was not directly relevant to current treatments in Australia. Toxicity was obviously less for nivolumab than for ipilimumab. </w:t>
            </w:r>
          </w:p>
          <w:p w14:paraId="62DAC68D" w14:textId="77777777" w:rsidR="00084711" w:rsidRPr="0006680D" w:rsidRDefault="00084711" w:rsidP="00125515">
            <w:pPr>
              <w:rPr>
                <w:rFonts w:cstheme="minorHAnsi"/>
              </w:rPr>
            </w:pPr>
            <w:r w:rsidRPr="0006680D">
              <w:rPr>
                <w:rFonts w:cstheme="minorHAnsi"/>
              </w:rPr>
              <w:t>It is less clear whether the trade-off of improved RFS versus risk of IMAEs is applicable to the entire patient group when any Stage III or Stage IV melanoma has been completely resected. The risk of recurrence has to be balanced against risk of severe or potentially life-threatening adverse drug reactions.</w:t>
            </w:r>
          </w:p>
          <w:p w14:paraId="7DFFEAB5" w14:textId="77777777" w:rsidR="00084711" w:rsidRPr="0006680D" w:rsidRDefault="00084711" w:rsidP="00125515">
            <w:pPr>
              <w:rPr>
                <w:rFonts w:cstheme="minorHAnsi"/>
                <w:u w:val="single"/>
              </w:rPr>
            </w:pPr>
            <w:r w:rsidRPr="0006680D">
              <w:rPr>
                <w:rFonts w:cstheme="minorHAnsi"/>
              </w:rPr>
              <w:t xml:space="preserve">ADR data as currently proposed for the PI </w:t>
            </w:r>
            <w:r>
              <w:rPr>
                <w:rFonts w:cstheme="minorHAnsi"/>
              </w:rPr>
              <w:t xml:space="preserve">might </w:t>
            </w:r>
            <w:r w:rsidRPr="0006680D">
              <w:rPr>
                <w:rFonts w:cstheme="minorHAnsi"/>
              </w:rPr>
              <w:t>not adequately present safety risks for this patient group.</w:t>
            </w:r>
          </w:p>
        </w:tc>
      </w:tr>
    </w:tbl>
    <w:p w14:paraId="5FD07408" w14:textId="77777777" w:rsidR="00605AD4" w:rsidRPr="00605AD4" w:rsidRDefault="00605AD4" w:rsidP="00605AD4">
      <w:pPr>
        <w:pStyle w:val="Heading4"/>
      </w:pPr>
      <w:r w:rsidRPr="00605AD4">
        <w:t>First round assessment of benefit-risk balance</w:t>
      </w:r>
    </w:p>
    <w:p w14:paraId="5B002D5F" w14:textId="637BF28C" w:rsidR="00084711" w:rsidRPr="0006680D" w:rsidRDefault="00084711" w:rsidP="004D470D">
      <w:pPr>
        <w:rPr>
          <w:lang w:eastAsia="ja-JP"/>
        </w:rPr>
      </w:pPr>
      <w:r w:rsidRPr="0006680D">
        <w:rPr>
          <w:lang w:eastAsia="ja-JP"/>
        </w:rPr>
        <w:t>From the data provided, there was improvement in RFS for nivolumab compared to ipilimumab for adjuvant treatment of melanoma combined with a known and better safety profile for nivolumab and for this comparison the benefit-risk balance is considered positive.</w:t>
      </w:r>
    </w:p>
    <w:p w14:paraId="30D986E1" w14:textId="77777777" w:rsidR="00084711" w:rsidRPr="0006680D" w:rsidRDefault="00084711" w:rsidP="004D470D">
      <w:pPr>
        <w:rPr>
          <w:lang w:eastAsia="ja-JP"/>
        </w:rPr>
      </w:pPr>
      <w:r w:rsidRPr="0006680D">
        <w:rPr>
          <w:lang w:eastAsia="ja-JP"/>
        </w:rPr>
        <w:t xml:space="preserve">This comparison is probably acceptable for extrapolation to the Australian context for the group studied, </w:t>
      </w:r>
      <w:r w:rsidR="00673E24">
        <w:rPr>
          <w:lang w:eastAsia="ja-JP"/>
        </w:rPr>
        <w:t>that is,</w:t>
      </w:r>
      <w:r w:rsidRPr="0006680D">
        <w:rPr>
          <w:lang w:eastAsia="ja-JP"/>
        </w:rPr>
        <w:t xml:space="preserve"> adjuvant treatment of completely resected Stage IIIB/C and Stage IV melanoma, because  the risk profile of nivolumab is well characterised and oncology teams are familiar with strategies for managing the immune-related adverse reactions. In general the risks are known and therefore acceptable, provided the frequencies of clinically relevant </w:t>
      </w:r>
      <w:r w:rsidR="004D470D">
        <w:rPr>
          <w:lang w:eastAsia="ja-JP"/>
        </w:rPr>
        <w:t>adverse drug reactions (</w:t>
      </w:r>
      <w:r w:rsidRPr="0006680D">
        <w:rPr>
          <w:lang w:eastAsia="ja-JP"/>
        </w:rPr>
        <w:t>ADRs</w:t>
      </w:r>
      <w:r w:rsidR="004D470D">
        <w:rPr>
          <w:lang w:eastAsia="ja-JP"/>
        </w:rPr>
        <w:t>)</w:t>
      </w:r>
      <w:r w:rsidRPr="0006680D">
        <w:rPr>
          <w:lang w:eastAsia="ja-JP"/>
        </w:rPr>
        <w:t xml:space="preserve"> are adequately presented in the </w:t>
      </w:r>
      <w:r w:rsidR="004D470D">
        <w:rPr>
          <w:lang w:eastAsia="ja-JP"/>
        </w:rPr>
        <w:t>Australian PI</w:t>
      </w:r>
      <w:r>
        <w:rPr>
          <w:lang w:eastAsia="ja-JP"/>
        </w:rPr>
        <w:t>.</w:t>
      </w:r>
    </w:p>
    <w:p w14:paraId="241838C3" w14:textId="2514D22F" w:rsidR="00084711" w:rsidRPr="0006680D" w:rsidRDefault="00084711" w:rsidP="004D470D">
      <w:pPr>
        <w:rPr>
          <w:lang w:eastAsia="ja-JP"/>
        </w:rPr>
      </w:pPr>
      <w:r w:rsidRPr="0006680D">
        <w:rPr>
          <w:lang w:eastAsia="ja-JP"/>
        </w:rPr>
        <w:t xml:space="preserve">However, the extended indication requested is for adjuvant treatment of patients with completely resected Stage III or Stage IV melanoma, including those with completely resected Stage IIIA melanoma who were not included in </w:t>
      </w:r>
      <w:r w:rsidR="00934B0C">
        <w:rPr>
          <w:lang w:eastAsia="ja-JP"/>
        </w:rPr>
        <w:t>Study CA2</w:t>
      </w:r>
      <w:r w:rsidRPr="0006680D">
        <w:rPr>
          <w:lang w:eastAsia="ja-JP"/>
        </w:rPr>
        <w:t>09238.</w:t>
      </w:r>
    </w:p>
    <w:p w14:paraId="50464E35" w14:textId="2AD00913" w:rsidR="00084711" w:rsidRPr="0006680D" w:rsidRDefault="00084711" w:rsidP="004D470D">
      <w:pPr>
        <w:rPr>
          <w:lang w:eastAsia="ja-JP"/>
        </w:rPr>
      </w:pPr>
      <w:r w:rsidRPr="0006680D">
        <w:rPr>
          <w:rFonts w:asciiTheme="minorHAnsi" w:hAnsiTheme="minorHAnsi" w:cstheme="minorHAnsi"/>
        </w:rPr>
        <w:t>Adjuvant treatment for melanoma</w:t>
      </w:r>
      <w:r w:rsidRPr="0006680D">
        <w:rPr>
          <w:lang w:eastAsia="ja-JP"/>
        </w:rPr>
        <w:t xml:space="preserve"> is intended to prevent recurrence. The risk-benefit balance m</w:t>
      </w:r>
      <w:r>
        <w:rPr>
          <w:lang w:eastAsia="ja-JP"/>
        </w:rPr>
        <w:t xml:space="preserve">ight </w:t>
      </w:r>
      <w:r w:rsidRPr="0006680D">
        <w:rPr>
          <w:lang w:eastAsia="ja-JP"/>
        </w:rPr>
        <w:t>be less favourable for some in this group than for patients with advanced or metastatic melanoma, for whom nivolumab is already indicated.</w:t>
      </w:r>
    </w:p>
    <w:p w14:paraId="34331807" w14:textId="77777777" w:rsidR="00605AD4" w:rsidRPr="00605AD4" w:rsidRDefault="00084711" w:rsidP="004D470D">
      <w:r w:rsidRPr="0006680D">
        <w:rPr>
          <w:lang w:eastAsia="ja-JP"/>
        </w:rPr>
        <w:t>While earlier use seems rational in view of the improved RFS, in patients with lower risk of melanoma recurrence the risk/benefit balance for adjuvant treatment might only become clear with additional data collection.</w:t>
      </w:r>
    </w:p>
    <w:p w14:paraId="272D970A" w14:textId="77777777" w:rsidR="00605AD4" w:rsidRPr="00605AD4" w:rsidRDefault="00605AD4" w:rsidP="00605AD4">
      <w:pPr>
        <w:pStyle w:val="Heading3"/>
        <w:rPr>
          <w:rFonts w:eastAsia="Cambria"/>
        </w:rPr>
      </w:pPr>
      <w:bookmarkStart w:id="75" w:name="_Toc522802905"/>
      <w:r w:rsidRPr="00605AD4">
        <w:rPr>
          <w:rFonts w:eastAsia="Cambria"/>
        </w:rPr>
        <w:lastRenderedPageBreak/>
        <w:t xml:space="preserve">First </w:t>
      </w:r>
      <w:r w:rsidR="004D470D">
        <w:rPr>
          <w:rFonts w:eastAsia="Cambria"/>
        </w:rPr>
        <w:t>r</w:t>
      </w:r>
      <w:r w:rsidRPr="00605AD4">
        <w:rPr>
          <w:rFonts w:eastAsia="Cambria"/>
        </w:rPr>
        <w:t xml:space="preserve">ound </w:t>
      </w:r>
      <w:r w:rsidR="004D470D">
        <w:rPr>
          <w:rFonts w:eastAsia="Cambria"/>
        </w:rPr>
        <w:t>r</w:t>
      </w:r>
      <w:r w:rsidRPr="00605AD4">
        <w:rPr>
          <w:rFonts w:eastAsia="Cambria"/>
        </w:rPr>
        <w:t xml:space="preserve">ecommendation </w:t>
      </w:r>
      <w:r w:rsidR="004D470D">
        <w:rPr>
          <w:rFonts w:eastAsia="Cambria"/>
        </w:rPr>
        <w:t>r</w:t>
      </w:r>
      <w:r w:rsidRPr="00605AD4">
        <w:rPr>
          <w:rFonts w:eastAsia="Cambria"/>
        </w:rPr>
        <w:t xml:space="preserve">egarding </w:t>
      </w:r>
      <w:r w:rsidR="004D470D">
        <w:rPr>
          <w:rFonts w:eastAsia="Cambria"/>
        </w:rPr>
        <w:t>a</w:t>
      </w:r>
      <w:r w:rsidRPr="00605AD4">
        <w:rPr>
          <w:rFonts w:eastAsia="Cambria"/>
        </w:rPr>
        <w:t>uthorisation</w:t>
      </w:r>
      <w:bookmarkEnd w:id="75"/>
    </w:p>
    <w:p w14:paraId="1B0833F3" w14:textId="77777777" w:rsidR="00084711" w:rsidRPr="0006680D" w:rsidRDefault="00084711" w:rsidP="00084711">
      <w:pPr>
        <w:rPr>
          <w:lang w:eastAsia="ja-JP"/>
        </w:rPr>
      </w:pPr>
      <w:r w:rsidRPr="0006680D">
        <w:rPr>
          <w:lang w:eastAsia="ja-JP"/>
        </w:rPr>
        <w:t>At this time the evaluator considers that recommendation for authorisation is reasonable for the extension of indication to the patient group with completely resected Stage IIIB/C and Stage IV melanoma, provided the limitations of the available data are made clear.</w:t>
      </w:r>
    </w:p>
    <w:p w14:paraId="24BDB889" w14:textId="77777777" w:rsidR="00084711" w:rsidRDefault="00084711" w:rsidP="00084711">
      <w:pPr>
        <w:rPr>
          <w:lang w:eastAsia="ja-JP"/>
        </w:rPr>
      </w:pPr>
      <w:r w:rsidRPr="0006680D">
        <w:rPr>
          <w:lang w:eastAsia="ja-JP"/>
        </w:rPr>
        <w:t xml:space="preserve">In particular the presentation of new data in the PI should state the period of follow-up, the current lack of OS outcomes and a conservative presentation of the frequencies and severity of the immune-related ADRs reported in the interim CSR for </w:t>
      </w:r>
      <w:r w:rsidR="00934B0C">
        <w:rPr>
          <w:lang w:eastAsia="ja-JP"/>
        </w:rPr>
        <w:t>Study CA2</w:t>
      </w:r>
      <w:r w:rsidRPr="0006680D">
        <w:rPr>
          <w:lang w:eastAsia="ja-JP"/>
        </w:rPr>
        <w:t>09238 as well as noting that the study is ongoing.</w:t>
      </w:r>
    </w:p>
    <w:p w14:paraId="1D5D2FA5" w14:textId="3A682F30" w:rsidR="00605AD4" w:rsidRPr="00605AD4" w:rsidRDefault="00605AD4" w:rsidP="00605AD4">
      <w:pPr>
        <w:pStyle w:val="Heading3"/>
        <w:rPr>
          <w:rFonts w:eastAsia="Cambria"/>
        </w:rPr>
      </w:pPr>
      <w:bookmarkStart w:id="76" w:name="_Toc522802906"/>
      <w:r w:rsidRPr="00605AD4">
        <w:rPr>
          <w:rFonts w:eastAsia="Cambria"/>
        </w:rPr>
        <w:t xml:space="preserve">Second </w:t>
      </w:r>
      <w:r w:rsidR="00125515" w:rsidRPr="00605AD4">
        <w:rPr>
          <w:rFonts w:eastAsia="Cambria"/>
        </w:rPr>
        <w:t>round evaluation</w:t>
      </w:r>
      <w:bookmarkEnd w:id="76"/>
    </w:p>
    <w:p w14:paraId="1AF9988C" w14:textId="77777777" w:rsidR="006136D7" w:rsidRPr="00605AD4" w:rsidRDefault="00500337" w:rsidP="006136D7">
      <w:r w:rsidRPr="00500337">
        <w:t>For details of the second round evaluation including the issues raised by the evaluator (Clinical questions), the sponsor’s responses and the evaluation of these responses please see Attachment 2.</w:t>
      </w:r>
    </w:p>
    <w:p w14:paraId="745DF0E6" w14:textId="131118CC" w:rsidR="00605AD4" w:rsidRPr="00605AD4" w:rsidRDefault="00605AD4" w:rsidP="00546154">
      <w:pPr>
        <w:pStyle w:val="Heading3"/>
        <w:rPr>
          <w:rFonts w:eastAsia="Cambria"/>
        </w:rPr>
      </w:pPr>
      <w:bookmarkStart w:id="77" w:name="_Toc522802907"/>
      <w:r w:rsidRPr="00605AD4">
        <w:rPr>
          <w:rFonts w:eastAsia="Cambria"/>
        </w:rPr>
        <w:t xml:space="preserve">Second </w:t>
      </w:r>
      <w:r w:rsidR="00125515" w:rsidRPr="00605AD4">
        <w:rPr>
          <w:rFonts w:eastAsia="Cambria"/>
        </w:rPr>
        <w:t>round benefit-risk assessment</w:t>
      </w:r>
      <w:bookmarkEnd w:id="77"/>
    </w:p>
    <w:p w14:paraId="52EF90AE" w14:textId="77777777" w:rsidR="00EC68E7" w:rsidRPr="0090433D" w:rsidRDefault="00EC68E7" w:rsidP="00EC68E7">
      <w:pPr>
        <w:rPr>
          <w:lang w:eastAsia="ja-JP"/>
        </w:rPr>
      </w:pPr>
      <w:r w:rsidRPr="0090433D">
        <w:rPr>
          <w:lang w:eastAsia="ja-JP"/>
        </w:rPr>
        <w:t xml:space="preserve">The answers were satisfactory and confirmed that the evaluator had interpreted the data as per </w:t>
      </w:r>
      <w:r w:rsidR="004D470D">
        <w:rPr>
          <w:lang w:eastAsia="ja-JP"/>
        </w:rPr>
        <w:t>the s</w:t>
      </w:r>
      <w:r w:rsidRPr="0090433D">
        <w:rPr>
          <w:lang w:eastAsia="ja-JP"/>
        </w:rPr>
        <w:t>ponsor</w:t>
      </w:r>
      <w:r w:rsidR="004D470D">
        <w:rPr>
          <w:lang w:eastAsia="ja-JP"/>
        </w:rPr>
        <w:t>’s</w:t>
      </w:r>
      <w:r w:rsidRPr="0090433D">
        <w:rPr>
          <w:lang w:eastAsia="ja-JP"/>
        </w:rPr>
        <w:t xml:space="preserve"> intention.</w:t>
      </w:r>
    </w:p>
    <w:p w14:paraId="4B8E370E" w14:textId="77777777" w:rsidR="00EC68E7" w:rsidRPr="0090433D" w:rsidRDefault="00EC68E7" w:rsidP="00EC68E7">
      <w:pPr>
        <w:rPr>
          <w:lang w:eastAsia="ja-JP"/>
        </w:rPr>
      </w:pPr>
      <w:r w:rsidRPr="0090433D">
        <w:rPr>
          <w:lang w:eastAsia="ja-JP"/>
        </w:rPr>
        <w:t xml:space="preserve">In particular, </w:t>
      </w:r>
    </w:p>
    <w:p w14:paraId="29E2F7BE" w14:textId="77777777" w:rsidR="00EC68E7" w:rsidRPr="0090433D" w:rsidRDefault="00EC68E7" w:rsidP="00EC68E7">
      <w:pPr>
        <w:pStyle w:val="ListBullet"/>
        <w:rPr>
          <w:lang w:eastAsia="ja-JP"/>
        </w:rPr>
      </w:pPr>
      <w:r w:rsidRPr="0090433D">
        <w:rPr>
          <w:lang w:eastAsia="ja-JP"/>
        </w:rPr>
        <w:t>The small numbers of subjects who were who randomised in spite of failing inclusion/exclusion criteria were not considered likely to have changes the outcome. This was accepted.</w:t>
      </w:r>
    </w:p>
    <w:p w14:paraId="0346FDD5" w14:textId="77777777" w:rsidR="00EC68E7" w:rsidRPr="0090433D" w:rsidRDefault="00EC68E7" w:rsidP="00EC68E7">
      <w:pPr>
        <w:pStyle w:val="ListBullet"/>
        <w:rPr>
          <w:lang w:eastAsia="ja-JP"/>
        </w:rPr>
      </w:pPr>
      <w:r w:rsidRPr="0090433D">
        <w:rPr>
          <w:lang w:eastAsia="ja-JP"/>
        </w:rPr>
        <w:t xml:space="preserve">The </w:t>
      </w:r>
      <w:r w:rsidRPr="0090433D">
        <w:t>minimum follow-up for subjects in CA209238 was 17.5 months.</w:t>
      </w:r>
    </w:p>
    <w:p w14:paraId="558484A2" w14:textId="77777777" w:rsidR="008E7846" w:rsidRPr="00E41208" w:rsidRDefault="008E7846" w:rsidP="00546154">
      <w:pPr>
        <w:pStyle w:val="Heading2"/>
      </w:pPr>
      <w:bookmarkStart w:id="78" w:name="_Toc522802908"/>
      <w:r w:rsidRPr="00E41208">
        <w:t>V</w:t>
      </w:r>
      <w:r w:rsidR="00500337">
        <w:t>I</w:t>
      </w:r>
      <w:r w:rsidRPr="00E41208">
        <w:t xml:space="preserve">. Pharmacovigilance </w:t>
      </w:r>
      <w:r>
        <w:t>f</w:t>
      </w:r>
      <w:r w:rsidRPr="00E41208">
        <w:t>indings</w:t>
      </w:r>
      <w:bookmarkEnd w:id="69"/>
      <w:bookmarkEnd w:id="70"/>
      <w:bookmarkEnd w:id="78"/>
    </w:p>
    <w:p w14:paraId="57E113CB" w14:textId="77777777" w:rsidR="008E7846" w:rsidRDefault="00386150" w:rsidP="008E7846">
      <w:pPr>
        <w:pStyle w:val="Heading3"/>
        <w:rPr>
          <w:lang w:eastAsia="en-AU"/>
        </w:rPr>
      </w:pPr>
      <w:bookmarkStart w:id="79" w:name="_Toc247691526"/>
      <w:bookmarkStart w:id="80" w:name="_Toc314842509"/>
      <w:bookmarkStart w:id="81" w:name="_Toc522802909"/>
      <w:r>
        <w:rPr>
          <w:lang w:eastAsia="en-AU"/>
        </w:rPr>
        <w:t>Risk m</w:t>
      </w:r>
      <w:r w:rsidR="008E7846">
        <w:rPr>
          <w:lang w:eastAsia="en-AU"/>
        </w:rPr>
        <w:t xml:space="preserve">anagement </w:t>
      </w:r>
      <w:r>
        <w:rPr>
          <w:lang w:eastAsia="en-AU"/>
        </w:rPr>
        <w:t>p</w:t>
      </w:r>
      <w:r w:rsidR="008E7846">
        <w:rPr>
          <w:lang w:eastAsia="en-AU"/>
        </w:rPr>
        <w:t>lan</w:t>
      </w:r>
      <w:bookmarkEnd w:id="79"/>
      <w:bookmarkEnd w:id="80"/>
      <w:bookmarkEnd w:id="81"/>
    </w:p>
    <w:p w14:paraId="70C13486" w14:textId="09F8F9FE" w:rsidR="001C6796" w:rsidRDefault="001C6796" w:rsidP="001C6796">
      <w:pPr>
        <w:pStyle w:val="ListBullet"/>
      </w:pPr>
      <w:bookmarkStart w:id="82" w:name="_Toc247691527"/>
      <w:bookmarkStart w:id="83" w:name="_Toc314842510"/>
      <w:r>
        <w:t xml:space="preserve">The most recently evaluated EU-RMP was version 6.2 (dated 27 January 2017; </w:t>
      </w:r>
      <w:r w:rsidR="004D470D">
        <w:t>data lock point (</w:t>
      </w:r>
      <w:r>
        <w:t>DLP</w:t>
      </w:r>
      <w:r w:rsidR="004D470D">
        <w:t>)</w:t>
      </w:r>
      <w:r>
        <w:t xml:space="preserve"> 26 May 2016) and </w:t>
      </w:r>
      <w:r w:rsidR="004D470D">
        <w:t>Australian Specific Annex (</w:t>
      </w:r>
      <w:r>
        <w:t>ASA</w:t>
      </w:r>
      <w:r w:rsidR="004D470D">
        <w:t>)</w:t>
      </w:r>
      <w:r>
        <w:t xml:space="preserve"> version 8.0 (dated 17 March 2017). In support of the extended indic</w:t>
      </w:r>
      <w:r w:rsidR="004D470D">
        <w:t>ations, the s</w:t>
      </w:r>
      <w:r>
        <w:t>ponsor has submitted EU-RMP version 12.0 (dated 20 September 2017; DLP 3 July 2017) and ASA version 10.0 (dated 2 October 2017).</w:t>
      </w:r>
    </w:p>
    <w:p w14:paraId="3F08FA75" w14:textId="77777777" w:rsidR="001C6796" w:rsidRDefault="001C6796" w:rsidP="001C6796">
      <w:pPr>
        <w:pStyle w:val="ListBullet"/>
      </w:pPr>
      <w:r>
        <w:t>The proposed Summary of Safety Concerns and their associated risk monitoring and mitigation strategies are summarised below</w:t>
      </w:r>
      <w:r w:rsidR="004D470D">
        <w:t xml:space="preserve"> in Table 6.</w:t>
      </w:r>
    </w:p>
    <w:p w14:paraId="567D250E" w14:textId="77777777" w:rsidR="001C6796" w:rsidRDefault="001C6796" w:rsidP="00731EA8">
      <w:pPr>
        <w:pStyle w:val="TableTitle"/>
      </w:pPr>
      <w:r>
        <w:t> </w:t>
      </w:r>
      <w:r w:rsidR="00731EA8">
        <w:t xml:space="preserve">Table </w:t>
      </w:r>
      <w:r w:rsidR="004D470D">
        <w:t>6</w:t>
      </w:r>
      <w:r w:rsidR="00731EA8">
        <w:t>: Sponsor’s summary of ongoing safety concerns</w:t>
      </w:r>
    </w:p>
    <w:tbl>
      <w:tblPr>
        <w:tblStyle w:val="TableTGAblue"/>
        <w:tblW w:w="9196" w:type="dxa"/>
        <w:tblLayout w:type="fixed"/>
        <w:tblLook w:val="04A0" w:firstRow="1" w:lastRow="0" w:firstColumn="1" w:lastColumn="0" w:noHBand="0" w:noVBand="1"/>
      </w:tblPr>
      <w:tblGrid>
        <w:gridCol w:w="1668"/>
        <w:gridCol w:w="3118"/>
        <w:gridCol w:w="1170"/>
        <w:gridCol w:w="1098"/>
        <w:gridCol w:w="1062"/>
        <w:gridCol w:w="1080"/>
      </w:tblGrid>
      <w:tr w:rsidR="00731EA8" w:rsidRPr="00125515" w14:paraId="4B6FD344" w14:textId="77777777" w:rsidTr="00125515">
        <w:trPr>
          <w:cnfStyle w:val="100000000000" w:firstRow="1" w:lastRow="0" w:firstColumn="0" w:lastColumn="0" w:oddVBand="0" w:evenVBand="0" w:oddHBand="0" w:evenHBand="0" w:firstRowFirstColumn="0" w:firstRowLastColumn="0" w:lastRowFirstColumn="0" w:lastRowLastColumn="0"/>
          <w:cantSplit/>
          <w:trHeight w:val="131"/>
        </w:trPr>
        <w:tc>
          <w:tcPr>
            <w:tcW w:w="4786" w:type="dxa"/>
            <w:gridSpan w:val="2"/>
            <w:vMerge w:val="restart"/>
          </w:tcPr>
          <w:p w14:paraId="1A038007" w14:textId="77777777" w:rsidR="001C6796" w:rsidRPr="00125515" w:rsidRDefault="001C6796" w:rsidP="00125515">
            <w:pPr>
              <w:rPr>
                <w:b w:val="0"/>
                <w:sz w:val="19"/>
                <w:szCs w:val="19"/>
              </w:rPr>
            </w:pPr>
            <w:r w:rsidRPr="00125515">
              <w:rPr>
                <w:sz w:val="19"/>
                <w:szCs w:val="19"/>
              </w:rPr>
              <w:t>Summary of safety concerns</w:t>
            </w:r>
          </w:p>
        </w:tc>
        <w:tc>
          <w:tcPr>
            <w:tcW w:w="2268" w:type="dxa"/>
            <w:gridSpan w:val="2"/>
          </w:tcPr>
          <w:p w14:paraId="13533C46" w14:textId="77777777" w:rsidR="001C6796" w:rsidRPr="00125515" w:rsidRDefault="001C6796" w:rsidP="00125515">
            <w:pPr>
              <w:rPr>
                <w:b w:val="0"/>
                <w:sz w:val="19"/>
                <w:szCs w:val="19"/>
              </w:rPr>
            </w:pPr>
            <w:r w:rsidRPr="00125515">
              <w:rPr>
                <w:sz w:val="19"/>
                <w:szCs w:val="19"/>
              </w:rPr>
              <w:t>Pharmacovigilance</w:t>
            </w:r>
          </w:p>
        </w:tc>
        <w:tc>
          <w:tcPr>
            <w:tcW w:w="2142" w:type="dxa"/>
            <w:gridSpan w:val="2"/>
          </w:tcPr>
          <w:p w14:paraId="7B3C17F4" w14:textId="77777777" w:rsidR="001C6796" w:rsidRPr="00125515" w:rsidRDefault="001C6796" w:rsidP="00125515">
            <w:pPr>
              <w:rPr>
                <w:b w:val="0"/>
                <w:sz w:val="19"/>
                <w:szCs w:val="19"/>
              </w:rPr>
            </w:pPr>
            <w:r w:rsidRPr="00125515">
              <w:rPr>
                <w:sz w:val="19"/>
                <w:szCs w:val="19"/>
              </w:rPr>
              <w:t>Risk Minimisation</w:t>
            </w:r>
          </w:p>
        </w:tc>
      </w:tr>
      <w:tr w:rsidR="00713D88" w:rsidRPr="00125515" w14:paraId="3668A0A9" w14:textId="77777777" w:rsidTr="00125515">
        <w:trPr>
          <w:cnfStyle w:val="100000000000" w:firstRow="1" w:lastRow="0" w:firstColumn="0" w:lastColumn="0" w:oddVBand="0" w:evenVBand="0" w:oddHBand="0" w:evenHBand="0" w:firstRowFirstColumn="0" w:firstRowLastColumn="0" w:lastRowFirstColumn="0" w:lastRowLastColumn="0"/>
          <w:cantSplit/>
          <w:trHeight w:val="150"/>
        </w:trPr>
        <w:tc>
          <w:tcPr>
            <w:tcW w:w="4786" w:type="dxa"/>
            <w:gridSpan w:val="2"/>
            <w:vMerge/>
          </w:tcPr>
          <w:p w14:paraId="1C08B9A3" w14:textId="77777777" w:rsidR="001C6796" w:rsidRPr="00125515" w:rsidRDefault="001C6796" w:rsidP="00125515">
            <w:pPr>
              <w:rPr>
                <w:b w:val="0"/>
                <w:sz w:val="19"/>
                <w:szCs w:val="19"/>
              </w:rPr>
            </w:pPr>
          </w:p>
        </w:tc>
        <w:tc>
          <w:tcPr>
            <w:tcW w:w="1170" w:type="dxa"/>
          </w:tcPr>
          <w:p w14:paraId="15C66534" w14:textId="77777777" w:rsidR="001C6796" w:rsidRPr="00125515" w:rsidRDefault="001C6796" w:rsidP="00125515">
            <w:pPr>
              <w:rPr>
                <w:sz w:val="19"/>
                <w:szCs w:val="19"/>
              </w:rPr>
            </w:pPr>
            <w:r w:rsidRPr="00125515">
              <w:rPr>
                <w:sz w:val="19"/>
                <w:szCs w:val="19"/>
              </w:rPr>
              <w:t>R</w:t>
            </w:r>
          </w:p>
        </w:tc>
        <w:tc>
          <w:tcPr>
            <w:tcW w:w="1098" w:type="dxa"/>
          </w:tcPr>
          <w:p w14:paraId="77253E33" w14:textId="77777777" w:rsidR="001C6796" w:rsidRPr="00125515" w:rsidRDefault="001C6796" w:rsidP="00125515">
            <w:pPr>
              <w:rPr>
                <w:sz w:val="19"/>
                <w:szCs w:val="19"/>
              </w:rPr>
            </w:pPr>
            <w:r w:rsidRPr="00125515">
              <w:rPr>
                <w:sz w:val="19"/>
                <w:szCs w:val="19"/>
              </w:rPr>
              <w:t>A</w:t>
            </w:r>
          </w:p>
        </w:tc>
        <w:tc>
          <w:tcPr>
            <w:tcW w:w="1062" w:type="dxa"/>
          </w:tcPr>
          <w:p w14:paraId="6AD02136" w14:textId="77777777" w:rsidR="001C6796" w:rsidRPr="00125515" w:rsidRDefault="001C6796" w:rsidP="00125515">
            <w:pPr>
              <w:rPr>
                <w:sz w:val="19"/>
                <w:szCs w:val="19"/>
              </w:rPr>
            </w:pPr>
            <w:r w:rsidRPr="00125515">
              <w:rPr>
                <w:sz w:val="19"/>
                <w:szCs w:val="19"/>
              </w:rPr>
              <w:t>R</w:t>
            </w:r>
          </w:p>
        </w:tc>
        <w:tc>
          <w:tcPr>
            <w:tcW w:w="1080" w:type="dxa"/>
          </w:tcPr>
          <w:p w14:paraId="4D970A08" w14:textId="77777777" w:rsidR="001C6796" w:rsidRPr="00125515" w:rsidRDefault="001C6796" w:rsidP="00125515">
            <w:pPr>
              <w:rPr>
                <w:sz w:val="19"/>
                <w:szCs w:val="19"/>
              </w:rPr>
            </w:pPr>
            <w:r w:rsidRPr="00125515">
              <w:rPr>
                <w:sz w:val="19"/>
                <w:szCs w:val="19"/>
              </w:rPr>
              <w:t>A</w:t>
            </w:r>
          </w:p>
        </w:tc>
      </w:tr>
      <w:tr w:rsidR="00713D88" w:rsidRPr="00125515" w14:paraId="75763645" w14:textId="77777777" w:rsidTr="00CA702F">
        <w:trPr>
          <w:trHeight w:val="137"/>
        </w:trPr>
        <w:tc>
          <w:tcPr>
            <w:tcW w:w="1668" w:type="dxa"/>
            <w:vMerge w:val="restart"/>
          </w:tcPr>
          <w:p w14:paraId="66E83F5F" w14:textId="77777777" w:rsidR="001C6796" w:rsidRPr="00125515" w:rsidRDefault="001C6796" w:rsidP="00125515">
            <w:pPr>
              <w:rPr>
                <w:sz w:val="19"/>
                <w:szCs w:val="19"/>
              </w:rPr>
            </w:pPr>
            <w:r w:rsidRPr="00125515">
              <w:rPr>
                <w:sz w:val="19"/>
                <w:szCs w:val="19"/>
              </w:rPr>
              <w:t>Important identified risks</w:t>
            </w:r>
          </w:p>
        </w:tc>
        <w:tc>
          <w:tcPr>
            <w:tcW w:w="3118" w:type="dxa"/>
          </w:tcPr>
          <w:p w14:paraId="76D40064" w14:textId="77777777" w:rsidR="001C6796" w:rsidRPr="00125515" w:rsidRDefault="001C6796" w:rsidP="00125515">
            <w:pPr>
              <w:rPr>
                <w:sz w:val="19"/>
                <w:szCs w:val="19"/>
              </w:rPr>
            </w:pPr>
            <w:r w:rsidRPr="00125515">
              <w:rPr>
                <w:sz w:val="19"/>
                <w:szCs w:val="19"/>
              </w:rPr>
              <w:t>Immune-related pneumonitis</w:t>
            </w:r>
          </w:p>
        </w:tc>
        <w:tc>
          <w:tcPr>
            <w:tcW w:w="1170" w:type="dxa"/>
          </w:tcPr>
          <w:p w14:paraId="3E1FF736" w14:textId="77777777" w:rsidR="001C6796" w:rsidRPr="00125515" w:rsidRDefault="001C6796" w:rsidP="00125515">
            <w:pPr>
              <w:rPr>
                <w:sz w:val="19"/>
                <w:szCs w:val="19"/>
              </w:rPr>
            </w:pPr>
            <w:r w:rsidRPr="00125515">
              <w:rPr>
                <w:sz w:val="19"/>
                <w:szCs w:val="19"/>
              </w:rPr>
              <w:sym w:font="Wingdings" w:char="F0FC"/>
            </w:r>
          </w:p>
        </w:tc>
        <w:tc>
          <w:tcPr>
            <w:tcW w:w="1098" w:type="dxa"/>
          </w:tcPr>
          <w:p w14:paraId="6B5BA842" w14:textId="77777777" w:rsidR="001C6796" w:rsidRPr="00125515" w:rsidRDefault="001C6796" w:rsidP="00125515">
            <w:pPr>
              <w:rPr>
                <w:sz w:val="19"/>
                <w:szCs w:val="19"/>
              </w:rPr>
            </w:pPr>
            <w:r w:rsidRPr="00125515">
              <w:rPr>
                <w:sz w:val="19"/>
                <w:szCs w:val="19"/>
              </w:rPr>
              <w:sym w:font="Wingdings" w:char="F0FC"/>
            </w:r>
          </w:p>
        </w:tc>
        <w:tc>
          <w:tcPr>
            <w:tcW w:w="1062" w:type="dxa"/>
          </w:tcPr>
          <w:p w14:paraId="3652DD6B" w14:textId="77777777" w:rsidR="001C6796" w:rsidRPr="00125515" w:rsidRDefault="001C6796" w:rsidP="00125515">
            <w:pPr>
              <w:rPr>
                <w:sz w:val="19"/>
                <w:szCs w:val="19"/>
              </w:rPr>
            </w:pPr>
            <w:r w:rsidRPr="00125515">
              <w:rPr>
                <w:sz w:val="19"/>
                <w:szCs w:val="19"/>
              </w:rPr>
              <w:sym w:font="Wingdings" w:char="F0FC"/>
            </w:r>
          </w:p>
        </w:tc>
        <w:tc>
          <w:tcPr>
            <w:tcW w:w="1080" w:type="dxa"/>
          </w:tcPr>
          <w:p w14:paraId="24052C03" w14:textId="77777777" w:rsidR="001C6796" w:rsidRPr="00125515" w:rsidRDefault="001C6796" w:rsidP="00125515">
            <w:pPr>
              <w:rPr>
                <w:sz w:val="19"/>
                <w:szCs w:val="19"/>
              </w:rPr>
            </w:pPr>
            <w:r w:rsidRPr="00125515">
              <w:rPr>
                <w:sz w:val="19"/>
                <w:szCs w:val="19"/>
              </w:rPr>
              <w:sym w:font="Wingdings" w:char="F0FC"/>
            </w:r>
          </w:p>
        </w:tc>
      </w:tr>
      <w:tr w:rsidR="00713D88" w:rsidRPr="00125515" w14:paraId="58526BB9" w14:textId="77777777" w:rsidTr="00CA702F">
        <w:trPr>
          <w:trHeight w:val="94"/>
        </w:trPr>
        <w:tc>
          <w:tcPr>
            <w:tcW w:w="1668" w:type="dxa"/>
            <w:vMerge/>
          </w:tcPr>
          <w:p w14:paraId="530CE456" w14:textId="77777777" w:rsidR="001C6796" w:rsidRPr="00125515" w:rsidRDefault="001C6796" w:rsidP="00125515">
            <w:pPr>
              <w:rPr>
                <w:sz w:val="19"/>
                <w:szCs w:val="19"/>
              </w:rPr>
            </w:pPr>
          </w:p>
        </w:tc>
        <w:tc>
          <w:tcPr>
            <w:tcW w:w="3118" w:type="dxa"/>
          </w:tcPr>
          <w:p w14:paraId="30A0870B" w14:textId="77777777" w:rsidR="001C6796" w:rsidRPr="00125515" w:rsidRDefault="001C6796" w:rsidP="00125515">
            <w:pPr>
              <w:rPr>
                <w:sz w:val="19"/>
                <w:szCs w:val="19"/>
              </w:rPr>
            </w:pPr>
            <w:r w:rsidRPr="00125515">
              <w:rPr>
                <w:sz w:val="19"/>
                <w:szCs w:val="19"/>
              </w:rPr>
              <w:t>Immune-related colitis</w:t>
            </w:r>
          </w:p>
        </w:tc>
        <w:tc>
          <w:tcPr>
            <w:tcW w:w="1170" w:type="dxa"/>
          </w:tcPr>
          <w:p w14:paraId="196975A2" w14:textId="77777777" w:rsidR="001C6796" w:rsidRPr="00125515" w:rsidRDefault="001C6796" w:rsidP="00125515">
            <w:pPr>
              <w:rPr>
                <w:sz w:val="19"/>
                <w:szCs w:val="19"/>
              </w:rPr>
            </w:pPr>
            <w:r w:rsidRPr="00125515">
              <w:rPr>
                <w:sz w:val="19"/>
                <w:szCs w:val="19"/>
              </w:rPr>
              <w:sym w:font="Wingdings" w:char="F0FC"/>
            </w:r>
          </w:p>
        </w:tc>
        <w:tc>
          <w:tcPr>
            <w:tcW w:w="1098" w:type="dxa"/>
          </w:tcPr>
          <w:p w14:paraId="7DD28A03" w14:textId="77777777" w:rsidR="001C6796" w:rsidRPr="00125515" w:rsidRDefault="001C6796" w:rsidP="00125515">
            <w:pPr>
              <w:rPr>
                <w:sz w:val="19"/>
                <w:szCs w:val="19"/>
              </w:rPr>
            </w:pPr>
            <w:r w:rsidRPr="00125515">
              <w:rPr>
                <w:sz w:val="19"/>
                <w:szCs w:val="19"/>
              </w:rPr>
              <w:sym w:font="Wingdings" w:char="F0FC"/>
            </w:r>
          </w:p>
        </w:tc>
        <w:tc>
          <w:tcPr>
            <w:tcW w:w="1062" w:type="dxa"/>
          </w:tcPr>
          <w:p w14:paraId="11057DD8" w14:textId="77777777" w:rsidR="001C6796" w:rsidRPr="00125515" w:rsidRDefault="001C6796" w:rsidP="00125515">
            <w:pPr>
              <w:rPr>
                <w:sz w:val="19"/>
                <w:szCs w:val="19"/>
              </w:rPr>
            </w:pPr>
            <w:r w:rsidRPr="00125515">
              <w:rPr>
                <w:sz w:val="19"/>
                <w:szCs w:val="19"/>
              </w:rPr>
              <w:sym w:font="Wingdings" w:char="F0FC"/>
            </w:r>
          </w:p>
        </w:tc>
        <w:tc>
          <w:tcPr>
            <w:tcW w:w="1080" w:type="dxa"/>
          </w:tcPr>
          <w:p w14:paraId="1AB9788D" w14:textId="77777777" w:rsidR="001C6796" w:rsidRPr="00125515" w:rsidRDefault="001C6796" w:rsidP="00125515">
            <w:pPr>
              <w:rPr>
                <w:sz w:val="19"/>
                <w:szCs w:val="19"/>
              </w:rPr>
            </w:pPr>
            <w:r w:rsidRPr="00125515">
              <w:rPr>
                <w:sz w:val="19"/>
                <w:szCs w:val="19"/>
              </w:rPr>
              <w:sym w:font="Wingdings" w:char="F0FC"/>
            </w:r>
          </w:p>
        </w:tc>
      </w:tr>
      <w:tr w:rsidR="00713D88" w:rsidRPr="00125515" w14:paraId="3CF28D17" w14:textId="77777777" w:rsidTr="00CA702F">
        <w:trPr>
          <w:trHeight w:val="187"/>
        </w:trPr>
        <w:tc>
          <w:tcPr>
            <w:tcW w:w="1668" w:type="dxa"/>
            <w:vMerge/>
          </w:tcPr>
          <w:p w14:paraId="6CFB8261" w14:textId="77777777" w:rsidR="001C6796" w:rsidRPr="00125515" w:rsidRDefault="001C6796" w:rsidP="00125515">
            <w:pPr>
              <w:rPr>
                <w:sz w:val="19"/>
                <w:szCs w:val="19"/>
              </w:rPr>
            </w:pPr>
          </w:p>
        </w:tc>
        <w:tc>
          <w:tcPr>
            <w:tcW w:w="3118" w:type="dxa"/>
          </w:tcPr>
          <w:p w14:paraId="07C5ABD8" w14:textId="77777777" w:rsidR="001C6796" w:rsidRPr="00125515" w:rsidRDefault="001C6796" w:rsidP="00125515">
            <w:pPr>
              <w:rPr>
                <w:sz w:val="19"/>
                <w:szCs w:val="19"/>
              </w:rPr>
            </w:pPr>
            <w:r w:rsidRPr="00125515">
              <w:rPr>
                <w:sz w:val="19"/>
                <w:szCs w:val="19"/>
              </w:rPr>
              <w:t>Immune-related hepatitis</w:t>
            </w:r>
          </w:p>
        </w:tc>
        <w:tc>
          <w:tcPr>
            <w:tcW w:w="1170" w:type="dxa"/>
          </w:tcPr>
          <w:p w14:paraId="455E2076" w14:textId="77777777" w:rsidR="001C6796" w:rsidRPr="00125515" w:rsidRDefault="001C6796" w:rsidP="00125515">
            <w:pPr>
              <w:rPr>
                <w:sz w:val="19"/>
                <w:szCs w:val="19"/>
              </w:rPr>
            </w:pPr>
            <w:r w:rsidRPr="00125515">
              <w:rPr>
                <w:sz w:val="19"/>
                <w:szCs w:val="19"/>
              </w:rPr>
              <w:sym w:font="Wingdings" w:char="F0FC"/>
            </w:r>
          </w:p>
        </w:tc>
        <w:tc>
          <w:tcPr>
            <w:tcW w:w="1098" w:type="dxa"/>
          </w:tcPr>
          <w:p w14:paraId="4710220A" w14:textId="77777777" w:rsidR="001C6796" w:rsidRPr="00125515" w:rsidRDefault="001C6796" w:rsidP="00125515">
            <w:pPr>
              <w:rPr>
                <w:sz w:val="19"/>
                <w:szCs w:val="19"/>
              </w:rPr>
            </w:pPr>
            <w:r w:rsidRPr="00125515">
              <w:rPr>
                <w:sz w:val="19"/>
                <w:szCs w:val="19"/>
              </w:rPr>
              <w:sym w:font="Wingdings" w:char="F0FC"/>
            </w:r>
          </w:p>
        </w:tc>
        <w:tc>
          <w:tcPr>
            <w:tcW w:w="1062" w:type="dxa"/>
          </w:tcPr>
          <w:p w14:paraId="50F6A4EF" w14:textId="77777777" w:rsidR="001C6796" w:rsidRPr="00125515" w:rsidRDefault="001C6796" w:rsidP="00125515">
            <w:pPr>
              <w:rPr>
                <w:sz w:val="19"/>
                <w:szCs w:val="19"/>
              </w:rPr>
            </w:pPr>
            <w:r w:rsidRPr="00125515">
              <w:rPr>
                <w:sz w:val="19"/>
                <w:szCs w:val="19"/>
              </w:rPr>
              <w:sym w:font="Wingdings" w:char="F0FC"/>
            </w:r>
          </w:p>
        </w:tc>
        <w:tc>
          <w:tcPr>
            <w:tcW w:w="1080" w:type="dxa"/>
          </w:tcPr>
          <w:p w14:paraId="212253B8" w14:textId="77777777" w:rsidR="001C6796" w:rsidRPr="00125515" w:rsidRDefault="001C6796" w:rsidP="00125515">
            <w:pPr>
              <w:rPr>
                <w:sz w:val="19"/>
                <w:szCs w:val="19"/>
              </w:rPr>
            </w:pPr>
            <w:r w:rsidRPr="00125515">
              <w:rPr>
                <w:sz w:val="19"/>
                <w:szCs w:val="19"/>
              </w:rPr>
              <w:sym w:font="Wingdings" w:char="F0FC"/>
            </w:r>
          </w:p>
        </w:tc>
      </w:tr>
      <w:tr w:rsidR="00713D88" w:rsidRPr="00125515" w14:paraId="4685DA87" w14:textId="77777777" w:rsidTr="00CA702F">
        <w:trPr>
          <w:trHeight w:val="187"/>
        </w:trPr>
        <w:tc>
          <w:tcPr>
            <w:tcW w:w="1668" w:type="dxa"/>
            <w:vMerge/>
          </w:tcPr>
          <w:p w14:paraId="401B7DA1" w14:textId="77777777" w:rsidR="001C6796" w:rsidRPr="00125515" w:rsidRDefault="001C6796" w:rsidP="00125515">
            <w:pPr>
              <w:rPr>
                <w:sz w:val="19"/>
                <w:szCs w:val="19"/>
              </w:rPr>
            </w:pPr>
          </w:p>
        </w:tc>
        <w:tc>
          <w:tcPr>
            <w:tcW w:w="3118" w:type="dxa"/>
          </w:tcPr>
          <w:p w14:paraId="79AF4DE5" w14:textId="77777777" w:rsidR="001C6796" w:rsidRPr="00125515" w:rsidRDefault="001C6796" w:rsidP="00125515">
            <w:pPr>
              <w:rPr>
                <w:sz w:val="19"/>
                <w:szCs w:val="19"/>
              </w:rPr>
            </w:pPr>
            <w:r w:rsidRPr="00125515">
              <w:rPr>
                <w:sz w:val="19"/>
                <w:szCs w:val="19"/>
              </w:rPr>
              <w:t>Immune-related nephritis or renal dysfunction</w:t>
            </w:r>
          </w:p>
        </w:tc>
        <w:tc>
          <w:tcPr>
            <w:tcW w:w="1170" w:type="dxa"/>
          </w:tcPr>
          <w:p w14:paraId="554C442C" w14:textId="77777777" w:rsidR="001C6796" w:rsidRPr="00125515" w:rsidRDefault="001C6796" w:rsidP="00125515">
            <w:pPr>
              <w:rPr>
                <w:sz w:val="19"/>
                <w:szCs w:val="19"/>
              </w:rPr>
            </w:pPr>
            <w:r w:rsidRPr="00125515">
              <w:rPr>
                <w:sz w:val="19"/>
                <w:szCs w:val="19"/>
              </w:rPr>
              <w:sym w:font="Wingdings" w:char="F0FC"/>
            </w:r>
          </w:p>
        </w:tc>
        <w:tc>
          <w:tcPr>
            <w:tcW w:w="1098" w:type="dxa"/>
          </w:tcPr>
          <w:p w14:paraId="69E04118" w14:textId="77777777" w:rsidR="001C6796" w:rsidRPr="00125515" w:rsidRDefault="001C6796" w:rsidP="00125515">
            <w:pPr>
              <w:rPr>
                <w:sz w:val="19"/>
                <w:szCs w:val="19"/>
              </w:rPr>
            </w:pPr>
            <w:r w:rsidRPr="00125515">
              <w:rPr>
                <w:sz w:val="19"/>
                <w:szCs w:val="19"/>
              </w:rPr>
              <w:sym w:font="Wingdings" w:char="F0FC"/>
            </w:r>
          </w:p>
        </w:tc>
        <w:tc>
          <w:tcPr>
            <w:tcW w:w="1062" w:type="dxa"/>
          </w:tcPr>
          <w:p w14:paraId="5B2E3240" w14:textId="77777777" w:rsidR="001C6796" w:rsidRPr="00125515" w:rsidRDefault="001C6796" w:rsidP="00125515">
            <w:pPr>
              <w:rPr>
                <w:sz w:val="19"/>
                <w:szCs w:val="19"/>
              </w:rPr>
            </w:pPr>
            <w:r w:rsidRPr="00125515">
              <w:rPr>
                <w:sz w:val="19"/>
                <w:szCs w:val="19"/>
              </w:rPr>
              <w:sym w:font="Wingdings" w:char="F0FC"/>
            </w:r>
          </w:p>
        </w:tc>
        <w:tc>
          <w:tcPr>
            <w:tcW w:w="1080" w:type="dxa"/>
          </w:tcPr>
          <w:p w14:paraId="164A96BF" w14:textId="77777777" w:rsidR="001C6796" w:rsidRPr="00125515" w:rsidRDefault="001C6796" w:rsidP="00125515">
            <w:pPr>
              <w:rPr>
                <w:sz w:val="19"/>
                <w:szCs w:val="19"/>
              </w:rPr>
            </w:pPr>
            <w:r w:rsidRPr="00125515">
              <w:rPr>
                <w:sz w:val="19"/>
                <w:szCs w:val="19"/>
              </w:rPr>
              <w:sym w:font="Wingdings" w:char="F0FC"/>
            </w:r>
          </w:p>
        </w:tc>
      </w:tr>
      <w:tr w:rsidR="00713D88" w:rsidRPr="00125515" w14:paraId="14C4A5C5" w14:textId="77777777" w:rsidTr="00CA702F">
        <w:trPr>
          <w:trHeight w:val="187"/>
        </w:trPr>
        <w:tc>
          <w:tcPr>
            <w:tcW w:w="1668" w:type="dxa"/>
            <w:vMerge/>
          </w:tcPr>
          <w:p w14:paraId="181D4F47" w14:textId="77777777" w:rsidR="001C6796" w:rsidRPr="00125515" w:rsidRDefault="001C6796" w:rsidP="00125515">
            <w:pPr>
              <w:rPr>
                <w:sz w:val="19"/>
                <w:szCs w:val="19"/>
              </w:rPr>
            </w:pPr>
          </w:p>
        </w:tc>
        <w:tc>
          <w:tcPr>
            <w:tcW w:w="3118" w:type="dxa"/>
          </w:tcPr>
          <w:p w14:paraId="37770F4A" w14:textId="77777777" w:rsidR="001C6796" w:rsidRPr="00125515" w:rsidRDefault="001C6796" w:rsidP="00125515">
            <w:pPr>
              <w:rPr>
                <w:sz w:val="19"/>
                <w:szCs w:val="19"/>
              </w:rPr>
            </w:pPr>
            <w:r w:rsidRPr="00125515">
              <w:rPr>
                <w:sz w:val="19"/>
                <w:szCs w:val="19"/>
              </w:rPr>
              <w:t>Immune-related endocrinopathies</w:t>
            </w:r>
          </w:p>
        </w:tc>
        <w:tc>
          <w:tcPr>
            <w:tcW w:w="1170" w:type="dxa"/>
          </w:tcPr>
          <w:p w14:paraId="6D926212" w14:textId="77777777" w:rsidR="001C6796" w:rsidRPr="00125515" w:rsidRDefault="001C6796" w:rsidP="00125515">
            <w:pPr>
              <w:rPr>
                <w:sz w:val="19"/>
                <w:szCs w:val="19"/>
              </w:rPr>
            </w:pPr>
            <w:r w:rsidRPr="00125515">
              <w:rPr>
                <w:sz w:val="19"/>
                <w:szCs w:val="19"/>
              </w:rPr>
              <w:sym w:font="Wingdings" w:char="F0FC"/>
            </w:r>
          </w:p>
        </w:tc>
        <w:tc>
          <w:tcPr>
            <w:tcW w:w="1098" w:type="dxa"/>
          </w:tcPr>
          <w:p w14:paraId="23C944BA" w14:textId="77777777" w:rsidR="001C6796" w:rsidRPr="00125515" w:rsidRDefault="001C6796" w:rsidP="00125515">
            <w:pPr>
              <w:rPr>
                <w:sz w:val="19"/>
                <w:szCs w:val="19"/>
              </w:rPr>
            </w:pPr>
            <w:r w:rsidRPr="00125515">
              <w:rPr>
                <w:sz w:val="19"/>
                <w:szCs w:val="19"/>
              </w:rPr>
              <w:sym w:font="Wingdings" w:char="F0FC"/>
            </w:r>
          </w:p>
        </w:tc>
        <w:tc>
          <w:tcPr>
            <w:tcW w:w="1062" w:type="dxa"/>
          </w:tcPr>
          <w:p w14:paraId="7B5E5488" w14:textId="77777777" w:rsidR="001C6796" w:rsidRPr="00125515" w:rsidRDefault="001C6796" w:rsidP="00125515">
            <w:pPr>
              <w:rPr>
                <w:sz w:val="19"/>
                <w:szCs w:val="19"/>
              </w:rPr>
            </w:pPr>
            <w:r w:rsidRPr="00125515">
              <w:rPr>
                <w:sz w:val="19"/>
                <w:szCs w:val="19"/>
              </w:rPr>
              <w:sym w:font="Wingdings" w:char="F0FC"/>
            </w:r>
          </w:p>
        </w:tc>
        <w:tc>
          <w:tcPr>
            <w:tcW w:w="1080" w:type="dxa"/>
          </w:tcPr>
          <w:p w14:paraId="6CDDD1C0" w14:textId="77777777" w:rsidR="001C6796" w:rsidRPr="00125515" w:rsidRDefault="001C6796" w:rsidP="00125515">
            <w:pPr>
              <w:rPr>
                <w:sz w:val="19"/>
                <w:szCs w:val="19"/>
              </w:rPr>
            </w:pPr>
            <w:r w:rsidRPr="00125515">
              <w:rPr>
                <w:sz w:val="19"/>
                <w:szCs w:val="19"/>
              </w:rPr>
              <w:sym w:font="Wingdings" w:char="F0FC"/>
            </w:r>
          </w:p>
        </w:tc>
      </w:tr>
      <w:tr w:rsidR="00713D88" w:rsidRPr="00125515" w14:paraId="330C7D68" w14:textId="77777777" w:rsidTr="00CA702F">
        <w:trPr>
          <w:trHeight w:val="66"/>
        </w:trPr>
        <w:tc>
          <w:tcPr>
            <w:tcW w:w="1668" w:type="dxa"/>
            <w:vMerge/>
          </w:tcPr>
          <w:p w14:paraId="57182326" w14:textId="77777777" w:rsidR="001C6796" w:rsidRPr="00125515" w:rsidRDefault="001C6796" w:rsidP="00125515">
            <w:pPr>
              <w:rPr>
                <w:sz w:val="19"/>
                <w:szCs w:val="19"/>
              </w:rPr>
            </w:pPr>
          </w:p>
        </w:tc>
        <w:tc>
          <w:tcPr>
            <w:tcW w:w="3118" w:type="dxa"/>
          </w:tcPr>
          <w:p w14:paraId="54094591" w14:textId="77777777" w:rsidR="001C6796" w:rsidRPr="00125515" w:rsidRDefault="001C6796" w:rsidP="00125515">
            <w:pPr>
              <w:rPr>
                <w:sz w:val="19"/>
                <w:szCs w:val="19"/>
              </w:rPr>
            </w:pPr>
            <w:r w:rsidRPr="00125515">
              <w:rPr>
                <w:sz w:val="19"/>
                <w:szCs w:val="19"/>
              </w:rPr>
              <w:t>Immune-related skin adverse reactions</w:t>
            </w:r>
          </w:p>
        </w:tc>
        <w:tc>
          <w:tcPr>
            <w:tcW w:w="1170" w:type="dxa"/>
          </w:tcPr>
          <w:p w14:paraId="02BEA093" w14:textId="77777777" w:rsidR="001C6796" w:rsidRPr="00125515" w:rsidRDefault="001C6796" w:rsidP="00125515">
            <w:pPr>
              <w:rPr>
                <w:sz w:val="19"/>
                <w:szCs w:val="19"/>
              </w:rPr>
            </w:pPr>
            <w:r w:rsidRPr="00125515">
              <w:rPr>
                <w:sz w:val="19"/>
                <w:szCs w:val="19"/>
              </w:rPr>
              <w:sym w:font="Wingdings" w:char="F0FC"/>
            </w:r>
          </w:p>
        </w:tc>
        <w:tc>
          <w:tcPr>
            <w:tcW w:w="1098" w:type="dxa"/>
          </w:tcPr>
          <w:p w14:paraId="6622D329" w14:textId="77777777" w:rsidR="001C6796" w:rsidRPr="00125515" w:rsidRDefault="001C6796" w:rsidP="00125515">
            <w:pPr>
              <w:rPr>
                <w:sz w:val="19"/>
                <w:szCs w:val="19"/>
              </w:rPr>
            </w:pPr>
            <w:r w:rsidRPr="00125515">
              <w:rPr>
                <w:sz w:val="19"/>
                <w:szCs w:val="19"/>
              </w:rPr>
              <w:sym w:font="Wingdings" w:char="F0FC"/>
            </w:r>
          </w:p>
        </w:tc>
        <w:tc>
          <w:tcPr>
            <w:tcW w:w="1062" w:type="dxa"/>
          </w:tcPr>
          <w:p w14:paraId="610BA8BB" w14:textId="77777777" w:rsidR="001C6796" w:rsidRPr="00125515" w:rsidRDefault="001C6796" w:rsidP="00125515">
            <w:pPr>
              <w:rPr>
                <w:sz w:val="19"/>
                <w:szCs w:val="19"/>
              </w:rPr>
            </w:pPr>
            <w:r w:rsidRPr="00125515">
              <w:rPr>
                <w:sz w:val="19"/>
                <w:szCs w:val="19"/>
              </w:rPr>
              <w:sym w:font="Wingdings" w:char="F0FC"/>
            </w:r>
          </w:p>
        </w:tc>
        <w:tc>
          <w:tcPr>
            <w:tcW w:w="1080" w:type="dxa"/>
          </w:tcPr>
          <w:p w14:paraId="175500CD" w14:textId="77777777" w:rsidR="001C6796" w:rsidRPr="00125515" w:rsidRDefault="001C6796" w:rsidP="00125515">
            <w:pPr>
              <w:rPr>
                <w:sz w:val="19"/>
                <w:szCs w:val="19"/>
              </w:rPr>
            </w:pPr>
            <w:r w:rsidRPr="00125515">
              <w:rPr>
                <w:sz w:val="19"/>
                <w:szCs w:val="19"/>
              </w:rPr>
              <w:sym w:font="Wingdings" w:char="F0FC"/>
            </w:r>
          </w:p>
        </w:tc>
      </w:tr>
      <w:tr w:rsidR="00713D88" w:rsidRPr="00125515" w14:paraId="0DA55773" w14:textId="77777777" w:rsidTr="00CA702F">
        <w:trPr>
          <w:trHeight w:val="210"/>
        </w:trPr>
        <w:tc>
          <w:tcPr>
            <w:tcW w:w="1668" w:type="dxa"/>
            <w:vMerge/>
          </w:tcPr>
          <w:p w14:paraId="0133DCD2" w14:textId="77777777" w:rsidR="001C6796" w:rsidRPr="00125515" w:rsidRDefault="001C6796" w:rsidP="00125515">
            <w:pPr>
              <w:rPr>
                <w:sz w:val="19"/>
                <w:szCs w:val="19"/>
              </w:rPr>
            </w:pPr>
          </w:p>
        </w:tc>
        <w:tc>
          <w:tcPr>
            <w:tcW w:w="3118" w:type="dxa"/>
          </w:tcPr>
          <w:p w14:paraId="3DAB1631" w14:textId="77777777" w:rsidR="001C6796" w:rsidRPr="00125515" w:rsidRDefault="001C6796" w:rsidP="00125515">
            <w:pPr>
              <w:rPr>
                <w:sz w:val="19"/>
                <w:szCs w:val="19"/>
              </w:rPr>
            </w:pPr>
            <w:r w:rsidRPr="00125515">
              <w:rPr>
                <w:sz w:val="19"/>
                <w:szCs w:val="19"/>
              </w:rPr>
              <w:t xml:space="preserve">Immune-related neurological adverse events* </w:t>
            </w:r>
          </w:p>
        </w:tc>
        <w:tc>
          <w:tcPr>
            <w:tcW w:w="1170" w:type="dxa"/>
          </w:tcPr>
          <w:p w14:paraId="677F2E97" w14:textId="77777777" w:rsidR="001C6796" w:rsidRPr="00125515" w:rsidRDefault="001C6796" w:rsidP="00125515">
            <w:pPr>
              <w:rPr>
                <w:sz w:val="19"/>
                <w:szCs w:val="19"/>
              </w:rPr>
            </w:pPr>
            <w:r w:rsidRPr="00125515">
              <w:rPr>
                <w:sz w:val="19"/>
                <w:szCs w:val="19"/>
              </w:rPr>
              <w:sym w:font="Wingdings" w:char="F0FC"/>
            </w:r>
          </w:p>
        </w:tc>
        <w:tc>
          <w:tcPr>
            <w:tcW w:w="1098" w:type="dxa"/>
          </w:tcPr>
          <w:p w14:paraId="152B4587" w14:textId="77777777" w:rsidR="001C6796" w:rsidRPr="00125515" w:rsidRDefault="001C6796" w:rsidP="00125515">
            <w:pPr>
              <w:rPr>
                <w:sz w:val="19"/>
                <w:szCs w:val="19"/>
              </w:rPr>
            </w:pPr>
            <w:r w:rsidRPr="00125515">
              <w:rPr>
                <w:sz w:val="19"/>
                <w:szCs w:val="19"/>
              </w:rPr>
              <w:sym w:font="Wingdings" w:char="F0FC"/>
            </w:r>
          </w:p>
        </w:tc>
        <w:tc>
          <w:tcPr>
            <w:tcW w:w="1062" w:type="dxa"/>
          </w:tcPr>
          <w:p w14:paraId="38170A62" w14:textId="77777777" w:rsidR="001C6796" w:rsidRPr="00125515" w:rsidRDefault="001C6796" w:rsidP="00125515">
            <w:pPr>
              <w:rPr>
                <w:sz w:val="19"/>
                <w:szCs w:val="19"/>
              </w:rPr>
            </w:pPr>
            <w:r w:rsidRPr="00125515">
              <w:rPr>
                <w:sz w:val="19"/>
                <w:szCs w:val="19"/>
              </w:rPr>
              <w:sym w:font="Wingdings" w:char="F0FC"/>
            </w:r>
          </w:p>
        </w:tc>
        <w:tc>
          <w:tcPr>
            <w:tcW w:w="1080" w:type="dxa"/>
          </w:tcPr>
          <w:p w14:paraId="66F6303C" w14:textId="77777777" w:rsidR="001C6796" w:rsidRPr="00125515" w:rsidRDefault="001C6796" w:rsidP="00125515">
            <w:pPr>
              <w:rPr>
                <w:sz w:val="19"/>
                <w:szCs w:val="19"/>
              </w:rPr>
            </w:pPr>
            <w:r w:rsidRPr="00125515">
              <w:rPr>
                <w:sz w:val="19"/>
                <w:szCs w:val="19"/>
              </w:rPr>
              <w:sym w:font="Wingdings" w:char="F0FC"/>
            </w:r>
          </w:p>
        </w:tc>
      </w:tr>
      <w:tr w:rsidR="00713D88" w:rsidRPr="00125515" w14:paraId="4405E18D" w14:textId="77777777" w:rsidTr="00CA702F">
        <w:trPr>
          <w:trHeight w:val="187"/>
        </w:trPr>
        <w:tc>
          <w:tcPr>
            <w:tcW w:w="1668" w:type="dxa"/>
            <w:vMerge/>
          </w:tcPr>
          <w:p w14:paraId="1B188E9A" w14:textId="77777777" w:rsidR="001C6796" w:rsidRPr="00125515" w:rsidRDefault="001C6796" w:rsidP="00125515">
            <w:pPr>
              <w:rPr>
                <w:sz w:val="19"/>
                <w:szCs w:val="19"/>
              </w:rPr>
            </w:pPr>
          </w:p>
        </w:tc>
        <w:tc>
          <w:tcPr>
            <w:tcW w:w="3118" w:type="dxa"/>
          </w:tcPr>
          <w:p w14:paraId="182369C9" w14:textId="77777777" w:rsidR="001C6796" w:rsidRPr="00125515" w:rsidRDefault="001C6796" w:rsidP="00125515">
            <w:pPr>
              <w:rPr>
                <w:sz w:val="19"/>
                <w:szCs w:val="19"/>
              </w:rPr>
            </w:pPr>
            <w:r w:rsidRPr="00125515">
              <w:rPr>
                <w:sz w:val="19"/>
                <w:szCs w:val="19"/>
              </w:rPr>
              <w:t>Other immune-related ARs (including Vogt-Koyanagi-Harada (VKH) syndrome and solid organ transplant rejection)</w:t>
            </w:r>
          </w:p>
        </w:tc>
        <w:tc>
          <w:tcPr>
            <w:tcW w:w="1170" w:type="dxa"/>
          </w:tcPr>
          <w:p w14:paraId="219E1492" w14:textId="77777777" w:rsidR="001C6796" w:rsidRPr="00125515" w:rsidRDefault="001C6796" w:rsidP="00125515">
            <w:pPr>
              <w:rPr>
                <w:sz w:val="19"/>
                <w:szCs w:val="19"/>
              </w:rPr>
            </w:pPr>
            <w:r w:rsidRPr="00125515">
              <w:rPr>
                <w:sz w:val="19"/>
                <w:szCs w:val="19"/>
              </w:rPr>
              <w:sym w:font="Wingdings" w:char="F0FC"/>
            </w:r>
          </w:p>
        </w:tc>
        <w:tc>
          <w:tcPr>
            <w:tcW w:w="1098" w:type="dxa"/>
          </w:tcPr>
          <w:p w14:paraId="4887E2A1" w14:textId="77777777" w:rsidR="001C6796" w:rsidRPr="00125515" w:rsidRDefault="001C6796" w:rsidP="00125515">
            <w:pPr>
              <w:rPr>
                <w:sz w:val="19"/>
                <w:szCs w:val="19"/>
              </w:rPr>
            </w:pPr>
            <w:r w:rsidRPr="00125515">
              <w:rPr>
                <w:sz w:val="19"/>
                <w:szCs w:val="19"/>
              </w:rPr>
              <w:sym w:font="Wingdings" w:char="F0FC"/>
            </w:r>
          </w:p>
        </w:tc>
        <w:tc>
          <w:tcPr>
            <w:tcW w:w="1062" w:type="dxa"/>
          </w:tcPr>
          <w:p w14:paraId="200E202B" w14:textId="77777777" w:rsidR="001C6796" w:rsidRPr="00125515" w:rsidRDefault="001C6796" w:rsidP="00125515">
            <w:pPr>
              <w:rPr>
                <w:sz w:val="19"/>
                <w:szCs w:val="19"/>
              </w:rPr>
            </w:pPr>
            <w:r w:rsidRPr="00125515">
              <w:rPr>
                <w:sz w:val="19"/>
                <w:szCs w:val="19"/>
              </w:rPr>
              <w:sym w:font="Wingdings" w:char="F0FC"/>
            </w:r>
          </w:p>
        </w:tc>
        <w:tc>
          <w:tcPr>
            <w:tcW w:w="1080" w:type="dxa"/>
          </w:tcPr>
          <w:p w14:paraId="58F4D7C1" w14:textId="77777777" w:rsidR="001C6796" w:rsidRPr="00125515" w:rsidRDefault="001C6796" w:rsidP="00125515">
            <w:pPr>
              <w:rPr>
                <w:sz w:val="19"/>
                <w:szCs w:val="19"/>
              </w:rPr>
            </w:pPr>
            <w:r w:rsidRPr="00125515">
              <w:rPr>
                <w:sz w:val="19"/>
                <w:szCs w:val="19"/>
              </w:rPr>
              <w:sym w:font="Wingdings" w:char="F0FC"/>
            </w:r>
          </w:p>
        </w:tc>
      </w:tr>
      <w:tr w:rsidR="00713D88" w:rsidRPr="00125515" w14:paraId="255454CF" w14:textId="77777777" w:rsidTr="00CA702F">
        <w:trPr>
          <w:trHeight w:val="187"/>
        </w:trPr>
        <w:tc>
          <w:tcPr>
            <w:tcW w:w="1668" w:type="dxa"/>
            <w:vMerge/>
          </w:tcPr>
          <w:p w14:paraId="30AAC147" w14:textId="77777777" w:rsidR="001C6796" w:rsidRPr="00125515" w:rsidRDefault="001C6796" w:rsidP="00125515">
            <w:pPr>
              <w:rPr>
                <w:sz w:val="19"/>
                <w:szCs w:val="19"/>
              </w:rPr>
            </w:pPr>
          </w:p>
        </w:tc>
        <w:tc>
          <w:tcPr>
            <w:tcW w:w="3118" w:type="dxa"/>
          </w:tcPr>
          <w:p w14:paraId="21C59F94" w14:textId="77777777" w:rsidR="001C6796" w:rsidRPr="00125515" w:rsidRDefault="001C6796" w:rsidP="00125515">
            <w:pPr>
              <w:rPr>
                <w:sz w:val="19"/>
                <w:szCs w:val="19"/>
              </w:rPr>
            </w:pPr>
            <w:r w:rsidRPr="00125515">
              <w:rPr>
                <w:sz w:val="19"/>
                <w:szCs w:val="19"/>
              </w:rPr>
              <w:t>Severe infusion reactions</w:t>
            </w:r>
          </w:p>
        </w:tc>
        <w:tc>
          <w:tcPr>
            <w:tcW w:w="1170" w:type="dxa"/>
          </w:tcPr>
          <w:p w14:paraId="3587C1FD" w14:textId="77777777" w:rsidR="001C6796" w:rsidRPr="00125515" w:rsidRDefault="001C6796" w:rsidP="00125515">
            <w:pPr>
              <w:rPr>
                <w:sz w:val="19"/>
                <w:szCs w:val="19"/>
              </w:rPr>
            </w:pPr>
            <w:r w:rsidRPr="00125515">
              <w:rPr>
                <w:sz w:val="19"/>
                <w:szCs w:val="19"/>
              </w:rPr>
              <w:sym w:font="Wingdings" w:char="F0FC"/>
            </w:r>
          </w:p>
        </w:tc>
        <w:tc>
          <w:tcPr>
            <w:tcW w:w="1098" w:type="dxa"/>
          </w:tcPr>
          <w:p w14:paraId="3429DCDB" w14:textId="77777777" w:rsidR="001C6796" w:rsidRPr="00125515" w:rsidRDefault="001C6796" w:rsidP="00125515">
            <w:pPr>
              <w:rPr>
                <w:sz w:val="19"/>
                <w:szCs w:val="19"/>
              </w:rPr>
            </w:pPr>
            <w:r w:rsidRPr="00125515">
              <w:rPr>
                <w:sz w:val="19"/>
                <w:szCs w:val="19"/>
              </w:rPr>
              <w:t>–</w:t>
            </w:r>
          </w:p>
        </w:tc>
        <w:tc>
          <w:tcPr>
            <w:tcW w:w="1062" w:type="dxa"/>
          </w:tcPr>
          <w:p w14:paraId="450A7E26" w14:textId="77777777" w:rsidR="001C6796" w:rsidRPr="00125515" w:rsidRDefault="001C6796" w:rsidP="00125515">
            <w:pPr>
              <w:rPr>
                <w:sz w:val="19"/>
                <w:szCs w:val="19"/>
              </w:rPr>
            </w:pPr>
            <w:r w:rsidRPr="00125515">
              <w:rPr>
                <w:sz w:val="19"/>
                <w:szCs w:val="19"/>
              </w:rPr>
              <w:sym w:font="Wingdings" w:char="F0FC"/>
            </w:r>
          </w:p>
        </w:tc>
        <w:tc>
          <w:tcPr>
            <w:tcW w:w="1080" w:type="dxa"/>
          </w:tcPr>
          <w:p w14:paraId="3E96414F" w14:textId="77777777" w:rsidR="001C6796" w:rsidRPr="00125515" w:rsidRDefault="001C6796" w:rsidP="00125515">
            <w:pPr>
              <w:rPr>
                <w:sz w:val="19"/>
                <w:szCs w:val="19"/>
              </w:rPr>
            </w:pPr>
            <w:r w:rsidRPr="00125515">
              <w:rPr>
                <w:sz w:val="19"/>
                <w:szCs w:val="19"/>
              </w:rPr>
              <w:sym w:font="Wingdings" w:char="F0FC"/>
            </w:r>
          </w:p>
        </w:tc>
      </w:tr>
      <w:tr w:rsidR="00713D88" w:rsidRPr="00125515" w14:paraId="3DBB8524" w14:textId="77777777" w:rsidTr="00CA702F">
        <w:trPr>
          <w:trHeight w:val="159"/>
        </w:trPr>
        <w:tc>
          <w:tcPr>
            <w:tcW w:w="1668" w:type="dxa"/>
            <w:vMerge w:val="restart"/>
          </w:tcPr>
          <w:p w14:paraId="2F464C43" w14:textId="77777777" w:rsidR="001C6796" w:rsidRPr="00125515" w:rsidRDefault="001C6796" w:rsidP="00125515">
            <w:pPr>
              <w:rPr>
                <w:sz w:val="19"/>
                <w:szCs w:val="19"/>
              </w:rPr>
            </w:pPr>
            <w:r w:rsidRPr="00125515">
              <w:rPr>
                <w:sz w:val="19"/>
                <w:szCs w:val="19"/>
              </w:rPr>
              <w:t>Important potential risks</w:t>
            </w:r>
          </w:p>
        </w:tc>
        <w:tc>
          <w:tcPr>
            <w:tcW w:w="3118" w:type="dxa"/>
          </w:tcPr>
          <w:p w14:paraId="36E86F9F" w14:textId="77777777" w:rsidR="001C6796" w:rsidRPr="00125515" w:rsidRDefault="001C6796" w:rsidP="00125515">
            <w:pPr>
              <w:rPr>
                <w:sz w:val="19"/>
                <w:szCs w:val="19"/>
              </w:rPr>
            </w:pPr>
            <w:r w:rsidRPr="00125515">
              <w:rPr>
                <w:sz w:val="19"/>
                <w:szCs w:val="19"/>
              </w:rPr>
              <w:t>Embryofetal toxicity</w:t>
            </w:r>
          </w:p>
        </w:tc>
        <w:tc>
          <w:tcPr>
            <w:tcW w:w="1170" w:type="dxa"/>
          </w:tcPr>
          <w:p w14:paraId="0E0EF2F8" w14:textId="77777777" w:rsidR="001C6796" w:rsidRPr="00125515" w:rsidRDefault="001C6796" w:rsidP="00125515">
            <w:pPr>
              <w:rPr>
                <w:sz w:val="19"/>
                <w:szCs w:val="19"/>
              </w:rPr>
            </w:pPr>
            <w:r w:rsidRPr="00125515">
              <w:rPr>
                <w:sz w:val="19"/>
                <w:szCs w:val="19"/>
              </w:rPr>
              <w:sym w:font="Wingdings" w:char="F0FC"/>
            </w:r>
          </w:p>
        </w:tc>
        <w:tc>
          <w:tcPr>
            <w:tcW w:w="1098" w:type="dxa"/>
          </w:tcPr>
          <w:p w14:paraId="6E8BBD27" w14:textId="77777777" w:rsidR="001C6796" w:rsidRPr="00125515" w:rsidRDefault="001C6796" w:rsidP="00125515">
            <w:pPr>
              <w:rPr>
                <w:sz w:val="19"/>
                <w:szCs w:val="19"/>
              </w:rPr>
            </w:pPr>
            <w:r w:rsidRPr="00125515">
              <w:rPr>
                <w:sz w:val="19"/>
                <w:szCs w:val="19"/>
              </w:rPr>
              <w:t>–</w:t>
            </w:r>
          </w:p>
        </w:tc>
        <w:tc>
          <w:tcPr>
            <w:tcW w:w="1062" w:type="dxa"/>
          </w:tcPr>
          <w:p w14:paraId="01E46FB1" w14:textId="77777777" w:rsidR="001C6796" w:rsidRPr="00125515" w:rsidRDefault="001C6796" w:rsidP="00125515">
            <w:pPr>
              <w:rPr>
                <w:sz w:val="19"/>
                <w:szCs w:val="19"/>
              </w:rPr>
            </w:pPr>
            <w:r w:rsidRPr="00125515">
              <w:rPr>
                <w:sz w:val="19"/>
                <w:szCs w:val="19"/>
              </w:rPr>
              <w:sym w:font="Wingdings" w:char="F0FC"/>
            </w:r>
          </w:p>
        </w:tc>
        <w:tc>
          <w:tcPr>
            <w:tcW w:w="1080" w:type="dxa"/>
          </w:tcPr>
          <w:p w14:paraId="339D89C8" w14:textId="77777777" w:rsidR="001C6796" w:rsidRPr="00125515" w:rsidRDefault="001C6796" w:rsidP="00125515">
            <w:pPr>
              <w:rPr>
                <w:sz w:val="19"/>
                <w:szCs w:val="19"/>
              </w:rPr>
            </w:pPr>
            <w:r w:rsidRPr="00125515">
              <w:rPr>
                <w:sz w:val="19"/>
                <w:szCs w:val="19"/>
              </w:rPr>
              <w:t>–</w:t>
            </w:r>
          </w:p>
        </w:tc>
      </w:tr>
      <w:tr w:rsidR="00713D88" w:rsidRPr="00125515" w14:paraId="2A2EF93B" w14:textId="77777777" w:rsidTr="00CA702F">
        <w:trPr>
          <w:trHeight w:val="122"/>
        </w:trPr>
        <w:tc>
          <w:tcPr>
            <w:tcW w:w="1668" w:type="dxa"/>
            <w:vMerge/>
          </w:tcPr>
          <w:p w14:paraId="5DEF8B7F" w14:textId="77777777" w:rsidR="001C6796" w:rsidRPr="00125515" w:rsidRDefault="001C6796" w:rsidP="00125515">
            <w:pPr>
              <w:rPr>
                <w:sz w:val="19"/>
                <w:szCs w:val="19"/>
              </w:rPr>
            </w:pPr>
          </w:p>
        </w:tc>
        <w:tc>
          <w:tcPr>
            <w:tcW w:w="3118" w:type="dxa"/>
          </w:tcPr>
          <w:p w14:paraId="49C763AC" w14:textId="77777777" w:rsidR="001C6796" w:rsidRPr="00125515" w:rsidRDefault="001C6796" w:rsidP="00125515">
            <w:pPr>
              <w:rPr>
                <w:sz w:val="19"/>
                <w:szCs w:val="19"/>
              </w:rPr>
            </w:pPr>
            <w:r w:rsidRPr="00125515">
              <w:rPr>
                <w:sz w:val="19"/>
                <w:szCs w:val="19"/>
              </w:rPr>
              <w:t>Immunogenicity</w:t>
            </w:r>
          </w:p>
        </w:tc>
        <w:tc>
          <w:tcPr>
            <w:tcW w:w="1170" w:type="dxa"/>
          </w:tcPr>
          <w:p w14:paraId="0147A3D7" w14:textId="77777777" w:rsidR="001C6796" w:rsidRPr="00125515" w:rsidRDefault="001C6796" w:rsidP="00125515">
            <w:pPr>
              <w:rPr>
                <w:sz w:val="19"/>
                <w:szCs w:val="19"/>
              </w:rPr>
            </w:pPr>
            <w:r w:rsidRPr="00125515">
              <w:rPr>
                <w:sz w:val="19"/>
                <w:szCs w:val="19"/>
              </w:rPr>
              <w:sym w:font="Wingdings" w:char="F0FC"/>
            </w:r>
          </w:p>
        </w:tc>
        <w:tc>
          <w:tcPr>
            <w:tcW w:w="1098" w:type="dxa"/>
          </w:tcPr>
          <w:p w14:paraId="3465273A" w14:textId="77777777" w:rsidR="001C6796" w:rsidRPr="00125515" w:rsidRDefault="001C6796" w:rsidP="00125515">
            <w:pPr>
              <w:rPr>
                <w:sz w:val="19"/>
                <w:szCs w:val="19"/>
              </w:rPr>
            </w:pPr>
            <w:r w:rsidRPr="00125515">
              <w:rPr>
                <w:sz w:val="19"/>
                <w:szCs w:val="19"/>
              </w:rPr>
              <w:t>–</w:t>
            </w:r>
          </w:p>
        </w:tc>
        <w:tc>
          <w:tcPr>
            <w:tcW w:w="1062" w:type="dxa"/>
          </w:tcPr>
          <w:p w14:paraId="279EB7C9" w14:textId="77777777" w:rsidR="001C6796" w:rsidRPr="00125515" w:rsidRDefault="001C6796" w:rsidP="00125515">
            <w:pPr>
              <w:rPr>
                <w:sz w:val="19"/>
                <w:szCs w:val="19"/>
              </w:rPr>
            </w:pPr>
            <w:r w:rsidRPr="00125515">
              <w:rPr>
                <w:sz w:val="19"/>
                <w:szCs w:val="19"/>
              </w:rPr>
              <w:sym w:font="Wingdings" w:char="F0FC"/>
            </w:r>
          </w:p>
        </w:tc>
        <w:tc>
          <w:tcPr>
            <w:tcW w:w="1080" w:type="dxa"/>
          </w:tcPr>
          <w:p w14:paraId="0EFD6597" w14:textId="77777777" w:rsidR="001C6796" w:rsidRPr="00125515" w:rsidRDefault="001C6796" w:rsidP="00125515">
            <w:pPr>
              <w:rPr>
                <w:sz w:val="19"/>
                <w:szCs w:val="19"/>
              </w:rPr>
            </w:pPr>
            <w:r w:rsidRPr="00125515">
              <w:rPr>
                <w:sz w:val="19"/>
                <w:szCs w:val="19"/>
              </w:rPr>
              <w:t>–</w:t>
            </w:r>
          </w:p>
        </w:tc>
      </w:tr>
      <w:tr w:rsidR="00713D88" w:rsidRPr="00125515" w14:paraId="6A833F80" w14:textId="77777777" w:rsidTr="00CA702F">
        <w:trPr>
          <w:trHeight w:val="112"/>
        </w:trPr>
        <w:tc>
          <w:tcPr>
            <w:tcW w:w="1668" w:type="dxa"/>
            <w:vMerge/>
          </w:tcPr>
          <w:p w14:paraId="671C246F" w14:textId="77777777" w:rsidR="001C6796" w:rsidRPr="00125515" w:rsidRDefault="001C6796" w:rsidP="00125515">
            <w:pPr>
              <w:rPr>
                <w:sz w:val="19"/>
                <w:szCs w:val="19"/>
              </w:rPr>
            </w:pPr>
          </w:p>
        </w:tc>
        <w:tc>
          <w:tcPr>
            <w:tcW w:w="3118" w:type="dxa"/>
          </w:tcPr>
          <w:p w14:paraId="3DAEB045" w14:textId="77777777" w:rsidR="001C6796" w:rsidRPr="00125515" w:rsidRDefault="001C6796" w:rsidP="00125515">
            <w:pPr>
              <w:rPr>
                <w:sz w:val="19"/>
                <w:szCs w:val="19"/>
              </w:rPr>
            </w:pPr>
            <w:r w:rsidRPr="00125515">
              <w:rPr>
                <w:sz w:val="19"/>
                <w:szCs w:val="19"/>
              </w:rPr>
              <w:t>Cardiac arrhythmias (previously treated melanoma indication only)</w:t>
            </w:r>
          </w:p>
        </w:tc>
        <w:tc>
          <w:tcPr>
            <w:tcW w:w="1170" w:type="dxa"/>
          </w:tcPr>
          <w:p w14:paraId="71AD2579" w14:textId="77777777" w:rsidR="001C6796" w:rsidRPr="00125515" w:rsidRDefault="001C6796" w:rsidP="00125515">
            <w:pPr>
              <w:rPr>
                <w:sz w:val="19"/>
                <w:szCs w:val="19"/>
              </w:rPr>
            </w:pPr>
            <w:r w:rsidRPr="00125515">
              <w:rPr>
                <w:sz w:val="19"/>
                <w:szCs w:val="19"/>
              </w:rPr>
              <w:sym w:font="Wingdings" w:char="F0FC"/>
            </w:r>
          </w:p>
        </w:tc>
        <w:tc>
          <w:tcPr>
            <w:tcW w:w="1098" w:type="dxa"/>
          </w:tcPr>
          <w:p w14:paraId="1A838E11" w14:textId="77777777" w:rsidR="001C6796" w:rsidRPr="00125515" w:rsidRDefault="001C6796" w:rsidP="00125515">
            <w:pPr>
              <w:rPr>
                <w:sz w:val="19"/>
                <w:szCs w:val="19"/>
              </w:rPr>
            </w:pPr>
            <w:r w:rsidRPr="00125515">
              <w:rPr>
                <w:sz w:val="19"/>
                <w:szCs w:val="19"/>
              </w:rPr>
              <w:t>–**</w:t>
            </w:r>
          </w:p>
        </w:tc>
        <w:tc>
          <w:tcPr>
            <w:tcW w:w="1062" w:type="dxa"/>
          </w:tcPr>
          <w:p w14:paraId="43EDE66F" w14:textId="77777777" w:rsidR="001C6796" w:rsidRPr="00125515" w:rsidRDefault="001C6796" w:rsidP="00125515">
            <w:pPr>
              <w:rPr>
                <w:sz w:val="19"/>
                <w:szCs w:val="19"/>
              </w:rPr>
            </w:pPr>
            <w:r w:rsidRPr="00125515">
              <w:rPr>
                <w:sz w:val="19"/>
                <w:szCs w:val="19"/>
              </w:rPr>
              <w:sym w:font="Wingdings" w:char="F0FC"/>
            </w:r>
          </w:p>
        </w:tc>
        <w:tc>
          <w:tcPr>
            <w:tcW w:w="1080" w:type="dxa"/>
          </w:tcPr>
          <w:p w14:paraId="18AE1C60" w14:textId="77777777" w:rsidR="001C6796" w:rsidRPr="00125515" w:rsidRDefault="001C6796" w:rsidP="00125515">
            <w:pPr>
              <w:rPr>
                <w:sz w:val="19"/>
                <w:szCs w:val="19"/>
              </w:rPr>
            </w:pPr>
            <w:r w:rsidRPr="00125515">
              <w:rPr>
                <w:sz w:val="19"/>
                <w:szCs w:val="19"/>
              </w:rPr>
              <w:t>–</w:t>
            </w:r>
          </w:p>
        </w:tc>
      </w:tr>
      <w:tr w:rsidR="00713D88" w:rsidRPr="00125515" w14:paraId="0ADAB9B7" w14:textId="77777777" w:rsidTr="00CA702F">
        <w:trPr>
          <w:trHeight w:val="112"/>
        </w:trPr>
        <w:tc>
          <w:tcPr>
            <w:tcW w:w="1668" w:type="dxa"/>
            <w:vMerge/>
          </w:tcPr>
          <w:p w14:paraId="48280D48" w14:textId="77777777" w:rsidR="001C6796" w:rsidRPr="00125515" w:rsidRDefault="001C6796" w:rsidP="00125515">
            <w:pPr>
              <w:rPr>
                <w:sz w:val="19"/>
                <w:szCs w:val="19"/>
              </w:rPr>
            </w:pPr>
          </w:p>
        </w:tc>
        <w:tc>
          <w:tcPr>
            <w:tcW w:w="3118" w:type="dxa"/>
          </w:tcPr>
          <w:p w14:paraId="43925FB1" w14:textId="77777777" w:rsidR="001C6796" w:rsidRPr="00125515" w:rsidRDefault="001C6796" w:rsidP="00125515">
            <w:pPr>
              <w:rPr>
                <w:sz w:val="19"/>
                <w:szCs w:val="19"/>
              </w:rPr>
            </w:pPr>
            <w:r w:rsidRPr="00125515">
              <w:rPr>
                <w:sz w:val="19"/>
                <w:szCs w:val="19"/>
              </w:rPr>
              <w:t>Complications of allogeneic HSCT following nivolumab therapy</w:t>
            </w:r>
          </w:p>
        </w:tc>
        <w:tc>
          <w:tcPr>
            <w:tcW w:w="1170" w:type="dxa"/>
          </w:tcPr>
          <w:p w14:paraId="616DEFA7" w14:textId="77777777" w:rsidR="001C6796" w:rsidRPr="00125515" w:rsidRDefault="001C6796" w:rsidP="00125515">
            <w:pPr>
              <w:rPr>
                <w:sz w:val="19"/>
                <w:szCs w:val="19"/>
              </w:rPr>
            </w:pPr>
            <w:r w:rsidRPr="00125515">
              <w:rPr>
                <w:sz w:val="19"/>
                <w:szCs w:val="19"/>
              </w:rPr>
              <w:sym w:font="Wingdings" w:char="F0FC"/>
            </w:r>
          </w:p>
        </w:tc>
        <w:tc>
          <w:tcPr>
            <w:tcW w:w="1098" w:type="dxa"/>
          </w:tcPr>
          <w:p w14:paraId="518FB827" w14:textId="77777777" w:rsidR="001C6796" w:rsidRPr="00125515" w:rsidRDefault="001C6796" w:rsidP="00125515">
            <w:pPr>
              <w:rPr>
                <w:sz w:val="19"/>
                <w:szCs w:val="19"/>
              </w:rPr>
            </w:pPr>
            <w:r w:rsidRPr="00125515">
              <w:rPr>
                <w:sz w:val="19"/>
                <w:szCs w:val="19"/>
              </w:rPr>
              <w:sym w:font="Wingdings" w:char="F0FC"/>
            </w:r>
          </w:p>
        </w:tc>
        <w:tc>
          <w:tcPr>
            <w:tcW w:w="1062" w:type="dxa"/>
          </w:tcPr>
          <w:p w14:paraId="11988BE2" w14:textId="77777777" w:rsidR="001C6796" w:rsidRPr="00125515" w:rsidRDefault="001C6796" w:rsidP="00125515">
            <w:pPr>
              <w:rPr>
                <w:sz w:val="19"/>
                <w:szCs w:val="19"/>
              </w:rPr>
            </w:pPr>
            <w:r w:rsidRPr="00125515">
              <w:rPr>
                <w:sz w:val="19"/>
                <w:szCs w:val="19"/>
              </w:rPr>
              <w:sym w:font="Wingdings" w:char="F0FC"/>
            </w:r>
          </w:p>
        </w:tc>
        <w:tc>
          <w:tcPr>
            <w:tcW w:w="1080" w:type="dxa"/>
          </w:tcPr>
          <w:p w14:paraId="243B1D2B" w14:textId="77777777" w:rsidR="001C6796" w:rsidRPr="00125515" w:rsidRDefault="001C6796" w:rsidP="00125515">
            <w:pPr>
              <w:rPr>
                <w:sz w:val="19"/>
                <w:szCs w:val="19"/>
              </w:rPr>
            </w:pPr>
            <w:r w:rsidRPr="00125515">
              <w:rPr>
                <w:sz w:val="19"/>
                <w:szCs w:val="19"/>
              </w:rPr>
              <w:sym w:font="Wingdings" w:char="F0FC"/>
            </w:r>
          </w:p>
        </w:tc>
      </w:tr>
      <w:tr w:rsidR="00713D88" w:rsidRPr="00125515" w14:paraId="3CE42FBE" w14:textId="77777777" w:rsidTr="00CA702F">
        <w:trPr>
          <w:trHeight w:val="178"/>
        </w:trPr>
        <w:tc>
          <w:tcPr>
            <w:tcW w:w="1668" w:type="dxa"/>
            <w:vMerge w:val="restart"/>
          </w:tcPr>
          <w:p w14:paraId="041352B6" w14:textId="77777777" w:rsidR="001C6796" w:rsidRPr="00125515" w:rsidRDefault="001C6796" w:rsidP="00125515">
            <w:pPr>
              <w:rPr>
                <w:sz w:val="19"/>
                <w:szCs w:val="19"/>
              </w:rPr>
            </w:pPr>
            <w:r w:rsidRPr="00125515">
              <w:rPr>
                <w:sz w:val="19"/>
                <w:szCs w:val="19"/>
              </w:rPr>
              <w:t>Missing information</w:t>
            </w:r>
          </w:p>
        </w:tc>
        <w:tc>
          <w:tcPr>
            <w:tcW w:w="3118" w:type="dxa"/>
          </w:tcPr>
          <w:p w14:paraId="7458D08D" w14:textId="77777777" w:rsidR="001C6796" w:rsidRPr="00125515" w:rsidRDefault="001C6796" w:rsidP="00125515">
            <w:pPr>
              <w:rPr>
                <w:sz w:val="19"/>
                <w:szCs w:val="19"/>
              </w:rPr>
            </w:pPr>
            <w:r w:rsidRPr="00125515">
              <w:rPr>
                <w:sz w:val="19"/>
                <w:szCs w:val="19"/>
              </w:rPr>
              <w:t>Pediatric patients &lt;18 years of age</w:t>
            </w:r>
          </w:p>
        </w:tc>
        <w:tc>
          <w:tcPr>
            <w:tcW w:w="1170" w:type="dxa"/>
          </w:tcPr>
          <w:p w14:paraId="0E45B985" w14:textId="77777777" w:rsidR="001C6796" w:rsidRPr="00125515" w:rsidRDefault="001C6796" w:rsidP="00125515">
            <w:pPr>
              <w:rPr>
                <w:sz w:val="19"/>
                <w:szCs w:val="19"/>
              </w:rPr>
            </w:pPr>
            <w:r w:rsidRPr="00125515">
              <w:rPr>
                <w:sz w:val="19"/>
                <w:szCs w:val="19"/>
              </w:rPr>
              <w:sym w:font="Wingdings" w:char="F0FC"/>
            </w:r>
          </w:p>
        </w:tc>
        <w:tc>
          <w:tcPr>
            <w:tcW w:w="1098" w:type="dxa"/>
          </w:tcPr>
          <w:p w14:paraId="23EAE661" w14:textId="77777777" w:rsidR="001C6796" w:rsidRPr="00125515" w:rsidRDefault="001C6796" w:rsidP="00125515">
            <w:pPr>
              <w:rPr>
                <w:sz w:val="19"/>
                <w:szCs w:val="19"/>
              </w:rPr>
            </w:pPr>
            <w:r w:rsidRPr="00125515">
              <w:rPr>
                <w:sz w:val="19"/>
                <w:szCs w:val="19"/>
              </w:rPr>
              <w:t>–</w:t>
            </w:r>
          </w:p>
        </w:tc>
        <w:tc>
          <w:tcPr>
            <w:tcW w:w="1062" w:type="dxa"/>
          </w:tcPr>
          <w:p w14:paraId="0594E086" w14:textId="77777777" w:rsidR="001C6796" w:rsidRPr="00125515" w:rsidRDefault="001C6796" w:rsidP="00125515">
            <w:pPr>
              <w:rPr>
                <w:sz w:val="19"/>
                <w:szCs w:val="19"/>
              </w:rPr>
            </w:pPr>
            <w:r w:rsidRPr="00125515">
              <w:rPr>
                <w:sz w:val="19"/>
                <w:szCs w:val="19"/>
              </w:rPr>
              <w:sym w:font="Wingdings" w:char="F0FC"/>
            </w:r>
          </w:p>
        </w:tc>
        <w:tc>
          <w:tcPr>
            <w:tcW w:w="1080" w:type="dxa"/>
          </w:tcPr>
          <w:p w14:paraId="3B761A85" w14:textId="77777777" w:rsidR="001C6796" w:rsidRPr="00125515" w:rsidRDefault="001C6796" w:rsidP="00125515">
            <w:pPr>
              <w:rPr>
                <w:sz w:val="19"/>
                <w:szCs w:val="19"/>
              </w:rPr>
            </w:pPr>
            <w:r w:rsidRPr="00125515">
              <w:rPr>
                <w:sz w:val="19"/>
                <w:szCs w:val="19"/>
              </w:rPr>
              <w:t>–</w:t>
            </w:r>
          </w:p>
        </w:tc>
      </w:tr>
      <w:tr w:rsidR="00713D88" w:rsidRPr="00125515" w14:paraId="0464B695" w14:textId="77777777" w:rsidTr="00CA702F">
        <w:trPr>
          <w:trHeight w:val="103"/>
        </w:trPr>
        <w:tc>
          <w:tcPr>
            <w:tcW w:w="1668" w:type="dxa"/>
            <w:vMerge/>
          </w:tcPr>
          <w:p w14:paraId="1908542F" w14:textId="77777777" w:rsidR="001C6796" w:rsidRPr="00125515" w:rsidRDefault="001C6796" w:rsidP="00125515">
            <w:pPr>
              <w:rPr>
                <w:sz w:val="19"/>
                <w:szCs w:val="19"/>
              </w:rPr>
            </w:pPr>
          </w:p>
        </w:tc>
        <w:tc>
          <w:tcPr>
            <w:tcW w:w="3118" w:type="dxa"/>
          </w:tcPr>
          <w:p w14:paraId="6F923F7A" w14:textId="77777777" w:rsidR="001C6796" w:rsidRPr="00125515" w:rsidRDefault="001C6796" w:rsidP="00125515">
            <w:pPr>
              <w:rPr>
                <w:sz w:val="19"/>
                <w:szCs w:val="19"/>
              </w:rPr>
            </w:pPr>
            <w:r w:rsidRPr="00125515">
              <w:rPr>
                <w:sz w:val="19"/>
                <w:szCs w:val="19"/>
              </w:rPr>
              <w:t>Patients with severe hepatic and/or renal impairment</w:t>
            </w:r>
          </w:p>
        </w:tc>
        <w:tc>
          <w:tcPr>
            <w:tcW w:w="1170" w:type="dxa"/>
          </w:tcPr>
          <w:p w14:paraId="589A1232" w14:textId="77777777" w:rsidR="001C6796" w:rsidRPr="00125515" w:rsidRDefault="001C6796" w:rsidP="00125515">
            <w:pPr>
              <w:rPr>
                <w:sz w:val="19"/>
                <w:szCs w:val="19"/>
              </w:rPr>
            </w:pPr>
            <w:r w:rsidRPr="00125515">
              <w:rPr>
                <w:sz w:val="19"/>
                <w:szCs w:val="19"/>
              </w:rPr>
              <w:sym w:font="Wingdings" w:char="F0FC"/>
            </w:r>
          </w:p>
        </w:tc>
        <w:tc>
          <w:tcPr>
            <w:tcW w:w="1098" w:type="dxa"/>
          </w:tcPr>
          <w:p w14:paraId="29B8F124" w14:textId="77777777" w:rsidR="001C6796" w:rsidRPr="00125515" w:rsidRDefault="001C6796" w:rsidP="00125515">
            <w:pPr>
              <w:rPr>
                <w:sz w:val="19"/>
                <w:szCs w:val="19"/>
              </w:rPr>
            </w:pPr>
            <w:r w:rsidRPr="00125515">
              <w:rPr>
                <w:sz w:val="19"/>
                <w:szCs w:val="19"/>
              </w:rPr>
              <w:t>–</w:t>
            </w:r>
          </w:p>
        </w:tc>
        <w:tc>
          <w:tcPr>
            <w:tcW w:w="1062" w:type="dxa"/>
          </w:tcPr>
          <w:p w14:paraId="3707B7EA" w14:textId="77777777" w:rsidR="001C6796" w:rsidRPr="00125515" w:rsidRDefault="001C6796" w:rsidP="00125515">
            <w:pPr>
              <w:rPr>
                <w:sz w:val="19"/>
                <w:szCs w:val="19"/>
              </w:rPr>
            </w:pPr>
            <w:r w:rsidRPr="00125515">
              <w:rPr>
                <w:sz w:val="19"/>
                <w:szCs w:val="19"/>
              </w:rPr>
              <w:sym w:font="Wingdings" w:char="F0FC"/>
            </w:r>
          </w:p>
        </w:tc>
        <w:tc>
          <w:tcPr>
            <w:tcW w:w="1080" w:type="dxa"/>
          </w:tcPr>
          <w:p w14:paraId="3E274A93" w14:textId="77777777" w:rsidR="001C6796" w:rsidRPr="00125515" w:rsidRDefault="001C6796" w:rsidP="00125515">
            <w:pPr>
              <w:rPr>
                <w:sz w:val="19"/>
                <w:szCs w:val="19"/>
              </w:rPr>
            </w:pPr>
            <w:r w:rsidRPr="00125515">
              <w:rPr>
                <w:sz w:val="19"/>
                <w:szCs w:val="19"/>
              </w:rPr>
              <w:t>–</w:t>
            </w:r>
          </w:p>
        </w:tc>
      </w:tr>
      <w:tr w:rsidR="00713D88" w:rsidRPr="00125515" w14:paraId="4E1B2B7D" w14:textId="77777777" w:rsidTr="00CA702F">
        <w:trPr>
          <w:trHeight w:val="103"/>
        </w:trPr>
        <w:tc>
          <w:tcPr>
            <w:tcW w:w="1668" w:type="dxa"/>
            <w:vMerge/>
          </w:tcPr>
          <w:p w14:paraId="26BD290E" w14:textId="77777777" w:rsidR="001C6796" w:rsidRPr="00125515" w:rsidRDefault="001C6796" w:rsidP="00125515">
            <w:pPr>
              <w:rPr>
                <w:sz w:val="19"/>
                <w:szCs w:val="19"/>
              </w:rPr>
            </w:pPr>
          </w:p>
        </w:tc>
        <w:tc>
          <w:tcPr>
            <w:tcW w:w="3118" w:type="dxa"/>
          </w:tcPr>
          <w:p w14:paraId="41DCB708" w14:textId="77777777" w:rsidR="001C6796" w:rsidRPr="00125515" w:rsidRDefault="001C6796" w:rsidP="00125515">
            <w:pPr>
              <w:rPr>
                <w:sz w:val="19"/>
                <w:szCs w:val="19"/>
              </w:rPr>
            </w:pPr>
            <w:r w:rsidRPr="00125515">
              <w:rPr>
                <w:sz w:val="19"/>
                <w:szCs w:val="19"/>
              </w:rPr>
              <w:t>Patients with autoimmune disease</w:t>
            </w:r>
          </w:p>
        </w:tc>
        <w:tc>
          <w:tcPr>
            <w:tcW w:w="1170" w:type="dxa"/>
          </w:tcPr>
          <w:p w14:paraId="4B66898B" w14:textId="77777777" w:rsidR="001C6796" w:rsidRPr="00125515" w:rsidRDefault="001C6796" w:rsidP="00125515">
            <w:pPr>
              <w:rPr>
                <w:sz w:val="19"/>
                <w:szCs w:val="19"/>
              </w:rPr>
            </w:pPr>
            <w:r w:rsidRPr="00125515">
              <w:rPr>
                <w:sz w:val="19"/>
                <w:szCs w:val="19"/>
              </w:rPr>
              <w:sym w:font="Wingdings" w:char="F0FC"/>
            </w:r>
          </w:p>
        </w:tc>
        <w:tc>
          <w:tcPr>
            <w:tcW w:w="1098" w:type="dxa"/>
          </w:tcPr>
          <w:p w14:paraId="37B778F5" w14:textId="77777777" w:rsidR="001C6796" w:rsidRPr="00125515" w:rsidRDefault="001C6796" w:rsidP="00125515">
            <w:pPr>
              <w:rPr>
                <w:sz w:val="19"/>
                <w:szCs w:val="19"/>
              </w:rPr>
            </w:pPr>
            <w:r w:rsidRPr="00125515">
              <w:rPr>
                <w:sz w:val="19"/>
                <w:szCs w:val="19"/>
              </w:rPr>
              <w:t>–</w:t>
            </w:r>
          </w:p>
        </w:tc>
        <w:tc>
          <w:tcPr>
            <w:tcW w:w="1062" w:type="dxa"/>
          </w:tcPr>
          <w:p w14:paraId="14A81238" w14:textId="77777777" w:rsidR="001C6796" w:rsidRPr="00125515" w:rsidRDefault="001C6796" w:rsidP="00125515">
            <w:pPr>
              <w:rPr>
                <w:sz w:val="19"/>
                <w:szCs w:val="19"/>
              </w:rPr>
            </w:pPr>
            <w:r w:rsidRPr="00125515">
              <w:rPr>
                <w:sz w:val="19"/>
                <w:szCs w:val="19"/>
              </w:rPr>
              <w:sym w:font="Wingdings" w:char="F0FC"/>
            </w:r>
          </w:p>
        </w:tc>
        <w:tc>
          <w:tcPr>
            <w:tcW w:w="1080" w:type="dxa"/>
          </w:tcPr>
          <w:p w14:paraId="0ECF9F33" w14:textId="77777777" w:rsidR="001C6796" w:rsidRPr="00125515" w:rsidRDefault="001C6796" w:rsidP="00125515">
            <w:pPr>
              <w:rPr>
                <w:sz w:val="19"/>
                <w:szCs w:val="19"/>
              </w:rPr>
            </w:pPr>
            <w:r w:rsidRPr="00125515">
              <w:rPr>
                <w:sz w:val="19"/>
                <w:szCs w:val="19"/>
              </w:rPr>
              <w:t>–</w:t>
            </w:r>
          </w:p>
        </w:tc>
      </w:tr>
      <w:tr w:rsidR="00713D88" w:rsidRPr="00125515" w14:paraId="4A7D0E50" w14:textId="77777777" w:rsidTr="00CA702F">
        <w:trPr>
          <w:trHeight w:val="132"/>
        </w:trPr>
        <w:tc>
          <w:tcPr>
            <w:tcW w:w="1668" w:type="dxa"/>
            <w:vMerge/>
          </w:tcPr>
          <w:p w14:paraId="03602A96" w14:textId="77777777" w:rsidR="001C6796" w:rsidRPr="00125515" w:rsidRDefault="001C6796" w:rsidP="00125515">
            <w:pPr>
              <w:rPr>
                <w:sz w:val="19"/>
                <w:szCs w:val="19"/>
              </w:rPr>
            </w:pPr>
          </w:p>
        </w:tc>
        <w:tc>
          <w:tcPr>
            <w:tcW w:w="3118" w:type="dxa"/>
          </w:tcPr>
          <w:p w14:paraId="1B4E7D9C" w14:textId="77777777" w:rsidR="001C6796" w:rsidRPr="00125515" w:rsidRDefault="001C6796" w:rsidP="00125515">
            <w:pPr>
              <w:rPr>
                <w:sz w:val="19"/>
                <w:szCs w:val="19"/>
              </w:rPr>
            </w:pPr>
            <w:r w:rsidRPr="00125515">
              <w:rPr>
                <w:sz w:val="19"/>
                <w:szCs w:val="19"/>
              </w:rPr>
              <w:t>Patients already receiving systemic immunosuppressants before starting nivolumab</w:t>
            </w:r>
          </w:p>
        </w:tc>
        <w:tc>
          <w:tcPr>
            <w:tcW w:w="1170" w:type="dxa"/>
          </w:tcPr>
          <w:p w14:paraId="2D35773B" w14:textId="77777777" w:rsidR="001C6796" w:rsidRPr="00125515" w:rsidRDefault="001C6796" w:rsidP="00125515">
            <w:pPr>
              <w:rPr>
                <w:sz w:val="19"/>
                <w:szCs w:val="19"/>
              </w:rPr>
            </w:pPr>
            <w:r w:rsidRPr="00125515">
              <w:rPr>
                <w:sz w:val="19"/>
                <w:szCs w:val="19"/>
              </w:rPr>
              <w:sym w:font="Wingdings" w:char="F0FC"/>
            </w:r>
          </w:p>
        </w:tc>
        <w:tc>
          <w:tcPr>
            <w:tcW w:w="1098" w:type="dxa"/>
          </w:tcPr>
          <w:p w14:paraId="772BD6B1" w14:textId="77777777" w:rsidR="001C6796" w:rsidRPr="00125515" w:rsidRDefault="001C6796" w:rsidP="00125515">
            <w:pPr>
              <w:rPr>
                <w:sz w:val="19"/>
                <w:szCs w:val="19"/>
              </w:rPr>
            </w:pPr>
            <w:r w:rsidRPr="00125515">
              <w:rPr>
                <w:sz w:val="19"/>
                <w:szCs w:val="19"/>
              </w:rPr>
              <w:t>–</w:t>
            </w:r>
          </w:p>
        </w:tc>
        <w:tc>
          <w:tcPr>
            <w:tcW w:w="1062" w:type="dxa"/>
          </w:tcPr>
          <w:p w14:paraId="67D83058" w14:textId="77777777" w:rsidR="001C6796" w:rsidRPr="00125515" w:rsidRDefault="001C6796" w:rsidP="00125515">
            <w:pPr>
              <w:rPr>
                <w:sz w:val="19"/>
                <w:szCs w:val="19"/>
              </w:rPr>
            </w:pPr>
            <w:r w:rsidRPr="00125515">
              <w:rPr>
                <w:sz w:val="19"/>
                <w:szCs w:val="19"/>
              </w:rPr>
              <w:sym w:font="Wingdings" w:char="F0FC"/>
            </w:r>
          </w:p>
        </w:tc>
        <w:tc>
          <w:tcPr>
            <w:tcW w:w="1080" w:type="dxa"/>
          </w:tcPr>
          <w:p w14:paraId="6BC39D79" w14:textId="77777777" w:rsidR="001C6796" w:rsidRPr="00125515" w:rsidRDefault="001C6796" w:rsidP="00125515">
            <w:pPr>
              <w:rPr>
                <w:sz w:val="19"/>
                <w:szCs w:val="19"/>
              </w:rPr>
            </w:pPr>
            <w:r w:rsidRPr="00125515">
              <w:rPr>
                <w:sz w:val="19"/>
                <w:szCs w:val="19"/>
              </w:rPr>
              <w:t>–</w:t>
            </w:r>
          </w:p>
        </w:tc>
      </w:tr>
      <w:tr w:rsidR="00713D88" w:rsidRPr="00125515" w14:paraId="7C8B0841" w14:textId="77777777" w:rsidTr="00CA702F">
        <w:trPr>
          <w:trHeight w:val="390"/>
        </w:trPr>
        <w:tc>
          <w:tcPr>
            <w:tcW w:w="1668" w:type="dxa"/>
            <w:vMerge/>
          </w:tcPr>
          <w:p w14:paraId="3A9AE782" w14:textId="77777777" w:rsidR="001C6796" w:rsidRPr="00125515" w:rsidRDefault="001C6796" w:rsidP="00125515">
            <w:pPr>
              <w:rPr>
                <w:sz w:val="19"/>
                <w:szCs w:val="19"/>
              </w:rPr>
            </w:pPr>
          </w:p>
        </w:tc>
        <w:tc>
          <w:tcPr>
            <w:tcW w:w="3118" w:type="dxa"/>
          </w:tcPr>
          <w:p w14:paraId="63B034E6" w14:textId="77777777" w:rsidR="001C6796" w:rsidRPr="00125515" w:rsidRDefault="001C6796" w:rsidP="00125515">
            <w:pPr>
              <w:rPr>
                <w:sz w:val="19"/>
                <w:szCs w:val="19"/>
              </w:rPr>
            </w:pPr>
            <w:r w:rsidRPr="00125515">
              <w:rPr>
                <w:sz w:val="19"/>
                <w:szCs w:val="19"/>
              </w:rPr>
              <w:t>Elderly patients with:</w:t>
            </w:r>
          </w:p>
          <w:p w14:paraId="79EA511D" w14:textId="77777777" w:rsidR="001C6796" w:rsidRPr="00125515" w:rsidRDefault="001C6796" w:rsidP="00125515">
            <w:pPr>
              <w:rPr>
                <w:sz w:val="19"/>
                <w:szCs w:val="19"/>
              </w:rPr>
            </w:pPr>
            <w:r w:rsidRPr="00125515">
              <w:rPr>
                <w:sz w:val="19"/>
                <w:szCs w:val="19"/>
              </w:rPr>
              <w:t>cHL ≥ 65 years of age</w:t>
            </w:r>
          </w:p>
          <w:p w14:paraId="2D36C584" w14:textId="01A79CA0" w:rsidR="001C6796" w:rsidRPr="00125515" w:rsidRDefault="001C6796" w:rsidP="00125515">
            <w:pPr>
              <w:rPr>
                <w:sz w:val="19"/>
                <w:szCs w:val="19"/>
              </w:rPr>
            </w:pPr>
            <w:r w:rsidRPr="00125515">
              <w:rPr>
                <w:sz w:val="19"/>
                <w:szCs w:val="19"/>
              </w:rPr>
              <w:t>SCCHN ≥</w:t>
            </w:r>
            <w:r w:rsidR="00713D88" w:rsidRPr="00125515">
              <w:rPr>
                <w:sz w:val="19"/>
                <w:szCs w:val="19"/>
              </w:rPr>
              <w:t xml:space="preserve"> </w:t>
            </w:r>
            <w:r w:rsidRPr="00125515">
              <w:rPr>
                <w:sz w:val="19"/>
                <w:szCs w:val="19"/>
              </w:rPr>
              <w:t>75 years of age^</w:t>
            </w:r>
          </w:p>
        </w:tc>
        <w:tc>
          <w:tcPr>
            <w:tcW w:w="1170" w:type="dxa"/>
          </w:tcPr>
          <w:p w14:paraId="294415B9" w14:textId="77777777" w:rsidR="001C6796" w:rsidRPr="00125515" w:rsidRDefault="001C6796" w:rsidP="00125515">
            <w:pPr>
              <w:rPr>
                <w:sz w:val="19"/>
                <w:szCs w:val="19"/>
              </w:rPr>
            </w:pPr>
            <w:r w:rsidRPr="00125515">
              <w:rPr>
                <w:sz w:val="19"/>
                <w:szCs w:val="19"/>
              </w:rPr>
              <w:sym w:font="Wingdings" w:char="F0FC"/>
            </w:r>
          </w:p>
        </w:tc>
        <w:tc>
          <w:tcPr>
            <w:tcW w:w="1098" w:type="dxa"/>
          </w:tcPr>
          <w:p w14:paraId="34021999" w14:textId="77777777" w:rsidR="001C6796" w:rsidRPr="00125515" w:rsidRDefault="001C6796" w:rsidP="00125515">
            <w:pPr>
              <w:rPr>
                <w:sz w:val="19"/>
                <w:szCs w:val="19"/>
              </w:rPr>
            </w:pPr>
            <w:r w:rsidRPr="00125515">
              <w:rPr>
                <w:sz w:val="19"/>
                <w:szCs w:val="19"/>
              </w:rPr>
              <w:t>–</w:t>
            </w:r>
          </w:p>
        </w:tc>
        <w:tc>
          <w:tcPr>
            <w:tcW w:w="1062" w:type="dxa"/>
          </w:tcPr>
          <w:p w14:paraId="4F9CCFAF" w14:textId="77777777" w:rsidR="001C6796" w:rsidRPr="00125515" w:rsidRDefault="001C6796" w:rsidP="00125515">
            <w:pPr>
              <w:rPr>
                <w:sz w:val="19"/>
                <w:szCs w:val="19"/>
              </w:rPr>
            </w:pPr>
            <w:r w:rsidRPr="00125515">
              <w:rPr>
                <w:sz w:val="19"/>
                <w:szCs w:val="19"/>
              </w:rPr>
              <w:sym w:font="Wingdings" w:char="F0FC"/>
            </w:r>
          </w:p>
        </w:tc>
        <w:tc>
          <w:tcPr>
            <w:tcW w:w="1080" w:type="dxa"/>
          </w:tcPr>
          <w:p w14:paraId="4DD842E4" w14:textId="77777777" w:rsidR="001C6796" w:rsidRPr="00125515" w:rsidRDefault="001C6796" w:rsidP="00125515">
            <w:pPr>
              <w:rPr>
                <w:sz w:val="19"/>
                <w:szCs w:val="19"/>
              </w:rPr>
            </w:pPr>
            <w:r w:rsidRPr="00125515">
              <w:rPr>
                <w:sz w:val="19"/>
                <w:szCs w:val="19"/>
              </w:rPr>
              <w:t>–</w:t>
            </w:r>
          </w:p>
        </w:tc>
      </w:tr>
      <w:tr w:rsidR="00713D88" w:rsidRPr="00125515" w14:paraId="2A3E7D8E" w14:textId="77777777" w:rsidTr="00CA702F">
        <w:trPr>
          <w:trHeight w:val="390"/>
        </w:trPr>
        <w:tc>
          <w:tcPr>
            <w:tcW w:w="1668" w:type="dxa"/>
            <w:vMerge/>
          </w:tcPr>
          <w:p w14:paraId="7CC8A73C" w14:textId="77777777" w:rsidR="001C6796" w:rsidRPr="00125515" w:rsidRDefault="001C6796" w:rsidP="00125515">
            <w:pPr>
              <w:rPr>
                <w:sz w:val="19"/>
                <w:szCs w:val="19"/>
              </w:rPr>
            </w:pPr>
          </w:p>
        </w:tc>
        <w:tc>
          <w:tcPr>
            <w:tcW w:w="3118" w:type="dxa"/>
          </w:tcPr>
          <w:p w14:paraId="38C4B24B" w14:textId="77777777" w:rsidR="001C6796" w:rsidRPr="00125515" w:rsidRDefault="001C6796" w:rsidP="00125515">
            <w:pPr>
              <w:rPr>
                <w:strike/>
                <w:sz w:val="19"/>
                <w:szCs w:val="19"/>
              </w:rPr>
            </w:pPr>
            <w:r w:rsidRPr="00125515">
              <w:rPr>
                <w:sz w:val="19"/>
                <w:szCs w:val="19"/>
              </w:rPr>
              <w:t xml:space="preserve">Use in patients who have </w:t>
            </w:r>
            <w:r w:rsidRPr="00125515">
              <w:rPr>
                <w:sz w:val="19"/>
                <w:szCs w:val="19"/>
              </w:rPr>
              <w:lastRenderedPageBreak/>
              <w:t>undergone influenza vaccination</w:t>
            </w:r>
          </w:p>
        </w:tc>
        <w:tc>
          <w:tcPr>
            <w:tcW w:w="1170" w:type="dxa"/>
          </w:tcPr>
          <w:p w14:paraId="6CF8A6B5" w14:textId="77777777" w:rsidR="001C6796" w:rsidRPr="00125515" w:rsidRDefault="001C6796" w:rsidP="00125515">
            <w:pPr>
              <w:rPr>
                <w:sz w:val="19"/>
                <w:szCs w:val="19"/>
              </w:rPr>
            </w:pPr>
            <w:r w:rsidRPr="00125515">
              <w:rPr>
                <w:sz w:val="19"/>
                <w:szCs w:val="19"/>
              </w:rPr>
              <w:lastRenderedPageBreak/>
              <w:sym w:font="Wingdings" w:char="F0FC"/>
            </w:r>
          </w:p>
        </w:tc>
        <w:tc>
          <w:tcPr>
            <w:tcW w:w="1098" w:type="dxa"/>
          </w:tcPr>
          <w:p w14:paraId="1A206830" w14:textId="77777777" w:rsidR="001C6796" w:rsidRPr="00125515" w:rsidRDefault="001C6796" w:rsidP="00125515">
            <w:pPr>
              <w:rPr>
                <w:sz w:val="19"/>
                <w:szCs w:val="19"/>
              </w:rPr>
            </w:pPr>
            <w:r w:rsidRPr="00125515">
              <w:rPr>
                <w:sz w:val="19"/>
                <w:szCs w:val="19"/>
              </w:rPr>
              <w:sym w:font="Wingdings" w:char="F0FC"/>
            </w:r>
          </w:p>
        </w:tc>
        <w:tc>
          <w:tcPr>
            <w:tcW w:w="1062" w:type="dxa"/>
          </w:tcPr>
          <w:p w14:paraId="6849CBC8" w14:textId="77777777" w:rsidR="001C6796" w:rsidRPr="00125515" w:rsidRDefault="001C6796" w:rsidP="00125515">
            <w:pPr>
              <w:rPr>
                <w:sz w:val="19"/>
                <w:szCs w:val="19"/>
              </w:rPr>
            </w:pPr>
            <w:r w:rsidRPr="00125515">
              <w:rPr>
                <w:sz w:val="19"/>
                <w:szCs w:val="19"/>
              </w:rPr>
              <w:t>–</w:t>
            </w:r>
          </w:p>
        </w:tc>
        <w:tc>
          <w:tcPr>
            <w:tcW w:w="1080" w:type="dxa"/>
          </w:tcPr>
          <w:p w14:paraId="721BA965" w14:textId="77777777" w:rsidR="001C6796" w:rsidRPr="00125515" w:rsidRDefault="001C6796" w:rsidP="00125515">
            <w:pPr>
              <w:rPr>
                <w:sz w:val="19"/>
                <w:szCs w:val="19"/>
              </w:rPr>
            </w:pPr>
            <w:r w:rsidRPr="00125515">
              <w:rPr>
                <w:sz w:val="19"/>
                <w:szCs w:val="19"/>
              </w:rPr>
              <w:t>–</w:t>
            </w:r>
          </w:p>
        </w:tc>
      </w:tr>
    </w:tbl>
    <w:p w14:paraId="3A637FC9" w14:textId="116A0E53" w:rsidR="001C6796" w:rsidRPr="00C02A19" w:rsidRDefault="00731EA8" w:rsidP="00C02A19">
      <w:pPr>
        <w:pStyle w:val="TableDescription"/>
      </w:pPr>
      <w:r w:rsidRPr="00C02A19">
        <w:lastRenderedPageBreak/>
        <w:t>R</w:t>
      </w:r>
      <w:r w:rsidR="00713D88">
        <w:t> </w:t>
      </w:r>
      <w:r w:rsidRPr="00C02A19">
        <w:t>=</w:t>
      </w:r>
      <w:r w:rsidR="00713D88">
        <w:t> </w:t>
      </w:r>
      <w:r w:rsidRPr="00C02A19">
        <w:t>routine; A</w:t>
      </w:r>
      <w:r w:rsidR="00713D88">
        <w:t> </w:t>
      </w:r>
      <w:r w:rsidRPr="00C02A19">
        <w:t>=</w:t>
      </w:r>
      <w:r w:rsidR="00713D88">
        <w:t> </w:t>
      </w:r>
      <w:r w:rsidRPr="00C02A19">
        <w:t xml:space="preserve">additional; </w:t>
      </w:r>
      <w:r w:rsidR="001C6796" w:rsidRPr="00C02A19">
        <w:t xml:space="preserve">* Immune-related neurological adverse events (ASA only) are captured in the EU-RMP under </w:t>
      </w:r>
      <w:r w:rsidR="009B53C8" w:rsidRPr="00C02A19">
        <w:t>‘</w:t>
      </w:r>
      <w:r w:rsidR="001C6796" w:rsidRPr="00C02A19">
        <w:t>other immune-related adverse events</w:t>
      </w:r>
      <w:r w:rsidR="009B53C8" w:rsidRPr="00C02A19">
        <w:t>’</w:t>
      </w:r>
      <w:proofErr w:type="gramStart"/>
      <w:r w:rsidR="001C6796" w:rsidRPr="00C02A19">
        <w:t>.*</w:t>
      </w:r>
      <w:proofErr w:type="gramEnd"/>
      <w:r w:rsidR="001C6796" w:rsidRPr="00C02A19">
        <w:t>* The additional pharmacovigilance study, CA209037, was completed in October 2016. Cardiac arrhythmia continues to be monitored in multiple ongoing Phase III clinical trials.</w:t>
      </w:r>
    </w:p>
    <w:p w14:paraId="162A1BA3" w14:textId="2F9B41D1" w:rsidR="001C6796" w:rsidRDefault="001C6796" w:rsidP="00C02A19">
      <w:pPr>
        <w:pStyle w:val="ListBullet"/>
        <w:numPr>
          <w:ilvl w:val="0"/>
          <w:numId w:val="0"/>
        </w:numPr>
      </w:pPr>
      <w:r>
        <w:t xml:space="preserve">Routine pharmacovigilance is proposed for all safety concerns. </w:t>
      </w:r>
      <w:r w:rsidR="001C5E9A">
        <w:t>The sponsor</w:t>
      </w:r>
      <w:r>
        <w:t xml:space="preserve"> is conducting a range of additional pharmacovigilance studies which have been considered in previous RMP evaluations</w:t>
      </w:r>
      <w:r w:rsidR="00C02A19">
        <w:t xml:space="preserve"> by the TGA</w:t>
      </w:r>
      <w:r>
        <w:t>.</w:t>
      </w:r>
    </w:p>
    <w:p w14:paraId="6872F8FB" w14:textId="77777777" w:rsidR="001C6796" w:rsidRDefault="001C6796" w:rsidP="00C02A19">
      <w:pPr>
        <w:pStyle w:val="ListBullet"/>
        <w:numPr>
          <w:ilvl w:val="0"/>
          <w:numId w:val="0"/>
        </w:numPr>
      </w:pPr>
      <w:r>
        <w:t xml:space="preserve">Additional risk minimisation activities include a healthcare professional </w:t>
      </w:r>
      <w:r w:rsidR="00C02A19">
        <w:t xml:space="preserve">(HCP) </w:t>
      </w:r>
      <w:r>
        <w:t>communication tool which is a management guide for immune-related adverse reactions and a patient alert card. The HCP tool has been revised to remove the indications and instead refer HCPs to the most recent PI for the approved indications.</w:t>
      </w:r>
    </w:p>
    <w:p w14:paraId="1DC69AF0" w14:textId="7AB74D3A" w:rsidR="001C6796" w:rsidRDefault="001C6796" w:rsidP="001C6796">
      <w:pPr>
        <w:pStyle w:val="Heading4"/>
      </w:pPr>
      <w:r>
        <w:t xml:space="preserve">New </w:t>
      </w:r>
      <w:r w:rsidR="00125515">
        <w:t>and outstanding recommendations</w:t>
      </w:r>
    </w:p>
    <w:p w14:paraId="6732B649" w14:textId="77777777" w:rsidR="001C6796" w:rsidRDefault="001C6796" w:rsidP="001C6796">
      <w:r>
        <w:t xml:space="preserve">In the rolling question response the sponsor committed to updating the ASA, PI and </w:t>
      </w:r>
      <w:r w:rsidR="00C02A19">
        <w:t>Consumer Medicine Information (</w:t>
      </w:r>
      <w:r>
        <w:t>CMI</w:t>
      </w:r>
      <w:r w:rsidR="00C02A19">
        <w:t>)</w:t>
      </w:r>
      <w:r>
        <w:t>. The updated versions of the PI and CMI have been provided and updated as requested to include ‘Bullous pemphigoid’. For the ASA, it is acceptable for the updates to be included the next time it is revised.</w:t>
      </w:r>
    </w:p>
    <w:p w14:paraId="1F880B34" w14:textId="77777777" w:rsidR="001C6796" w:rsidRDefault="001C6796" w:rsidP="001C6796">
      <w:pPr>
        <w:pStyle w:val="Heading5"/>
      </w:pPr>
      <w:r>
        <w:t>Wording for conditions of registration</w:t>
      </w:r>
    </w:p>
    <w:p w14:paraId="412286F5" w14:textId="77777777" w:rsidR="001C6796" w:rsidRDefault="001C6796" w:rsidP="001C6796">
      <w:r>
        <w:t>Any changes to which the sponsor has agreed should be included in a revised RMP and ASA. However, irrespective of whether or not they are included in the currently available version of the RMP document, the agreed changes become part of the risk management system.</w:t>
      </w:r>
    </w:p>
    <w:p w14:paraId="64A04044" w14:textId="499BC144" w:rsidR="001C6796" w:rsidRDefault="001C6796" w:rsidP="001C6796">
      <w:r>
        <w:t xml:space="preserve">The suggested wording </w:t>
      </w:r>
      <w:r w:rsidR="00C02A19">
        <w:t xml:space="preserve">for conditions of registration </w:t>
      </w:r>
      <w:r w:rsidR="00125515">
        <w:t>is:</w:t>
      </w:r>
    </w:p>
    <w:p w14:paraId="72CE53AE" w14:textId="77777777" w:rsidR="001C6796" w:rsidRPr="001C6796" w:rsidRDefault="001C6796" w:rsidP="001C6796">
      <w:pPr>
        <w:ind w:left="720"/>
        <w:rPr>
          <w:i/>
        </w:rPr>
      </w:pPr>
      <w:r w:rsidRPr="001C6796">
        <w:rPr>
          <w:i/>
        </w:rPr>
        <w:t xml:space="preserve">The </w:t>
      </w:r>
      <w:r w:rsidR="009B53C8">
        <w:rPr>
          <w:i/>
        </w:rPr>
        <w:t>Opdivo</w:t>
      </w:r>
      <w:r w:rsidRPr="001C6796">
        <w:rPr>
          <w:i/>
        </w:rPr>
        <w:t xml:space="preserve"> EU-Risk Management Plan (RMP) (version 12.0, 20 September 2017; DLP 3 July 2017), with Australian Specific Annex (version 10.0, dated 2 October 2017), included with submission PM-2017-03752-1-4, and any subsequent revisions, as agreed with the TGA will be implemented in Australia.</w:t>
      </w:r>
    </w:p>
    <w:p w14:paraId="706D3863" w14:textId="77777777" w:rsidR="001C6796" w:rsidRDefault="001C6796" w:rsidP="001C6796">
      <w:r>
        <w:t>The following wording is recommended for the PSUR requirement:</w:t>
      </w:r>
    </w:p>
    <w:p w14:paraId="291929AC" w14:textId="77777777" w:rsidR="001C6796" w:rsidRPr="001C6796" w:rsidRDefault="001C6796" w:rsidP="001C6796">
      <w:pPr>
        <w:ind w:left="720"/>
        <w:rPr>
          <w:i/>
        </w:rPr>
      </w:pPr>
      <w:r w:rsidRPr="001C6796">
        <w:rPr>
          <w:i/>
        </w:rPr>
        <w:t xml:space="preserve">An obligatory component of risk management plans is routine pharmacovigilance. Routine pharmacovigilance includes the submission of Periodic Safety Update Reports (PSURs). </w:t>
      </w:r>
    </w:p>
    <w:p w14:paraId="45608121" w14:textId="77777777" w:rsidR="001C6796" w:rsidRPr="001C6796" w:rsidRDefault="001C6796" w:rsidP="001C6796">
      <w:pPr>
        <w:ind w:left="720"/>
        <w:rPr>
          <w:i/>
        </w:rPr>
      </w:pPr>
      <w:r w:rsidRPr="001C6796">
        <w:rPr>
          <w:i/>
        </w:rPr>
        <w:t xml:space="preserve">Reports are to be provided in line with the current published list of EU reference dates and frequency of submission of PSURs until the period covered by such reports is not less than three years from the date of this approval letter. </w:t>
      </w:r>
    </w:p>
    <w:p w14:paraId="22469A12" w14:textId="77777777" w:rsidR="00456765" w:rsidRPr="001C6796" w:rsidRDefault="001C6796" w:rsidP="001C6796">
      <w:pPr>
        <w:ind w:left="720"/>
        <w:rPr>
          <w:i/>
        </w:rPr>
      </w:pPr>
      <w:r w:rsidRPr="001C6796">
        <w:rPr>
          <w:i/>
        </w:rP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0991582B" w14:textId="77777777" w:rsidR="008E7846" w:rsidRPr="00792A32" w:rsidRDefault="008E7846" w:rsidP="008E7846">
      <w:pPr>
        <w:pStyle w:val="Heading2"/>
      </w:pPr>
      <w:bookmarkStart w:id="84" w:name="_Toc522802910"/>
      <w:r>
        <w:lastRenderedPageBreak/>
        <w:t>V</w:t>
      </w:r>
      <w:r w:rsidR="00456765">
        <w:t>I</w:t>
      </w:r>
      <w:r>
        <w:t xml:space="preserve">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71"/>
      <w:bookmarkEnd w:id="82"/>
      <w:bookmarkEnd w:id="83"/>
      <w:bookmarkEnd w:id="84"/>
    </w:p>
    <w:p w14:paraId="27F022DE" w14:textId="77777777" w:rsidR="008E7846" w:rsidRDefault="008E7846" w:rsidP="008E7846">
      <w:bookmarkStart w:id="85" w:name="_Toc247691528"/>
      <w:r>
        <w:t xml:space="preserve">The submission was summarised in the following </w:t>
      </w:r>
      <w:r w:rsidRPr="00EF5C48">
        <w:t xml:space="preserve">Delegate’s </w:t>
      </w:r>
      <w:r>
        <w:t>overview</w:t>
      </w:r>
      <w:r w:rsidRPr="00EF5C48">
        <w:t xml:space="preserve"> and recommendation</w:t>
      </w:r>
      <w:r>
        <w:t>s:</w:t>
      </w:r>
    </w:p>
    <w:p w14:paraId="42766FCC" w14:textId="77777777" w:rsidR="008E7846" w:rsidRDefault="008E7846" w:rsidP="008E7846">
      <w:pPr>
        <w:pStyle w:val="Heading3"/>
      </w:pPr>
      <w:bookmarkStart w:id="86" w:name="_Toc314842511"/>
      <w:bookmarkStart w:id="87" w:name="_Toc522802911"/>
      <w:r>
        <w:t>Quality</w:t>
      </w:r>
      <w:bookmarkEnd w:id="85"/>
      <w:bookmarkEnd w:id="86"/>
      <w:bookmarkEnd w:id="87"/>
    </w:p>
    <w:p w14:paraId="54ABB415" w14:textId="77777777" w:rsidR="00E45619" w:rsidRDefault="008E7846" w:rsidP="003A7F6C">
      <w:r>
        <w:t>There was no requirement for a quality evaluation in a submission of this type.</w:t>
      </w:r>
    </w:p>
    <w:p w14:paraId="5A2874B3" w14:textId="77777777" w:rsidR="008E7846" w:rsidRDefault="008E7846" w:rsidP="008E7846">
      <w:pPr>
        <w:pStyle w:val="Heading3"/>
      </w:pPr>
      <w:bookmarkStart w:id="88" w:name="_Toc314842512"/>
      <w:bookmarkStart w:id="89" w:name="_Toc522802912"/>
      <w:r>
        <w:t>Nonclinical</w:t>
      </w:r>
      <w:bookmarkEnd w:id="88"/>
      <w:bookmarkEnd w:id="89"/>
    </w:p>
    <w:p w14:paraId="5D11E685" w14:textId="77777777" w:rsidR="008E7846" w:rsidRDefault="008E7846" w:rsidP="008E7846">
      <w:r>
        <w:t>There was no requirement for a nonclinical evaluation in a submission of this type.</w:t>
      </w:r>
    </w:p>
    <w:p w14:paraId="12C560F3" w14:textId="77777777" w:rsidR="008E7846" w:rsidRDefault="008E7846" w:rsidP="008E7846">
      <w:pPr>
        <w:pStyle w:val="Heading3"/>
      </w:pPr>
      <w:bookmarkStart w:id="90" w:name="_Toc247691530"/>
      <w:bookmarkStart w:id="91" w:name="_Toc314842513"/>
      <w:bookmarkStart w:id="92" w:name="_Toc522802913"/>
      <w:r>
        <w:t>Clinical</w:t>
      </w:r>
      <w:bookmarkEnd w:id="90"/>
      <w:bookmarkEnd w:id="91"/>
      <w:bookmarkEnd w:id="92"/>
    </w:p>
    <w:p w14:paraId="3924FB95" w14:textId="77777777" w:rsidR="002F15EC" w:rsidRPr="00AD1CAD" w:rsidRDefault="002F15EC" w:rsidP="001272A0">
      <w:pPr>
        <w:pStyle w:val="Heading4"/>
        <w:rPr>
          <w:lang w:eastAsia="en-AU"/>
        </w:rPr>
      </w:pPr>
      <w:bookmarkStart w:id="93" w:name="_Toc314842514"/>
      <w:r w:rsidRPr="00AD1CAD">
        <w:rPr>
          <w:lang w:eastAsia="en-AU"/>
        </w:rPr>
        <w:t>Efficacy</w:t>
      </w:r>
    </w:p>
    <w:p w14:paraId="5AD44A89" w14:textId="77777777" w:rsidR="00C02A19" w:rsidRDefault="00C02A19" w:rsidP="00C02A19">
      <w:pPr>
        <w:pStyle w:val="Heading5"/>
      </w:pPr>
      <w:r>
        <w:t xml:space="preserve">Study </w:t>
      </w:r>
      <w:r w:rsidR="002F15EC" w:rsidRPr="00E14694">
        <w:t>CA209</w:t>
      </w:r>
      <w:r w:rsidR="002F15EC">
        <w:t>-</w:t>
      </w:r>
      <w:r w:rsidR="002F15EC" w:rsidRPr="00E14694">
        <w:t>238 (CheckMate 238)</w:t>
      </w:r>
    </w:p>
    <w:p w14:paraId="1D3C4795" w14:textId="77777777" w:rsidR="002F15EC" w:rsidRDefault="00C02A19" w:rsidP="001272A0">
      <w:r>
        <w:t>T</w:t>
      </w:r>
      <w:r w:rsidR="002F15EC">
        <w:t>he results in the dossier are for the cut</w:t>
      </w:r>
      <w:r>
        <w:t>-</w:t>
      </w:r>
      <w:r w:rsidR="002F15EC">
        <w:t>point (database lock) as at</w:t>
      </w:r>
      <w:r w:rsidR="002F15EC" w:rsidRPr="002110B8">
        <w:t xml:space="preserve"> </w:t>
      </w:r>
      <w:r w:rsidR="002F15EC">
        <w:t>Jun</w:t>
      </w:r>
      <w:r>
        <w:t xml:space="preserve">e </w:t>
      </w:r>
      <w:r w:rsidR="002F15EC" w:rsidRPr="002110B8">
        <w:t>2017</w:t>
      </w:r>
      <w:r w:rsidR="002F15EC">
        <w:t>.</w:t>
      </w:r>
    </w:p>
    <w:p w14:paraId="2C92E27E" w14:textId="282815A0" w:rsidR="00C02A19" w:rsidRDefault="00125515" w:rsidP="001272A0">
      <w:r>
        <w:t>Published as:</w:t>
      </w:r>
    </w:p>
    <w:p w14:paraId="1A07BA91" w14:textId="77777777" w:rsidR="002F15EC" w:rsidRDefault="002F15EC" w:rsidP="00C02A19">
      <w:pPr>
        <w:pStyle w:val="ListBullet"/>
      </w:pPr>
      <w:r>
        <w:t xml:space="preserve">Weber M et al. Adjuvant Nivolumab versus Ipilimumab in Resected Stage III or IV Melanoma. NEJM. </w:t>
      </w:r>
      <w:r w:rsidRPr="00766703">
        <w:t>DOI: 10.1056/NEJMoa1709030</w:t>
      </w:r>
      <w:r>
        <w:t xml:space="preserve">. </w:t>
      </w:r>
      <w:r w:rsidR="00C02A19">
        <w:t>P</w:t>
      </w:r>
      <w:r>
        <w:t>ublished online: September 10, 2017, at NEJM.org.</w:t>
      </w:r>
    </w:p>
    <w:p w14:paraId="358D0865" w14:textId="77777777" w:rsidR="002F15EC" w:rsidRPr="00F67921" w:rsidRDefault="002F15EC" w:rsidP="00C02A19">
      <w:pPr>
        <w:pStyle w:val="Heading6"/>
      </w:pPr>
      <w:r>
        <w:t>Design</w:t>
      </w:r>
    </w:p>
    <w:p w14:paraId="7E87DB9C" w14:textId="78921E6E" w:rsidR="002F15EC" w:rsidRDefault="002F15EC" w:rsidP="001272A0">
      <w:r w:rsidRPr="00D31661">
        <w:t>Phase</w:t>
      </w:r>
      <w:r w:rsidR="00C02A19">
        <w:t xml:space="preserve"> III</w:t>
      </w:r>
      <w:r w:rsidRPr="00D31661">
        <w:t>, double</w:t>
      </w:r>
      <w:r w:rsidR="000A6D3C">
        <w:t xml:space="preserve"> </w:t>
      </w:r>
      <w:r w:rsidRPr="00D31661">
        <w:t>blind, placebo</w:t>
      </w:r>
      <w:r w:rsidR="000A6D3C">
        <w:t xml:space="preserve"> </w:t>
      </w:r>
      <w:r w:rsidRPr="00D31661">
        <w:t xml:space="preserve">controlled, multicentre (130 sites), </w:t>
      </w:r>
      <w:proofErr w:type="gramStart"/>
      <w:r w:rsidRPr="00D31661">
        <w:t>multinational</w:t>
      </w:r>
      <w:proofErr w:type="gramEnd"/>
      <w:r w:rsidRPr="00D31661">
        <w:t xml:space="preserve"> (25</w:t>
      </w:r>
      <w:r w:rsidR="000A6D3C">
        <w:t> </w:t>
      </w:r>
      <w:r w:rsidRPr="00D31661">
        <w:t>countries)</w:t>
      </w:r>
      <w:r w:rsidR="00C02A19">
        <w:t xml:space="preserve"> study with e</w:t>
      </w:r>
      <w:r w:rsidRPr="00D31661">
        <w:t>nrolment</w:t>
      </w:r>
      <w:r w:rsidR="00C02A19">
        <w:t xml:space="preserve"> M</w:t>
      </w:r>
      <w:r w:rsidRPr="00D31661">
        <w:t>ar</w:t>
      </w:r>
      <w:r w:rsidR="00C02A19">
        <w:t>ch</w:t>
      </w:r>
      <w:r w:rsidRPr="00D31661">
        <w:t xml:space="preserve"> 2015 to </w:t>
      </w:r>
      <w:r w:rsidR="006733FF" w:rsidRPr="00D31661">
        <w:t>Sep</w:t>
      </w:r>
      <w:r w:rsidR="006733FF">
        <w:t>tember</w:t>
      </w:r>
      <w:r w:rsidRPr="00D31661">
        <w:t xml:space="preserve"> 2015</w:t>
      </w:r>
      <w:r w:rsidR="00C02A19">
        <w:t>.</w:t>
      </w:r>
    </w:p>
    <w:p w14:paraId="3D00F678" w14:textId="77777777" w:rsidR="00C02A19" w:rsidRDefault="00C02A19" w:rsidP="001272A0">
      <w:r>
        <w:t>The following table summarises the study design (Table 7).</w:t>
      </w:r>
    </w:p>
    <w:p w14:paraId="68FC2ABD" w14:textId="77777777" w:rsidR="00C02A19" w:rsidRPr="00F67921" w:rsidRDefault="00C02A19" w:rsidP="00C02A19">
      <w:pPr>
        <w:pStyle w:val="TableTitle"/>
      </w:pPr>
      <w:r>
        <w:t xml:space="preserve">Table 7: Study </w:t>
      </w:r>
      <w:r w:rsidR="00502CEF" w:rsidRPr="00E14694">
        <w:t>CA209</w:t>
      </w:r>
      <w:r w:rsidR="00502CEF">
        <w:t>-</w:t>
      </w:r>
      <w:r w:rsidR="00502CEF" w:rsidRPr="00E14694">
        <w:t xml:space="preserve">238 </w:t>
      </w:r>
      <w:r>
        <w:t>design</w:t>
      </w:r>
    </w:p>
    <w:tbl>
      <w:tblPr>
        <w:tblStyle w:val="TableGrid"/>
        <w:tblW w:w="0" w:type="auto"/>
        <w:tblLook w:val="04A0" w:firstRow="1" w:lastRow="0" w:firstColumn="1" w:lastColumn="0" w:noHBand="0" w:noVBand="1"/>
      </w:tblPr>
      <w:tblGrid>
        <w:gridCol w:w="1440"/>
        <w:gridCol w:w="7280"/>
      </w:tblGrid>
      <w:tr w:rsidR="002F15EC" w14:paraId="739DFB1A" w14:textId="77777777" w:rsidTr="00CA702F">
        <w:trPr>
          <w:trHeight w:val="5120"/>
        </w:trPr>
        <w:tc>
          <w:tcPr>
            <w:tcW w:w="1086" w:type="dxa"/>
            <w:shd w:val="clear" w:color="auto" w:fill="0070C0"/>
          </w:tcPr>
          <w:p w14:paraId="2D008A00" w14:textId="77777777" w:rsidR="002F15EC" w:rsidRPr="001272A0" w:rsidRDefault="001272A0" w:rsidP="001272A0">
            <w:pPr>
              <w:rPr>
                <w:b/>
                <w:color w:val="FFFFFF" w:themeColor="background1"/>
              </w:rPr>
            </w:pPr>
            <w:r w:rsidRPr="001272A0">
              <w:rPr>
                <w:b/>
                <w:color w:val="FFFFFF" w:themeColor="background1"/>
              </w:rPr>
              <w:t>Patients</w:t>
            </w:r>
          </w:p>
        </w:tc>
        <w:tc>
          <w:tcPr>
            <w:tcW w:w="7634" w:type="dxa"/>
          </w:tcPr>
          <w:p w14:paraId="08BAE6B7" w14:textId="77777777" w:rsidR="002F15EC" w:rsidRDefault="00502CEF" w:rsidP="001272A0">
            <w:r>
              <w:t>N</w:t>
            </w:r>
            <w:r w:rsidR="002F15EC">
              <w:t>ivolumab: 453, high-dose ipilimumab: 453</w:t>
            </w:r>
          </w:p>
          <w:p w14:paraId="05319D40" w14:textId="77777777" w:rsidR="002F15EC" w:rsidRDefault="002F15EC" w:rsidP="00502CEF">
            <w:pPr>
              <w:pStyle w:val="Heading6"/>
              <w:outlineLvl w:val="5"/>
            </w:pPr>
            <w:r>
              <w:t>Inclusion criteria</w:t>
            </w:r>
          </w:p>
          <w:p w14:paraId="5B6A5E84" w14:textId="77777777" w:rsidR="002F15EC" w:rsidRDefault="002F15EC" w:rsidP="001272A0">
            <w:r>
              <w:t>Complete resection of</w:t>
            </w:r>
          </w:p>
          <w:p w14:paraId="1AB8C59F" w14:textId="77777777" w:rsidR="002F15EC" w:rsidRDefault="002F15EC" w:rsidP="00502CEF">
            <w:pPr>
              <w:pStyle w:val="ListBullet"/>
            </w:pPr>
            <w:r>
              <w:t>Stage IIIb/c (nodal disease&gt;1 mm)</w:t>
            </w:r>
          </w:p>
          <w:p w14:paraId="3D822C2B" w14:textId="77777777" w:rsidR="002F15EC" w:rsidRDefault="002F15EC" w:rsidP="00502CEF">
            <w:pPr>
              <w:pStyle w:val="ListBullet"/>
            </w:pPr>
            <w:r>
              <w:t xml:space="preserve">Stage IV </w:t>
            </w:r>
          </w:p>
          <w:p w14:paraId="45E54B6E" w14:textId="77777777" w:rsidR="002F15EC" w:rsidRDefault="002F15EC" w:rsidP="001272A0">
            <w:r>
              <w:t>15+ years (although all enrolled patients were 18+ years)</w:t>
            </w:r>
          </w:p>
          <w:p w14:paraId="088BA4B0" w14:textId="77777777" w:rsidR="002F15EC" w:rsidRDefault="002F15EC" w:rsidP="001272A0">
            <w:r>
              <w:t>ECOG: 0 or 1</w:t>
            </w:r>
          </w:p>
          <w:p w14:paraId="7039B2BA" w14:textId="77777777" w:rsidR="002F15EC" w:rsidRDefault="002F15EC" w:rsidP="00502CEF">
            <w:pPr>
              <w:pStyle w:val="Heading6"/>
              <w:outlineLvl w:val="5"/>
            </w:pPr>
            <w:r>
              <w:t>Exclusions</w:t>
            </w:r>
          </w:p>
          <w:p w14:paraId="708A6BA6" w14:textId="77777777" w:rsidR="002F15EC" w:rsidRDefault="002F15EC" w:rsidP="001272A0">
            <w:r>
              <w:t>Ocular/uveal melanoma</w:t>
            </w:r>
          </w:p>
          <w:p w14:paraId="0950B6AB" w14:textId="77777777" w:rsidR="002F15EC" w:rsidRDefault="002F15EC" w:rsidP="001272A0">
            <w:r>
              <w:t>Autoimmune disease</w:t>
            </w:r>
          </w:p>
          <w:p w14:paraId="787C7F3B" w14:textId="77777777" w:rsidR="002F15EC" w:rsidRDefault="002F15EC" w:rsidP="001272A0">
            <w:r>
              <w:t>Any disease requiring treatment with systemic steroids (10+ mg prednisone per day)</w:t>
            </w:r>
          </w:p>
          <w:p w14:paraId="5B29F4B7" w14:textId="77777777" w:rsidR="002F15EC" w:rsidRDefault="002F15EC" w:rsidP="001272A0">
            <w:r>
              <w:t>Any prior systemic therapy for melanoma (interferon allowed if &gt;6 months before randomisation</w:t>
            </w:r>
          </w:p>
        </w:tc>
      </w:tr>
      <w:tr w:rsidR="002F15EC" w14:paraId="5A10E014" w14:textId="77777777" w:rsidTr="00CA702F">
        <w:trPr>
          <w:trHeight w:val="1142"/>
        </w:trPr>
        <w:tc>
          <w:tcPr>
            <w:tcW w:w="1086" w:type="dxa"/>
            <w:shd w:val="clear" w:color="auto" w:fill="0070C0"/>
          </w:tcPr>
          <w:p w14:paraId="0EB7007F" w14:textId="77777777" w:rsidR="002F15EC" w:rsidRPr="001272A0" w:rsidRDefault="001272A0" w:rsidP="001272A0">
            <w:pPr>
              <w:rPr>
                <w:b/>
                <w:color w:val="FFFFFF" w:themeColor="background1"/>
              </w:rPr>
            </w:pPr>
            <w:r w:rsidRPr="001272A0">
              <w:rPr>
                <w:b/>
                <w:color w:val="FFFFFF" w:themeColor="background1"/>
              </w:rPr>
              <w:lastRenderedPageBreak/>
              <w:t>Intervention</w:t>
            </w:r>
          </w:p>
        </w:tc>
        <w:tc>
          <w:tcPr>
            <w:tcW w:w="7634" w:type="dxa"/>
          </w:tcPr>
          <w:p w14:paraId="1D9AB8EB" w14:textId="77777777" w:rsidR="002F15EC" w:rsidRDefault="002F15EC" w:rsidP="001272A0">
            <w:r>
              <w:t xml:space="preserve">Nivolumab: 3 mg/kg </w:t>
            </w:r>
            <w:r w:rsidR="00502CEF">
              <w:t>every 2 weeks (</w:t>
            </w:r>
            <w:r>
              <w:t>q2w</w:t>
            </w:r>
            <w:r w:rsidR="00502CEF">
              <w:t>)</w:t>
            </w:r>
          </w:p>
          <w:p w14:paraId="53B4CC5D" w14:textId="77777777" w:rsidR="002F15EC" w:rsidRDefault="002F15EC" w:rsidP="00502CEF">
            <w:r>
              <w:t>Maximum of 1 year or until unacceptable toxicity or patient withdrawal from study</w:t>
            </w:r>
          </w:p>
        </w:tc>
      </w:tr>
      <w:tr w:rsidR="002F15EC" w14:paraId="0E04E505" w14:textId="77777777" w:rsidTr="001272A0">
        <w:tc>
          <w:tcPr>
            <w:tcW w:w="1086" w:type="dxa"/>
            <w:shd w:val="clear" w:color="auto" w:fill="0070C0"/>
          </w:tcPr>
          <w:p w14:paraId="5471465E" w14:textId="77777777" w:rsidR="002F15EC" w:rsidRPr="001272A0" w:rsidRDefault="001272A0" w:rsidP="001272A0">
            <w:pPr>
              <w:rPr>
                <w:b/>
                <w:color w:val="FFFFFF" w:themeColor="background1"/>
              </w:rPr>
            </w:pPr>
            <w:r w:rsidRPr="001272A0">
              <w:rPr>
                <w:b/>
                <w:color w:val="FFFFFF" w:themeColor="background1"/>
              </w:rPr>
              <w:t>Comparator</w:t>
            </w:r>
          </w:p>
        </w:tc>
        <w:tc>
          <w:tcPr>
            <w:tcW w:w="7634" w:type="dxa"/>
          </w:tcPr>
          <w:p w14:paraId="18A55B98" w14:textId="77777777" w:rsidR="002F15EC" w:rsidRDefault="002F15EC" w:rsidP="001272A0">
            <w:r>
              <w:t xml:space="preserve">Ipilimumab: 10 mg/kg </w:t>
            </w:r>
            <w:r w:rsidR="00502CEF">
              <w:t>every 3 weeks (</w:t>
            </w:r>
            <w:r>
              <w:t>q3w</w:t>
            </w:r>
            <w:r w:rsidR="00502CEF">
              <w:t>)</w:t>
            </w:r>
            <w:r>
              <w:t xml:space="preserve"> for 4 doses, then </w:t>
            </w:r>
            <w:r w:rsidR="00502CEF">
              <w:t>every 12 weeks (</w:t>
            </w:r>
            <w:r>
              <w:t>q12 w</w:t>
            </w:r>
            <w:r w:rsidR="00502CEF">
              <w:t>)</w:t>
            </w:r>
          </w:p>
          <w:p w14:paraId="1AB788B9" w14:textId="77777777" w:rsidR="002F15EC" w:rsidRDefault="002F15EC" w:rsidP="001272A0">
            <w:r>
              <w:t>Maximum of 1 year; or until unacceptable toxicity or patient withdrawal from study</w:t>
            </w:r>
          </w:p>
        </w:tc>
      </w:tr>
      <w:tr w:rsidR="002F15EC" w14:paraId="4A1F4373" w14:textId="77777777" w:rsidTr="001272A0">
        <w:tc>
          <w:tcPr>
            <w:tcW w:w="1086" w:type="dxa"/>
            <w:shd w:val="clear" w:color="auto" w:fill="0070C0"/>
          </w:tcPr>
          <w:p w14:paraId="6CD2B30D" w14:textId="77777777" w:rsidR="002F15EC" w:rsidRPr="001272A0" w:rsidRDefault="001272A0" w:rsidP="001272A0">
            <w:pPr>
              <w:rPr>
                <w:b/>
                <w:color w:val="FFFFFF" w:themeColor="background1"/>
              </w:rPr>
            </w:pPr>
            <w:r w:rsidRPr="001272A0">
              <w:rPr>
                <w:b/>
                <w:color w:val="FFFFFF" w:themeColor="background1"/>
              </w:rPr>
              <w:t>Endpoints</w:t>
            </w:r>
          </w:p>
        </w:tc>
        <w:tc>
          <w:tcPr>
            <w:tcW w:w="7634" w:type="dxa"/>
          </w:tcPr>
          <w:p w14:paraId="6A2BE970" w14:textId="77777777" w:rsidR="00502CEF" w:rsidRPr="00502CEF" w:rsidRDefault="002F15EC" w:rsidP="00502CEF">
            <w:pPr>
              <w:pStyle w:val="Heading6"/>
              <w:outlineLvl w:val="5"/>
            </w:pPr>
            <w:r w:rsidRPr="00502CEF">
              <w:t>Primary</w:t>
            </w:r>
          </w:p>
          <w:p w14:paraId="31A7674C" w14:textId="77777777" w:rsidR="002F15EC" w:rsidRPr="004C400B" w:rsidRDefault="002F15EC" w:rsidP="00502CEF">
            <w:pPr>
              <w:rPr>
                <w:vertAlign w:val="superscript"/>
              </w:rPr>
            </w:pPr>
            <w:r w:rsidRPr="00502CEF">
              <w:t>RFS (recurrence</w:t>
            </w:r>
            <w:r>
              <w:t xml:space="preserve"> or death)</w:t>
            </w:r>
          </w:p>
          <w:p w14:paraId="7E32A0E1" w14:textId="77777777" w:rsidR="002F15EC" w:rsidRDefault="002F15EC" w:rsidP="00502CEF">
            <w:pPr>
              <w:pStyle w:val="Heading6"/>
              <w:outlineLvl w:val="5"/>
            </w:pPr>
            <w:r>
              <w:t>Secondary</w:t>
            </w:r>
          </w:p>
          <w:p w14:paraId="7752C282" w14:textId="77777777" w:rsidR="002F15EC" w:rsidRDefault="002F15EC" w:rsidP="00502CEF">
            <w:pPr>
              <w:pStyle w:val="ListBullet"/>
            </w:pPr>
            <w:r>
              <w:t>OS</w:t>
            </w:r>
          </w:p>
          <w:p w14:paraId="3CFCEF49" w14:textId="77777777" w:rsidR="002F15EC" w:rsidRDefault="002F15EC" w:rsidP="00502CEF">
            <w:pPr>
              <w:pStyle w:val="ListBullet"/>
            </w:pPr>
            <w:r>
              <w:t>RFS stratified by PD-L1 expression</w:t>
            </w:r>
          </w:p>
          <w:p w14:paraId="4E749950" w14:textId="77777777" w:rsidR="002F15EC" w:rsidRDefault="002F15EC" w:rsidP="00502CEF">
            <w:pPr>
              <w:pStyle w:val="Heading6"/>
              <w:outlineLvl w:val="5"/>
            </w:pPr>
            <w:r>
              <w:t>Exploratory</w:t>
            </w:r>
          </w:p>
          <w:p w14:paraId="6A2A6B13" w14:textId="77777777" w:rsidR="002F15EC" w:rsidRDefault="002F15EC" w:rsidP="00502CEF">
            <w:pPr>
              <w:pStyle w:val="ListBullet"/>
            </w:pPr>
            <w:r>
              <w:t>Distant metastasis-free survival (Stage III)</w:t>
            </w:r>
          </w:p>
          <w:p w14:paraId="785AB002" w14:textId="77777777" w:rsidR="002F15EC" w:rsidRDefault="002F15EC" w:rsidP="00502CEF">
            <w:pPr>
              <w:pStyle w:val="ListBullet"/>
            </w:pPr>
            <w:r>
              <w:t>RFS/OS stratified by BRAF</w:t>
            </w:r>
          </w:p>
        </w:tc>
      </w:tr>
    </w:tbl>
    <w:p w14:paraId="2C6B5D08" w14:textId="18A665B0" w:rsidR="002F15EC" w:rsidRDefault="002F15EC" w:rsidP="00502CEF">
      <w:r>
        <w:t xml:space="preserve">Randomisation was stratified by </w:t>
      </w:r>
      <w:r w:rsidR="000A6D3C">
        <w:t xml:space="preserve">Stage </w:t>
      </w:r>
      <w:r>
        <w:t>(IIIB/IIIC, IVM1a/IVM1b, IVM1c) and PD-L1 status, tumour cells only (&lt;</w:t>
      </w:r>
      <w:r w:rsidR="000A6D3C">
        <w:t xml:space="preserve"> </w:t>
      </w:r>
      <w:r>
        <w:t>5%, 5+</w:t>
      </w:r>
      <w:r w:rsidR="000A6D3C">
        <w:t xml:space="preserve"> </w:t>
      </w:r>
      <w:r>
        <w:t>%)</w:t>
      </w:r>
    </w:p>
    <w:p w14:paraId="2DDCD5F9" w14:textId="33BF3460" w:rsidR="002F15EC" w:rsidRDefault="002F15EC" w:rsidP="001272A0">
      <w:r>
        <w:t>Follow-up for</w:t>
      </w:r>
      <w:r w:rsidR="00125515">
        <w:t xml:space="preserve"> RFS:</w:t>
      </w:r>
    </w:p>
    <w:p w14:paraId="0C0971AD" w14:textId="77777777" w:rsidR="002F15EC" w:rsidRDefault="002F15EC" w:rsidP="001272A0">
      <w:pPr>
        <w:pStyle w:val="ListBullet"/>
      </w:pPr>
      <w:r>
        <w:t>during the treatment period: every 12 weeks</w:t>
      </w:r>
    </w:p>
    <w:p w14:paraId="615AA082" w14:textId="77777777" w:rsidR="002F15EC" w:rsidRDefault="002F15EC" w:rsidP="001272A0">
      <w:pPr>
        <w:pStyle w:val="ListBullet"/>
      </w:pPr>
      <w:r>
        <w:t>during follow-up period (1-2 years): every 12 weeks</w:t>
      </w:r>
    </w:p>
    <w:p w14:paraId="6CCC90F0" w14:textId="77777777" w:rsidR="002F15EC" w:rsidRDefault="002F15EC" w:rsidP="001272A0">
      <w:pPr>
        <w:pStyle w:val="ListBullet"/>
      </w:pPr>
      <w:r>
        <w:t>during follow-up period (2-5 years): every 6 months</w:t>
      </w:r>
    </w:p>
    <w:p w14:paraId="7EE12EBC" w14:textId="77777777" w:rsidR="002F15EC" w:rsidRDefault="002F15EC" w:rsidP="002F15EC">
      <w:r w:rsidRPr="00CA702F">
        <w:rPr>
          <w:i/>
        </w:rPr>
        <w:t>Stage IV</w:t>
      </w:r>
      <w:r>
        <w:t>: Patients with completely resected Stage-IV disease would be eligible for nivolumab under the existing melanoma indication. The sponsor has stated that these patients were excluded from the registration trials in Stage-IV melanoma (no lesion to measure at baseline); and, consequen</w:t>
      </w:r>
      <w:r w:rsidR="00502CEF">
        <w:t>tly were included in this study.</w:t>
      </w:r>
    </w:p>
    <w:p w14:paraId="1FCAE3B3" w14:textId="77777777" w:rsidR="002F15EC" w:rsidRPr="00493444" w:rsidRDefault="002F15EC" w:rsidP="001272A0">
      <w:pPr>
        <w:pStyle w:val="Heading6"/>
      </w:pPr>
      <w:r w:rsidRPr="00493444">
        <w:t>Sample size</w:t>
      </w:r>
    </w:p>
    <w:p w14:paraId="458E182D" w14:textId="4297D0DA" w:rsidR="002F15EC" w:rsidRDefault="00502CEF" w:rsidP="001272A0">
      <w:pPr>
        <w:pStyle w:val="ListBullet"/>
      </w:pPr>
      <w:r>
        <w:t>P</w:t>
      </w:r>
      <w:r w:rsidR="002F15EC">
        <w:t>ower: 85%; alpha: 0.05, 2-sided (accounting for the interim analysis, alpha</w:t>
      </w:r>
      <w:r w:rsidR="000A6D3C">
        <w:t xml:space="preserve"> </w:t>
      </w:r>
      <w:r w:rsidR="002F15EC">
        <w:t>=</w:t>
      </w:r>
      <w:r w:rsidR="000A6D3C">
        <w:t xml:space="preserve"> </w:t>
      </w:r>
      <w:r w:rsidR="002F15EC">
        <w:t>0.043, 2</w:t>
      </w:r>
      <w:r w:rsidR="00A022EB">
        <w:noBreakHyphen/>
      </w:r>
      <w:r w:rsidR="002F15EC">
        <w:t>sided)</w:t>
      </w:r>
    </w:p>
    <w:p w14:paraId="7742617E" w14:textId="37F154F1" w:rsidR="002F15EC" w:rsidRDefault="00502CEF" w:rsidP="00502CEF">
      <w:pPr>
        <w:pStyle w:val="ListBullet"/>
      </w:pPr>
      <w:r w:rsidRPr="00502CEF">
        <w:t>Minimal clinically important differences (MCID)</w:t>
      </w:r>
      <w:r w:rsidR="002F15EC">
        <w:t xml:space="preserve">: </w:t>
      </w:r>
      <w:r>
        <w:t>Hazard ratio (</w:t>
      </w:r>
      <w:r w:rsidR="002F15EC">
        <w:t>HR</w:t>
      </w:r>
      <w:r>
        <w:t xml:space="preserve">) </w:t>
      </w:r>
      <w:r w:rsidR="002F15EC">
        <w:t>(RFS)</w:t>
      </w:r>
      <w:r w:rsidR="00A022EB">
        <w:t xml:space="preserve"> </w:t>
      </w:r>
      <w:r w:rsidR="002F15EC">
        <w:t>=</w:t>
      </w:r>
      <w:r w:rsidR="00A022EB">
        <w:t xml:space="preserve"> </w:t>
      </w:r>
      <w:r w:rsidR="002F15EC">
        <w:t>0.75</w:t>
      </w:r>
    </w:p>
    <w:p w14:paraId="48A3153C" w14:textId="553412B6" w:rsidR="002F15EC" w:rsidRDefault="002F15EC" w:rsidP="001272A0">
      <w:pPr>
        <w:pStyle w:val="ListBullet"/>
      </w:pPr>
      <w:r>
        <w:t>450 RFS events expected at final RFS analysis; minimum of 36 months follow-up; 900</w:t>
      </w:r>
      <w:r w:rsidR="00A022EB">
        <w:t> </w:t>
      </w:r>
      <w:r>
        <w:t>patients randomised (</w:t>
      </w:r>
      <w:r w:rsidR="00673E24">
        <w:t>that is,</w:t>
      </w:r>
      <w:r>
        <w:t xml:space="preserve"> 50% expected to recur at 36 months)</w:t>
      </w:r>
    </w:p>
    <w:p w14:paraId="33727F61" w14:textId="77777777" w:rsidR="002F15EC" w:rsidRDefault="002F15EC" w:rsidP="001272A0">
      <w:pPr>
        <w:pStyle w:val="Heading6"/>
      </w:pPr>
      <w:r>
        <w:t>Protocol amendment Jan</w:t>
      </w:r>
      <w:r w:rsidR="00701525">
        <w:t xml:space="preserve">uary </w:t>
      </w:r>
      <w:r>
        <w:t>2017</w:t>
      </w:r>
    </w:p>
    <w:p w14:paraId="4A8D8B3F" w14:textId="21BF2939" w:rsidR="002F15EC" w:rsidRDefault="002F15EC" w:rsidP="001272A0">
      <w:pPr>
        <w:pStyle w:val="ListBullet"/>
      </w:pPr>
      <w:r>
        <w:t>An interim analysis of RFS after all study participants had a minimum of 18 months of follow-up (NEJM paper, CSR submitted in the dossier; data cut</w:t>
      </w:r>
      <w:r w:rsidR="00701525">
        <w:t>-</w:t>
      </w:r>
      <w:r>
        <w:t>point: June 2017)</w:t>
      </w:r>
      <w:r w:rsidR="00A022EB">
        <w:t>.</w:t>
      </w:r>
    </w:p>
    <w:p w14:paraId="3323D604" w14:textId="49BEAFF3" w:rsidR="002F15EC" w:rsidRDefault="002F15EC" w:rsidP="001272A0">
      <w:pPr>
        <w:pStyle w:val="ListBullet"/>
      </w:pPr>
      <w:r>
        <w:t>Approximately 350 RFS events were anticipated at this analysis.</w:t>
      </w:r>
    </w:p>
    <w:p w14:paraId="00D62109" w14:textId="3370E355" w:rsidR="002F15EC" w:rsidRDefault="002F15EC" w:rsidP="001272A0">
      <w:pPr>
        <w:pStyle w:val="ListBullet"/>
        <w:rPr>
          <w:lang w:eastAsia="en-AU"/>
        </w:rPr>
      </w:pPr>
      <w:r>
        <w:t>The stopping boundaries at the interim analysis were derived based on the exact number of RFS events using Lan-DeMets alpha spending function with O’Brien-Fleming boundaries; alpha</w:t>
      </w:r>
      <w:r w:rsidR="00A022EB">
        <w:t xml:space="preserve"> </w:t>
      </w:r>
      <w:r>
        <w:t>=</w:t>
      </w:r>
      <w:r w:rsidR="00A022EB">
        <w:t xml:space="preserve"> </w:t>
      </w:r>
      <w:r>
        <w:t>0.022, 2-sided. (No interim analysis of OS was planned to be performed at this time)</w:t>
      </w:r>
      <w:r w:rsidR="00A022EB">
        <w:t>.</w:t>
      </w:r>
    </w:p>
    <w:p w14:paraId="31BE17FC" w14:textId="77777777" w:rsidR="002F15EC" w:rsidRDefault="002F15EC" w:rsidP="001272A0">
      <w:pPr>
        <w:pStyle w:val="ListBullet"/>
      </w:pPr>
      <w:r w:rsidRPr="00E50D4B">
        <w:lastRenderedPageBreak/>
        <w:t>On 30</w:t>
      </w:r>
      <w:r w:rsidR="00701525">
        <w:t xml:space="preserve"> </w:t>
      </w:r>
      <w:r w:rsidRPr="00E50D4B">
        <w:t>Jun</w:t>
      </w:r>
      <w:r w:rsidR="00701525">
        <w:t xml:space="preserve">e </w:t>
      </w:r>
      <w:r w:rsidRPr="00E50D4B">
        <w:t xml:space="preserve">2017, the independent Data Monitoring </w:t>
      </w:r>
      <w:r>
        <w:t>Committee (DMC) reviewed the</w:t>
      </w:r>
      <w:r w:rsidRPr="00E50D4B">
        <w:t xml:space="preserve"> interim data</w:t>
      </w:r>
      <w:r>
        <w:t xml:space="preserve"> (as per the Jan</w:t>
      </w:r>
      <w:r w:rsidR="00701525">
        <w:t xml:space="preserve">uary </w:t>
      </w:r>
      <w:r>
        <w:t>2017 protocol amendment)</w:t>
      </w:r>
      <w:r w:rsidRPr="00E50D4B">
        <w:t xml:space="preserve"> and confirmed that the pre-specified boundary for RFS was crossed with no new safety signals identified that would affect continuation of the study. An interim CSR reporting primary endpoint results and safety </w:t>
      </w:r>
      <w:r>
        <w:t>was produced (this application)</w:t>
      </w:r>
      <w:r w:rsidRPr="00E50D4B">
        <w:t>. The study is ongoing.</w:t>
      </w:r>
    </w:p>
    <w:p w14:paraId="64AADD7C" w14:textId="77777777" w:rsidR="002F15EC" w:rsidRPr="00D31661" w:rsidRDefault="002F15EC" w:rsidP="001272A0">
      <w:pPr>
        <w:pStyle w:val="Heading6"/>
      </w:pPr>
      <w:r w:rsidRPr="00D31661">
        <w:t>Schedule of analyses</w:t>
      </w:r>
    </w:p>
    <w:p w14:paraId="09FFD992" w14:textId="3D9D432D" w:rsidR="002F15EC" w:rsidRDefault="002F15EC" w:rsidP="001272A0">
      <w:pPr>
        <w:pStyle w:val="ListBullet"/>
      </w:pPr>
      <w:r>
        <w:t>Interim analysis on RFS (primary endpoint) when all patients followed-up for 18 months (see Jan</w:t>
      </w:r>
      <w:r w:rsidR="00701525">
        <w:t>uary</w:t>
      </w:r>
      <w:r>
        <w:t xml:space="preserve"> 2017 protocol amendment, above: NEJM paper, CSR submitted in this application; data cut</w:t>
      </w:r>
      <w:r w:rsidR="00701525">
        <w:t>-</w:t>
      </w:r>
      <w:r>
        <w:t>point: June 2017)</w:t>
      </w:r>
      <w:r w:rsidR="00A022EB">
        <w:t>.</w:t>
      </w:r>
    </w:p>
    <w:p w14:paraId="374A670B" w14:textId="77777777" w:rsidR="002F15EC" w:rsidRDefault="002F15EC" w:rsidP="001272A0">
      <w:pPr>
        <w:pStyle w:val="ListBullet"/>
      </w:pPr>
      <w:r>
        <w:t>Final analysis on RFS (primary endpoint) when all patients followed-up for 36 months.</w:t>
      </w:r>
    </w:p>
    <w:p w14:paraId="3C5FE2E5" w14:textId="77777777" w:rsidR="002F15EC" w:rsidRDefault="002F15EC" w:rsidP="001272A0">
      <w:pPr>
        <w:pStyle w:val="ListBullet"/>
      </w:pPr>
      <w:r>
        <w:t>Interim analysis on OS (secondary endpoint) when all patients followed-up for 36 months.</w:t>
      </w:r>
    </w:p>
    <w:p w14:paraId="4590331F" w14:textId="77777777" w:rsidR="002F15EC" w:rsidRDefault="002F15EC" w:rsidP="001272A0">
      <w:pPr>
        <w:pStyle w:val="ListBullet"/>
      </w:pPr>
      <w:r>
        <w:t>Final analysis on OS (secondary endpoint) when all patients followed-up for 48 months (expected 2020).</w:t>
      </w:r>
    </w:p>
    <w:p w14:paraId="4806147D" w14:textId="77777777" w:rsidR="002F15EC" w:rsidRDefault="002F15EC" w:rsidP="001272A0">
      <w:pPr>
        <w:pStyle w:val="Heading6"/>
      </w:pPr>
      <w:r>
        <w:t>Patient disposition (as at Jun</w:t>
      </w:r>
      <w:r w:rsidR="00701525">
        <w:t>e</w:t>
      </w:r>
      <w:r>
        <w:t xml:space="preserve"> 2017)</w:t>
      </w:r>
    </w:p>
    <w:p w14:paraId="2C4CCC4A" w14:textId="77777777" w:rsidR="00456765" w:rsidRDefault="00701525" w:rsidP="00701525">
      <w:r>
        <w:t>The following table summarises t</w:t>
      </w:r>
      <w:r w:rsidR="002F15EC" w:rsidRPr="000B03FB">
        <w:t>reatment discontinuation</w:t>
      </w:r>
      <w:r>
        <w:t>s.</w:t>
      </w:r>
    </w:p>
    <w:p w14:paraId="1945F44C" w14:textId="77777777" w:rsidR="00701525" w:rsidRDefault="00701525" w:rsidP="00701525">
      <w:pPr>
        <w:pStyle w:val="TableTitle"/>
      </w:pPr>
      <w:r>
        <w:t>Table 8: T</w:t>
      </w:r>
      <w:r w:rsidRPr="000B03FB">
        <w:t>reatment discontinuation</w:t>
      </w:r>
      <w:r>
        <w:t>s</w:t>
      </w:r>
    </w:p>
    <w:tbl>
      <w:tblPr>
        <w:tblStyle w:val="TableTGAblue"/>
        <w:tblW w:w="0" w:type="auto"/>
        <w:tblLook w:val="04A0" w:firstRow="1" w:lastRow="0" w:firstColumn="1" w:lastColumn="0" w:noHBand="0" w:noVBand="1"/>
      </w:tblPr>
      <w:tblGrid>
        <w:gridCol w:w="3085"/>
        <w:gridCol w:w="2552"/>
        <w:gridCol w:w="2976"/>
      </w:tblGrid>
      <w:tr w:rsidR="002F15EC" w14:paraId="59B0E3F5" w14:textId="77777777" w:rsidTr="00701525">
        <w:trPr>
          <w:cnfStyle w:val="100000000000" w:firstRow="1" w:lastRow="0" w:firstColumn="0" w:lastColumn="0" w:oddVBand="0" w:evenVBand="0" w:oddHBand="0" w:evenHBand="0" w:firstRowFirstColumn="0" w:firstRowLastColumn="0" w:lastRowFirstColumn="0" w:lastRowLastColumn="0"/>
        </w:trPr>
        <w:tc>
          <w:tcPr>
            <w:tcW w:w="3085" w:type="dxa"/>
          </w:tcPr>
          <w:p w14:paraId="2BB9D10A" w14:textId="77777777" w:rsidR="002F15EC" w:rsidRPr="00701525" w:rsidRDefault="002F15EC" w:rsidP="002F15EC">
            <w:pPr>
              <w:rPr>
                <w:sz w:val="20"/>
                <w:szCs w:val="20"/>
              </w:rPr>
            </w:pPr>
          </w:p>
        </w:tc>
        <w:tc>
          <w:tcPr>
            <w:tcW w:w="2552" w:type="dxa"/>
          </w:tcPr>
          <w:p w14:paraId="129546C6" w14:textId="7DACE07E" w:rsidR="002F15EC" w:rsidRPr="00701525" w:rsidRDefault="002F15EC" w:rsidP="002F15EC">
            <w:pPr>
              <w:jc w:val="center"/>
              <w:rPr>
                <w:sz w:val="20"/>
                <w:szCs w:val="20"/>
              </w:rPr>
            </w:pPr>
            <w:proofErr w:type="spellStart"/>
            <w:r w:rsidRPr="00701525">
              <w:rPr>
                <w:sz w:val="20"/>
                <w:szCs w:val="20"/>
              </w:rPr>
              <w:t>Nivolumab</w:t>
            </w:r>
            <w:proofErr w:type="spellEnd"/>
          </w:p>
          <w:p w14:paraId="03C8E11E" w14:textId="53B27F17" w:rsidR="002F15EC" w:rsidRPr="00701525" w:rsidRDefault="002F15EC" w:rsidP="002F15EC">
            <w:pPr>
              <w:jc w:val="center"/>
              <w:rPr>
                <w:sz w:val="20"/>
                <w:szCs w:val="20"/>
              </w:rPr>
            </w:pPr>
            <w:r w:rsidRPr="00701525">
              <w:rPr>
                <w:sz w:val="20"/>
                <w:szCs w:val="20"/>
              </w:rPr>
              <w:t>N</w:t>
            </w:r>
            <w:r w:rsidR="00A022EB">
              <w:rPr>
                <w:sz w:val="20"/>
                <w:szCs w:val="20"/>
              </w:rPr>
              <w:t xml:space="preserve"> </w:t>
            </w:r>
            <w:r w:rsidRPr="00701525">
              <w:rPr>
                <w:sz w:val="20"/>
                <w:szCs w:val="20"/>
              </w:rPr>
              <w:t>=</w:t>
            </w:r>
            <w:r w:rsidR="00A022EB">
              <w:rPr>
                <w:sz w:val="20"/>
                <w:szCs w:val="20"/>
              </w:rPr>
              <w:t xml:space="preserve"> </w:t>
            </w:r>
            <w:r w:rsidRPr="00701525">
              <w:rPr>
                <w:sz w:val="20"/>
                <w:szCs w:val="20"/>
              </w:rPr>
              <w:t>453</w:t>
            </w:r>
          </w:p>
        </w:tc>
        <w:tc>
          <w:tcPr>
            <w:tcW w:w="2976" w:type="dxa"/>
          </w:tcPr>
          <w:p w14:paraId="4C70DE71" w14:textId="77777777" w:rsidR="002F15EC" w:rsidRPr="00701525" w:rsidRDefault="002F15EC" w:rsidP="002F15EC">
            <w:pPr>
              <w:jc w:val="center"/>
              <w:rPr>
                <w:sz w:val="20"/>
                <w:szCs w:val="20"/>
              </w:rPr>
            </w:pPr>
            <w:r w:rsidRPr="00701525">
              <w:rPr>
                <w:sz w:val="20"/>
                <w:szCs w:val="20"/>
              </w:rPr>
              <w:t>Ipilimumab</w:t>
            </w:r>
          </w:p>
          <w:p w14:paraId="211264C7" w14:textId="1A6D2BA2" w:rsidR="002F15EC" w:rsidRPr="00701525" w:rsidRDefault="002F15EC" w:rsidP="002F15EC">
            <w:pPr>
              <w:jc w:val="center"/>
              <w:rPr>
                <w:sz w:val="20"/>
                <w:szCs w:val="20"/>
              </w:rPr>
            </w:pPr>
            <w:r w:rsidRPr="00701525">
              <w:rPr>
                <w:sz w:val="20"/>
                <w:szCs w:val="20"/>
              </w:rPr>
              <w:t>N</w:t>
            </w:r>
            <w:r w:rsidR="00A022EB">
              <w:rPr>
                <w:sz w:val="20"/>
                <w:szCs w:val="20"/>
              </w:rPr>
              <w:t xml:space="preserve"> </w:t>
            </w:r>
            <w:r w:rsidRPr="00701525">
              <w:rPr>
                <w:sz w:val="20"/>
                <w:szCs w:val="20"/>
              </w:rPr>
              <w:t>=</w:t>
            </w:r>
            <w:r w:rsidR="00A022EB">
              <w:rPr>
                <w:sz w:val="20"/>
                <w:szCs w:val="20"/>
              </w:rPr>
              <w:t xml:space="preserve"> </w:t>
            </w:r>
            <w:r w:rsidRPr="00701525">
              <w:rPr>
                <w:sz w:val="20"/>
                <w:szCs w:val="20"/>
              </w:rPr>
              <w:t>453</w:t>
            </w:r>
          </w:p>
        </w:tc>
      </w:tr>
      <w:tr w:rsidR="002F15EC" w14:paraId="19E9A596" w14:textId="77777777" w:rsidTr="00701525">
        <w:tc>
          <w:tcPr>
            <w:tcW w:w="3085" w:type="dxa"/>
          </w:tcPr>
          <w:p w14:paraId="72261AA6" w14:textId="77777777" w:rsidR="002F15EC" w:rsidRPr="00701525" w:rsidRDefault="002F15EC" w:rsidP="002F15EC">
            <w:pPr>
              <w:rPr>
                <w:sz w:val="20"/>
                <w:szCs w:val="20"/>
                <w:vertAlign w:val="superscript"/>
              </w:rPr>
            </w:pPr>
            <w:r w:rsidRPr="00701525">
              <w:rPr>
                <w:sz w:val="20"/>
                <w:szCs w:val="20"/>
              </w:rPr>
              <w:t>Completed treatment</w:t>
            </w:r>
            <w:r w:rsidRPr="00701525">
              <w:rPr>
                <w:sz w:val="20"/>
                <w:szCs w:val="20"/>
                <w:vertAlign w:val="superscript"/>
              </w:rPr>
              <w:t>a</w:t>
            </w:r>
          </w:p>
        </w:tc>
        <w:tc>
          <w:tcPr>
            <w:tcW w:w="2552" w:type="dxa"/>
          </w:tcPr>
          <w:p w14:paraId="3AD93AAE" w14:textId="77777777" w:rsidR="002F15EC" w:rsidRPr="00701525" w:rsidRDefault="002F15EC" w:rsidP="002F15EC">
            <w:pPr>
              <w:jc w:val="center"/>
              <w:rPr>
                <w:sz w:val="20"/>
                <w:szCs w:val="20"/>
              </w:rPr>
            </w:pPr>
            <w:r w:rsidRPr="00701525">
              <w:rPr>
                <w:sz w:val="20"/>
                <w:szCs w:val="20"/>
              </w:rPr>
              <w:t>61%</w:t>
            </w:r>
          </w:p>
        </w:tc>
        <w:tc>
          <w:tcPr>
            <w:tcW w:w="2976" w:type="dxa"/>
          </w:tcPr>
          <w:p w14:paraId="3AAD0019" w14:textId="77777777" w:rsidR="002F15EC" w:rsidRPr="00701525" w:rsidRDefault="002F15EC" w:rsidP="002F15EC">
            <w:pPr>
              <w:jc w:val="center"/>
              <w:rPr>
                <w:sz w:val="20"/>
                <w:szCs w:val="20"/>
              </w:rPr>
            </w:pPr>
            <w:r w:rsidRPr="00701525">
              <w:rPr>
                <w:sz w:val="20"/>
                <w:szCs w:val="20"/>
              </w:rPr>
              <w:t>27%</w:t>
            </w:r>
          </w:p>
        </w:tc>
      </w:tr>
      <w:tr w:rsidR="002F15EC" w14:paraId="583F48BB" w14:textId="77777777" w:rsidTr="00701525">
        <w:tc>
          <w:tcPr>
            <w:tcW w:w="3085" w:type="dxa"/>
          </w:tcPr>
          <w:p w14:paraId="3382318D" w14:textId="77777777" w:rsidR="002F15EC" w:rsidRPr="00701525" w:rsidRDefault="002F15EC" w:rsidP="002F15EC">
            <w:pPr>
              <w:rPr>
                <w:sz w:val="20"/>
                <w:szCs w:val="20"/>
              </w:rPr>
            </w:pPr>
            <w:r w:rsidRPr="00701525">
              <w:rPr>
                <w:sz w:val="20"/>
                <w:szCs w:val="20"/>
              </w:rPr>
              <w:t>Disease recurrence</w:t>
            </w:r>
          </w:p>
        </w:tc>
        <w:tc>
          <w:tcPr>
            <w:tcW w:w="2552" w:type="dxa"/>
          </w:tcPr>
          <w:p w14:paraId="24B3C1B2" w14:textId="77777777" w:rsidR="002F15EC" w:rsidRPr="00701525" w:rsidRDefault="002F15EC" w:rsidP="002F15EC">
            <w:pPr>
              <w:jc w:val="center"/>
              <w:rPr>
                <w:sz w:val="20"/>
                <w:szCs w:val="20"/>
              </w:rPr>
            </w:pPr>
            <w:r w:rsidRPr="00701525">
              <w:rPr>
                <w:sz w:val="20"/>
                <w:szCs w:val="20"/>
              </w:rPr>
              <w:t>27%</w:t>
            </w:r>
          </w:p>
        </w:tc>
        <w:tc>
          <w:tcPr>
            <w:tcW w:w="2976" w:type="dxa"/>
          </w:tcPr>
          <w:p w14:paraId="1F1A8A7B" w14:textId="77777777" w:rsidR="002F15EC" w:rsidRPr="00701525" w:rsidRDefault="002F15EC" w:rsidP="002F15EC">
            <w:pPr>
              <w:jc w:val="center"/>
              <w:rPr>
                <w:sz w:val="20"/>
                <w:szCs w:val="20"/>
              </w:rPr>
            </w:pPr>
            <w:r w:rsidRPr="00701525">
              <w:rPr>
                <w:sz w:val="20"/>
                <w:szCs w:val="20"/>
              </w:rPr>
              <w:t>22%</w:t>
            </w:r>
          </w:p>
        </w:tc>
      </w:tr>
      <w:tr w:rsidR="002F15EC" w14:paraId="265AC4AE" w14:textId="77777777" w:rsidTr="00701525">
        <w:tc>
          <w:tcPr>
            <w:tcW w:w="3085" w:type="dxa"/>
          </w:tcPr>
          <w:p w14:paraId="0ED602AE" w14:textId="77777777" w:rsidR="002F15EC" w:rsidRPr="00701525" w:rsidRDefault="002F15EC" w:rsidP="002F15EC">
            <w:pPr>
              <w:rPr>
                <w:sz w:val="20"/>
                <w:szCs w:val="20"/>
              </w:rPr>
            </w:pPr>
            <w:r w:rsidRPr="00701525">
              <w:rPr>
                <w:sz w:val="20"/>
                <w:szCs w:val="20"/>
              </w:rPr>
              <w:t>Toxicity</w:t>
            </w:r>
          </w:p>
        </w:tc>
        <w:tc>
          <w:tcPr>
            <w:tcW w:w="2552" w:type="dxa"/>
          </w:tcPr>
          <w:p w14:paraId="43319165" w14:textId="77777777" w:rsidR="002F15EC" w:rsidRPr="00701525" w:rsidRDefault="002F15EC" w:rsidP="002F15EC">
            <w:pPr>
              <w:jc w:val="center"/>
              <w:rPr>
                <w:sz w:val="20"/>
                <w:szCs w:val="20"/>
              </w:rPr>
            </w:pPr>
            <w:r w:rsidRPr="00701525">
              <w:rPr>
                <w:sz w:val="20"/>
                <w:szCs w:val="20"/>
              </w:rPr>
              <w:t>9%</w:t>
            </w:r>
          </w:p>
        </w:tc>
        <w:tc>
          <w:tcPr>
            <w:tcW w:w="2976" w:type="dxa"/>
          </w:tcPr>
          <w:p w14:paraId="5FA3B4C5" w14:textId="77777777" w:rsidR="002F15EC" w:rsidRPr="00701525" w:rsidRDefault="002F15EC" w:rsidP="002F15EC">
            <w:pPr>
              <w:jc w:val="center"/>
              <w:rPr>
                <w:sz w:val="20"/>
                <w:szCs w:val="20"/>
              </w:rPr>
            </w:pPr>
            <w:r w:rsidRPr="00701525">
              <w:rPr>
                <w:sz w:val="20"/>
                <w:szCs w:val="20"/>
              </w:rPr>
              <w:t>46%</w:t>
            </w:r>
          </w:p>
        </w:tc>
      </w:tr>
      <w:tr w:rsidR="002F15EC" w14:paraId="46BB12E1" w14:textId="77777777" w:rsidTr="00701525">
        <w:tc>
          <w:tcPr>
            <w:tcW w:w="3085" w:type="dxa"/>
          </w:tcPr>
          <w:p w14:paraId="03381C42" w14:textId="0CCDF67E" w:rsidR="002F15EC" w:rsidRPr="00701525" w:rsidRDefault="002F15EC" w:rsidP="00A022EB">
            <w:pPr>
              <w:rPr>
                <w:sz w:val="20"/>
                <w:szCs w:val="20"/>
              </w:rPr>
            </w:pPr>
            <w:r w:rsidRPr="00701525">
              <w:rPr>
                <w:sz w:val="20"/>
                <w:szCs w:val="20"/>
              </w:rPr>
              <w:t xml:space="preserve">Withdrew consent, </w:t>
            </w:r>
            <w:r w:rsidR="00A022EB">
              <w:rPr>
                <w:sz w:val="20"/>
                <w:szCs w:val="20"/>
              </w:rPr>
              <w:t>and similar</w:t>
            </w:r>
          </w:p>
        </w:tc>
        <w:tc>
          <w:tcPr>
            <w:tcW w:w="2552" w:type="dxa"/>
          </w:tcPr>
          <w:p w14:paraId="1AA0C9AD" w14:textId="77777777" w:rsidR="002F15EC" w:rsidRPr="00701525" w:rsidRDefault="002F15EC" w:rsidP="002F15EC">
            <w:pPr>
              <w:jc w:val="center"/>
              <w:rPr>
                <w:sz w:val="20"/>
                <w:szCs w:val="20"/>
              </w:rPr>
            </w:pPr>
            <w:r w:rsidRPr="00701525">
              <w:rPr>
                <w:sz w:val="20"/>
                <w:szCs w:val="20"/>
              </w:rPr>
              <w:t>2%</w:t>
            </w:r>
          </w:p>
        </w:tc>
        <w:tc>
          <w:tcPr>
            <w:tcW w:w="2976" w:type="dxa"/>
          </w:tcPr>
          <w:p w14:paraId="2565A015" w14:textId="77777777" w:rsidR="002F15EC" w:rsidRPr="00701525" w:rsidRDefault="002F15EC" w:rsidP="002F15EC">
            <w:pPr>
              <w:jc w:val="center"/>
              <w:rPr>
                <w:sz w:val="20"/>
                <w:szCs w:val="20"/>
              </w:rPr>
            </w:pPr>
            <w:r w:rsidRPr="00701525">
              <w:rPr>
                <w:sz w:val="20"/>
                <w:szCs w:val="20"/>
              </w:rPr>
              <w:t>3%</w:t>
            </w:r>
          </w:p>
        </w:tc>
      </w:tr>
    </w:tbl>
    <w:p w14:paraId="11D025FF" w14:textId="77777777" w:rsidR="002F15EC" w:rsidRDefault="002F15EC" w:rsidP="00701525">
      <w:pPr>
        <w:pStyle w:val="TableDescription"/>
      </w:pPr>
      <w:r>
        <w:t>Median duration of therapy: nivolumab (11.5 months) ipilimumab (2.7 months)</w:t>
      </w:r>
    </w:p>
    <w:p w14:paraId="794E5C75" w14:textId="77777777" w:rsidR="002F15EC" w:rsidRDefault="002F15EC" w:rsidP="00701525">
      <w:r w:rsidRPr="000B03FB">
        <w:t xml:space="preserve">Patients not continuing in </w:t>
      </w:r>
      <w:r w:rsidR="00701525">
        <w:t xml:space="preserve">the </w:t>
      </w:r>
      <w:r w:rsidRPr="000B03FB">
        <w:t>study</w:t>
      </w:r>
      <w:r w:rsidR="00701525">
        <w:t xml:space="preserve"> is summarised in Table 9 below.</w:t>
      </w:r>
    </w:p>
    <w:p w14:paraId="4E3DF6E1" w14:textId="77777777" w:rsidR="00701525" w:rsidRDefault="00701525" w:rsidP="00701525">
      <w:pPr>
        <w:pStyle w:val="TableTitle"/>
      </w:pPr>
      <w:r>
        <w:t xml:space="preserve">Table 9: </w:t>
      </w:r>
      <w:r w:rsidRPr="000B03FB">
        <w:t>Patients not continuing in study</w:t>
      </w:r>
    </w:p>
    <w:tbl>
      <w:tblPr>
        <w:tblStyle w:val="TableTGAblue"/>
        <w:tblW w:w="0" w:type="auto"/>
        <w:tblLook w:val="04A0" w:firstRow="1" w:lastRow="0" w:firstColumn="1" w:lastColumn="0" w:noHBand="0" w:noVBand="1"/>
      </w:tblPr>
      <w:tblGrid>
        <w:gridCol w:w="2093"/>
        <w:gridCol w:w="1660"/>
        <w:gridCol w:w="1559"/>
      </w:tblGrid>
      <w:tr w:rsidR="002F15EC" w14:paraId="7615C266" w14:textId="77777777" w:rsidTr="00701525">
        <w:trPr>
          <w:cnfStyle w:val="100000000000" w:firstRow="1" w:lastRow="0" w:firstColumn="0" w:lastColumn="0" w:oddVBand="0" w:evenVBand="0" w:oddHBand="0" w:evenHBand="0" w:firstRowFirstColumn="0" w:firstRowLastColumn="0" w:lastRowFirstColumn="0" w:lastRowLastColumn="0"/>
        </w:trPr>
        <w:tc>
          <w:tcPr>
            <w:tcW w:w="2093" w:type="dxa"/>
          </w:tcPr>
          <w:p w14:paraId="3A34F1AD" w14:textId="77777777" w:rsidR="002F15EC" w:rsidRPr="00701525" w:rsidRDefault="002F15EC" w:rsidP="002F15EC">
            <w:pPr>
              <w:rPr>
                <w:sz w:val="20"/>
                <w:szCs w:val="20"/>
              </w:rPr>
            </w:pPr>
          </w:p>
        </w:tc>
        <w:tc>
          <w:tcPr>
            <w:tcW w:w="1660" w:type="dxa"/>
          </w:tcPr>
          <w:p w14:paraId="1C284ED2" w14:textId="77777777" w:rsidR="002F15EC" w:rsidRPr="00701525" w:rsidRDefault="002F15EC" w:rsidP="002F15EC">
            <w:pPr>
              <w:jc w:val="center"/>
              <w:rPr>
                <w:sz w:val="20"/>
                <w:szCs w:val="20"/>
              </w:rPr>
            </w:pPr>
            <w:r w:rsidRPr="00701525">
              <w:rPr>
                <w:sz w:val="20"/>
                <w:szCs w:val="20"/>
              </w:rPr>
              <w:t>Nivolumab</w:t>
            </w:r>
          </w:p>
          <w:p w14:paraId="51648104" w14:textId="77777777" w:rsidR="002F15EC" w:rsidRPr="00701525" w:rsidRDefault="002F15EC" w:rsidP="002F15EC">
            <w:pPr>
              <w:jc w:val="center"/>
              <w:rPr>
                <w:sz w:val="20"/>
                <w:szCs w:val="20"/>
              </w:rPr>
            </w:pPr>
            <w:r w:rsidRPr="00701525">
              <w:rPr>
                <w:sz w:val="20"/>
                <w:szCs w:val="20"/>
              </w:rPr>
              <w:t>13%</w:t>
            </w:r>
          </w:p>
        </w:tc>
        <w:tc>
          <w:tcPr>
            <w:tcW w:w="1559" w:type="dxa"/>
          </w:tcPr>
          <w:p w14:paraId="17B64F2C" w14:textId="77777777" w:rsidR="002F15EC" w:rsidRPr="00701525" w:rsidRDefault="002F15EC" w:rsidP="002F15EC">
            <w:pPr>
              <w:jc w:val="center"/>
              <w:rPr>
                <w:sz w:val="20"/>
                <w:szCs w:val="20"/>
              </w:rPr>
            </w:pPr>
            <w:r w:rsidRPr="00701525">
              <w:rPr>
                <w:sz w:val="20"/>
                <w:szCs w:val="20"/>
              </w:rPr>
              <w:t>Ipiliumab</w:t>
            </w:r>
          </w:p>
          <w:p w14:paraId="480800DC" w14:textId="77777777" w:rsidR="002F15EC" w:rsidRPr="00701525" w:rsidRDefault="002F15EC" w:rsidP="002F15EC">
            <w:pPr>
              <w:jc w:val="center"/>
              <w:rPr>
                <w:sz w:val="20"/>
                <w:szCs w:val="20"/>
              </w:rPr>
            </w:pPr>
            <w:r w:rsidRPr="00701525">
              <w:rPr>
                <w:sz w:val="20"/>
                <w:szCs w:val="20"/>
              </w:rPr>
              <w:t>16%</w:t>
            </w:r>
          </w:p>
        </w:tc>
      </w:tr>
      <w:tr w:rsidR="002F15EC" w14:paraId="50E3F725" w14:textId="77777777" w:rsidTr="00701525">
        <w:tc>
          <w:tcPr>
            <w:tcW w:w="2093" w:type="dxa"/>
          </w:tcPr>
          <w:p w14:paraId="3BCFB206" w14:textId="77777777" w:rsidR="002F15EC" w:rsidRPr="00701525" w:rsidRDefault="002F15EC" w:rsidP="002F15EC">
            <w:pPr>
              <w:rPr>
                <w:sz w:val="20"/>
                <w:szCs w:val="20"/>
              </w:rPr>
            </w:pPr>
            <w:r w:rsidRPr="00701525">
              <w:rPr>
                <w:sz w:val="20"/>
                <w:szCs w:val="20"/>
              </w:rPr>
              <w:t>Death</w:t>
            </w:r>
          </w:p>
        </w:tc>
        <w:tc>
          <w:tcPr>
            <w:tcW w:w="1660" w:type="dxa"/>
          </w:tcPr>
          <w:p w14:paraId="29ED6A78" w14:textId="77777777" w:rsidR="002F15EC" w:rsidRPr="00701525" w:rsidRDefault="002F15EC" w:rsidP="002F15EC">
            <w:pPr>
              <w:jc w:val="center"/>
              <w:rPr>
                <w:sz w:val="20"/>
                <w:szCs w:val="20"/>
              </w:rPr>
            </w:pPr>
            <w:r w:rsidRPr="00701525">
              <w:rPr>
                <w:sz w:val="20"/>
                <w:szCs w:val="20"/>
              </w:rPr>
              <w:t>10%</w:t>
            </w:r>
          </w:p>
        </w:tc>
        <w:tc>
          <w:tcPr>
            <w:tcW w:w="1559" w:type="dxa"/>
          </w:tcPr>
          <w:p w14:paraId="141A52B7" w14:textId="77777777" w:rsidR="002F15EC" w:rsidRPr="00701525" w:rsidRDefault="002F15EC" w:rsidP="002F15EC">
            <w:pPr>
              <w:jc w:val="center"/>
              <w:rPr>
                <w:sz w:val="20"/>
                <w:szCs w:val="20"/>
              </w:rPr>
            </w:pPr>
            <w:r w:rsidRPr="00701525">
              <w:rPr>
                <w:sz w:val="20"/>
                <w:szCs w:val="20"/>
              </w:rPr>
              <w:t>10%</w:t>
            </w:r>
          </w:p>
        </w:tc>
      </w:tr>
      <w:tr w:rsidR="002F15EC" w14:paraId="1D3BF3AA" w14:textId="77777777" w:rsidTr="00701525">
        <w:tc>
          <w:tcPr>
            <w:tcW w:w="2093" w:type="dxa"/>
          </w:tcPr>
          <w:p w14:paraId="548D16EA" w14:textId="77777777" w:rsidR="002F15EC" w:rsidRPr="00701525" w:rsidRDefault="002F15EC" w:rsidP="002F15EC">
            <w:pPr>
              <w:rPr>
                <w:sz w:val="20"/>
                <w:szCs w:val="20"/>
              </w:rPr>
            </w:pPr>
            <w:r w:rsidRPr="00701525">
              <w:rPr>
                <w:sz w:val="20"/>
                <w:szCs w:val="20"/>
              </w:rPr>
              <w:t>Withdrew</w:t>
            </w:r>
          </w:p>
        </w:tc>
        <w:tc>
          <w:tcPr>
            <w:tcW w:w="1660" w:type="dxa"/>
          </w:tcPr>
          <w:p w14:paraId="43B4EBFE" w14:textId="77777777" w:rsidR="002F15EC" w:rsidRPr="00701525" w:rsidRDefault="002F15EC" w:rsidP="002F15EC">
            <w:pPr>
              <w:jc w:val="center"/>
              <w:rPr>
                <w:sz w:val="20"/>
                <w:szCs w:val="20"/>
              </w:rPr>
            </w:pPr>
            <w:r w:rsidRPr="00701525">
              <w:rPr>
                <w:sz w:val="20"/>
                <w:szCs w:val="20"/>
              </w:rPr>
              <w:t>3%</w:t>
            </w:r>
          </w:p>
        </w:tc>
        <w:tc>
          <w:tcPr>
            <w:tcW w:w="1559" w:type="dxa"/>
          </w:tcPr>
          <w:p w14:paraId="0ECE5913" w14:textId="77777777" w:rsidR="002F15EC" w:rsidRPr="00701525" w:rsidRDefault="002F15EC" w:rsidP="002F15EC">
            <w:pPr>
              <w:jc w:val="center"/>
              <w:rPr>
                <w:sz w:val="20"/>
                <w:szCs w:val="20"/>
              </w:rPr>
            </w:pPr>
            <w:r w:rsidRPr="00701525">
              <w:rPr>
                <w:sz w:val="20"/>
                <w:szCs w:val="20"/>
              </w:rPr>
              <w:t>5%</w:t>
            </w:r>
          </w:p>
        </w:tc>
      </w:tr>
      <w:tr w:rsidR="002F15EC" w14:paraId="5BD29BEC" w14:textId="77777777" w:rsidTr="00701525">
        <w:tc>
          <w:tcPr>
            <w:tcW w:w="2093" w:type="dxa"/>
          </w:tcPr>
          <w:p w14:paraId="1FFF785B" w14:textId="77777777" w:rsidR="002F15EC" w:rsidRPr="00701525" w:rsidRDefault="002F15EC" w:rsidP="002F15EC">
            <w:pPr>
              <w:rPr>
                <w:sz w:val="20"/>
                <w:szCs w:val="20"/>
              </w:rPr>
            </w:pPr>
            <w:r w:rsidRPr="00701525">
              <w:rPr>
                <w:sz w:val="20"/>
                <w:szCs w:val="20"/>
              </w:rPr>
              <w:t>Loss to FU, etc</w:t>
            </w:r>
          </w:p>
        </w:tc>
        <w:tc>
          <w:tcPr>
            <w:tcW w:w="1660" w:type="dxa"/>
          </w:tcPr>
          <w:p w14:paraId="26B90C5C" w14:textId="77777777" w:rsidR="002F15EC" w:rsidRPr="00701525" w:rsidRDefault="002F15EC" w:rsidP="002F15EC">
            <w:pPr>
              <w:jc w:val="center"/>
              <w:rPr>
                <w:sz w:val="20"/>
                <w:szCs w:val="20"/>
              </w:rPr>
            </w:pPr>
            <w:r w:rsidRPr="00701525">
              <w:rPr>
                <w:sz w:val="20"/>
                <w:szCs w:val="20"/>
              </w:rPr>
              <w:t>&lt;1%</w:t>
            </w:r>
          </w:p>
        </w:tc>
        <w:tc>
          <w:tcPr>
            <w:tcW w:w="1559" w:type="dxa"/>
          </w:tcPr>
          <w:p w14:paraId="241BDBF9" w14:textId="77777777" w:rsidR="002F15EC" w:rsidRPr="00701525" w:rsidRDefault="002F15EC" w:rsidP="002F15EC">
            <w:pPr>
              <w:jc w:val="center"/>
              <w:rPr>
                <w:sz w:val="20"/>
                <w:szCs w:val="20"/>
              </w:rPr>
            </w:pPr>
            <w:r w:rsidRPr="00701525">
              <w:rPr>
                <w:sz w:val="20"/>
                <w:szCs w:val="20"/>
              </w:rPr>
              <w:t>1%</w:t>
            </w:r>
          </w:p>
        </w:tc>
      </w:tr>
    </w:tbl>
    <w:p w14:paraId="39B49CFA" w14:textId="77777777" w:rsidR="002F15EC" w:rsidRDefault="002F15EC" w:rsidP="00701525">
      <w:pPr>
        <w:pStyle w:val="TableDescription"/>
      </w:pPr>
      <w:r>
        <w:t>Median follow-up as at 12-Jun-2017 was 19.5 months</w:t>
      </w:r>
    </w:p>
    <w:p w14:paraId="60F70067" w14:textId="77777777" w:rsidR="002F15EC" w:rsidRDefault="002F15EC" w:rsidP="001272A0">
      <w:r>
        <w:t>At database lock (June 2017), no patients were still on treatment.</w:t>
      </w:r>
    </w:p>
    <w:p w14:paraId="7ED76A99" w14:textId="77777777" w:rsidR="002F15EC" w:rsidRDefault="002F15EC" w:rsidP="001272A0">
      <w:r>
        <w:t xml:space="preserve">Censored, mainly because </w:t>
      </w:r>
      <w:r w:rsidR="00701525">
        <w:t xml:space="preserve">of </w:t>
      </w:r>
      <w:r>
        <w:t>the event of interest, recurrence had not been observed.</w:t>
      </w:r>
    </w:p>
    <w:p w14:paraId="2921611A" w14:textId="77777777" w:rsidR="002F15EC" w:rsidRPr="00701525" w:rsidRDefault="002F15EC" w:rsidP="00701525">
      <w:pPr>
        <w:pStyle w:val="ListBullet"/>
      </w:pPr>
      <w:r w:rsidRPr="00701525">
        <w:t>Nivolumab: 299 (66%)</w:t>
      </w:r>
    </w:p>
    <w:p w14:paraId="0096DD1E" w14:textId="77777777" w:rsidR="002F15EC" w:rsidRPr="00701525" w:rsidRDefault="002F15EC" w:rsidP="00701525">
      <w:pPr>
        <w:pStyle w:val="ListBullet"/>
      </w:pPr>
      <w:r w:rsidRPr="00701525">
        <w:lastRenderedPageBreak/>
        <w:t>Ipilimumab: 247 (55%)</w:t>
      </w:r>
    </w:p>
    <w:p w14:paraId="36AD83FE" w14:textId="77777777" w:rsidR="002F15EC" w:rsidRDefault="002F15EC" w:rsidP="00701525">
      <w:r w:rsidRPr="001272A0">
        <w:t>Subsequent treatment</w:t>
      </w:r>
      <w:r w:rsidR="00701525">
        <w:t xml:space="preserve"> is summarised in Table 10 below.</w:t>
      </w:r>
    </w:p>
    <w:p w14:paraId="39AD74AD" w14:textId="77777777" w:rsidR="00701525" w:rsidRPr="001272A0" w:rsidRDefault="00701525" w:rsidP="00A022EB">
      <w:pPr>
        <w:pStyle w:val="TableTitle"/>
      </w:pPr>
      <w:r>
        <w:t xml:space="preserve">Table 10: </w:t>
      </w:r>
      <w:r w:rsidRPr="001272A0">
        <w:t>Subsequent treatment</w:t>
      </w:r>
    </w:p>
    <w:tbl>
      <w:tblPr>
        <w:tblStyle w:val="TableTGAblue"/>
        <w:tblW w:w="0" w:type="auto"/>
        <w:tblLook w:val="04A0" w:firstRow="1" w:lastRow="0" w:firstColumn="1" w:lastColumn="0" w:noHBand="0" w:noVBand="1"/>
      </w:tblPr>
      <w:tblGrid>
        <w:gridCol w:w="1816"/>
        <w:gridCol w:w="2545"/>
        <w:gridCol w:w="2977"/>
      </w:tblGrid>
      <w:tr w:rsidR="002F15EC" w:rsidRPr="00125515" w14:paraId="6C66971F" w14:textId="77777777" w:rsidTr="00CA702F">
        <w:trPr>
          <w:cnfStyle w:val="100000000000" w:firstRow="1" w:lastRow="0" w:firstColumn="0" w:lastColumn="0" w:oddVBand="0" w:evenVBand="0" w:oddHBand="0" w:evenHBand="0" w:firstRowFirstColumn="0" w:firstRowLastColumn="0" w:lastRowFirstColumn="0" w:lastRowLastColumn="0"/>
        </w:trPr>
        <w:tc>
          <w:tcPr>
            <w:tcW w:w="1816" w:type="dxa"/>
          </w:tcPr>
          <w:p w14:paraId="4E61E823" w14:textId="77777777" w:rsidR="002F15EC" w:rsidRPr="00125515" w:rsidRDefault="002F15EC" w:rsidP="00125515">
            <w:pPr>
              <w:rPr>
                <w:sz w:val="20"/>
                <w:szCs w:val="20"/>
              </w:rPr>
            </w:pPr>
          </w:p>
        </w:tc>
        <w:tc>
          <w:tcPr>
            <w:tcW w:w="2545" w:type="dxa"/>
          </w:tcPr>
          <w:p w14:paraId="1D137802" w14:textId="77777777" w:rsidR="002F15EC" w:rsidRPr="00125515" w:rsidRDefault="002F15EC" w:rsidP="00125515">
            <w:pPr>
              <w:rPr>
                <w:sz w:val="20"/>
                <w:szCs w:val="20"/>
              </w:rPr>
            </w:pPr>
            <w:r w:rsidRPr="00125515">
              <w:rPr>
                <w:sz w:val="20"/>
                <w:szCs w:val="20"/>
              </w:rPr>
              <w:t>Nivolumab</w:t>
            </w:r>
          </w:p>
          <w:p w14:paraId="0EEFB0C8" w14:textId="7BAF313E" w:rsidR="002F15EC" w:rsidRPr="00125515" w:rsidRDefault="002F15EC" w:rsidP="00125515">
            <w:pPr>
              <w:rPr>
                <w:sz w:val="20"/>
                <w:szCs w:val="20"/>
              </w:rPr>
            </w:pPr>
            <w:r w:rsidRPr="00125515">
              <w:rPr>
                <w:sz w:val="20"/>
                <w:szCs w:val="20"/>
              </w:rPr>
              <w:t>N</w:t>
            </w:r>
            <w:r w:rsidR="00A022EB" w:rsidRPr="00125515">
              <w:rPr>
                <w:sz w:val="20"/>
                <w:szCs w:val="20"/>
              </w:rPr>
              <w:t xml:space="preserve"> </w:t>
            </w:r>
            <w:r w:rsidRPr="00125515">
              <w:rPr>
                <w:sz w:val="20"/>
                <w:szCs w:val="20"/>
              </w:rPr>
              <w:t>=</w:t>
            </w:r>
            <w:r w:rsidR="00A022EB" w:rsidRPr="00125515">
              <w:rPr>
                <w:sz w:val="20"/>
                <w:szCs w:val="20"/>
              </w:rPr>
              <w:t xml:space="preserve"> </w:t>
            </w:r>
            <w:r w:rsidRPr="00125515">
              <w:rPr>
                <w:sz w:val="20"/>
                <w:szCs w:val="20"/>
              </w:rPr>
              <w:t>453</w:t>
            </w:r>
          </w:p>
        </w:tc>
        <w:tc>
          <w:tcPr>
            <w:tcW w:w="2977" w:type="dxa"/>
          </w:tcPr>
          <w:p w14:paraId="1C5DAA25" w14:textId="77777777" w:rsidR="002F15EC" w:rsidRPr="00125515" w:rsidRDefault="002F15EC" w:rsidP="00125515">
            <w:pPr>
              <w:rPr>
                <w:sz w:val="20"/>
                <w:szCs w:val="20"/>
              </w:rPr>
            </w:pPr>
            <w:r w:rsidRPr="00125515">
              <w:rPr>
                <w:sz w:val="20"/>
                <w:szCs w:val="20"/>
              </w:rPr>
              <w:t>Ipiliumab</w:t>
            </w:r>
          </w:p>
          <w:p w14:paraId="50551DD7" w14:textId="40DEB003" w:rsidR="002F15EC" w:rsidRPr="00125515" w:rsidRDefault="002F15EC" w:rsidP="00125515">
            <w:pPr>
              <w:rPr>
                <w:sz w:val="20"/>
                <w:szCs w:val="20"/>
              </w:rPr>
            </w:pPr>
            <w:r w:rsidRPr="00125515">
              <w:rPr>
                <w:sz w:val="20"/>
                <w:szCs w:val="20"/>
              </w:rPr>
              <w:t>N</w:t>
            </w:r>
            <w:r w:rsidR="00A022EB" w:rsidRPr="00125515">
              <w:rPr>
                <w:sz w:val="20"/>
                <w:szCs w:val="20"/>
              </w:rPr>
              <w:t xml:space="preserve"> </w:t>
            </w:r>
            <w:r w:rsidRPr="00125515">
              <w:rPr>
                <w:sz w:val="20"/>
                <w:szCs w:val="20"/>
              </w:rPr>
              <w:t>=</w:t>
            </w:r>
            <w:r w:rsidR="00A022EB" w:rsidRPr="00125515">
              <w:rPr>
                <w:sz w:val="20"/>
                <w:szCs w:val="20"/>
              </w:rPr>
              <w:t xml:space="preserve"> </w:t>
            </w:r>
            <w:r w:rsidRPr="00125515">
              <w:rPr>
                <w:sz w:val="20"/>
                <w:szCs w:val="20"/>
              </w:rPr>
              <w:t>453</w:t>
            </w:r>
          </w:p>
        </w:tc>
      </w:tr>
      <w:tr w:rsidR="002F15EC" w:rsidRPr="00125515" w14:paraId="0BEBAE58" w14:textId="77777777" w:rsidTr="00CA702F">
        <w:tc>
          <w:tcPr>
            <w:tcW w:w="1816" w:type="dxa"/>
          </w:tcPr>
          <w:p w14:paraId="36C06E2F" w14:textId="77777777" w:rsidR="002F15EC" w:rsidRPr="00125515" w:rsidRDefault="002F15EC" w:rsidP="00125515">
            <w:pPr>
              <w:rPr>
                <w:sz w:val="20"/>
                <w:szCs w:val="20"/>
              </w:rPr>
            </w:pPr>
            <w:r w:rsidRPr="00125515">
              <w:rPr>
                <w:sz w:val="20"/>
                <w:szCs w:val="20"/>
              </w:rPr>
              <w:t>Any</w:t>
            </w:r>
          </w:p>
        </w:tc>
        <w:tc>
          <w:tcPr>
            <w:tcW w:w="2545" w:type="dxa"/>
          </w:tcPr>
          <w:p w14:paraId="0F4FC689" w14:textId="77777777" w:rsidR="002F15EC" w:rsidRPr="00125515" w:rsidRDefault="002F15EC" w:rsidP="00125515">
            <w:pPr>
              <w:rPr>
                <w:sz w:val="20"/>
                <w:szCs w:val="20"/>
              </w:rPr>
            </w:pPr>
            <w:r w:rsidRPr="00125515">
              <w:rPr>
                <w:sz w:val="20"/>
                <w:szCs w:val="20"/>
              </w:rPr>
              <w:t>129 (28.9%)</w:t>
            </w:r>
          </w:p>
        </w:tc>
        <w:tc>
          <w:tcPr>
            <w:tcW w:w="2977" w:type="dxa"/>
          </w:tcPr>
          <w:p w14:paraId="028037DC" w14:textId="77777777" w:rsidR="002F15EC" w:rsidRPr="00125515" w:rsidRDefault="002F15EC" w:rsidP="00125515">
            <w:pPr>
              <w:rPr>
                <w:sz w:val="20"/>
                <w:szCs w:val="20"/>
              </w:rPr>
            </w:pPr>
            <w:r w:rsidRPr="00125515">
              <w:rPr>
                <w:sz w:val="20"/>
                <w:szCs w:val="20"/>
              </w:rPr>
              <w:t>171 (37.7%)</w:t>
            </w:r>
          </w:p>
        </w:tc>
      </w:tr>
      <w:tr w:rsidR="002F15EC" w:rsidRPr="00125515" w14:paraId="2AB03A26" w14:textId="77777777" w:rsidTr="00CA702F">
        <w:tc>
          <w:tcPr>
            <w:tcW w:w="1816" w:type="dxa"/>
          </w:tcPr>
          <w:p w14:paraId="6B8C1B05" w14:textId="77777777" w:rsidR="002F15EC" w:rsidRPr="00125515" w:rsidRDefault="002F15EC" w:rsidP="00125515">
            <w:pPr>
              <w:rPr>
                <w:sz w:val="20"/>
                <w:szCs w:val="20"/>
              </w:rPr>
            </w:pPr>
            <w:r w:rsidRPr="00125515">
              <w:rPr>
                <w:sz w:val="20"/>
                <w:szCs w:val="20"/>
              </w:rPr>
              <w:t>RT</w:t>
            </w:r>
          </w:p>
        </w:tc>
        <w:tc>
          <w:tcPr>
            <w:tcW w:w="2545" w:type="dxa"/>
          </w:tcPr>
          <w:p w14:paraId="78F5705C" w14:textId="77777777" w:rsidR="002F15EC" w:rsidRPr="00125515" w:rsidRDefault="002F15EC" w:rsidP="00125515">
            <w:pPr>
              <w:rPr>
                <w:sz w:val="20"/>
                <w:szCs w:val="20"/>
              </w:rPr>
            </w:pPr>
            <w:r w:rsidRPr="00125515">
              <w:rPr>
                <w:sz w:val="20"/>
                <w:szCs w:val="20"/>
              </w:rPr>
              <w:t>24 (5.3%)</w:t>
            </w:r>
          </w:p>
        </w:tc>
        <w:tc>
          <w:tcPr>
            <w:tcW w:w="2977" w:type="dxa"/>
          </w:tcPr>
          <w:p w14:paraId="7AE47D84" w14:textId="77777777" w:rsidR="002F15EC" w:rsidRPr="00125515" w:rsidRDefault="002F15EC" w:rsidP="00125515">
            <w:pPr>
              <w:rPr>
                <w:sz w:val="20"/>
                <w:szCs w:val="20"/>
              </w:rPr>
            </w:pPr>
            <w:r w:rsidRPr="00125515">
              <w:rPr>
                <w:sz w:val="20"/>
                <w:szCs w:val="20"/>
              </w:rPr>
              <w:t>26 (5.7%)</w:t>
            </w:r>
          </w:p>
        </w:tc>
      </w:tr>
      <w:tr w:rsidR="002F15EC" w:rsidRPr="00125515" w14:paraId="75A4CCD5" w14:textId="77777777" w:rsidTr="00CA702F">
        <w:tc>
          <w:tcPr>
            <w:tcW w:w="1816" w:type="dxa"/>
          </w:tcPr>
          <w:p w14:paraId="45B38DC2" w14:textId="77777777" w:rsidR="002F15EC" w:rsidRPr="00125515" w:rsidRDefault="002F15EC" w:rsidP="00125515">
            <w:pPr>
              <w:rPr>
                <w:sz w:val="20"/>
                <w:szCs w:val="20"/>
              </w:rPr>
            </w:pPr>
            <w:r w:rsidRPr="00125515">
              <w:rPr>
                <w:sz w:val="20"/>
                <w:szCs w:val="20"/>
              </w:rPr>
              <w:t>Surgery</w:t>
            </w:r>
          </w:p>
        </w:tc>
        <w:tc>
          <w:tcPr>
            <w:tcW w:w="2545" w:type="dxa"/>
          </w:tcPr>
          <w:p w14:paraId="14523009" w14:textId="77777777" w:rsidR="002F15EC" w:rsidRPr="00125515" w:rsidRDefault="002F15EC" w:rsidP="00125515">
            <w:pPr>
              <w:rPr>
                <w:sz w:val="20"/>
                <w:szCs w:val="20"/>
              </w:rPr>
            </w:pPr>
            <w:r w:rsidRPr="00125515">
              <w:rPr>
                <w:sz w:val="20"/>
                <w:szCs w:val="20"/>
              </w:rPr>
              <w:t>69 (15.0%)</w:t>
            </w:r>
          </w:p>
        </w:tc>
        <w:tc>
          <w:tcPr>
            <w:tcW w:w="2977" w:type="dxa"/>
          </w:tcPr>
          <w:p w14:paraId="3009739B" w14:textId="77777777" w:rsidR="002F15EC" w:rsidRPr="00125515" w:rsidRDefault="002F15EC" w:rsidP="00125515">
            <w:pPr>
              <w:rPr>
                <w:sz w:val="20"/>
                <w:szCs w:val="20"/>
              </w:rPr>
            </w:pPr>
            <w:r w:rsidRPr="00125515">
              <w:rPr>
                <w:sz w:val="20"/>
                <w:szCs w:val="20"/>
              </w:rPr>
              <w:t>64 (14.1%)</w:t>
            </w:r>
          </w:p>
        </w:tc>
      </w:tr>
      <w:tr w:rsidR="002F15EC" w:rsidRPr="00125515" w14:paraId="041D3D23" w14:textId="77777777" w:rsidTr="00CA702F">
        <w:tc>
          <w:tcPr>
            <w:tcW w:w="1816" w:type="dxa"/>
          </w:tcPr>
          <w:p w14:paraId="4E530B2D" w14:textId="77777777" w:rsidR="002F15EC" w:rsidRPr="00125515" w:rsidRDefault="002F15EC" w:rsidP="00125515">
            <w:pPr>
              <w:rPr>
                <w:sz w:val="20"/>
                <w:szCs w:val="20"/>
              </w:rPr>
            </w:pPr>
            <w:r w:rsidRPr="00125515">
              <w:rPr>
                <w:sz w:val="20"/>
                <w:szCs w:val="20"/>
              </w:rPr>
              <w:t xml:space="preserve">Systemic </w:t>
            </w:r>
          </w:p>
        </w:tc>
        <w:tc>
          <w:tcPr>
            <w:tcW w:w="2545" w:type="dxa"/>
          </w:tcPr>
          <w:p w14:paraId="62E0AAAB" w14:textId="77777777" w:rsidR="002F15EC" w:rsidRPr="00125515" w:rsidRDefault="002F15EC" w:rsidP="00125515">
            <w:pPr>
              <w:rPr>
                <w:sz w:val="20"/>
                <w:szCs w:val="20"/>
              </w:rPr>
            </w:pPr>
            <w:r w:rsidRPr="00125515">
              <w:rPr>
                <w:sz w:val="20"/>
                <w:szCs w:val="20"/>
              </w:rPr>
              <w:t>90 (19.9%)</w:t>
            </w:r>
          </w:p>
        </w:tc>
        <w:tc>
          <w:tcPr>
            <w:tcW w:w="2977" w:type="dxa"/>
          </w:tcPr>
          <w:p w14:paraId="60003C7C" w14:textId="77777777" w:rsidR="002F15EC" w:rsidRPr="00125515" w:rsidRDefault="002F15EC" w:rsidP="00125515">
            <w:pPr>
              <w:rPr>
                <w:sz w:val="20"/>
                <w:szCs w:val="20"/>
              </w:rPr>
            </w:pPr>
            <w:r w:rsidRPr="00125515">
              <w:rPr>
                <w:sz w:val="20"/>
                <w:szCs w:val="20"/>
              </w:rPr>
              <w:t>136 (30.0%)</w:t>
            </w:r>
          </w:p>
        </w:tc>
      </w:tr>
      <w:tr w:rsidR="002F15EC" w:rsidRPr="00125515" w14:paraId="1B9ED40A" w14:textId="77777777" w:rsidTr="00CA702F">
        <w:tc>
          <w:tcPr>
            <w:tcW w:w="1816" w:type="dxa"/>
          </w:tcPr>
          <w:p w14:paraId="70BF2441" w14:textId="77777777" w:rsidR="002F15EC" w:rsidRPr="00125515" w:rsidRDefault="002F15EC" w:rsidP="00125515">
            <w:pPr>
              <w:rPr>
                <w:sz w:val="20"/>
                <w:szCs w:val="20"/>
              </w:rPr>
            </w:pPr>
            <w:r w:rsidRPr="00125515">
              <w:rPr>
                <w:sz w:val="20"/>
                <w:szCs w:val="20"/>
              </w:rPr>
              <w:t>ipilimumab</w:t>
            </w:r>
          </w:p>
        </w:tc>
        <w:tc>
          <w:tcPr>
            <w:tcW w:w="2545" w:type="dxa"/>
          </w:tcPr>
          <w:p w14:paraId="6FDEC8D2" w14:textId="77777777" w:rsidR="002F15EC" w:rsidRPr="00125515" w:rsidRDefault="002F15EC" w:rsidP="00125515">
            <w:pPr>
              <w:rPr>
                <w:sz w:val="20"/>
                <w:szCs w:val="20"/>
              </w:rPr>
            </w:pPr>
            <w:r w:rsidRPr="00125515">
              <w:rPr>
                <w:sz w:val="20"/>
                <w:szCs w:val="20"/>
              </w:rPr>
              <w:t>35 (7.7%)</w:t>
            </w:r>
          </w:p>
        </w:tc>
        <w:tc>
          <w:tcPr>
            <w:tcW w:w="2977" w:type="dxa"/>
          </w:tcPr>
          <w:p w14:paraId="50CB2031" w14:textId="77777777" w:rsidR="002F15EC" w:rsidRPr="00125515" w:rsidRDefault="002F15EC" w:rsidP="00125515">
            <w:pPr>
              <w:rPr>
                <w:sz w:val="20"/>
                <w:szCs w:val="20"/>
              </w:rPr>
            </w:pPr>
            <w:r w:rsidRPr="00125515">
              <w:rPr>
                <w:sz w:val="20"/>
                <w:szCs w:val="20"/>
              </w:rPr>
              <w:t>15 (3.3%)</w:t>
            </w:r>
          </w:p>
        </w:tc>
      </w:tr>
      <w:tr w:rsidR="002F15EC" w:rsidRPr="00125515" w14:paraId="4DF15D65" w14:textId="77777777" w:rsidTr="00CA702F">
        <w:tc>
          <w:tcPr>
            <w:tcW w:w="1816" w:type="dxa"/>
          </w:tcPr>
          <w:p w14:paraId="37394E1D" w14:textId="77777777" w:rsidR="002F15EC" w:rsidRPr="00125515" w:rsidRDefault="002F15EC" w:rsidP="00125515">
            <w:pPr>
              <w:rPr>
                <w:sz w:val="20"/>
                <w:szCs w:val="20"/>
              </w:rPr>
            </w:pPr>
            <w:r w:rsidRPr="00125515">
              <w:rPr>
                <w:sz w:val="20"/>
                <w:szCs w:val="20"/>
              </w:rPr>
              <w:t>nivolumab</w:t>
            </w:r>
          </w:p>
        </w:tc>
        <w:tc>
          <w:tcPr>
            <w:tcW w:w="2545" w:type="dxa"/>
          </w:tcPr>
          <w:p w14:paraId="2C767724" w14:textId="77777777" w:rsidR="002F15EC" w:rsidRPr="00125515" w:rsidRDefault="002F15EC" w:rsidP="00125515">
            <w:pPr>
              <w:rPr>
                <w:sz w:val="20"/>
                <w:szCs w:val="20"/>
              </w:rPr>
            </w:pPr>
            <w:r w:rsidRPr="00125515">
              <w:rPr>
                <w:sz w:val="20"/>
                <w:szCs w:val="20"/>
              </w:rPr>
              <w:t>17 (3.8%)</w:t>
            </w:r>
          </w:p>
        </w:tc>
        <w:tc>
          <w:tcPr>
            <w:tcW w:w="2977" w:type="dxa"/>
          </w:tcPr>
          <w:p w14:paraId="57C57A4A" w14:textId="77777777" w:rsidR="002F15EC" w:rsidRPr="00125515" w:rsidRDefault="002F15EC" w:rsidP="00125515">
            <w:pPr>
              <w:rPr>
                <w:sz w:val="20"/>
                <w:szCs w:val="20"/>
              </w:rPr>
            </w:pPr>
            <w:r w:rsidRPr="00125515">
              <w:rPr>
                <w:sz w:val="20"/>
                <w:szCs w:val="20"/>
              </w:rPr>
              <w:t>43 (9.5%)</w:t>
            </w:r>
          </w:p>
        </w:tc>
      </w:tr>
      <w:tr w:rsidR="002F15EC" w:rsidRPr="00125515" w14:paraId="176FB619" w14:textId="77777777" w:rsidTr="00CA702F">
        <w:tc>
          <w:tcPr>
            <w:tcW w:w="1816" w:type="dxa"/>
          </w:tcPr>
          <w:p w14:paraId="3F98D6D7" w14:textId="5476059B" w:rsidR="002F15EC" w:rsidRPr="00125515" w:rsidRDefault="002F15EC" w:rsidP="00125515">
            <w:pPr>
              <w:rPr>
                <w:sz w:val="20"/>
                <w:szCs w:val="20"/>
              </w:rPr>
            </w:pPr>
            <w:r w:rsidRPr="00125515">
              <w:rPr>
                <w:sz w:val="20"/>
                <w:szCs w:val="20"/>
              </w:rPr>
              <w:t>pembro</w:t>
            </w:r>
          </w:p>
        </w:tc>
        <w:tc>
          <w:tcPr>
            <w:tcW w:w="2545" w:type="dxa"/>
          </w:tcPr>
          <w:p w14:paraId="6576C634" w14:textId="77777777" w:rsidR="002F15EC" w:rsidRPr="00125515" w:rsidRDefault="002F15EC" w:rsidP="00125515">
            <w:pPr>
              <w:rPr>
                <w:sz w:val="20"/>
                <w:szCs w:val="20"/>
              </w:rPr>
            </w:pPr>
            <w:r w:rsidRPr="00125515">
              <w:rPr>
                <w:sz w:val="20"/>
                <w:szCs w:val="20"/>
              </w:rPr>
              <w:t>10 (2.2%)</w:t>
            </w:r>
          </w:p>
        </w:tc>
        <w:tc>
          <w:tcPr>
            <w:tcW w:w="2977" w:type="dxa"/>
          </w:tcPr>
          <w:p w14:paraId="189E9967" w14:textId="77777777" w:rsidR="002F15EC" w:rsidRPr="00125515" w:rsidRDefault="002F15EC" w:rsidP="00125515">
            <w:pPr>
              <w:rPr>
                <w:sz w:val="20"/>
                <w:szCs w:val="20"/>
              </w:rPr>
            </w:pPr>
            <w:r w:rsidRPr="00125515">
              <w:rPr>
                <w:sz w:val="20"/>
                <w:szCs w:val="20"/>
              </w:rPr>
              <w:t>63 (13.9%)</w:t>
            </w:r>
          </w:p>
        </w:tc>
      </w:tr>
      <w:tr w:rsidR="002F15EC" w:rsidRPr="00125515" w14:paraId="7D9262CC" w14:textId="77777777" w:rsidTr="00CA702F">
        <w:tc>
          <w:tcPr>
            <w:tcW w:w="1816" w:type="dxa"/>
          </w:tcPr>
          <w:p w14:paraId="33A9A0F8" w14:textId="4EC1F03D" w:rsidR="002F15EC" w:rsidRPr="00125515" w:rsidRDefault="002F15EC" w:rsidP="00125515">
            <w:pPr>
              <w:rPr>
                <w:sz w:val="20"/>
                <w:szCs w:val="20"/>
              </w:rPr>
            </w:pPr>
            <w:r w:rsidRPr="00125515">
              <w:rPr>
                <w:sz w:val="20"/>
                <w:szCs w:val="20"/>
              </w:rPr>
              <w:t>BRAF inhibitor</w:t>
            </w:r>
          </w:p>
        </w:tc>
        <w:tc>
          <w:tcPr>
            <w:tcW w:w="2545" w:type="dxa"/>
          </w:tcPr>
          <w:p w14:paraId="0D91134D" w14:textId="77777777" w:rsidR="002F15EC" w:rsidRPr="00125515" w:rsidRDefault="002F15EC" w:rsidP="00125515">
            <w:pPr>
              <w:rPr>
                <w:sz w:val="20"/>
                <w:szCs w:val="20"/>
              </w:rPr>
            </w:pPr>
            <w:r w:rsidRPr="00125515">
              <w:rPr>
                <w:sz w:val="20"/>
                <w:szCs w:val="20"/>
              </w:rPr>
              <w:t>41 (9.1%)</w:t>
            </w:r>
          </w:p>
        </w:tc>
        <w:tc>
          <w:tcPr>
            <w:tcW w:w="2977" w:type="dxa"/>
          </w:tcPr>
          <w:p w14:paraId="119E3636" w14:textId="77777777" w:rsidR="002F15EC" w:rsidRPr="00125515" w:rsidRDefault="002F15EC" w:rsidP="00125515">
            <w:pPr>
              <w:rPr>
                <w:sz w:val="20"/>
                <w:szCs w:val="20"/>
              </w:rPr>
            </w:pPr>
            <w:r w:rsidRPr="00125515">
              <w:rPr>
                <w:sz w:val="20"/>
                <w:szCs w:val="20"/>
              </w:rPr>
              <w:t>40 (8.8%)</w:t>
            </w:r>
          </w:p>
        </w:tc>
      </w:tr>
      <w:tr w:rsidR="002F15EC" w:rsidRPr="00125515" w14:paraId="2BEDCBF3" w14:textId="77777777" w:rsidTr="00CA702F">
        <w:tc>
          <w:tcPr>
            <w:tcW w:w="1816" w:type="dxa"/>
          </w:tcPr>
          <w:p w14:paraId="73E51A40" w14:textId="77777777" w:rsidR="002F15EC" w:rsidRPr="00125515" w:rsidRDefault="002F15EC" w:rsidP="00125515">
            <w:pPr>
              <w:rPr>
                <w:sz w:val="20"/>
                <w:szCs w:val="20"/>
              </w:rPr>
            </w:pPr>
            <w:r w:rsidRPr="00125515">
              <w:rPr>
                <w:sz w:val="20"/>
                <w:szCs w:val="20"/>
              </w:rPr>
              <w:t>MEK/NRAS inhibitor</w:t>
            </w:r>
          </w:p>
        </w:tc>
        <w:tc>
          <w:tcPr>
            <w:tcW w:w="2545" w:type="dxa"/>
          </w:tcPr>
          <w:p w14:paraId="372D0A0D" w14:textId="77777777" w:rsidR="002F15EC" w:rsidRPr="00125515" w:rsidRDefault="002F15EC" w:rsidP="00125515">
            <w:pPr>
              <w:rPr>
                <w:sz w:val="20"/>
                <w:szCs w:val="20"/>
              </w:rPr>
            </w:pPr>
            <w:r w:rsidRPr="00125515">
              <w:rPr>
                <w:sz w:val="20"/>
                <w:szCs w:val="20"/>
              </w:rPr>
              <w:t>31 (6.8%)</w:t>
            </w:r>
          </w:p>
        </w:tc>
        <w:tc>
          <w:tcPr>
            <w:tcW w:w="2977" w:type="dxa"/>
          </w:tcPr>
          <w:p w14:paraId="55E777DA" w14:textId="77777777" w:rsidR="002F15EC" w:rsidRPr="00125515" w:rsidRDefault="002F15EC" w:rsidP="00125515">
            <w:pPr>
              <w:rPr>
                <w:sz w:val="20"/>
                <w:szCs w:val="20"/>
              </w:rPr>
            </w:pPr>
            <w:r w:rsidRPr="00125515">
              <w:rPr>
                <w:sz w:val="20"/>
                <w:szCs w:val="20"/>
              </w:rPr>
              <w:t>40 (8.8%)</w:t>
            </w:r>
          </w:p>
        </w:tc>
      </w:tr>
    </w:tbl>
    <w:p w14:paraId="5CB5F661" w14:textId="012A2157" w:rsidR="002F15EC" w:rsidRDefault="002F15EC" w:rsidP="00461684">
      <w:pPr>
        <w:pStyle w:val="ListBullet"/>
        <w:numPr>
          <w:ilvl w:val="0"/>
          <w:numId w:val="0"/>
        </w:numPr>
      </w:pPr>
      <w:r>
        <w:t xml:space="preserve">Other systemic treatments included PD-L1 inhibitors, interferon, interleukin, various </w:t>
      </w:r>
      <w:proofErr w:type="gramStart"/>
      <w:r>
        <w:t>combinations</w:t>
      </w:r>
      <w:proofErr w:type="gramEnd"/>
      <w:r>
        <w:t>, and various experimental medicines</w:t>
      </w:r>
      <w:r w:rsidR="00461684">
        <w:t xml:space="preserve"> are outlined below (</w:t>
      </w:r>
      <w:r w:rsidR="00A022EB">
        <w:t xml:space="preserve">see Table 11, </w:t>
      </w:r>
      <w:r w:rsidR="00461684">
        <w:t>B</w:t>
      </w:r>
      <w:r w:rsidRPr="002F15EC">
        <w:t>aseline characteristics</w:t>
      </w:r>
      <w:r w:rsidR="00A022EB">
        <w:t>).</w:t>
      </w:r>
    </w:p>
    <w:p w14:paraId="4BB9BD8E" w14:textId="77777777" w:rsidR="00461684" w:rsidRPr="002F15EC" w:rsidRDefault="00461684" w:rsidP="00461684">
      <w:pPr>
        <w:pStyle w:val="TableTitle"/>
      </w:pPr>
      <w:r>
        <w:t>Table 11: Baseline characteristics</w:t>
      </w:r>
    </w:p>
    <w:tbl>
      <w:tblPr>
        <w:tblStyle w:val="TableTGAblue"/>
        <w:tblW w:w="0" w:type="auto"/>
        <w:tblLook w:val="04A0" w:firstRow="1" w:lastRow="0" w:firstColumn="1" w:lastColumn="0" w:noHBand="0" w:noVBand="1"/>
      </w:tblPr>
      <w:tblGrid>
        <w:gridCol w:w="2536"/>
        <w:gridCol w:w="2070"/>
        <w:gridCol w:w="2732"/>
      </w:tblGrid>
      <w:tr w:rsidR="00953F03" w:rsidRPr="00461684" w14:paraId="04A271B0" w14:textId="77777777" w:rsidTr="00CA702F">
        <w:trPr>
          <w:cnfStyle w:val="100000000000" w:firstRow="1" w:lastRow="0" w:firstColumn="0" w:lastColumn="0" w:oddVBand="0" w:evenVBand="0" w:oddHBand="0" w:evenHBand="0" w:firstRowFirstColumn="0" w:firstRowLastColumn="0" w:lastRowFirstColumn="0" w:lastRowLastColumn="0"/>
        </w:trPr>
        <w:tc>
          <w:tcPr>
            <w:tcW w:w="2536" w:type="dxa"/>
          </w:tcPr>
          <w:p w14:paraId="2FA9D404" w14:textId="77777777" w:rsidR="002F15EC" w:rsidRPr="00461684" w:rsidRDefault="002F15EC" w:rsidP="00461684">
            <w:pPr>
              <w:rPr>
                <w:sz w:val="20"/>
                <w:szCs w:val="20"/>
              </w:rPr>
            </w:pPr>
          </w:p>
        </w:tc>
        <w:tc>
          <w:tcPr>
            <w:tcW w:w="2070" w:type="dxa"/>
          </w:tcPr>
          <w:p w14:paraId="12F7A13F" w14:textId="77777777" w:rsidR="00A022EB" w:rsidRDefault="002F15EC" w:rsidP="00CA702F">
            <w:pPr>
              <w:jc w:val="center"/>
              <w:rPr>
                <w:sz w:val="20"/>
                <w:szCs w:val="20"/>
              </w:rPr>
            </w:pPr>
            <w:r w:rsidRPr="00461684">
              <w:rPr>
                <w:sz w:val="20"/>
                <w:szCs w:val="20"/>
              </w:rPr>
              <w:t>Nivolumab</w:t>
            </w:r>
          </w:p>
          <w:p w14:paraId="213778B8" w14:textId="2DF47CBD" w:rsidR="002F15EC" w:rsidRPr="00461684" w:rsidRDefault="002F15EC" w:rsidP="00CA702F">
            <w:pPr>
              <w:jc w:val="center"/>
              <w:rPr>
                <w:sz w:val="20"/>
                <w:szCs w:val="20"/>
              </w:rPr>
            </w:pPr>
            <w:r w:rsidRPr="00461684">
              <w:rPr>
                <w:sz w:val="20"/>
                <w:szCs w:val="20"/>
              </w:rPr>
              <w:t>N</w:t>
            </w:r>
            <w:r w:rsidR="00A022EB">
              <w:rPr>
                <w:sz w:val="20"/>
                <w:szCs w:val="20"/>
              </w:rPr>
              <w:t xml:space="preserve"> </w:t>
            </w:r>
            <w:r w:rsidRPr="00461684">
              <w:rPr>
                <w:sz w:val="20"/>
                <w:szCs w:val="20"/>
              </w:rPr>
              <w:t>=</w:t>
            </w:r>
            <w:r w:rsidR="00A022EB">
              <w:rPr>
                <w:sz w:val="20"/>
                <w:szCs w:val="20"/>
              </w:rPr>
              <w:t xml:space="preserve"> </w:t>
            </w:r>
            <w:r w:rsidRPr="00461684">
              <w:rPr>
                <w:sz w:val="20"/>
                <w:szCs w:val="20"/>
              </w:rPr>
              <w:t>453</w:t>
            </w:r>
          </w:p>
        </w:tc>
        <w:tc>
          <w:tcPr>
            <w:tcW w:w="2732" w:type="dxa"/>
          </w:tcPr>
          <w:p w14:paraId="1235650A" w14:textId="77777777" w:rsidR="00A022EB" w:rsidRDefault="002F15EC" w:rsidP="00CA702F">
            <w:pPr>
              <w:jc w:val="center"/>
              <w:rPr>
                <w:sz w:val="20"/>
                <w:szCs w:val="20"/>
              </w:rPr>
            </w:pPr>
            <w:r w:rsidRPr="00461684">
              <w:rPr>
                <w:sz w:val="20"/>
                <w:szCs w:val="20"/>
              </w:rPr>
              <w:t>Ipilimumab</w:t>
            </w:r>
          </w:p>
          <w:p w14:paraId="681EE775" w14:textId="1DE9D09B" w:rsidR="002F15EC" w:rsidRPr="00461684" w:rsidRDefault="002F15EC" w:rsidP="00CA702F">
            <w:pPr>
              <w:jc w:val="center"/>
              <w:rPr>
                <w:sz w:val="20"/>
                <w:szCs w:val="20"/>
              </w:rPr>
            </w:pPr>
            <w:r w:rsidRPr="00461684">
              <w:rPr>
                <w:sz w:val="20"/>
                <w:szCs w:val="20"/>
              </w:rPr>
              <w:t>N</w:t>
            </w:r>
            <w:r w:rsidR="00A022EB">
              <w:rPr>
                <w:sz w:val="20"/>
                <w:szCs w:val="20"/>
              </w:rPr>
              <w:t xml:space="preserve"> </w:t>
            </w:r>
            <w:r w:rsidRPr="00461684">
              <w:rPr>
                <w:sz w:val="20"/>
                <w:szCs w:val="20"/>
              </w:rPr>
              <w:t>=</w:t>
            </w:r>
            <w:r w:rsidR="00A022EB">
              <w:rPr>
                <w:sz w:val="20"/>
                <w:szCs w:val="20"/>
              </w:rPr>
              <w:t xml:space="preserve"> </w:t>
            </w:r>
            <w:r w:rsidRPr="00461684">
              <w:rPr>
                <w:sz w:val="20"/>
                <w:szCs w:val="20"/>
              </w:rPr>
              <w:t>453</w:t>
            </w:r>
          </w:p>
        </w:tc>
      </w:tr>
      <w:tr w:rsidR="00953F03" w:rsidRPr="00461684" w14:paraId="5BABE181" w14:textId="77777777" w:rsidTr="00CA702F">
        <w:tc>
          <w:tcPr>
            <w:tcW w:w="2536" w:type="dxa"/>
          </w:tcPr>
          <w:p w14:paraId="66F01BEA" w14:textId="77777777" w:rsidR="002F15EC" w:rsidRPr="00461684" w:rsidRDefault="002F15EC" w:rsidP="006733FF">
            <w:pPr>
              <w:rPr>
                <w:sz w:val="20"/>
                <w:szCs w:val="20"/>
              </w:rPr>
            </w:pPr>
            <w:r w:rsidRPr="00461684">
              <w:rPr>
                <w:sz w:val="20"/>
                <w:szCs w:val="20"/>
              </w:rPr>
              <w:t>M</w:t>
            </w:r>
            <w:r w:rsidR="006733FF">
              <w:rPr>
                <w:sz w:val="20"/>
                <w:szCs w:val="20"/>
              </w:rPr>
              <w:t>edian</w:t>
            </w:r>
            <w:r w:rsidRPr="00461684">
              <w:rPr>
                <w:sz w:val="20"/>
                <w:szCs w:val="20"/>
              </w:rPr>
              <w:t xml:space="preserve"> age, range</w:t>
            </w:r>
          </w:p>
        </w:tc>
        <w:tc>
          <w:tcPr>
            <w:tcW w:w="2070" w:type="dxa"/>
          </w:tcPr>
          <w:p w14:paraId="246BDBF1" w14:textId="77777777" w:rsidR="002F15EC" w:rsidRPr="00461684" w:rsidRDefault="002F15EC" w:rsidP="00461684">
            <w:pPr>
              <w:rPr>
                <w:sz w:val="20"/>
                <w:szCs w:val="20"/>
              </w:rPr>
            </w:pPr>
            <w:r w:rsidRPr="00461684">
              <w:rPr>
                <w:sz w:val="20"/>
                <w:szCs w:val="20"/>
              </w:rPr>
              <w:t>56 years (19, 83)</w:t>
            </w:r>
          </w:p>
        </w:tc>
        <w:tc>
          <w:tcPr>
            <w:tcW w:w="2732" w:type="dxa"/>
          </w:tcPr>
          <w:p w14:paraId="58E170A9" w14:textId="77777777" w:rsidR="002F15EC" w:rsidRPr="00461684" w:rsidRDefault="002F15EC" w:rsidP="00461684">
            <w:pPr>
              <w:rPr>
                <w:sz w:val="20"/>
                <w:szCs w:val="20"/>
              </w:rPr>
            </w:pPr>
            <w:r w:rsidRPr="00461684">
              <w:rPr>
                <w:sz w:val="20"/>
                <w:szCs w:val="20"/>
              </w:rPr>
              <w:t>54 years (18, 86)</w:t>
            </w:r>
          </w:p>
        </w:tc>
      </w:tr>
      <w:tr w:rsidR="00953F03" w:rsidRPr="00461684" w14:paraId="7CFCC487" w14:textId="77777777" w:rsidTr="00CA702F">
        <w:tc>
          <w:tcPr>
            <w:tcW w:w="2536" w:type="dxa"/>
          </w:tcPr>
          <w:p w14:paraId="6BF6F118" w14:textId="77777777" w:rsidR="002F15EC" w:rsidRPr="00461684" w:rsidRDefault="00461684" w:rsidP="00461684">
            <w:pPr>
              <w:rPr>
                <w:sz w:val="20"/>
                <w:szCs w:val="20"/>
              </w:rPr>
            </w:pPr>
            <w:r>
              <w:rPr>
                <w:sz w:val="20"/>
                <w:szCs w:val="20"/>
              </w:rPr>
              <w:t>M</w:t>
            </w:r>
            <w:r w:rsidR="002F15EC" w:rsidRPr="00461684">
              <w:rPr>
                <w:sz w:val="20"/>
                <w:szCs w:val="20"/>
              </w:rPr>
              <w:t>en</w:t>
            </w:r>
          </w:p>
        </w:tc>
        <w:tc>
          <w:tcPr>
            <w:tcW w:w="2070" w:type="dxa"/>
          </w:tcPr>
          <w:p w14:paraId="7B8C20BF" w14:textId="77777777" w:rsidR="002F15EC" w:rsidRPr="00461684" w:rsidRDefault="002F15EC" w:rsidP="00461684">
            <w:pPr>
              <w:rPr>
                <w:sz w:val="20"/>
                <w:szCs w:val="20"/>
              </w:rPr>
            </w:pPr>
            <w:r w:rsidRPr="00461684">
              <w:rPr>
                <w:sz w:val="20"/>
                <w:szCs w:val="20"/>
              </w:rPr>
              <w:t>57%</w:t>
            </w:r>
          </w:p>
        </w:tc>
        <w:tc>
          <w:tcPr>
            <w:tcW w:w="2732" w:type="dxa"/>
          </w:tcPr>
          <w:p w14:paraId="49D1497B" w14:textId="77777777" w:rsidR="002F15EC" w:rsidRPr="00461684" w:rsidRDefault="002F15EC" w:rsidP="00461684">
            <w:pPr>
              <w:rPr>
                <w:sz w:val="20"/>
                <w:szCs w:val="20"/>
              </w:rPr>
            </w:pPr>
            <w:r w:rsidRPr="00461684">
              <w:rPr>
                <w:sz w:val="20"/>
                <w:szCs w:val="20"/>
              </w:rPr>
              <w:t>59%</w:t>
            </w:r>
          </w:p>
        </w:tc>
      </w:tr>
      <w:tr w:rsidR="00953F03" w:rsidRPr="00461684" w14:paraId="76B7D3D2" w14:textId="77777777" w:rsidTr="00CA702F">
        <w:tc>
          <w:tcPr>
            <w:tcW w:w="2536" w:type="dxa"/>
          </w:tcPr>
          <w:p w14:paraId="080C6EE0" w14:textId="77777777" w:rsidR="002F15EC" w:rsidRPr="00461684" w:rsidRDefault="002F15EC" w:rsidP="00461684">
            <w:pPr>
              <w:rPr>
                <w:sz w:val="20"/>
                <w:szCs w:val="20"/>
              </w:rPr>
            </w:pPr>
            <w:r w:rsidRPr="00461684">
              <w:rPr>
                <w:sz w:val="20"/>
                <w:szCs w:val="20"/>
              </w:rPr>
              <w:t>Stage</w:t>
            </w:r>
          </w:p>
          <w:p w14:paraId="6006365A" w14:textId="77777777" w:rsidR="002F15EC" w:rsidRPr="00461684" w:rsidRDefault="002F15EC" w:rsidP="00461684">
            <w:pPr>
              <w:rPr>
                <w:sz w:val="20"/>
                <w:szCs w:val="20"/>
              </w:rPr>
            </w:pPr>
            <w:r w:rsidRPr="00461684">
              <w:rPr>
                <w:sz w:val="20"/>
                <w:szCs w:val="20"/>
              </w:rPr>
              <w:t xml:space="preserve">  IIIb</w:t>
            </w:r>
          </w:p>
          <w:p w14:paraId="696016A0" w14:textId="77777777" w:rsidR="002F15EC" w:rsidRPr="00461684" w:rsidRDefault="002F15EC" w:rsidP="00461684">
            <w:pPr>
              <w:rPr>
                <w:sz w:val="20"/>
                <w:szCs w:val="20"/>
              </w:rPr>
            </w:pPr>
            <w:r w:rsidRPr="00461684">
              <w:rPr>
                <w:sz w:val="20"/>
                <w:szCs w:val="20"/>
              </w:rPr>
              <w:t xml:space="preserve">  IIIc</w:t>
            </w:r>
          </w:p>
          <w:p w14:paraId="2650E29A" w14:textId="77777777" w:rsidR="002F15EC" w:rsidRPr="00461684" w:rsidRDefault="002F15EC" w:rsidP="00461684">
            <w:pPr>
              <w:rPr>
                <w:sz w:val="20"/>
                <w:szCs w:val="20"/>
              </w:rPr>
            </w:pPr>
            <w:r w:rsidRPr="00461684">
              <w:rPr>
                <w:sz w:val="20"/>
                <w:szCs w:val="20"/>
              </w:rPr>
              <w:t xml:space="preserve">  IV</w:t>
            </w:r>
          </w:p>
        </w:tc>
        <w:tc>
          <w:tcPr>
            <w:tcW w:w="2070" w:type="dxa"/>
          </w:tcPr>
          <w:p w14:paraId="0811E5B2" w14:textId="77777777" w:rsidR="002F15EC" w:rsidRPr="00461684" w:rsidRDefault="002F15EC" w:rsidP="00461684">
            <w:pPr>
              <w:rPr>
                <w:sz w:val="20"/>
                <w:szCs w:val="20"/>
              </w:rPr>
            </w:pPr>
          </w:p>
          <w:p w14:paraId="31A59689" w14:textId="77777777" w:rsidR="002F15EC" w:rsidRPr="00461684" w:rsidRDefault="002F15EC" w:rsidP="00461684">
            <w:pPr>
              <w:rPr>
                <w:sz w:val="20"/>
                <w:szCs w:val="20"/>
              </w:rPr>
            </w:pPr>
            <w:r w:rsidRPr="00461684">
              <w:rPr>
                <w:sz w:val="20"/>
                <w:szCs w:val="20"/>
              </w:rPr>
              <w:t>36%</w:t>
            </w:r>
          </w:p>
          <w:p w14:paraId="388CDA70" w14:textId="77777777" w:rsidR="002F15EC" w:rsidRPr="00461684" w:rsidRDefault="002F15EC" w:rsidP="00461684">
            <w:pPr>
              <w:rPr>
                <w:sz w:val="20"/>
                <w:szCs w:val="20"/>
              </w:rPr>
            </w:pPr>
            <w:r w:rsidRPr="00461684">
              <w:rPr>
                <w:sz w:val="20"/>
                <w:szCs w:val="20"/>
              </w:rPr>
              <w:t>45%</w:t>
            </w:r>
          </w:p>
          <w:p w14:paraId="0EA4DE45" w14:textId="77777777" w:rsidR="002F15EC" w:rsidRPr="00461684" w:rsidRDefault="002F15EC" w:rsidP="00461684">
            <w:pPr>
              <w:rPr>
                <w:sz w:val="20"/>
                <w:szCs w:val="20"/>
              </w:rPr>
            </w:pPr>
            <w:r w:rsidRPr="00461684">
              <w:rPr>
                <w:sz w:val="20"/>
                <w:szCs w:val="20"/>
              </w:rPr>
              <w:t>18%</w:t>
            </w:r>
          </w:p>
        </w:tc>
        <w:tc>
          <w:tcPr>
            <w:tcW w:w="2732" w:type="dxa"/>
          </w:tcPr>
          <w:p w14:paraId="65EFBFE7" w14:textId="77777777" w:rsidR="002F15EC" w:rsidRPr="00461684" w:rsidRDefault="002F15EC" w:rsidP="00461684">
            <w:pPr>
              <w:rPr>
                <w:sz w:val="20"/>
                <w:szCs w:val="20"/>
              </w:rPr>
            </w:pPr>
          </w:p>
          <w:p w14:paraId="39A1DBA8" w14:textId="77777777" w:rsidR="002F15EC" w:rsidRPr="00461684" w:rsidRDefault="002F15EC" w:rsidP="00461684">
            <w:pPr>
              <w:rPr>
                <w:sz w:val="20"/>
                <w:szCs w:val="20"/>
              </w:rPr>
            </w:pPr>
            <w:r w:rsidRPr="00461684">
              <w:rPr>
                <w:sz w:val="20"/>
                <w:szCs w:val="20"/>
              </w:rPr>
              <w:t>33%</w:t>
            </w:r>
          </w:p>
          <w:p w14:paraId="1174949A" w14:textId="77777777" w:rsidR="002F15EC" w:rsidRPr="00461684" w:rsidRDefault="002F15EC" w:rsidP="00461684">
            <w:pPr>
              <w:rPr>
                <w:sz w:val="20"/>
                <w:szCs w:val="20"/>
              </w:rPr>
            </w:pPr>
            <w:r w:rsidRPr="00461684">
              <w:rPr>
                <w:sz w:val="20"/>
                <w:szCs w:val="20"/>
              </w:rPr>
              <w:t>48%</w:t>
            </w:r>
          </w:p>
          <w:p w14:paraId="40757FE2" w14:textId="77777777" w:rsidR="002F15EC" w:rsidRPr="00461684" w:rsidRDefault="002F15EC" w:rsidP="00461684">
            <w:pPr>
              <w:rPr>
                <w:sz w:val="20"/>
                <w:szCs w:val="20"/>
              </w:rPr>
            </w:pPr>
            <w:r w:rsidRPr="00461684">
              <w:rPr>
                <w:sz w:val="20"/>
                <w:szCs w:val="20"/>
              </w:rPr>
              <w:t>19%</w:t>
            </w:r>
          </w:p>
        </w:tc>
      </w:tr>
      <w:tr w:rsidR="00953F03" w:rsidRPr="00461684" w14:paraId="264FB72B" w14:textId="77777777" w:rsidTr="00CA702F">
        <w:tc>
          <w:tcPr>
            <w:tcW w:w="2536" w:type="dxa"/>
          </w:tcPr>
          <w:p w14:paraId="05460D83" w14:textId="77777777" w:rsidR="002F15EC" w:rsidRPr="00461684" w:rsidRDefault="002F15EC" w:rsidP="00CA702F">
            <w:pPr>
              <w:ind w:left="0"/>
              <w:rPr>
                <w:sz w:val="20"/>
                <w:szCs w:val="20"/>
              </w:rPr>
            </w:pPr>
            <w:r w:rsidRPr="00461684">
              <w:rPr>
                <w:sz w:val="20"/>
                <w:szCs w:val="20"/>
              </w:rPr>
              <w:t xml:space="preserve">LN involvement, </w:t>
            </w:r>
            <w:r w:rsidR="001C5E9A" w:rsidRPr="00461684">
              <w:rPr>
                <w:sz w:val="20"/>
                <w:szCs w:val="20"/>
              </w:rPr>
              <w:t>Stage III</w:t>
            </w:r>
          </w:p>
          <w:p w14:paraId="6B81158E" w14:textId="77777777" w:rsidR="002F15EC" w:rsidRPr="00461684" w:rsidRDefault="002F15EC" w:rsidP="00461684">
            <w:pPr>
              <w:rPr>
                <w:sz w:val="20"/>
                <w:szCs w:val="20"/>
              </w:rPr>
            </w:pPr>
            <w:r w:rsidRPr="00461684">
              <w:rPr>
                <w:sz w:val="20"/>
                <w:szCs w:val="20"/>
              </w:rPr>
              <w:t xml:space="preserve">  Micro</w:t>
            </w:r>
          </w:p>
          <w:p w14:paraId="5224E6EA" w14:textId="77777777" w:rsidR="002F15EC" w:rsidRPr="00461684" w:rsidRDefault="002F15EC" w:rsidP="00461684">
            <w:pPr>
              <w:rPr>
                <w:sz w:val="20"/>
                <w:szCs w:val="20"/>
              </w:rPr>
            </w:pPr>
            <w:r w:rsidRPr="00461684">
              <w:rPr>
                <w:sz w:val="20"/>
                <w:szCs w:val="20"/>
              </w:rPr>
              <w:t xml:space="preserve">  Macro</w:t>
            </w:r>
          </w:p>
          <w:p w14:paraId="6CBB826F" w14:textId="77777777" w:rsidR="002F15EC" w:rsidRPr="00461684" w:rsidRDefault="002F15EC" w:rsidP="00461684">
            <w:pPr>
              <w:rPr>
                <w:sz w:val="20"/>
                <w:szCs w:val="20"/>
              </w:rPr>
            </w:pPr>
            <w:r w:rsidRPr="00461684">
              <w:rPr>
                <w:sz w:val="20"/>
                <w:szCs w:val="20"/>
              </w:rPr>
              <w:t xml:space="preserve">  Not reported</w:t>
            </w:r>
          </w:p>
        </w:tc>
        <w:tc>
          <w:tcPr>
            <w:tcW w:w="2070" w:type="dxa"/>
          </w:tcPr>
          <w:p w14:paraId="275A9669" w14:textId="77777777" w:rsidR="002F15EC" w:rsidRPr="00461684" w:rsidRDefault="002F15EC" w:rsidP="00CA702F">
            <w:pPr>
              <w:ind w:left="0"/>
              <w:rPr>
                <w:sz w:val="20"/>
                <w:szCs w:val="20"/>
              </w:rPr>
            </w:pPr>
          </w:p>
          <w:p w14:paraId="5948F99C" w14:textId="77777777" w:rsidR="002F15EC" w:rsidRPr="00461684" w:rsidRDefault="002F15EC" w:rsidP="00461684">
            <w:pPr>
              <w:rPr>
                <w:sz w:val="20"/>
                <w:szCs w:val="20"/>
              </w:rPr>
            </w:pPr>
            <w:r w:rsidRPr="00461684">
              <w:rPr>
                <w:sz w:val="20"/>
                <w:szCs w:val="20"/>
              </w:rPr>
              <w:t>34%</w:t>
            </w:r>
          </w:p>
          <w:p w14:paraId="5F9CA9BD" w14:textId="77777777" w:rsidR="002F15EC" w:rsidRPr="00461684" w:rsidRDefault="002F15EC" w:rsidP="00461684">
            <w:pPr>
              <w:rPr>
                <w:sz w:val="20"/>
                <w:szCs w:val="20"/>
              </w:rPr>
            </w:pPr>
            <w:r w:rsidRPr="00461684">
              <w:rPr>
                <w:sz w:val="20"/>
                <w:szCs w:val="20"/>
              </w:rPr>
              <w:t>59%</w:t>
            </w:r>
          </w:p>
          <w:p w14:paraId="1828B039" w14:textId="77777777" w:rsidR="002F15EC" w:rsidRPr="00461684" w:rsidRDefault="002F15EC" w:rsidP="00461684">
            <w:pPr>
              <w:rPr>
                <w:sz w:val="20"/>
                <w:szCs w:val="20"/>
              </w:rPr>
            </w:pPr>
            <w:r w:rsidRPr="00461684">
              <w:rPr>
                <w:sz w:val="20"/>
                <w:szCs w:val="20"/>
              </w:rPr>
              <w:t>7%</w:t>
            </w:r>
          </w:p>
        </w:tc>
        <w:tc>
          <w:tcPr>
            <w:tcW w:w="2732" w:type="dxa"/>
          </w:tcPr>
          <w:p w14:paraId="6C5FE18B" w14:textId="77777777" w:rsidR="002F15EC" w:rsidRPr="00461684" w:rsidRDefault="002F15EC" w:rsidP="00CA702F">
            <w:pPr>
              <w:ind w:left="0"/>
              <w:rPr>
                <w:sz w:val="20"/>
                <w:szCs w:val="20"/>
              </w:rPr>
            </w:pPr>
          </w:p>
          <w:p w14:paraId="355C864F" w14:textId="77777777" w:rsidR="002F15EC" w:rsidRPr="00461684" w:rsidRDefault="002F15EC" w:rsidP="00461684">
            <w:pPr>
              <w:rPr>
                <w:sz w:val="20"/>
                <w:szCs w:val="20"/>
              </w:rPr>
            </w:pPr>
            <w:r w:rsidRPr="00461684">
              <w:rPr>
                <w:sz w:val="20"/>
                <w:szCs w:val="20"/>
              </w:rPr>
              <w:t>37%</w:t>
            </w:r>
          </w:p>
          <w:p w14:paraId="3999656F" w14:textId="77777777" w:rsidR="002F15EC" w:rsidRPr="00461684" w:rsidRDefault="002F15EC" w:rsidP="00461684">
            <w:pPr>
              <w:rPr>
                <w:sz w:val="20"/>
                <w:szCs w:val="20"/>
              </w:rPr>
            </w:pPr>
            <w:r w:rsidRPr="00461684">
              <w:rPr>
                <w:sz w:val="20"/>
                <w:szCs w:val="20"/>
              </w:rPr>
              <w:t>59%</w:t>
            </w:r>
          </w:p>
          <w:p w14:paraId="4CD519E8" w14:textId="77777777" w:rsidR="002F15EC" w:rsidRPr="00461684" w:rsidRDefault="002F15EC" w:rsidP="00461684">
            <w:pPr>
              <w:rPr>
                <w:sz w:val="20"/>
                <w:szCs w:val="20"/>
              </w:rPr>
            </w:pPr>
            <w:r w:rsidRPr="00461684">
              <w:rPr>
                <w:sz w:val="20"/>
                <w:szCs w:val="20"/>
              </w:rPr>
              <w:t>5%</w:t>
            </w:r>
          </w:p>
        </w:tc>
      </w:tr>
      <w:tr w:rsidR="00953F03" w:rsidRPr="00461684" w14:paraId="28A9F8E9" w14:textId="77777777" w:rsidTr="00CA702F">
        <w:trPr>
          <w:cantSplit/>
        </w:trPr>
        <w:tc>
          <w:tcPr>
            <w:tcW w:w="2536" w:type="dxa"/>
          </w:tcPr>
          <w:p w14:paraId="5B32B6F3" w14:textId="77777777" w:rsidR="002F15EC" w:rsidRPr="00461684" w:rsidRDefault="002F15EC" w:rsidP="00CA702F">
            <w:pPr>
              <w:ind w:left="0"/>
              <w:rPr>
                <w:sz w:val="20"/>
                <w:szCs w:val="20"/>
              </w:rPr>
            </w:pPr>
            <w:r w:rsidRPr="00461684">
              <w:rPr>
                <w:sz w:val="20"/>
                <w:szCs w:val="20"/>
              </w:rPr>
              <w:lastRenderedPageBreak/>
              <w:t xml:space="preserve">Ulceration, </w:t>
            </w:r>
            <w:r w:rsidR="001C5E9A" w:rsidRPr="00461684">
              <w:rPr>
                <w:sz w:val="20"/>
                <w:szCs w:val="20"/>
              </w:rPr>
              <w:t>Stage III</w:t>
            </w:r>
          </w:p>
          <w:p w14:paraId="43A1694F" w14:textId="77777777" w:rsidR="002F15EC" w:rsidRPr="00461684" w:rsidRDefault="002F15EC" w:rsidP="00461684">
            <w:pPr>
              <w:rPr>
                <w:sz w:val="20"/>
                <w:szCs w:val="20"/>
              </w:rPr>
            </w:pPr>
            <w:r w:rsidRPr="00461684">
              <w:rPr>
                <w:sz w:val="20"/>
                <w:szCs w:val="20"/>
              </w:rPr>
              <w:t xml:space="preserve">  Yes</w:t>
            </w:r>
          </w:p>
          <w:p w14:paraId="2251DE28" w14:textId="77777777" w:rsidR="002F15EC" w:rsidRPr="00461684" w:rsidRDefault="002F15EC" w:rsidP="00461684">
            <w:pPr>
              <w:rPr>
                <w:sz w:val="20"/>
                <w:szCs w:val="20"/>
              </w:rPr>
            </w:pPr>
            <w:r w:rsidRPr="00461684">
              <w:rPr>
                <w:sz w:val="20"/>
                <w:szCs w:val="20"/>
              </w:rPr>
              <w:t xml:space="preserve">  No</w:t>
            </w:r>
          </w:p>
          <w:p w14:paraId="39C471EF" w14:textId="77777777" w:rsidR="002F15EC" w:rsidRPr="00461684" w:rsidRDefault="002F15EC" w:rsidP="00461684">
            <w:pPr>
              <w:rPr>
                <w:sz w:val="20"/>
                <w:szCs w:val="20"/>
              </w:rPr>
            </w:pPr>
            <w:r w:rsidRPr="00461684">
              <w:rPr>
                <w:sz w:val="20"/>
                <w:szCs w:val="20"/>
              </w:rPr>
              <w:t xml:space="preserve">  Not reported</w:t>
            </w:r>
          </w:p>
        </w:tc>
        <w:tc>
          <w:tcPr>
            <w:tcW w:w="2070" w:type="dxa"/>
          </w:tcPr>
          <w:p w14:paraId="64A03E9D" w14:textId="77777777" w:rsidR="002F15EC" w:rsidRPr="00461684" w:rsidRDefault="002F15EC" w:rsidP="00CA702F">
            <w:pPr>
              <w:ind w:left="0"/>
              <w:rPr>
                <w:sz w:val="20"/>
                <w:szCs w:val="20"/>
              </w:rPr>
            </w:pPr>
          </w:p>
          <w:p w14:paraId="728EE9CB" w14:textId="77777777" w:rsidR="002F15EC" w:rsidRPr="00461684" w:rsidRDefault="002F15EC" w:rsidP="00461684">
            <w:pPr>
              <w:rPr>
                <w:sz w:val="20"/>
                <w:szCs w:val="20"/>
              </w:rPr>
            </w:pPr>
            <w:r w:rsidRPr="00461684">
              <w:rPr>
                <w:sz w:val="20"/>
                <w:szCs w:val="20"/>
              </w:rPr>
              <w:t>42%</w:t>
            </w:r>
          </w:p>
          <w:p w14:paraId="6FAC0C00" w14:textId="77777777" w:rsidR="002F15EC" w:rsidRPr="00461684" w:rsidRDefault="002F15EC" w:rsidP="00461684">
            <w:pPr>
              <w:rPr>
                <w:sz w:val="20"/>
                <w:szCs w:val="20"/>
              </w:rPr>
            </w:pPr>
            <w:r w:rsidRPr="00461684">
              <w:rPr>
                <w:sz w:val="20"/>
                <w:szCs w:val="20"/>
              </w:rPr>
              <w:t>55%</w:t>
            </w:r>
          </w:p>
          <w:p w14:paraId="3655548F" w14:textId="77777777" w:rsidR="002F15EC" w:rsidRPr="00461684" w:rsidRDefault="002F15EC" w:rsidP="00461684">
            <w:pPr>
              <w:rPr>
                <w:sz w:val="20"/>
                <w:szCs w:val="20"/>
              </w:rPr>
            </w:pPr>
            <w:r w:rsidRPr="00461684">
              <w:rPr>
                <w:sz w:val="20"/>
                <w:szCs w:val="20"/>
              </w:rPr>
              <w:t>4%</w:t>
            </w:r>
          </w:p>
        </w:tc>
        <w:tc>
          <w:tcPr>
            <w:tcW w:w="2732" w:type="dxa"/>
          </w:tcPr>
          <w:p w14:paraId="62AD04B9" w14:textId="77777777" w:rsidR="002F15EC" w:rsidRPr="00461684" w:rsidRDefault="002F15EC" w:rsidP="00CA702F">
            <w:pPr>
              <w:ind w:left="0"/>
              <w:rPr>
                <w:sz w:val="20"/>
                <w:szCs w:val="20"/>
              </w:rPr>
            </w:pPr>
          </w:p>
          <w:p w14:paraId="229B1DD4" w14:textId="77777777" w:rsidR="002F15EC" w:rsidRPr="00461684" w:rsidRDefault="002F15EC" w:rsidP="00461684">
            <w:pPr>
              <w:rPr>
                <w:sz w:val="20"/>
                <w:szCs w:val="20"/>
              </w:rPr>
            </w:pPr>
            <w:r w:rsidRPr="00461684">
              <w:rPr>
                <w:sz w:val="20"/>
                <w:szCs w:val="20"/>
              </w:rPr>
              <w:t>37%</w:t>
            </w:r>
          </w:p>
          <w:p w14:paraId="33D418B8" w14:textId="77777777" w:rsidR="002F15EC" w:rsidRPr="00461684" w:rsidRDefault="002F15EC" w:rsidP="00461684">
            <w:pPr>
              <w:rPr>
                <w:sz w:val="20"/>
                <w:szCs w:val="20"/>
              </w:rPr>
            </w:pPr>
            <w:r w:rsidRPr="00461684">
              <w:rPr>
                <w:sz w:val="20"/>
                <w:szCs w:val="20"/>
              </w:rPr>
              <w:t>59%</w:t>
            </w:r>
          </w:p>
          <w:p w14:paraId="6AC5285A" w14:textId="77777777" w:rsidR="002F15EC" w:rsidRPr="00461684" w:rsidRDefault="002F15EC" w:rsidP="00461684">
            <w:pPr>
              <w:rPr>
                <w:sz w:val="20"/>
                <w:szCs w:val="20"/>
              </w:rPr>
            </w:pPr>
            <w:r w:rsidRPr="00461684">
              <w:rPr>
                <w:sz w:val="20"/>
                <w:szCs w:val="20"/>
              </w:rPr>
              <w:t>4%</w:t>
            </w:r>
          </w:p>
        </w:tc>
      </w:tr>
      <w:tr w:rsidR="00953F03" w:rsidRPr="00461684" w14:paraId="3805B689" w14:textId="77777777" w:rsidTr="00CA702F">
        <w:tc>
          <w:tcPr>
            <w:tcW w:w="2536" w:type="dxa"/>
          </w:tcPr>
          <w:p w14:paraId="1BBED1FF" w14:textId="77777777" w:rsidR="002F15EC" w:rsidRPr="00461684" w:rsidRDefault="002F15EC" w:rsidP="00461684">
            <w:pPr>
              <w:rPr>
                <w:sz w:val="20"/>
                <w:szCs w:val="20"/>
              </w:rPr>
            </w:pPr>
            <w:r w:rsidRPr="00461684">
              <w:rPr>
                <w:sz w:val="20"/>
                <w:szCs w:val="20"/>
              </w:rPr>
              <w:t>PD-L1</w:t>
            </w:r>
          </w:p>
          <w:p w14:paraId="028AE4D4" w14:textId="5C63D9F8" w:rsidR="002F15EC" w:rsidRPr="00461684" w:rsidRDefault="002F15EC" w:rsidP="00461684">
            <w:pPr>
              <w:rPr>
                <w:sz w:val="20"/>
                <w:szCs w:val="20"/>
              </w:rPr>
            </w:pPr>
            <w:r w:rsidRPr="00461684">
              <w:rPr>
                <w:sz w:val="20"/>
                <w:szCs w:val="20"/>
              </w:rPr>
              <w:t xml:space="preserve">  &lt;</w:t>
            </w:r>
            <w:r w:rsidR="00953F03">
              <w:rPr>
                <w:sz w:val="20"/>
                <w:szCs w:val="20"/>
              </w:rPr>
              <w:t xml:space="preserve"> </w:t>
            </w:r>
            <w:r w:rsidRPr="00461684">
              <w:rPr>
                <w:sz w:val="20"/>
                <w:szCs w:val="20"/>
              </w:rPr>
              <w:t>5</w:t>
            </w:r>
            <w:r w:rsidR="00953F03">
              <w:rPr>
                <w:sz w:val="20"/>
                <w:szCs w:val="20"/>
              </w:rPr>
              <w:t xml:space="preserve"> </w:t>
            </w:r>
            <w:r w:rsidRPr="00461684">
              <w:rPr>
                <w:sz w:val="20"/>
                <w:szCs w:val="20"/>
              </w:rPr>
              <w:t>%</w:t>
            </w:r>
          </w:p>
          <w:p w14:paraId="25794D8B" w14:textId="510FE075" w:rsidR="002F15EC" w:rsidRPr="00461684" w:rsidRDefault="002F15EC" w:rsidP="00461684">
            <w:pPr>
              <w:rPr>
                <w:sz w:val="20"/>
                <w:szCs w:val="20"/>
              </w:rPr>
            </w:pPr>
            <w:r w:rsidRPr="00461684">
              <w:rPr>
                <w:sz w:val="20"/>
                <w:szCs w:val="20"/>
              </w:rPr>
              <w:t xml:space="preserve">   5+</w:t>
            </w:r>
            <w:r w:rsidR="00953F03">
              <w:rPr>
                <w:sz w:val="20"/>
                <w:szCs w:val="20"/>
              </w:rPr>
              <w:t xml:space="preserve"> </w:t>
            </w:r>
            <w:r w:rsidRPr="00461684">
              <w:rPr>
                <w:sz w:val="20"/>
                <w:szCs w:val="20"/>
              </w:rPr>
              <w:t>%</w:t>
            </w:r>
          </w:p>
          <w:p w14:paraId="39A08DA3" w14:textId="77777777" w:rsidR="002F15EC" w:rsidRPr="00461684" w:rsidRDefault="002F15EC" w:rsidP="00461684">
            <w:pPr>
              <w:rPr>
                <w:sz w:val="20"/>
                <w:szCs w:val="20"/>
              </w:rPr>
            </w:pPr>
            <w:r w:rsidRPr="00461684">
              <w:rPr>
                <w:sz w:val="20"/>
                <w:szCs w:val="20"/>
              </w:rPr>
              <w:t xml:space="preserve">   Not reported</w:t>
            </w:r>
          </w:p>
        </w:tc>
        <w:tc>
          <w:tcPr>
            <w:tcW w:w="2070" w:type="dxa"/>
          </w:tcPr>
          <w:p w14:paraId="5F668346" w14:textId="77777777" w:rsidR="002F15EC" w:rsidRPr="00461684" w:rsidRDefault="002F15EC" w:rsidP="00461684">
            <w:pPr>
              <w:rPr>
                <w:sz w:val="20"/>
                <w:szCs w:val="20"/>
              </w:rPr>
            </w:pPr>
          </w:p>
          <w:p w14:paraId="7AC70532" w14:textId="77777777" w:rsidR="002F15EC" w:rsidRPr="00461684" w:rsidRDefault="002F15EC" w:rsidP="00461684">
            <w:pPr>
              <w:rPr>
                <w:sz w:val="20"/>
                <w:szCs w:val="20"/>
              </w:rPr>
            </w:pPr>
            <w:r w:rsidRPr="00461684">
              <w:rPr>
                <w:sz w:val="20"/>
                <w:szCs w:val="20"/>
              </w:rPr>
              <w:t>61%</w:t>
            </w:r>
          </w:p>
          <w:p w14:paraId="401F372A" w14:textId="77777777" w:rsidR="002F15EC" w:rsidRPr="00461684" w:rsidRDefault="002F15EC" w:rsidP="00461684">
            <w:pPr>
              <w:rPr>
                <w:sz w:val="20"/>
                <w:szCs w:val="20"/>
              </w:rPr>
            </w:pPr>
            <w:r w:rsidRPr="00461684">
              <w:rPr>
                <w:sz w:val="20"/>
                <w:szCs w:val="20"/>
              </w:rPr>
              <w:t>34%</w:t>
            </w:r>
          </w:p>
          <w:p w14:paraId="08942499" w14:textId="77777777" w:rsidR="002F15EC" w:rsidRPr="00461684" w:rsidRDefault="002F15EC" w:rsidP="00461684">
            <w:pPr>
              <w:rPr>
                <w:sz w:val="20"/>
                <w:szCs w:val="20"/>
              </w:rPr>
            </w:pPr>
            <w:r w:rsidRPr="00461684">
              <w:rPr>
                <w:sz w:val="20"/>
                <w:szCs w:val="20"/>
              </w:rPr>
              <w:t>6%</w:t>
            </w:r>
          </w:p>
        </w:tc>
        <w:tc>
          <w:tcPr>
            <w:tcW w:w="2732" w:type="dxa"/>
          </w:tcPr>
          <w:p w14:paraId="364CA8FF" w14:textId="77777777" w:rsidR="002F15EC" w:rsidRPr="00461684" w:rsidRDefault="002F15EC" w:rsidP="00461684">
            <w:pPr>
              <w:rPr>
                <w:sz w:val="20"/>
                <w:szCs w:val="20"/>
              </w:rPr>
            </w:pPr>
          </w:p>
          <w:p w14:paraId="35FC06F2" w14:textId="77777777" w:rsidR="002F15EC" w:rsidRPr="00461684" w:rsidRDefault="002F15EC" w:rsidP="00461684">
            <w:pPr>
              <w:rPr>
                <w:sz w:val="20"/>
                <w:szCs w:val="20"/>
              </w:rPr>
            </w:pPr>
            <w:r w:rsidRPr="00461684">
              <w:rPr>
                <w:sz w:val="20"/>
                <w:szCs w:val="20"/>
              </w:rPr>
              <w:t>63%</w:t>
            </w:r>
          </w:p>
          <w:p w14:paraId="20A33042" w14:textId="77777777" w:rsidR="002F15EC" w:rsidRPr="00461684" w:rsidRDefault="002F15EC" w:rsidP="00461684">
            <w:pPr>
              <w:rPr>
                <w:sz w:val="20"/>
                <w:szCs w:val="20"/>
              </w:rPr>
            </w:pPr>
            <w:r w:rsidRPr="00461684">
              <w:rPr>
                <w:sz w:val="20"/>
                <w:szCs w:val="20"/>
              </w:rPr>
              <w:t>34%</w:t>
            </w:r>
          </w:p>
          <w:p w14:paraId="2F7F0C40" w14:textId="77777777" w:rsidR="002F15EC" w:rsidRPr="00461684" w:rsidRDefault="002F15EC" w:rsidP="00461684">
            <w:pPr>
              <w:rPr>
                <w:sz w:val="20"/>
                <w:szCs w:val="20"/>
              </w:rPr>
            </w:pPr>
            <w:r w:rsidRPr="00461684">
              <w:rPr>
                <w:sz w:val="20"/>
                <w:szCs w:val="20"/>
              </w:rPr>
              <w:t>3%</w:t>
            </w:r>
          </w:p>
        </w:tc>
      </w:tr>
      <w:tr w:rsidR="00953F03" w:rsidRPr="00461684" w14:paraId="1B5774AF" w14:textId="77777777" w:rsidTr="00CA702F">
        <w:tc>
          <w:tcPr>
            <w:tcW w:w="2536" w:type="dxa"/>
          </w:tcPr>
          <w:p w14:paraId="4E3883F4" w14:textId="77777777" w:rsidR="002F15EC" w:rsidRPr="00461684" w:rsidRDefault="002F15EC" w:rsidP="00461684">
            <w:pPr>
              <w:rPr>
                <w:sz w:val="20"/>
                <w:szCs w:val="20"/>
              </w:rPr>
            </w:pPr>
            <w:r w:rsidRPr="00461684">
              <w:rPr>
                <w:sz w:val="20"/>
                <w:szCs w:val="20"/>
              </w:rPr>
              <w:t>BRAF</w:t>
            </w:r>
          </w:p>
          <w:p w14:paraId="692B0DD7" w14:textId="77777777" w:rsidR="002F15EC" w:rsidRPr="00461684" w:rsidRDefault="002F15EC" w:rsidP="00461684">
            <w:pPr>
              <w:rPr>
                <w:sz w:val="20"/>
                <w:szCs w:val="20"/>
              </w:rPr>
            </w:pPr>
            <w:r w:rsidRPr="00461684">
              <w:rPr>
                <w:sz w:val="20"/>
                <w:szCs w:val="20"/>
              </w:rPr>
              <w:t xml:space="preserve">  Yes</w:t>
            </w:r>
          </w:p>
          <w:p w14:paraId="33BEE805" w14:textId="77777777" w:rsidR="002F15EC" w:rsidRPr="00461684" w:rsidRDefault="002F15EC" w:rsidP="00461684">
            <w:pPr>
              <w:rPr>
                <w:sz w:val="20"/>
                <w:szCs w:val="20"/>
              </w:rPr>
            </w:pPr>
            <w:r w:rsidRPr="00461684">
              <w:rPr>
                <w:sz w:val="20"/>
                <w:szCs w:val="20"/>
              </w:rPr>
              <w:t xml:space="preserve">  No</w:t>
            </w:r>
          </w:p>
          <w:p w14:paraId="3DD7C568" w14:textId="77777777" w:rsidR="002F15EC" w:rsidRPr="00461684" w:rsidRDefault="002F15EC" w:rsidP="00461684">
            <w:pPr>
              <w:rPr>
                <w:sz w:val="20"/>
                <w:szCs w:val="20"/>
              </w:rPr>
            </w:pPr>
            <w:r w:rsidRPr="00461684">
              <w:rPr>
                <w:sz w:val="20"/>
                <w:szCs w:val="20"/>
              </w:rPr>
              <w:t xml:space="preserve">  Not reported</w:t>
            </w:r>
          </w:p>
        </w:tc>
        <w:tc>
          <w:tcPr>
            <w:tcW w:w="2070" w:type="dxa"/>
          </w:tcPr>
          <w:p w14:paraId="19BD0C76" w14:textId="77777777" w:rsidR="002F15EC" w:rsidRPr="00461684" w:rsidRDefault="002F15EC" w:rsidP="00461684">
            <w:pPr>
              <w:rPr>
                <w:sz w:val="20"/>
                <w:szCs w:val="20"/>
              </w:rPr>
            </w:pPr>
          </w:p>
          <w:p w14:paraId="0493D101" w14:textId="77777777" w:rsidR="002F15EC" w:rsidRPr="00461684" w:rsidRDefault="002F15EC" w:rsidP="00461684">
            <w:pPr>
              <w:rPr>
                <w:sz w:val="20"/>
                <w:szCs w:val="20"/>
              </w:rPr>
            </w:pPr>
            <w:r w:rsidRPr="00461684">
              <w:rPr>
                <w:sz w:val="20"/>
                <w:szCs w:val="20"/>
              </w:rPr>
              <w:t>41%</w:t>
            </w:r>
          </w:p>
          <w:p w14:paraId="35C5C770" w14:textId="77777777" w:rsidR="002F15EC" w:rsidRPr="00461684" w:rsidRDefault="002F15EC" w:rsidP="00461684">
            <w:pPr>
              <w:rPr>
                <w:sz w:val="20"/>
                <w:szCs w:val="20"/>
              </w:rPr>
            </w:pPr>
            <w:r w:rsidRPr="00461684">
              <w:rPr>
                <w:sz w:val="20"/>
                <w:szCs w:val="20"/>
              </w:rPr>
              <w:t>44%</w:t>
            </w:r>
          </w:p>
          <w:p w14:paraId="7F80F6BD" w14:textId="77777777" w:rsidR="002F15EC" w:rsidRPr="00461684" w:rsidRDefault="002F15EC" w:rsidP="00461684">
            <w:pPr>
              <w:rPr>
                <w:sz w:val="20"/>
                <w:szCs w:val="20"/>
              </w:rPr>
            </w:pPr>
            <w:r w:rsidRPr="00461684">
              <w:rPr>
                <w:sz w:val="20"/>
                <w:szCs w:val="20"/>
              </w:rPr>
              <w:t>15%</w:t>
            </w:r>
          </w:p>
        </w:tc>
        <w:tc>
          <w:tcPr>
            <w:tcW w:w="2732" w:type="dxa"/>
          </w:tcPr>
          <w:p w14:paraId="1186B5D0" w14:textId="77777777" w:rsidR="002F15EC" w:rsidRPr="00461684" w:rsidRDefault="002F15EC" w:rsidP="00461684">
            <w:pPr>
              <w:rPr>
                <w:sz w:val="20"/>
                <w:szCs w:val="20"/>
              </w:rPr>
            </w:pPr>
          </w:p>
          <w:p w14:paraId="77F9977E" w14:textId="77777777" w:rsidR="002F15EC" w:rsidRPr="00461684" w:rsidRDefault="002F15EC" w:rsidP="00461684">
            <w:pPr>
              <w:rPr>
                <w:sz w:val="20"/>
                <w:szCs w:val="20"/>
              </w:rPr>
            </w:pPr>
            <w:r w:rsidRPr="00461684">
              <w:rPr>
                <w:sz w:val="20"/>
                <w:szCs w:val="20"/>
              </w:rPr>
              <w:t>43%</w:t>
            </w:r>
          </w:p>
          <w:p w14:paraId="3D35C00C" w14:textId="77777777" w:rsidR="002F15EC" w:rsidRPr="00461684" w:rsidRDefault="002F15EC" w:rsidP="00461684">
            <w:pPr>
              <w:rPr>
                <w:sz w:val="20"/>
                <w:szCs w:val="20"/>
              </w:rPr>
            </w:pPr>
            <w:r w:rsidRPr="00461684">
              <w:rPr>
                <w:sz w:val="20"/>
                <w:szCs w:val="20"/>
              </w:rPr>
              <w:t>47%</w:t>
            </w:r>
          </w:p>
          <w:p w14:paraId="52156F30" w14:textId="77777777" w:rsidR="002F15EC" w:rsidRPr="00461684" w:rsidRDefault="002F15EC" w:rsidP="00461684">
            <w:pPr>
              <w:rPr>
                <w:sz w:val="20"/>
                <w:szCs w:val="20"/>
              </w:rPr>
            </w:pPr>
            <w:r w:rsidRPr="00461684">
              <w:rPr>
                <w:sz w:val="20"/>
                <w:szCs w:val="20"/>
              </w:rPr>
              <w:t>10%</w:t>
            </w:r>
          </w:p>
        </w:tc>
      </w:tr>
    </w:tbl>
    <w:p w14:paraId="052414CD" w14:textId="77777777" w:rsidR="00461684" w:rsidRDefault="002F15EC" w:rsidP="00461684">
      <w:pPr>
        <w:pStyle w:val="Heading6"/>
      </w:pPr>
      <w:r w:rsidRPr="00461684">
        <w:t>Results</w:t>
      </w:r>
      <w:r>
        <w:t xml:space="preserve"> (database lock: 12 Jun</w:t>
      </w:r>
      <w:r w:rsidR="00461684">
        <w:t>e</w:t>
      </w:r>
      <w:r>
        <w:t xml:space="preserve"> 2017) </w:t>
      </w:r>
    </w:p>
    <w:p w14:paraId="543EAAED" w14:textId="77777777" w:rsidR="002F15EC" w:rsidRDefault="00461684" w:rsidP="00461684">
      <w:pPr>
        <w:pStyle w:val="Heading6"/>
      </w:pPr>
      <w:r>
        <w:t>P</w:t>
      </w:r>
      <w:r w:rsidR="002F15EC">
        <w:t>re-specified interim analysis, protocol amendment Jan</w:t>
      </w:r>
      <w:r>
        <w:t>uary</w:t>
      </w:r>
      <w:r w:rsidR="002F15EC">
        <w:t xml:space="preserve"> 2017</w:t>
      </w:r>
    </w:p>
    <w:p w14:paraId="0330379E" w14:textId="77777777" w:rsidR="00461684" w:rsidRPr="00461684" w:rsidRDefault="00461684" w:rsidP="00461684">
      <w:r w:rsidRPr="0087221E">
        <w:rPr>
          <w:rStyle w:val="Heading6Char"/>
          <w:rFonts w:eastAsia="Cambria"/>
        </w:rPr>
        <w:t>Recurrence free survival (primary endpoint)</w:t>
      </w:r>
      <w:r>
        <w:t xml:space="preserve"> is summarised in Table 12 and Figure 1 below.</w:t>
      </w:r>
    </w:p>
    <w:p w14:paraId="6BD262FD" w14:textId="77777777" w:rsidR="002F15EC" w:rsidRPr="00B12F6E" w:rsidRDefault="00461684" w:rsidP="00461684">
      <w:pPr>
        <w:pStyle w:val="TableTitle"/>
      </w:pPr>
      <w:r>
        <w:t xml:space="preserve">Table 12: </w:t>
      </w:r>
      <w:r w:rsidR="002F15EC" w:rsidRPr="00B12F6E">
        <w:t>Recurrence free survival (primary endpoint)</w:t>
      </w:r>
    </w:p>
    <w:tbl>
      <w:tblPr>
        <w:tblStyle w:val="TableTGAblue"/>
        <w:tblW w:w="0" w:type="auto"/>
        <w:tblLook w:val="04A0" w:firstRow="1" w:lastRow="0" w:firstColumn="1" w:lastColumn="0" w:noHBand="0" w:noVBand="1"/>
      </w:tblPr>
      <w:tblGrid>
        <w:gridCol w:w="2093"/>
        <w:gridCol w:w="2551"/>
        <w:gridCol w:w="3261"/>
      </w:tblGrid>
      <w:tr w:rsidR="002F15EC" w14:paraId="6A29648F" w14:textId="77777777" w:rsidTr="0087221E">
        <w:trPr>
          <w:cnfStyle w:val="100000000000" w:firstRow="1" w:lastRow="0" w:firstColumn="0" w:lastColumn="0" w:oddVBand="0" w:evenVBand="0" w:oddHBand="0" w:evenHBand="0" w:firstRowFirstColumn="0" w:firstRowLastColumn="0" w:lastRowFirstColumn="0" w:lastRowLastColumn="0"/>
        </w:trPr>
        <w:tc>
          <w:tcPr>
            <w:tcW w:w="2093" w:type="dxa"/>
          </w:tcPr>
          <w:p w14:paraId="012C85C4" w14:textId="77777777" w:rsidR="002F15EC" w:rsidRPr="00461684" w:rsidRDefault="002F15EC" w:rsidP="00B12F6E">
            <w:pPr>
              <w:rPr>
                <w:sz w:val="20"/>
                <w:szCs w:val="20"/>
              </w:rPr>
            </w:pPr>
          </w:p>
        </w:tc>
        <w:tc>
          <w:tcPr>
            <w:tcW w:w="2551" w:type="dxa"/>
          </w:tcPr>
          <w:p w14:paraId="2414725E" w14:textId="77777777" w:rsidR="002F15EC" w:rsidRPr="00461684" w:rsidRDefault="002F15EC" w:rsidP="0087221E">
            <w:pPr>
              <w:rPr>
                <w:sz w:val="20"/>
                <w:szCs w:val="20"/>
              </w:rPr>
            </w:pPr>
            <w:r w:rsidRPr="00461684">
              <w:rPr>
                <w:sz w:val="20"/>
                <w:szCs w:val="20"/>
              </w:rPr>
              <w:t>Nivolumab</w:t>
            </w:r>
            <w:r w:rsidR="0087221E">
              <w:rPr>
                <w:sz w:val="20"/>
                <w:szCs w:val="20"/>
              </w:rPr>
              <w:t xml:space="preserve"> </w:t>
            </w:r>
            <w:r w:rsidRPr="00461684">
              <w:rPr>
                <w:sz w:val="20"/>
                <w:szCs w:val="20"/>
              </w:rPr>
              <w:t>N=453</w:t>
            </w:r>
          </w:p>
        </w:tc>
        <w:tc>
          <w:tcPr>
            <w:tcW w:w="3261" w:type="dxa"/>
          </w:tcPr>
          <w:p w14:paraId="3F744289" w14:textId="77777777" w:rsidR="002F15EC" w:rsidRPr="00461684" w:rsidRDefault="002F15EC" w:rsidP="0087221E">
            <w:pPr>
              <w:rPr>
                <w:sz w:val="20"/>
                <w:szCs w:val="20"/>
              </w:rPr>
            </w:pPr>
            <w:r w:rsidRPr="00461684">
              <w:rPr>
                <w:sz w:val="20"/>
                <w:szCs w:val="20"/>
              </w:rPr>
              <w:t>Ipilimumab</w:t>
            </w:r>
            <w:r w:rsidR="0087221E">
              <w:rPr>
                <w:sz w:val="20"/>
                <w:szCs w:val="20"/>
              </w:rPr>
              <w:t xml:space="preserve"> </w:t>
            </w:r>
            <w:r w:rsidRPr="00461684">
              <w:rPr>
                <w:sz w:val="20"/>
                <w:szCs w:val="20"/>
              </w:rPr>
              <w:t>N=453</w:t>
            </w:r>
          </w:p>
        </w:tc>
      </w:tr>
      <w:tr w:rsidR="002F15EC" w14:paraId="2B2E8DC1" w14:textId="77777777" w:rsidTr="0087221E">
        <w:tc>
          <w:tcPr>
            <w:tcW w:w="2093" w:type="dxa"/>
          </w:tcPr>
          <w:p w14:paraId="5103C1ED" w14:textId="77777777" w:rsidR="002F15EC" w:rsidRPr="00461684" w:rsidRDefault="002F15EC" w:rsidP="00B12F6E">
            <w:pPr>
              <w:rPr>
                <w:sz w:val="20"/>
                <w:szCs w:val="20"/>
              </w:rPr>
            </w:pPr>
            <w:r w:rsidRPr="00461684">
              <w:rPr>
                <w:sz w:val="20"/>
                <w:szCs w:val="20"/>
              </w:rPr>
              <w:t xml:space="preserve">Events, </w:t>
            </w:r>
            <w:proofErr w:type="gramStart"/>
            <w:r w:rsidRPr="00461684">
              <w:rPr>
                <w:sz w:val="20"/>
                <w:szCs w:val="20"/>
              </w:rPr>
              <w:t>n(</w:t>
            </w:r>
            <w:proofErr w:type="gramEnd"/>
            <w:r w:rsidRPr="00461684">
              <w:rPr>
                <w:sz w:val="20"/>
                <w:szCs w:val="20"/>
              </w:rPr>
              <w:t>%)</w:t>
            </w:r>
          </w:p>
        </w:tc>
        <w:tc>
          <w:tcPr>
            <w:tcW w:w="2551" w:type="dxa"/>
          </w:tcPr>
          <w:p w14:paraId="1833843B" w14:textId="77777777" w:rsidR="002F15EC" w:rsidRPr="00461684" w:rsidRDefault="002F15EC" w:rsidP="00B12F6E">
            <w:pPr>
              <w:rPr>
                <w:sz w:val="20"/>
                <w:szCs w:val="20"/>
              </w:rPr>
            </w:pPr>
            <w:r w:rsidRPr="00461684">
              <w:rPr>
                <w:sz w:val="20"/>
                <w:szCs w:val="20"/>
              </w:rPr>
              <w:t>154 (34%)</w:t>
            </w:r>
          </w:p>
        </w:tc>
        <w:tc>
          <w:tcPr>
            <w:tcW w:w="3261" w:type="dxa"/>
          </w:tcPr>
          <w:p w14:paraId="0B648AD4" w14:textId="77777777" w:rsidR="002F15EC" w:rsidRPr="00461684" w:rsidRDefault="002F15EC" w:rsidP="00B12F6E">
            <w:pPr>
              <w:rPr>
                <w:sz w:val="20"/>
                <w:szCs w:val="20"/>
              </w:rPr>
            </w:pPr>
            <w:r w:rsidRPr="00461684">
              <w:rPr>
                <w:sz w:val="20"/>
                <w:szCs w:val="20"/>
              </w:rPr>
              <w:t>206 (46%)</w:t>
            </w:r>
          </w:p>
        </w:tc>
      </w:tr>
      <w:tr w:rsidR="002F15EC" w14:paraId="197A1CD7" w14:textId="77777777" w:rsidTr="0087221E">
        <w:tc>
          <w:tcPr>
            <w:tcW w:w="2093" w:type="dxa"/>
          </w:tcPr>
          <w:p w14:paraId="3400FB6F" w14:textId="77777777" w:rsidR="002F15EC" w:rsidRPr="00461684" w:rsidRDefault="002F15EC" w:rsidP="00B12F6E">
            <w:pPr>
              <w:rPr>
                <w:sz w:val="20"/>
                <w:szCs w:val="20"/>
              </w:rPr>
            </w:pPr>
            <w:r w:rsidRPr="00461684">
              <w:rPr>
                <w:sz w:val="20"/>
                <w:szCs w:val="20"/>
              </w:rPr>
              <w:t>Median (95% CI)</w:t>
            </w:r>
          </w:p>
        </w:tc>
        <w:tc>
          <w:tcPr>
            <w:tcW w:w="2551" w:type="dxa"/>
          </w:tcPr>
          <w:p w14:paraId="24BA8E65" w14:textId="77777777" w:rsidR="002F15EC" w:rsidRPr="00461684" w:rsidRDefault="002F15EC" w:rsidP="00B12F6E">
            <w:pPr>
              <w:rPr>
                <w:sz w:val="20"/>
                <w:szCs w:val="20"/>
              </w:rPr>
            </w:pPr>
            <w:r w:rsidRPr="00461684">
              <w:rPr>
                <w:sz w:val="20"/>
                <w:szCs w:val="20"/>
              </w:rPr>
              <w:t>Not reached</w:t>
            </w:r>
          </w:p>
        </w:tc>
        <w:tc>
          <w:tcPr>
            <w:tcW w:w="3261" w:type="dxa"/>
          </w:tcPr>
          <w:p w14:paraId="23F56D98" w14:textId="77777777" w:rsidR="002F15EC" w:rsidRPr="00461684" w:rsidRDefault="002F15EC" w:rsidP="00B12F6E">
            <w:pPr>
              <w:rPr>
                <w:sz w:val="20"/>
                <w:szCs w:val="20"/>
              </w:rPr>
            </w:pPr>
            <w:r w:rsidRPr="00461684">
              <w:rPr>
                <w:sz w:val="20"/>
                <w:szCs w:val="20"/>
              </w:rPr>
              <w:t>Not reached</w:t>
            </w:r>
          </w:p>
        </w:tc>
      </w:tr>
      <w:tr w:rsidR="002F15EC" w14:paraId="5B06E6E3" w14:textId="77777777" w:rsidTr="0087221E">
        <w:tc>
          <w:tcPr>
            <w:tcW w:w="2093" w:type="dxa"/>
          </w:tcPr>
          <w:p w14:paraId="7CB1158E" w14:textId="77777777" w:rsidR="002F15EC" w:rsidRPr="00461684" w:rsidRDefault="002F15EC" w:rsidP="00B12F6E">
            <w:pPr>
              <w:rPr>
                <w:sz w:val="20"/>
                <w:szCs w:val="20"/>
              </w:rPr>
            </w:pPr>
            <w:r w:rsidRPr="00461684">
              <w:rPr>
                <w:sz w:val="20"/>
                <w:szCs w:val="20"/>
              </w:rPr>
              <w:t>HR (97.56% CI)</w:t>
            </w:r>
          </w:p>
        </w:tc>
        <w:tc>
          <w:tcPr>
            <w:tcW w:w="5812" w:type="dxa"/>
            <w:gridSpan w:val="2"/>
          </w:tcPr>
          <w:p w14:paraId="3094E44B" w14:textId="75B75970" w:rsidR="002F15EC" w:rsidRPr="00461684" w:rsidRDefault="002F15EC" w:rsidP="00B12F6E">
            <w:pPr>
              <w:rPr>
                <w:sz w:val="20"/>
                <w:szCs w:val="20"/>
              </w:rPr>
            </w:pPr>
            <w:r w:rsidRPr="00461684">
              <w:rPr>
                <w:sz w:val="20"/>
                <w:szCs w:val="20"/>
              </w:rPr>
              <w:t>0.65 (0.51, 0.83); p</w:t>
            </w:r>
            <w:r w:rsidR="00953F03">
              <w:rPr>
                <w:sz w:val="20"/>
                <w:szCs w:val="20"/>
              </w:rPr>
              <w:t xml:space="preserve"> </w:t>
            </w:r>
            <w:r w:rsidRPr="00461684">
              <w:rPr>
                <w:sz w:val="20"/>
                <w:szCs w:val="20"/>
              </w:rPr>
              <w:t>&lt;</w:t>
            </w:r>
            <w:r w:rsidR="00953F03">
              <w:rPr>
                <w:sz w:val="20"/>
                <w:szCs w:val="20"/>
              </w:rPr>
              <w:t xml:space="preserve"> </w:t>
            </w:r>
            <w:r w:rsidRPr="00461684">
              <w:rPr>
                <w:sz w:val="20"/>
                <w:szCs w:val="20"/>
              </w:rPr>
              <w:t>0.0001</w:t>
            </w:r>
          </w:p>
        </w:tc>
      </w:tr>
      <w:tr w:rsidR="002F15EC" w14:paraId="4420F8FF" w14:textId="77777777" w:rsidTr="0087221E">
        <w:tc>
          <w:tcPr>
            <w:tcW w:w="2093" w:type="dxa"/>
          </w:tcPr>
          <w:p w14:paraId="32D483E8" w14:textId="77777777" w:rsidR="002F15EC" w:rsidRPr="00461684" w:rsidRDefault="002F15EC" w:rsidP="00B12F6E">
            <w:pPr>
              <w:rPr>
                <w:sz w:val="20"/>
                <w:szCs w:val="20"/>
              </w:rPr>
            </w:pPr>
            <w:r w:rsidRPr="00461684">
              <w:rPr>
                <w:sz w:val="20"/>
                <w:szCs w:val="20"/>
              </w:rPr>
              <w:t>12 month rate (95% CI)</w:t>
            </w:r>
          </w:p>
        </w:tc>
        <w:tc>
          <w:tcPr>
            <w:tcW w:w="2551" w:type="dxa"/>
          </w:tcPr>
          <w:p w14:paraId="1DD53546" w14:textId="77777777" w:rsidR="002F15EC" w:rsidRPr="00461684" w:rsidRDefault="002F15EC" w:rsidP="00B12F6E">
            <w:pPr>
              <w:rPr>
                <w:sz w:val="20"/>
                <w:szCs w:val="20"/>
              </w:rPr>
            </w:pPr>
            <w:r w:rsidRPr="00461684">
              <w:rPr>
                <w:sz w:val="20"/>
                <w:szCs w:val="20"/>
              </w:rPr>
              <w:t>71% (66, 75)</w:t>
            </w:r>
          </w:p>
        </w:tc>
        <w:tc>
          <w:tcPr>
            <w:tcW w:w="3261" w:type="dxa"/>
          </w:tcPr>
          <w:p w14:paraId="176977AD" w14:textId="77777777" w:rsidR="002F15EC" w:rsidRPr="00461684" w:rsidRDefault="002F15EC" w:rsidP="00B12F6E">
            <w:pPr>
              <w:rPr>
                <w:sz w:val="20"/>
                <w:szCs w:val="20"/>
              </w:rPr>
            </w:pPr>
            <w:r w:rsidRPr="00461684">
              <w:rPr>
                <w:sz w:val="20"/>
                <w:szCs w:val="20"/>
              </w:rPr>
              <w:t>61% (56, 65)</w:t>
            </w:r>
          </w:p>
        </w:tc>
      </w:tr>
      <w:tr w:rsidR="002F15EC" w14:paraId="1412E896" w14:textId="77777777" w:rsidTr="0087221E">
        <w:tc>
          <w:tcPr>
            <w:tcW w:w="2093" w:type="dxa"/>
          </w:tcPr>
          <w:p w14:paraId="3FFD1D9D" w14:textId="77777777" w:rsidR="002F15EC" w:rsidRPr="00461684" w:rsidRDefault="002F15EC" w:rsidP="00B12F6E">
            <w:pPr>
              <w:rPr>
                <w:sz w:val="20"/>
                <w:szCs w:val="20"/>
              </w:rPr>
            </w:pPr>
            <w:r w:rsidRPr="00461684">
              <w:rPr>
                <w:sz w:val="20"/>
                <w:szCs w:val="20"/>
              </w:rPr>
              <w:t>18 month rate (95% CI)</w:t>
            </w:r>
          </w:p>
        </w:tc>
        <w:tc>
          <w:tcPr>
            <w:tcW w:w="2551" w:type="dxa"/>
          </w:tcPr>
          <w:p w14:paraId="6C65D4BE" w14:textId="77777777" w:rsidR="002F15EC" w:rsidRPr="00461684" w:rsidRDefault="002F15EC" w:rsidP="00B12F6E">
            <w:pPr>
              <w:rPr>
                <w:sz w:val="20"/>
                <w:szCs w:val="20"/>
              </w:rPr>
            </w:pPr>
            <w:r w:rsidRPr="00461684">
              <w:rPr>
                <w:sz w:val="20"/>
                <w:szCs w:val="20"/>
              </w:rPr>
              <w:t>66% (62, 71)</w:t>
            </w:r>
          </w:p>
        </w:tc>
        <w:tc>
          <w:tcPr>
            <w:tcW w:w="3261" w:type="dxa"/>
          </w:tcPr>
          <w:p w14:paraId="199F6C85" w14:textId="77777777" w:rsidR="002F15EC" w:rsidRPr="00461684" w:rsidRDefault="002F15EC" w:rsidP="00B12F6E">
            <w:pPr>
              <w:rPr>
                <w:sz w:val="20"/>
                <w:szCs w:val="20"/>
              </w:rPr>
            </w:pPr>
            <w:r w:rsidRPr="00461684">
              <w:rPr>
                <w:sz w:val="20"/>
                <w:szCs w:val="20"/>
              </w:rPr>
              <w:t>53% (48, 57)</w:t>
            </w:r>
          </w:p>
        </w:tc>
      </w:tr>
    </w:tbl>
    <w:p w14:paraId="347173CC" w14:textId="77777777" w:rsidR="00461684" w:rsidRDefault="00461684" w:rsidP="00461684">
      <w:pPr>
        <w:pStyle w:val="FigureTitle"/>
        <w:rPr>
          <w:noProof/>
          <w:lang w:eastAsia="en-AU"/>
        </w:rPr>
      </w:pPr>
      <w:r>
        <w:rPr>
          <w:noProof/>
          <w:lang w:eastAsia="en-AU"/>
        </w:rPr>
        <w:lastRenderedPageBreak/>
        <w:t>Figure 1: Kaplan-Meier RFS plot All randomised subjects</w:t>
      </w:r>
    </w:p>
    <w:p w14:paraId="7F742083" w14:textId="77777777" w:rsidR="002F15EC" w:rsidRDefault="002F15EC" w:rsidP="002F15EC">
      <w:pPr>
        <w:rPr>
          <w:i/>
          <w:u w:val="single"/>
        </w:rPr>
      </w:pPr>
      <w:r>
        <w:rPr>
          <w:noProof/>
          <w:lang w:eastAsia="en-AU"/>
        </w:rPr>
        <w:drawing>
          <wp:inline distT="0" distB="0" distL="0" distR="0" wp14:anchorId="0F5988A8" wp14:editId="78DC570A">
            <wp:extent cx="3860800" cy="3838940"/>
            <wp:effectExtent l="0" t="0" r="6350" b="9525"/>
            <wp:docPr id="45" name="Picture 45" descr="Kaplan-Meier RFS plot All randomised sub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t="5367" r="5170"/>
                    <a:stretch/>
                  </pic:blipFill>
                  <pic:spPr bwMode="auto">
                    <a:xfrm>
                      <a:off x="0" y="0"/>
                      <a:ext cx="3866797" cy="3844903"/>
                    </a:xfrm>
                    <a:prstGeom prst="rect">
                      <a:avLst/>
                    </a:prstGeom>
                    <a:noFill/>
                    <a:ln>
                      <a:noFill/>
                    </a:ln>
                    <a:extLst>
                      <a:ext uri="{53640926-AAD7-44D8-BBD7-CCE9431645EC}">
                        <a14:shadowObscured xmlns:a14="http://schemas.microsoft.com/office/drawing/2010/main"/>
                      </a:ext>
                    </a:extLst>
                  </pic:spPr>
                </pic:pic>
              </a:graphicData>
            </a:graphic>
          </wp:inline>
        </w:drawing>
      </w:r>
    </w:p>
    <w:p w14:paraId="251045C4" w14:textId="77777777" w:rsidR="002F15EC" w:rsidRDefault="00461684" w:rsidP="00461684">
      <w:r>
        <w:t xml:space="preserve">The following table summarise the </w:t>
      </w:r>
      <w:r w:rsidR="002F15EC" w:rsidRPr="00F67921">
        <w:t>Subgroup analysis by stage, RFS</w:t>
      </w:r>
      <w:r>
        <w:t>.</w:t>
      </w:r>
    </w:p>
    <w:p w14:paraId="7C51338F" w14:textId="77777777" w:rsidR="00461684" w:rsidRPr="0087221E" w:rsidRDefault="00461684" w:rsidP="0087221E">
      <w:pPr>
        <w:pStyle w:val="TableTitle"/>
      </w:pPr>
      <w:r w:rsidRPr="0087221E">
        <w:t>Table 13: Subgroup analysis by stage, RFS</w:t>
      </w:r>
    </w:p>
    <w:tbl>
      <w:tblPr>
        <w:tblStyle w:val="TableTGAblue"/>
        <w:tblW w:w="0" w:type="auto"/>
        <w:tblLook w:val="04A0" w:firstRow="1" w:lastRow="0" w:firstColumn="1" w:lastColumn="0" w:noHBand="0" w:noVBand="1"/>
      </w:tblPr>
      <w:tblGrid>
        <w:gridCol w:w="1242"/>
        <w:gridCol w:w="2016"/>
        <w:gridCol w:w="2016"/>
        <w:gridCol w:w="2914"/>
      </w:tblGrid>
      <w:tr w:rsidR="002F15EC" w14:paraId="73A8F014" w14:textId="77777777" w:rsidTr="0087221E">
        <w:trPr>
          <w:cnfStyle w:val="100000000000" w:firstRow="1" w:lastRow="0" w:firstColumn="0" w:lastColumn="0" w:oddVBand="0" w:evenVBand="0" w:oddHBand="0" w:evenHBand="0" w:firstRowFirstColumn="0" w:firstRowLastColumn="0" w:lastRowFirstColumn="0" w:lastRowLastColumn="0"/>
        </w:trPr>
        <w:tc>
          <w:tcPr>
            <w:tcW w:w="1242" w:type="dxa"/>
          </w:tcPr>
          <w:p w14:paraId="52340077" w14:textId="77777777" w:rsidR="002F15EC" w:rsidRPr="00461684" w:rsidRDefault="002F15EC" w:rsidP="00B12F6E">
            <w:pPr>
              <w:rPr>
                <w:sz w:val="20"/>
                <w:szCs w:val="20"/>
              </w:rPr>
            </w:pPr>
          </w:p>
        </w:tc>
        <w:tc>
          <w:tcPr>
            <w:tcW w:w="2016" w:type="dxa"/>
          </w:tcPr>
          <w:p w14:paraId="3002B776" w14:textId="77777777" w:rsidR="002F15EC" w:rsidRPr="00461684" w:rsidRDefault="002F15EC" w:rsidP="00B12F6E">
            <w:pPr>
              <w:rPr>
                <w:sz w:val="20"/>
                <w:szCs w:val="20"/>
              </w:rPr>
            </w:pPr>
            <w:r w:rsidRPr="00461684">
              <w:rPr>
                <w:sz w:val="20"/>
                <w:szCs w:val="20"/>
              </w:rPr>
              <w:t>Nivolumab</w:t>
            </w:r>
          </w:p>
          <w:p w14:paraId="734508B9" w14:textId="77777777" w:rsidR="002F15EC" w:rsidRPr="00461684" w:rsidRDefault="002F15EC" w:rsidP="00B12F6E">
            <w:pPr>
              <w:rPr>
                <w:sz w:val="20"/>
                <w:szCs w:val="20"/>
              </w:rPr>
            </w:pPr>
            <w:r w:rsidRPr="00461684">
              <w:rPr>
                <w:sz w:val="20"/>
                <w:szCs w:val="20"/>
              </w:rPr>
              <w:t>events/patients</w:t>
            </w:r>
          </w:p>
        </w:tc>
        <w:tc>
          <w:tcPr>
            <w:tcW w:w="2016" w:type="dxa"/>
          </w:tcPr>
          <w:p w14:paraId="3A6C9FC3" w14:textId="77777777" w:rsidR="002F15EC" w:rsidRPr="00461684" w:rsidRDefault="002F15EC" w:rsidP="00B12F6E">
            <w:pPr>
              <w:rPr>
                <w:sz w:val="20"/>
                <w:szCs w:val="20"/>
              </w:rPr>
            </w:pPr>
            <w:r w:rsidRPr="00461684">
              <w:rPr>
                <w:sz w:val="20"/>
                <w:szCs w:val="20"/>
              </w:rPr>
              <w:t>Ipilimumab</w:t>
            </w:r>
          </w:p>
          <w:p w14:paraId="7439CDBC" w14:textId="77777777" w:rsidR="002F15EC" w:rsidRPr="00461684" w:rsidRDefault="002F15EC" w:rsidP="00B12F6E">
            <w:pPr>
              <w:rPr>
                <w:sz w:val="20"/>
                <w:szCs w:val="20"/>
              </w:rPr>
            </w:pPr>
            <w:r w:rsidRPr="00461684">
              <w:rPr>
                <w:sz w:val="20"/>
                <w:szCs w:val="20"/>
              </w:rPr>
              <w:t>events/patients</w:t>
            </w:r>
          </w:p>
        </w:tc>
        <w:tc>
          <w:tcPr>
            <w:tcW w:w="2914" w:type="dxa"/>
          </w:tcPr>
          <w:p w14:paraId="68969397" w14:textId="77777777" w:rsidR="002F15EC" w:rsidRPr="00461684" w:rsidRDefault="002F15EC" w:rsidP="00B12F6E">
            <w:pPr>
              <w:rPr>
                <w:sz w:val="20"/>
                <w:szCs w:val="20"/>
              </w:rPr>
            </w:pPr>
            <w:r w:rsidRPr="00461684">
              <w:rPr>
                <w:sz w:val="20"/>
                <w:szCs w:val="20"/>
              </w:rPr>
              <w:t>HR (95% CI)</w:t>
            </w:r>
          </w:p>
        </w:tc>
      </w:tr>
      <w:tr w:rsidR="002F15EC" w14:paraId="62BA6D3C" w14:textId="77777777" w:rsidTr="0087221E">
        <w:tc>
          <w:tcPr>
            <w:tcW w:w="1242" w:type="dxa"/>
          </w:tcPr>
          <w:p w14:paraId="330F2282" w14:textId="77777777" w:rsidR="002F15EC" w:rsidRPr="00461684" w:rsidRDefault="002F15EC" w:rsidP="00B12F6E">
            <w:pPr>
              <w:rPr>
                <w:sz w:val="20"/>
                <w:szCs w:val="20"/>
              </w:rPr>
            </w:pPr>
            <w:r w:rsidRPr="00461684">
              <w:rPr>
                <w:sz w:val="20"/>
                <w:szCs w:val="20"/>
              </w:rPr>
              <w:t>IIIb</w:t>
            </w:r>
          </w:p>
        </w:tc>
        <w:tc>
          <w:tcPr>
            <w:tcW w:w="2016" w:type="dxa"/>
          </w:tcPr>
          <w:p w14:paraId="66AB96C9" w14:textId="77777777" w:rsidR="002F15EC" w:rsidRPr="00461684" w:rsidRDefault="002F15EC" w:rsidP="00B12F6E">
            <w:pPr>
              <w:rPr>
                <w:sz w:val="20"/>
                <w:szCs w:val="20"/>
              </w:rPr>
            </w:pPr>
            <w:r w:rsidRPr="00461684">
              <w:rPr>
                <w:sz w:val="20"/>
                <w:szCs w:val="20"/>
              </w:rPr>
              <w:t>41/163</w:t>
            </w:r>
          </w:p>
        </w:tc>
        <w:tc>
          <w:tcPr>
            <w:tcW w:w="2016" w:type="dxa"/>
          </w:tcPr>
          <w:p w14:paraId="5FC49ABF" w14:textId="77777777" w:rsidR="002F15EC" w:rsidRPr="00461684" w:rsidRDefault="002F15EC" w:rsidP="00B12F6E">
            <w:pPr>
              <w:rPr>
                <w:sz w:val="20"/>
                <w:szCs w:val="20"/>
              </w:rPr>
            </w:pPr>
            <w:r w:rsidRPr="00461684">
              <w:rPr>
                <w:sz w:val="20"/>
                <w:szCs w:val="20"/>
              </w:rPr>
              <w:t>54/148</w:t>
            </w:r>
          </w:p>
        </w:tc>
        <w:tc>
          <w:tcPr>
            <w:tcW w:w="2914" w:type="dxa"/>
          </w:tcPr>
          <w:p w14:paraId="147189A6" w14:textId="77777777" w:rsidR="002F15EC" w:rsidRPr="00461684" w:rsidRDefault="002F15EC" w:rsidP="00B12F6E">
            <w:pPr>
              <w:rPr>
                <w:sz w:val="20"/>
                <w:szCs w:val="20"/>
              </w:rPr>
            </w:pPr>
            <w:r w:rsidRPr="00461684">
              <w:rPr>
                <w:sz w:val="20"/>
                <w:szCs w:val="20"/>
              </w:rPr>
              <w:t>0.67 (0.44, 1.00)</w:t>
            </w:r>
          </w:p>
        </w:tc>
      </w:tr>
      <w:tr w:rsidR="002F15EC" w14:paraId="72105F9E" w14:textId="77777777" w:rsidTr="0087221E">
        <w:tc>
          <w:tcPr>
            <w:tcW w:w="1242" w:type="dxa"/>
          </w:tcPr>
          <w:p w14:paraId="24FD7F06" w14:textId="77777777" w:rsidR="002F15EC" w:rsidRPr="00461684" w:rsidRDefault="002F15EC" w:rsidP="00B12F6E">
            <w:pPr>
              <w:rPr>
                <w:sz w:val="20"/>
                <w:szCs w:val="20"/>
              </w:rPr>
            </w:pPr>
            <w:r w:rsidRPr="00461684">
              <w:rPr>
                <w:sz w:val="20"/>
                <w:szCs w:val="20"/>
              </w:rPr>
              <w:t>IIIc</w:t>
            </w:r>
          </w:p>
        </w:tc>
        <w:tc>
          <w:tcPr>
            <w:tcW w:w="2016" w:type="dxa"/>
          </w:tcPr>
          <w:p w14:paraId="2BFED60F" w14:textId="77777777" w:rsidR="002F15EC" w:rsidRPr="00461684" w:rsidRDefault="002F15EC" w:rsidP="00B12F6E">
            <w:pPr>
              <w:rPr>
                <w:sz w:val="20"/>
                <w:szCs w:val="20"/>
              </w:rPr>
            </w:pPr>
            <w:r w:rsidRPr="00461684">
              <w:rPr>
                <w:sz w:val="20"/>
                <w:szCs w:val="20"/>
              </w:rPr>
              <w:t>79/204</w:t>
            </w:r>
          </w:p>
        </w:tc>
        <w:tc>
          <w:tcPr>
            <w:tcW w:w="2016" w:type="dxa"/>
          </w:tcPr>
          <w:p w14:paraId="6A66BEDC" w14:textId="77777777" w:rsidR="002F15EC" w:rsidRPr="00461684" w:rsidRDefault="002F15EC" w:rsidP="00B12F6E">
            <w:pPr>
              <w:rPr>
                <w:sz w:val="20"/>
                <w:szCs w:val="20"/>
              </w:rPr>
            </w:pPr>
            <w:r w:rsidRPr="00461684">
              <w:rPr>
                <w:sz w:val="20"/>
                <w:szCs w:val="20"/>
              </w:rPr>
              <w:t>109/218</w:t>
            </w:r>
          </w:p>
        </w:tc>
        <w:tc>
          <w:tcPr>
            <w:tcW w:w="2914" w:type="dxa"/>
          </w:tcPr>
          <w:p w14:paraId="02B4EDB8" w14:textId="77777777" w:rsidR="002F15EC" w:rsidRPr="00461684" w:rsidRDefault="002F15EC" w:rsidP="00B12F6E">
            <w:pPr>
              <w:rPr>
                <w:sz w:val="20"/>
                <w:szCs w:val="20"/>
              </w:rPr>
            </w:pPr>
            <w:r w:rsidRPr="00461684">
              <w:rPr>
                <w:sz w:val="20"/>
                <w:szCs w:val="20"/>
              </w:rPr>
              <w:t>0.65 (0.49. 0.87)</w:t>
            </w:r>
          </w:p>
        </w:tc>
      </w:tr>
      <w:tr w:rsidR="002F15EC" w14:paraId="1FF33FC3" w14:textId="77777777" w:rsidTr="0087221E">
        <w:tc>
          <w:tcPr>
            <w:tcW w:w="1242" w:type="dxa"/>
          </w:tcPr>
          <w:p w14:paraId="79311DF1" w14:textId="77777777" w:rsidR="002F15EC" w:rsidRPr="00461684" w:rsidRDefault="002F15EC" w:rsidP="00B12F6E">
            <w:pPr>
              <w:rPr>
                <w:sz w:val="20"/>
                <w:szCs w:val="20"/>
              </w:rPr>
            </w:pPr>
            <w:r w:rsidRPr="00461684">
              <w:rPr>
                <w:sz w:val="20"/>
                <w:szCs w:val="20"/>
              </w:rPr>
              <w:t>IV M1a-M1b</w:t>
            </w:r>
          </w:p>
        </w:tc>
        <w:tc>
          <w:tcPr>
            <w:tcW w:w="2016" w:type="dxa"/>
          </w:tcPr>
          <w:p w14:paraId="6C56ACE5" w14:textId="77777777" w:rsidR="002F15EC" w:rsidRPr="00461684" w:rsidRDefault="002F15EC" w:rsidP="00B12F6E">
            <w:pPr>
              <w:rPr>
                <w:sz w:val="20"/>
                <w:szCs w:val="20"/>
              </w:rPr>
            </w:pPr>
            <w:r w:rsidRPr="00461684">
              <w:rPr>
                <w:sz w:val="20"/>
                <w:szCs w:val="20"/>
              </w:rPr>
              <w:t>25/62</w:t>
            </w:r>
          </w:p>
        </w:tc>
        <w:tc>
          <w:tcPr>
            <w:tcW w:w="2016" w:type="dxa"/>
          </w:tcPr>
          <w:p w14:paraId="5433C141" w14:textId="77777777" w:rsidR="002F15EC" w:rsidRPr="00461684" w:rsidRDefault="002F15EC" w:rsidP="00B12F6E">
            <w:pPr>
              <w:rPr>
                <w:sz w:val="20"/>
                <w:szCs w:val="20"/>
              </w:rPr>
            </w:pPr>
            <w:r w:rsidRPr="00461684">
              <w:rPr>
                <w:sz w:val="20"/>
                <w:szCs w:val="20"/>
              </w:rPr>
              <w:t>35/66</w:t>
            </w:r>
          </w:p>
        </w:tc>
        <w:tc>
          <w:tcPr>
            <w:tcW w:w="2914" w:type="dxa"/>
          </w:tcPr>
          <w:p w14:paraId="6089C263" w14:textId="77777777" w:rsidR="002F15EC" w:rsidRPr="00461684" w:rsidRDefault="002F15EC" w:rsidP="00B12F6E">
            <w:pPr>
              <w:rPr>
                <w:sz w:val="20"/>
                <w:szCs w:val="20"/>
              </w:rPr>
            </w:pPr>
            <w:r w:rsidRPr="00461684">
              <w:rPr>
                <w:sz w:val="20"/>
                <w:szCs w:val="20"/>
              </w:rPr>
              <w:t>0.63 (0.38, 1.05)</w:t>
            </w:r>
          </w:p>
        </w:tc>
      </w:tr>
      <w:tr w:rsidR="002F15EC" w14:paraId="193B844E" w14:textId="77777777" w:rsidTr="0087221E">
        <w:tc>
          <w:tcPr>
            <w:tcW w:w="1242" w:type="dxa"/>
          </w:tcPr>
          <w:p w14:paraId="51E1CF9D" w14:textId="77777777" w:rsidR="002F15EC" w:rsidRPr="00461684" w:rsidRDefault="002F15EC" w:rsidP="00B12F6E">
            <w:pPr>
              <w:rPr>
                <w:sz w:val="20"/>
                <w:szCs w:val="20"/>
              </w:rPr>
            </w:pPr>
            <w:r w:rsidRPr="00461684">
              <w:rPr>
                <w:sz w:val="20"/>
                <w:szCs w:val="20"/>
              </w:rPr>
              <w:t>IV M1c</w:t>
            </w:r>
          </w:p>
        </w:tc>
        <w:tc>
          <w:tcPr>
            <w:tcW w:w="2016" w:type="dxa"/>
          </w:tcPr>
          <w:p w14:paraId="5EE6A794" w14:textId="77777777" w:rsidR="002F15EC" w:rsidRPr="00461684" w:rsidRDefault="002F15EC" w:rsidP="00B12F6E">
            <w:pPr>
              <w:rPr>
                <w:sz w:val="20"/>
                <w:szCs w:val="20"/>
              </w:rPr>
            </w:pPr>
            <w:r w:rsidRPr="00461684">
              <w:rPr>
                <w:sz w:val="20"/>
                <w:szCs w:val="20"/>
              </w:rPr>
              <w:t>8/20</w:t>
            </w:r>
          </w:p>
        </w:tc>
        <w:tc>
          <w:tcPr>
            <w:tcW w:w="2016" w:type="dxa"/>
          </w:tcPr>
          <w:p w14:paraId="51B7C809" w14:textId="77777777" w:rsidR="002F15EC" w:rsidRPr="00461684" w:rsidRDefault="002F15EC" w:rsidP="00B12F6E">
            <w:pPr>
              <w:rPr>
                <w:sz w:val="20"/>
                <w:szCs w:val="20"/>
              </w:rPr>
            </w:pPr>
            <w:r w:rsidRPr="00461684">
              <w:rPr>
                <w:sz w:val="20"/>
                <w:szCs w:val="20"/>
              </w:rPr>
              <w:t>8/21</w:t>
            </w:r>
          </w:p>
        </w:tc>
        <w:tc>
          <w:tcPr>
            <w:tcW w:w="2914" w:type="dxa"/>
          </w:tcPr>
          <w:p w14:paraId="1281D0FF" w14:textId="77777777" w:rsidR="002F15EC" w:rsidRPr="00461684" w:rsidRDefault="002F15EC" w:rsidP="00B12F6E">
            <w:pPr>
              <w:rPr>
                <w:sz w:val="20"/>
                <w:szCs w:val="20"/>
              </w:rPr>
            </w:pPr>
            <w:r w:rsidRPr="00461684">
              <w:rPr>
                <w:sz w:val="20"/>
                <w:szCs w:val="20"/>
              </w:rPr>
              <w:t>1.00 (0.37, 2.66)</w:t>
            </w:r>
          </w:p>
        </w:tc>
      </w:tr>
    </w:tbl>
    <w:p w14:paraId="1B4F6A9F" w14:textId="77777777" w:rsidR="0087221E" w:rsidRDefault="0087221E" w:rsidP="0087221E">
      <w:r>
        <w:t xml:space="preserve">The following table summarise the </w:t>
      </w:r>
      <w:r w:rsidRPr="0087221E">
        <w:rPr>
          <w:rStyle w:val="Heading6Char"/>
          <w:rFonts w:eastAsia="Cambria"/>
        </w:rPr>
        <w:t>Subgroup analysis by PD-L1, RFS</w:t>
      </w:r>
      <w:r>
        <w:t>.</w:t>
      </w:r>
    </w:p>
    <w:p w14:paraId="50BA17C6" w14:textId="77777777" w:rsidR="002F15EC" w:rsidRPr="00F67921" w:rsidRDefault="0087221E" w:rsidP="0087221E">
      <w:pPr>
        <w:pStyle w:val="TableTitle"/>
      </w:pPr>
      <w:r>
        <w:t xml:space="preserve">Table 14: </w:t>
      </w:r>
      <w:r w:rsidR="002F15EC" w:rsidRPr="00F67921">
        <w:t xml:space="preserve">Subgroup analysis by </w:t>
      </w:r>
      <w:r w:rsidR="002F15EC">
        <w:t>PD-L1 expression</w:t>
      </w:r>
      <w:r w:rsidR="002F15EC" w:rsidRPr="00F67921">
        <w:t>, RFS</w:t>
      </w:r>
    </w:p>
    <w:tbl>
      <w:tblPr>
        <w:tblStyle w:val="TableTGAblue"/>
        <w:tblW w:w="0" w:type="auto"/>
        <w:tblLook w:val="04A0" w:firstRow="1" w:lastRow="0" w:firstColumn="1" w:lastColumn="0" w:noHBand="0" w:noVBand="1"/>
      </w:tblPr>
      <w:tblGrid>
        <w:gridCol w:w="1242"/>
        <w:gridCol w:w="2016"/>
        <w:gridCol w:w="2016"/>
        <w:gridCol w:w="2914"/>
      </w:tblGrid>
      <w:tr w:rsidR="002F15EC" w14:paraId="3A713091" w14:textId="77777777" w:rsidTr="0087221E">
        <w:trPr>
          <w:cnfStyle w:val="100000000000" w:firstRow="1" w:lastRow="0" w:firstColumn="0" w:lastColumn="0" w:oddVBand="0" w:evenVBand="0" w:oddHBand="0" w:evenHBand="0" w:firstRowFirstColumn="0" w:firstRowLastColumn="0" w:lastRowFirstColumn="0" w:lastRowLastColumn="0"/>
        </w:trPr>
        <w:tc>
          <w:tcPr>
            <w:tcW w:w="1242" w:type="dxa"/>
          </w:tcPr>
          <w:p w14:paraId="0E2EE1BF" w14:textId="77777777" w:rsidR="002F15EC" w:rsidRPr="0087221E" w:rsidRDefault="002F15EC" w:rsidP="00B12F6E">
            <w:pPr>
              <w:rPr>
                <w:sz w:val="20"/>
                <w:szCs w:val="20"/>
              </w:rPr>
            </w:pPr>
          </w:p>
        </w:tc>
        <w:tc>
          <w:tcPr>
            <w:tcW w:w="2016" w:type="dxa"/>
          </w:tcPr>
          <w:p w14:paraId="3797158F" w14:textId="77777777" w:rsidR="002F15EC" w:rsidRPr="0087221E" w:rsidRDefault="002F15EC" w:rsidP="00B12F6E">
            <w:pPr>
              <w:rPr>
                <w:sz w:val="20"/>
                <w:szCs w:val="20"/>
              </w:rPr>
            </w:pPr>
            <w:r w:rsidRPr="0087221E">
              <w:rPr>
                <w:sz w:val="20"/>
                <w:szCs w:val="20"/>
              </w:rPr>
              <w:t>Nivolumab</w:t>
            </w:r>
          </w:p>
          <w:p w14:paraId="3A22D921" w14:textId="77777777" w:rsidR="002F15EC" w:rsidRPr="0087221E" w:rsidRDefault="002F15EC" w:rsidP="00B12F6E">
            <w:pPr>
              <w:rPr>
                <w:sz w:val="20"/>
                <w:szCs w:val="20"/>
              </w:rPr>
            </w:pPr>
            <w:r w:rsidRPr="0087221E">
              <w:rPr>
                <w:sz w:val="20"/>
                <w:szCs w:val="20"/>
              </w:rPr>
              <w:t>events/patients</w:t>
            </w:r>
          </w:p>
        </w:tc>
        <w:tc>
          <w:tcPr>
            <w:tcW w:w="2016" w:type="dxa"/>
          </w:tcPr>
          <w:p w14:paraId="65F09A15" w14:textId="77777777" w:rsidR="002F15EC" w:rsidRPr="0087221E" w:rsidRDefault="002F15EC" w:rsidP="00B12F6E">
            <w:pPr>
              <w:rPr>
                <w:sz w:val="20"/>
                <w:szCs w:val="20"/>
              </w:rPr>
            </w:pPr>
            <w:r w:rsidRPr="0087221E">
              <w:rPr>
                <w:sz w:val="20"/>
                <w:szCs w:val="20"/>
              </w:rPr>
              <w:t>Ipilimumab</w:t>
            </w:r>
          </w:p>
          <w:p w14:paraId="5A540253" w14:textId="77777777" w:rsidR="002F15EC" w:rsidRPr="0087221E" w:rsidRDefault="002F15EC" w:rsidP="00B12F6E">
            <w:pPr>
              <w:rPr>
                <w:sz w:val="20"/>
                <w:szCs w:val="20"/>
              </w:rPr>
            </w:pPr>
            <w:r w:rsidRPr="0087221E">
              <w:rPr>
                <w:sz w:val="20"/>
                <w:szCs w:val="20"/>
              </w:rPr>
              <w:t>events/patients</w:t>
            </w:r>
          </w:p>
        </w:tc>
        <w:tc>
          <w:tcPr>
            <w:tcW w:w="2914" w:type="dxa"/>
          </w:tcPr>
          <w:p w14:paraId="63EA1D2A" w14:textId="77777777" w:rsidR="002F15EC" w:rsidRPr="0087221E" w:rsidRDefault="002F15EC" w:rsidP="00B12F6E">
            <w:pPr>
              <w:rPr>
                <w:sz w:val="20"/>
                <w:szCs w:val="20"/>
              </w:rPr>
            </w:pPr>
          </w:p>
          <w:p w14:paraId="276DCD7E" w14:textId="77777777" w:rsidR="002F15EC" w:rsidRPr="0087221E" w:rsidRDefault="002F15EC" w:rsidP="00B12F6E">
            <w:pPr>
              <w:rPr>
                <w:sz w:val="20"/>
                <w:szCs w:val="20"/>
              </w:rPr>
            </w:pPr>
            <w:r w:rsidRPr="0087221E">
              <w:rPr>
                <w:sz w:val="20"/>
                <w:szCs w:val="20"/>
              </w:rPr>
              <w:t>HR (95% CI)</w:t>
            </w:r>
          </w:p>
        </w:tc>
      </w:tr>
      <w:tr w:rsidR="002F15EC" w14:paraId="74F0D97A" w14:textId="77777777" w:rsidTr="0087221E">
        <w:tc>
          <w:tcPr>
            <w:tcW w:w="1242" w:type="dxa"/>
          </w:tcPr>
          <w:p w14:paraId="236103B1" w14:textId="77777777" w:rsidR="002F15EC" w:rsidRPr="0087221E" w:rsidRDefault="002F15EC" w:rsidP="00B12F6E">
            <w:pPr>
              <w:rPr>
                <w:sz w:val="20"/>
                <w:szCs w:val="20"/>
              </w:rPr>
            </w:pPr>
            <w:r w:rsidRPr="0087221E">
              <w:rPr>
                <w:sz w:val="20"/>
                <w:szCs w:val="20"/>
              </w:rPr>
              <w:t>5+%</w:t>
            </w:r>
          </w:p>
        </w:tc>
        <w:tc>
          <w:tcPr>
            <w:tcW w:w="2016" w:type="dxa"/>
          </w:tcPr>
          <w:p w14:paraId="5BD76F0C" w14:textId="77777777" w:rsidR="002F15EC" w:rsidRPr="0087221E" w:rsidRDefault="002F15EC" w:rsidP="00B12F6E">
            <w:pPr>
              <w:rPr>
                <w:sz w:val="20"/>
                <w:szCs w:val="20"/>
              </w:rPr>
            </w:pPr>
            <w:r w:rsidRPr="0087221E">
              <w:rPr>
                <w:sz w:val="20"/>
                <w:szCs w:val="20"/>
              </w:rPr>
              <w:t>31/152</w:t>
            </w:r>
          </w:p>
        </w:tc>
        <w:tc>
          <w:tcPr>
            <w:tcW w:w="2016" w:type="dxa"/>
          </w:tcPr>
          <w:p w14:paraId="72CBFFB7" w14:textId="77777777" w:rsidR="002F15EC" w:rsidRPr="0087221E" w:rsidRDefault="002F15EC" w:rsidP="00B12F6E">
            <w:pPr>
              <w:rPr>
                <w:sz w:val="20"/>
                <w:szCs w:val="20"/>
              </w:rPr>
            </w:pPr>
            <w:r w:rsidRPr="0087221E">
              <w:rPr>
                <w:sz w:val="20"/>
                <w:szCs w:val="20"/>
              </w:rPr>
              <w:t>57/154</w:t>
            </w:r>
          </w:p>
        </w:tc>
        <w:tc>
          <w:tcPr>
            <w:tcW w:w="2914" w:type="dxa"/>
          </w:tcPr>
          <w:p w14:paraId="171DFFF3" w14:textId="77777777" w:rsidR="002F15EC" w:rsidRPr="0087221E" w:rsidRDefault="002F15EC" w:rsidP="00B12F6E">
            <w:pPr>
              <w:rPr>
                <w:sz w:val="20"/>
                <w:szCs w:val="20"/>
              </w:rPr>
            </w:pPr>
            <w:r w:rsidRPr="0087221E">
              <w:rPr>
                <w:sz w:val="20"/>
                <w:szCs w:val="20"/>
              </w:rPr>
              <w:t>0.50 (0.32, 0.78)</w:t>
            </w:r>
          </w:p>
        </w:tc>
      </w:tr>
      <w:tr w:rsidR="002F15EC" w14:paraId="45CC62CE" w14:textId="77777777" w:rsidTr="0087221E">
        <w:tc>
          <w:tcPr>
            <w:tcW w:w="1242" w:type="dxa"/>
          </w:tcPr>
          <w:p w14:paraId="56D4131B" w14:textId="15EF241D" w:rsidR="002F15EC" w:rsidRPr="0087221E" w:rsidRDefault="002F15EC" w:rsidP="00B12F6E">
            <w:pPr>
              <w:rPr>
                <w:sz w:val="20"/>
                <w:szCs w:val="20"/>
              </w:rPr>
            </w:pPr>
            <w:r w:rsidRPr="0087221E">
              <w:rPr>
                <w:sz w:val="20"/>
                <w:szCs w:val="20"/>
              </w:rPr>
              <w:t>&lt;</w:t>
            </w:r>
            <w:r w:rsidR="00953F03">
              <w:rPr>
                <w:sz w:val="20"/>
                <w:szCs w:val="20"/>
              </w:rPr>
              <w:t xml:space="preserve"> </w:t>
            </w:r>
            <w:r w:rsidRPr="0087221E">
              <w:rPr>
                <w:sz w:val="20"/>
                <w:szCs w:val="20"/>
              </w:rPr>
              <w:t>5%</w:t>
            </w:r>
          </w:p>
        </w:tc>
        <w:tc>
          <w:tcPr>
            <w:tcW w:w="2016" w:type="dxa"/>
          </w:tcPr>
          <w:p w14:paraId="20EDE154" w14:textId="77777777" w:rsidR="002F15EC" w:rsidRPr="0087221E" w:rsidRDefault="002F15EC" w:rsidP="00B12F6E">
            <w:pPr>
              <w:rPr>
                <w:sz w:val="20"/>
                <w:szCs w:val="20"/>
              </w:rPr>
            </w:pPr>
            <w:r w:rsidRPr="0087221E">
              <w:rPr>
                <w:sz w:val="20"/>
                <w:szCs w:val="20"/>
              </w:rPr>
              <w:t>123/300</w:t>
            </w:r>
          </w:p>
        </w:tc>
        <w:tc>
          <w:tcPr>
            <w:tcW w:w="2016" w:type="dxa"/>
          </w:tcPr>
          <w:p w14:paraId="60EA2A48" w14:textId="77777777" w:rsidR="002F15EC" w:rsidRPr="0087221E" w:rsidRDefault="002F15EC" w:rsidP="00B12F6E">
            <w:pPr>
              <w:rPr>
                <w:sz w:val="20"/>
                <w:szCs w:val="20"/>
              </w:rPr>
            </w:pPr>
            <w:r w:rsidRPr="0087221E">
              <w:rPr>
                <w:sz w:val="20"/>
                <w:szCs w:val="20"/>
              </w:rPr>
              <w:t>149/299</w:t>
            </w:r>
          </w:p>
        </w:tc>
        <w:tc>
          <w:tcPr>
            <w:tcW w:w="2914" w:type="dxa"/>
          </w:tcPr>
          <w:p w14:paraId="1264F309" w14:textId="77777777" w:rsidR="002F15EC" w:rsidRPr="0087221E" w:rsidRDefault="002F15EC" w:rsidP="00B12F6E">
            <w:pPr>
              <w:rPr>
                <w:sz w:val="20"/>
                <w:szCs w:val="20"/>
              </w:rPr>
            </w:pPr>
            <w:r w:rsidRPr="0087221E">
              <w:rPr>
                <w:sz w:val="20"/>
                <w:szCs w:val="20"/>
              </w:rPr>
              <w:t>0.71 (0.56, 0.90)</w:t>
            </w:r>
          </w:p>
        </w:tc>
      </w:tr>
      <w:tr w:rsidR="002F15EC" w14:paraId="4C224906" w14:textId="77777777" w:rsidTr="0087221E">
        <w:tc>
          <w:tcPr>
            <w:tcW w:w="1242" w:type="dxa"/>
          </w:tcPr>
          <w:p w14:paraId="4CF75E10" w14:textId="77777777" w:rsidR="002F15EC" w:rsidRPr="0087221E" w:rsidRDefault="002F15EC" w:rsidP="00B12F6E">
            <w:pPr>
              <w:rPr>
                <w:sz w:val="20"/>
                <w:szCs w:val="20"/>
              </w:rPr>
            </w:pPr>
            <w:r w:rsidRPr="0087221E">
              <w:rPr>
                <w:sz w:val="20"/>
                <w:szCs w:val="20"/>
              </w:rPr>
              <w:t>1+%</w:t>
            </w:r>
          </w:p>
        </w:tc>
        <w:tc>
          <w:tcPr>
            <w:tcW w:w="2016" w:type="dxa"/>
          </w:tcPr>
          <w:p w14:paraId="48E074DD" w14:textId="77777777" w:rsidR="002F15EC" w:rsidRPr="0087221E" w:rsidRDefault="002F15EC" w:rsidP="00B12F6E">
            <w:pPr>
              <w:rPr>
                <w:sz w:val="20"/>
                <w:szCs w:val="20"/>
              </w:rPr>
            </w:pPr>
            <w:r w:rsidRPr="0087221E">
              <w:rPr>
                <w:sz w:val="20"/>
                <w:szCs w:val="20"/>
              </w:rPr>
              <w:t>80/287</w:t>
            </w:r>
          </w:p>
        </w:tc>
        <w:tc>
          <w:tcPr>
            <w:tcW w:w="2016" w:type="dxa"/>
          </w:tcPr>
          <w:p w14:paraId="65F00F16" w14:textId="77777777" w:rsidR="002F15EC" w:rsidRPr="0087221E" w:rsidRDefault="002F15EC" w:rsidP="00B12F6E">
            <w:pPr>
              <w:rPr>
                <w:sz w:val="20"/>
                <w:szCs w:val="20"/>
              </w:rPr>
            </w:pPr>
            <w:r w:rsidRPr="0087221E">
              <w:rPr>
                <w:sz w:val="20"/>
                <w:szCs w:val="20"/>
              </w:rPr>
              <w:t>133/307</w:t>
            </w:r>
          </w:p>
        </w:tc>
        <w:tc>
          <w:tcPr>
            <w:tcW w:w="2914" w:type="dxa"/>
          </w:tcPr>
          <w:p w14:paraId="457F9FCD" w14:textId="77777777" w:rsidR="002F15EC" w:rsidRPr="0087221E" w:rsidRDefault="002F15EC" w:rsidP="00B12F6E">
            <w:pPr>
              <w:rPr>
                <w:sz w:val="20"/>
                <w:szCs w:val="20"/>
              </w:rPr>
            </w:pPr>
            <w:r w:rsidRPr="0087221E">
              <w:rPr>
                <w:sz w:val="20"/>
                <w:szCs w:val="20"/>
              </w:rPr>
              <w:t>0.56 (0.42, 0.73)</w:t>
            </w:r>
          </w:p>
        </w:tc>
      </w:tr>
      <w:tr w:rsidR="002F15EC" w14:paraId="7AA8D368" w14:textId="77777777" w:rsidTr="0087221E">
        <w:tc>
          <w:tcPr>
            <w:tcW w:w="1242" w:type="dxa"/>
          </w:tcPr>
          <w:p w14:paraId="5A5844F1" w14:textId="12491AEB" w:rsidR="002F15EC" w:rsidRPr="0087221E" w:rsidRDefault="002F15EC" w:rsidP="00B12F6E">
            <w:pPr>
              <w:rPr>
                <w:sz w:val="20"/>
                <w:szCs w:val="20"/>
              </w:rPr>
            </w:pPr>
            <w:r w:rsidRPr="0087221E">
              <w:rPr>
                <w:sz w:val="20"/>
                <w:szCs w:val="20"/>
              </w:rPr>
              <w:lastRenderedPageBreak/>
              <w:t>&lt;</w:t>
            </w:r>
            <w:r w:rsidR="00953F03">
              <w:rPr>
                <w:sz w:val="20"/>
                <w:szCs w:val="20"/>
              </w:rPr>
              <w:t xml:space="preserve"> </w:t>
            </w:r>
            <w:r w:rsidRPr="0087221E">
              <w:rPr>
                <w:sz w:val="20"/>
                <w:szCs w:val="20"/>
              </w:rPr>
              <w:t>1%</w:t>
            </w:r>
          </w:p>
        </w:tc>
        <w:tc>
          <w:tcPr>
            <w:tcW w:w="2016" w:type="dxa"/>
          </w:tcPr>
          <w:p w14:paraId="0759C29F" w14:textId="77777777" w:rsidR="002F15EC" w:rsidRPr="0087221E" w:rsidRDefault="002F15EC" w:rsidP="00B12F6E">
            <w:pPr>
              <w:rPr>
                <w:sz w:val="20"/>
                <w:szCs w:val="20"/>
              </w:rPr>
            </w:pPr>
            <w:r w:rsidRPr="0087221E">
              <w:rPr>
                <w:sz w:val="20"/>
                <w:szCs w:val="20"/>
              </w:rPr>
              <w:t>65/140</w:t>
            </w:r>
          </w:p>
        </w:tc>
        <w:tc>
          <w:tcPr>
            <w:tcW w:w="2016" w:type="dxa"/>
          </w:tcPr>
          <w:p w14:paraId="198C04E9" w14:textId="77777777" w:rsidR="002F15EC" w:rsidRPr="0087221E" w:rsidRDefault="002F15EC" w:rsidP="00B12F6E">
            <w:pPr>
              <w:rPr>
                <w:sz w:val="20"/>
                <w:szCs w:val="20"/>
              </w:rPr>
            </w:pPr>
            <w:r w:rsidRPr="0087221E">
              <w:rPr>
                <w:sz w:val="20"/>
                <w:szCs w:val="20"/>
              </w:rPr>
              <w:t>67/133</w:t>
            </w:r>
          </w:p>
        </w:tc>
        <w:tc>
          <w:tcPr>
            <w:tcW w:w="2914" w:type="dxa"/>
          </w:tcPr>
          <w:p w14:paraId="2BA52C7F" w14:textId="77777777" w:rsidR="002F15EC" w:rsidRPr="0087221E" w:rsidRDefault="002F15EC" w:rsidP="00B12F6E">
            <w:pPr>
              <w:rPr>
                <w:sz w:val="20"/>
                <w:szCs w:val="20"/>
              </w:rPr>
            </w:pPr>
            <w:r w:rsidRPr="0087221E">
              <w:rPr>
                <w:sz w:val="20"/>
                <w:szCs w:val="20"/>
              </w:rPr>
              <w:t>0.82 (0.59, 1.16)</w:t>
            </w:r>
          </w:p>
        </w:tc>
      </w:tr>
      <w:tr w:rsidR="002F15EC" w14:paraId="6B9A83D8" w14:textId="77777777" w:rsidTr="0087221E">
        <w:tc>
          <w:tcPr>
            <w:tcW w:w="1242" w:type="dxa"/>
          </w:tcPr>
          <w:p w14:paraId="39C343BA" w14:textId="77777777" w:rsidR="002F15EC" w:rsidRPr="0087221E" w:rsidRDefault="002F15EC" w:rsidP="00B12F6E">
            <w:pPr>
              <w:rPr>
                <w:sz w:val="20"/>
                <w:szCs w:val="20"/>
              </w:rPr>
            </w:pPr>
            <w:r w:rsidRPr="0087221E">
              <w:rPr>
                <w:sz w:val="20"/>
                <w:szCs w:val="20"/>
              </w:rPr>
              <w:t>10+%</w:t>
            </w:r>
          </w:p>
        </w:tc>
        <w:tc>
          <w:tcPr>
            <w:tcW w:w="2016" w:type="dxa"/>
          </w:tcPr>
          <w:p w14:paraId="130A15A8" w14:textId="77777777" w:rsidR="002F15EC" w:rsidRPr="0087221E" w:rsidRDefault="002F15EC" w:rsidP="00B12F6E">
            <w:pPr>
              <w:rPr>
                <w:sz w:val="20"/>
                <w:szCs w:val="20"/>
              </w:rPr>
            </w:pPr>
            <w:r w:rsidRPr="0087221E">
              <w:rPr>
                <w:sz w:val="20"/>
                <w:szCs w:val="20"/>
              </w:rPr>
              <w:t>20/106</w:t>
            </w:r>
          </w:p>
        </w:tc>
        <w:tc>
          <w:tcPr>
            <w:tcW w:w="2016" w:type="dxa"/>
          </w:tcPr>
          <w:p w14:paraId="04ED94C4" w14:textId="77777777" w:rsidR="002F15EC" w:rsidRPr="0087221E" w:rsidRDefault="002F15EC" w:rsidP="00B12F6E">
            <w:pPr>
              <w:rPr>
                <w:sz w:val="20"/>
                <w:szCs w:val="20"/>
              </w:rPr>
            </w:pPr>
            <w:r w:rsidRPr="0087221E">
              <w:rPr>
                <w:sz w:val="20"/>
                <w:szCs w:val="20"/>
              </w:rPr>
              <w:t>39/105</w:t>
            </w:r>
          </w:p>
        </w:tc>
        <w:tc>
          <w:tcPr>
            <w:tcW w:w="2914" w:type="dxa"/>
          </w:tcPr>
          <w:p w14:paraId="2970E8AA" w14:textId="77777777" w:rsidR="002F15EC" w:rsidRPr="0087221E" w:rsidRDefault="002F15EC" w:rsidP="00B12F6E">
            <w:pPr>
              <w:rPr>
                <w:sz w:val="20"/>
                <w:szCs w:val="20"/>
              </w:rPr>
            </w:pPr>
            <w:r w:rsidRPr="0087221E">
              <w:rPr>
                <w:sz w:val="20"/>
                <w:szCs w:val="20"/>
              </w:rPr>
              <w:t>0.45 (0.26, 0.77)</w:t>
            </w:r>
          </w:p>
        </w:tc>
      </w:tr>
      <w:tr w:rsidR="002F15EC" w14:paraId="7D6BD482" w14:textId="77777777" w:rsidTr="0087221E">
        <w:tc>
          <w:tcPr>
            <w:tcW w:w="1242" w:type="dxa"/>
          </w:tcPr>
          <w:p w14:paraId="21C0D741" w14:textId="199A6D8F" w:rsidR="002F15EC" w:rsidRPr="0087221E" w:rsidRDefault="002F15EC" w:rsidP="00B12F6E">
            <w:pPr>
              <w:rPr>
                <w:sz w:val="20"/>
                <w:szCs w:val="20"/>
              </w:rPr>
            </w:pPr>
            <w:r w:rsidRPr="0087221E">
              <w:rPr>
                <w:sz w:val="20"/>
                <w:szCs w:val="20"/>
              </w:rPr>
              <w:t>&lt;</w:t>
            </w:r>
            <w:r w:rsidR="00953F03">
              <w:rPr>
                <w:sz w:val="20"/>
                <w:szCs w:val="20"/>
              </w:rPr>
              <w:t xml:space="preserve"> </w:t>
            </w:r>
            <w:r w:rsidRPr="0087221E">
              <w:rPr>
                <w:sz w:val="20"/>
                <w:szCs w:val="20"/>
              </w:rPr>
              <w:t>10%</w:t>
            </w:r>
          </w:p>
        </w:tc>
        <w:tc>
          <w:tcPr>
            <w:tcW w:w="2016" w:type="dxa"/>
          </w:tcPr>
          <w:p w14:paraId="7E0E8DBC" w14:textId="77777777" w:rsidR="002F15EC" w:rsidRPr="0087221E" w:rsidRDefault="002F15EC" w:rsidP="00B12F6E">
            <w:pPr>
              <w:rPr>
                <w:sz w:val="20"/>
                <w:szCs w:val="20"/>
              </w:rPr>
            </w:pPr>
            <w:r w:rsidRPr="0087221E">
              <w:rPr>
                <w:sz w:val="20"/>
                <w:szCs w:val="20"/>
              </w:rPr>
              <w:t>125/321</w:t>
            </w:r>
          </w:p>
        </w:tc>
        <w:tc>
          <w:tcPr>
            <w:tcW w:w="2016" w:type="dxa"/>
          </w:tcPr>
          <w:p w14:paraId="0F605D2F" w14:textId="77777777" w:rsidR="002F15EC" w:rsidRPr="0087221E" w:rsidRDefault="002F15EC" w:rsidP="00B12F6E">
            <w:pPr>
              <w:rPr>
                <w:sz w:val="20"/>
                <w:szCs w:val="20"/>
              </w:rPr>
            </w:pPr>
            <w:r w:rsidRPr="0087221E">
              <w:rPr>
                <w:sz w:val="20"/>
                <w:szCs w:val="20"/>
              </w:rPr>
              <w:t>161/335</w:t>
            </w:r>
          </w:p>
        </w:tc>
        <w:tc>
          <w:tcPr>
            <w:tcW w:w="2914" w:type="dxa"/>
          </w:tcPr>
          <w:p w14:paraId="7EE39F86" w14:textId="77777777" w:rsidR="002F15EC" w:rsidRPr="0087221E" w:rsidRDefault="002F15EC" w:rsidP="00B12F6E">
            <w:pPr>
              <w:rPr>
                <w:sz w:val="20"/>
                <w:szCs w:val="20"/>
              </w:rPr>
            </w:pPr>
            <w:r w:rsidRPr="0087221E">
              <w:rPr>
                <w:sz w:val="20"/>
                <w:szCs w:val="20"/>
              </w:rPr>
              <w:t>0.71 (0.56, 0.89)</w:t>
            </w:r>
          </w:p>
        </w:tc>
      </w:tr>
      <w:tr w:rsidR="002F15EC" w14:paraId="20ED0562" w14:textId="77777777" w:rsidTr="0087221E">
        <w:tc>
          <w:tcPr>
            <w:tcW w:w="1242" w:type="dxa"/>
          </w:tcPr>
          <w:p w14:paraId="2CC470BF" w14:textId="77777777" w:rsidR="002F15EC" w:rsidRPr="0087221E" w:rsidRDefault="0087221E" w:rsidP="00B12F6E">
            <w:pPr>
              <w:rPr>
                <w:sz w:val="20"/>
                <w:szCs w:val="20"/>
              </w:rPr>
            </w:pPr>
            <w:r>
              <w:rPr>
                <w:sz w:val="20"/>
                <w:szCs w:val="20"/>
              </w:rPr>
              <w:t>M</w:t>
            </w:r>
            <w:r w:rsidR="002F15EC" w:rsidRPr="0087221E">
              <w:rPr>
                <w:sz w:val="20"/>
                <w:szCs w:val="20"/>
              </w:rPr>
              <w:t>issing</w:t>
            </w:r>
          </w:p>
        </w:tc>
        <w:tc>
          <w:tcPr>
            <w:tcW w:w="2016" w:type="dxa"/>
          </w:tcPr>
          <w:p w14:paraId="07260A0F" w14:textId="77777777" w:rsidR="002F15EC" w:rsidRPr="0087221E" w:rsidRDefault="002F15EC" w:rsidP="00B12F6E">
            <w:pPr>
              <w:rPr>
                <w:sz w:val="20"/>
                <w:szCs w:val="20"/>
              </w:rPr>
            </w:pPr>
            <w:r w:rsidRPr="0087221E">
              <w:rPr>
                <w:sz w:val="20"/>
                <w:szCs w:val="20"/>
              </w:rPr>
              <w:t>9/26</w:t>
            </w:r>
          </w:p>
        </w:tc>
        <w:tc>
          <w:tcPr>
            <w:tcW w:w="2016" w:type="dxa"/>
          </w:tcPr>
          <w:p w14:paraId="595C9D8A" w14:textId="77777777" w:rsidR="002F15EC" w:rsidRPr="0087221E" w:rsidRDefault="002F15EC" w:rsidP="00B12F6E">
            <w:pPr>
              <w:rPr>
                <w:sz w:val="20"/>
                <w:szCs w:val="20"/>
              </w:rPr>
            </w:pPr>
            <w:r w:rsidRPr="0087221E">
              <w:rPr>
                <w:sz w:val="20"/>
                <w:szCs w:val="20"/>
              </w:rPr>
              <w:t>6/13</w:t>
            </w:r>
          </w:p>
        </w:tc>
        <w:tc>
          <w:tcPr>
            <w:tcW w:w="2914" w:type="dxa"/>
          </w:tcPr>
          <w:p w14:paraId="5114AAE5" w14:textId="77777777" w:rsidR="002F15EC" w:rsidRPr="0087221E" w:rsidRDefault="002F15EC" w:rsidP="00B12F6E">
            <w:pPr>
              <w:rPr>
                <w:sz w:val="20"/>
                <w:szCs w:val="20"/>
              </w:rPr>
            </w:pPr>
            <w:r w:rsidRPr="0087221E">
              <w:rPr>
                <w:sz w:val="20"/>
                <w:szCs w:val="20"/>
              </w:rPr>
              <w:t>0.78 (0.28, 2.19)</w:t>
            </w:r>
          </w:p>
        </w:tc>
      </w:tr>
    </w:tbl>
    <w:p w14:paraId="3FF4538C" w14:textId="77777777" w:rsidR="0087221E" w:rsidRDefault="0087221E" w:rsidP="0087221E">
      <w:r>
        <w:t xml:space="preserve">The following table summarise the </w:t>
      </w:r>
      <w:r w:rsidRPr="0087221E">
        <w:rPr>
          <w:rStyle w:val="Heading6Char"/>
          <w:rFonts w:eastAsia="Cambria"/>
        </w:rPr>
        <w:t>Subgroup analysis by BRAF status, RFS</w:t>
      </w:r>
      <w:r>
        <w:t>.</w:t>
      </w:r>
    </w:p>
    <w:p w14:paraId="1B35FEA0" w14:textId="77777777" w:rsidR="002F15EC" w:rsidRPr="00F67921" w:rsidRDefault="0087221E" w:rsidP="0087221E">
      <w:pPr>
        <w:pStyle w:val="TableTitle"/>
      </w:pPr>
      <w:r>
        <w:t xml:space="preserve">Table 15: </w:t>
      </w:r>
      <w:r w:rsidR="002F15EC" w:rsidRPr="00F67921">
        <w:t xml:space="preserve">Subgroup analysis by </w:t>
      </w:r>
      <w:r w:rsidR="002F15EC">
        <w:t>BRAF status</w:t>
      </w:r>
      <w:r w:rsidR="002F15EC" w:rsidRPr="00F67921">
        <w:t>, RFS</w:t>
      </w:r>
    </w:p>
    <w:tbl>
      <w:tblPr>
        <w:tblStyle w:val="TableTGAblue"/>
        <w:tblW w:w="0" w:type="auto"/>
        <w:tblLook w:val="04A0" w:firstRow="1" w:lastRow="0" w:firstColumn="1" w:lastColumn="0" w:noHBand="0" w:noVBand="1"/>
      </w:tblPr>
      <w:tblGrid>
        <w:gridCol w:w="1418"/>
        <w:gridCol w:w="2162"/>
        <w:gridCol w:w="2162"/>
        <w:gridCol w:w="2446"/>
      </w:tblGrid>
      <w:tr w:rsidR="002F15EC" w14:paraId="338A154E" w14:textId="77777777" w:rsidTr="0087221E">
        <w:trPr>
          <w:cnfStyle w:val="100000000000" w:firstRow="1" w:lastRow="0" w:firstColumn="0" w:lastColumn="0" w:oddVBand="0" w:evenVBand="0" w:oddHBand="0" w:evenHBand="0" w:firstRowFirstColumn="0" w:firstRowLastColumn="0" w:lastRowFirstColumn="0" w:lastRowLastColumn="0"/>
        </w:trPr>
        <w:tc>
          <w:tcPr>
            <w:tcW w:w="1418" w:type="dxa"/>
          </w:tcPr>
          <w:p w14:paraId="0175EEA9" w14:textId="77777777" w:rsidR="002F15EC" w:rsidRPr="0087221E" w:rsidRDefault="002F15EC" w:rsidP="00B12F6E">
            <w:pPr>
              <w:rPr>
                <w:sz w:val="20"/>
                <w:szCs w:val="20"/>
              </w:rPr>
            </w:pPr>
          </w:p>
        </w:tc>
        <w:tc>
          <w:tcPr>
            <w:tcW w:w="2162" w:type="dxa"/>
          </w:tcPr>
          <w:p w14:paraId="24517528" w14:textId="77777777" w:rsidR="002F15EC" w:rsidRPr="0087221E" w:rsidRDefault="002F15EC" w:rsidP="00B12F6E">
            <w:pPr>
              <w:rPr>
                <w:sz w:val="20"/>
                <w:szCs w:val="20"/>
              </w:rPr>
            </w:pPr>
            <w:r w:rsidRPr="0087221E">
              <w:rPr>
                <w:sz w:val="20"/>
                <w:szCs w:val="20"/>
              </w:rPr>
              <w:t>Nivolumab</w:t>
            </w:r>
          </w:p>
          <w:p w14:paraId="64083601" w14:textId="77777777" w:rsidR="002F15EC" w:rsidRPr="0087221E" w:rsidRDefault="002F15EC" w:rsidP="00B12F6E">
            <w:pPr>
              <w:rPr>
                <w:sz w:val="20"/>
                <w:szCs w:val="20"/>
              </w:rPr>
            </w:pPr>
            <w:r w:rsidRPr="0087221E">
              <w:rPr>
                <w:sz w:val="20"/>
                <w:szCs w:val="20"/>
              </w:rPr>
              <w:t>events/patients</w:t>
            </w:r>
          </w:p>
        </w:tc>
        <w:tc>
          <w:tcPr>
            <w:tcW w:w="2162" w:type="dxa"/>
          </w:tcPr>
          <w:p w14:paraId="2A0CABBB" w14:textId="77777777" w:rsidR="002F15EC" w:rsidRPr="0087221E" w:rsidRDefault="002F15EC" w:rsidP="00B12F6E">
            <w:pPr>
              <w:rPr>
                <w:sz w:val="20"/>
                <w:szCs w:val="20"/>
              </w:rPr>
            </w:pPr>
            <w:r w:rsidRPr="0087221E">
              <w:rPr>
                <w:sz w:val="20"/>
                <w:szCs w:val="20"/>
              </w:rPr>
              <w:t>Ipilimumab</w:t>
            </w:r>
          </w:p>
          <w:p w14:paraId="4324DB2F" w14:textId="77777777" w:rsidR="002F15EC" w:rsidRPr="0087221E" w:rsidRDefault="002F15EC" w:rsidP="00B12F6E">
            <w:pPr>
              <w:rPr>
                <w:sz w:val="20"/>
                <w:szCs w:val="20"/>
              </w:rPr>
            </w:pPr>
            <w:r w:rsidRPr="0087221E">
              <w:rPr>
                <w:sz w:val="20"/>
                <w:szCs w:val="20"/>
              </w:rPr>
              <w:t>events/patients</w:t>
            </w:r>
          </w:p>
        </w:tc>
        <w:tc>
          <w:tcPr>
            <w:tcW w:w="2446" w:type="dxa"/>
          </w:tcPr>
          <w:p w14:paraId="77F96107" w14:textId="77777777" w:rsidR="002F15EC" w:rsidRPr="0087221E" w:rsidRDefault="002F15EC" w:rsidP="00B12F6E">
            <w:pPr>
              <w:rPr>
                <w:sz w:val="20"/>
                <w:szCs w:val="20"/>
              </w:rPr>
            </w:pPr>
          </w:p>
          <w:p w14:paraId="350C4A45" w14:textId="77777777" w:rsidR="002F15EC" w:rsidRPr="0087221E" w:rsidRDefault="002F15EC" w:rsidP="00B12F6E">
            <w:pPr>
              <w:rPr>
                <w:sz w:val="20"/>
                <w:szCs w:val="20"/>
              </w:rPr>
            </w:pPr>
            <w:r w:rsidRPr="0087221E">
              <w:rPr>
                <w:sz w:val="20"/>
                <w:szCs w:val="20"/>
              </w:rPr>
              <w:t>HR (95% CI)</w:t>
            </w:r>
          </w:p>
        </w:tc>
      </w:tr>
      <w:tr w:rsidR="002F15EC" w14:paraId="488A32CB" w14:textId="77777777" w:rsidTr="0087221E">
        <w:tc>
          <w:tcPr>
            <w:tcW w:w="1418" w:type="dxa"/>
          </w:tcPr>
          <w:p w14:paraId="53601BD0" w14:textId="77777777" w:rsidR="002F15EC" w:rsidRPr="0087221E" w:rsidRDefault="0087221E" w:rsidP="00B12F6E">
            <w:pPr>
              <w:rPr>
                <w:sz w:val="20"/>
                <w:szCs w:val="20"/>
              </w:rPr>
            </w:pPr>
            <w:r w:rsidRPr="0087221E">
              <w:rPr>
                <w:sz w:val="20"/>
                <w:szCs w:val="20"/>
              </w:rPr>
              <w:t>Mutation</w:t>
            </w:r>
          </w:p>
        </w:tc>
        <w:tc>
          <w:tcPr>
            <w:tcW w:w="2162" w:type="dxa"/>
          </w:tcPr>
          <w:p w14:paraId="2917E988" w14:textId="77777777" w:rsidR="002F15EC" w:rsidRPr="0087221E" w:rsidRDefault="002F15EC" w:rsidP="00B12F6E">
            <w:pPr>
              <w:rPr>
                <w:sz w:val="20"/>
                <w:szCs w:val="20"/>
              </w:rPr>
            </w:pPr>
            <w:r w:rsidRPr="0087221E">
              <w:rPr>
                <w:sz w:val="20"/>
                <w:szCs w:val="20"/>
              </w:rPr>
              <w:t>63/187</w:t>
            </w:r>
          </w:p>
        </w:tc>
        <w:tc>
          <w:tcPr>
            <w:tcW w:w="2162" w:type="dxa"/>
          </w:tcPr>
          <w:p w14:paraId="1566E09F" w14:textId="77777777" w:rsidR="002F15EC" w:rsidRPr="0087221E" w:rsidRDefault="002F15EC" w:rsidP="00B12F6E">
            <w:pPr>
              <w:rPr>
                <w:sz w:val="20"/>
                <w:szCs w:val="20"/>
              </w:rPr>
            </w:pPr>
            <w:r w:rsidRPr="0087221E">
              <w:rPr>
                <w:sz w:val="20"/>
                <w:szCs w:val="20"/>
              </w:rPr>
              <w:t>84/194</w:t>
            </w:r>
          </w:p>
        </w:tc>
        <w:tc>
          <w:tcPr>
            <w:tcW w:w="2446" w:type="dxa"/>
          </w:tcPr>
          <w:p w14:paraId="26C401EA" w14:textId="77777777" w:rsidR="002F15EC" w:rsidRPr="0087221E" w:rsidRDefault="002F15EC" w:rsidP="00B12F6E">
            <w:pPr>
              <w:rPr>
                <w:sz w:val="20"/>
                <w:szCs w:val="20"/>
              </w:rPr>
            </w:pPr>
            <w:r w:rsidRPr="0087221E">
              <w:rPr>
                <w:sz w:val="20"/>
                <w:szCs w:val="20"/>
              </w:rPr>
              <w:t>0.72 (0.52, 1.00)</w:t>
            </w:r>
          </w:p>
        </w:tc>
      </w:tr>
      <w:tr w:rsidR="002F15EC" w14:paraId="08626431" w14:textId="77777777" w:rsidTr="0087221E">
        <w:tc>
          <w:tcPr>
            <w:tcW w:w="1418" w:type="dxa"/>
          </w:tcPr>
          <w:p w14:paraId="78CB65D7" w14:textId="77777777" w:rsidR="002F15EC" w:rsidRPr="0087221E" w:rsidRDefault="0087221E" w:rsidP="00B12F6E">
            <w:pPr>
              <w:rPr>
                <w:sz w:val="20"/>
                <w:szCs w:val="20"/>
              </w:rPr>
            </w:pPr>
            <w:r w:rsidRPr="0087221E">
              <w:rPr>
                <w:sz w:val="20"/>
                <w:szCs w:val="20"/>
              </w:rPr>
              <w:t>No mutation</w:t>
            </w:r>
          </w:p>
        </w:tc>
        <w:tc>
          <w:tcPr>
            <w:tcW w:w="2162" w:type="dxa"/>
          </w:tcPr>
          <w:p w14:paraId="2E0EEFFA" w14:textId="77777777" w:rsidR="002F15EC" w:rsidRPr="0087221E" w:rsidRDefault="002F15EC" w:rsidP="00B12F6E">
            <w:pPr>
              <w:rPr>
                <w:sz w:val="20"/>
                <w:szCs w:val="20"/>
              </w:rPr>
            </w:pPr>
            <w:r w:rsidRPr="0087221E">
              <w:rPr>
                <w:sz w:val="20"/>
                <w:szCs w:val="20"/>
              </w:rPr>
              <w:t>67/197</w:t>
            </w:r>
          </w:p>
        </w:tc>
        <w:tc>
          <w:tcPr>
            <w:tcW w:w="2162" w:type="dxa"/>
          </w:tcPr>
          <w:p w14:paraId="0E1921DD" w14:textId="77777777" w:rsidR="002F15EC" w:rsidRPr="0087221E" w:rsidRDefault="002F15EC" w:rsidP="00B12F6E">
            <w:pPr>
              <w:rPr>
                <w:sz w:val="20"/>
                <w:szCs w:val="20"/>
              </w:rPr>
            </w:pPr>
            <w:r w:rsidRPr="0087221E">
              <w:rPr>
                <w:sz w:val="20"/>
                <w:szCs w:val="20"/>
              </w:rPr>
              <w:t>105/214</w:t>
            </w:r>
          </w:p>
        </w:tc>
        <w:tc>
          <w:tcPr>
            <w:tcW w:w="2446" w:type="dxa"/>
          </w:tcPr>
          <w:p w14:paraId="7534DF2B" w14:textId="77777777" w:rsidR="002F15EC" w:rsidRPr="0087221E" w:rsidRDefault="002F15EC" w:rsidP="00B12F6E">
            <w:pPr>
              <w:rPr>
                <w:sz w:val="20"/>
                <w:szCs w:val="20"/>
              </w:rPr>
            </w:pPr>
            <w:r w:rsidRPr="0087221E">
              <w:rPr>
                <w:sz w:val="20"/>
                <w:szCs w:val="20"/>
              </w:rPr>
              <w:t>0.58 (0.43, 0.79)</w:t>
            </w:r>
          </w:p>
        </w:tc>
      </w:tr>
      <w:tr w:rsidR="002F15EC" w14:paraId="26A9E27C" w14:textId="77777777" w:rsidTr="0087221E">
        <w:tc>
          <w:tcPr>
            <w:tcW w:w="1418" w:type="dxa"/>
          </w:tcPr>
          <w:p w14:paraId="41AA711C" w14:textId="77777777" w:rsidR="002F15EC" w:rsidRPr="0087221E" w:rsidRDefault="0087221E" w:rsidP="00B12F6E">
            <w:pPr>
              <w:rPr>
                <w:sz w:val="20"/>
                <w:szCs w:val="20"/>
              </w:rPr>
            </w:pPr>
            <w:r w:rsidRPr="0087221E">
              <w:rPr>
                <w:sz w:val="20"/>
                <w:szCs w:val="20"/>
              </w:rPr>
              <w:t>Missing</w:t>
            </w:r>
          </w:p>
        </w:tc>
        <w:tc>
          <w:tcPr>
            <w:tcW w:w="2162" w:type="dxa"/>
          </w:tcPr>
          <w:p w14:paraId="42C219AF" w14:textId="77777777" w:rsidR="002F15EC" w:rsidRPr="0087221E" w:rsidRDefault="002F15EC" w:rsidP="00B12F6E">
            <w:pPr>
              <w:rPr>
                <w:sz w:val="20"/>
                <w:szCs w:val="20"/>
              </w:rPr>
            </w:pPr>
            <w:r w:rsidRPr="0087221E">
              <w:rPr>
                <w:sz w:val="20"/>
                <w:szCs w:val="20"/>
              </w:rPr>
              <w:t>24/69</w:t>
            </w:r>
          </w:p>
        </w:tc>
        <w:tc>
          <w:tcPr>
            <w:tcW w:w="2162" w:type="dxa"/>
          </w:tcPr>
          <w:p w14:paraId="2B603899" w14:textId="77777777" w:rsidR="002F15EC" w:rsidRPr="0087221E" w:rsidRDefault="002F15EC" w:rsidP="00B12F6E">
            <w:pPr>
              <w:rPr>
                <w:sz w:val="20"/>
                <w:szCs w:val="20"/>
              </w:rPr>
            </w:pPr>
            <w:r w:rsidRPr="0087221E">
              <w:rPr>
                <w:sz w:val="20"/>
                <w:szCs w:val="20"/>
              </w:rPr>
              <w:t>17/45</w:t>
            </w:r>
          </w:p>
        </w:tc>
        <w:tc>
          <w:tcPr>
            <w:tcW w:w="2446" w:type="dxa"/>
          </w:tcPr>
          <w:p w14:paraId="2568203F" w14:textId="77777777" w:rsidR="002F15EC" w:rsidRPr="0087221E" w:rsidRDefault="002F15EC" w:rsidP="00B12F6E">
            <w:pPr>
              <w:rPr>
                <w:sz w:val="20"/>
                <w:szCs w:val="20"/>
              </w:rPr>
            </w:pPr>
            <w:r w:rsidRPr="0087221E">
              <w:rPr>
                <w:sz w:val="20"/>
                <w:szCs w:val="20"/>
              </w:rPr>
              <w:t>0.83 (0.45, 1.54)</w:t>
            </w:r>
          </w:p>
        </w:tc>
      </w:tr>
    </w:tbl>
    <w:p w14:paraId="5E628177" w14:textId="77777777" w:rsidR="002F15EC" w:rsidRPr="00A249F7" w:rsidRDefault="002F15EC" w:rsidP="0087221E">
      <w:pPr>
        <w:pStyle w:val="Heading6"/>
      </w:pPr>
      <w:r w:rsidRPr="00A249F7">
        <w:t>Distant metastasis-free survival</w:t>
      </w:r>
      <w:r w:rsidR="0087221E" w:rsidRPr="00A249F7">
        <w:t xml:space="preserve"> </w:t>
      </w:r>
      <w:r w:rsidRPr="00A249F7">
        <w:t>(exploratory endpoint)</w:t>
      </w:r>
    </w:p>
    <w:p w14:paraId="040DAAF2" w14:textId="77777777" w:rsidR="00AA0F85" w:rsidRPr="00A249F7" w:rsidRDefault="00A249F7" w:rsidP="00A249F7">
      <w:pPr>
        <w:pStyle w:val="TableTitle"/>
      </w:pPr>
      <w:r w:rsidRPr="00A249F7">
        <w:t xml:space="preserve">Table 16: Distant metastasis-free survival </w:t>
      </w:r>
      <w:r w:rsidR="002F15EC" w:rsidRPr="00A249F7">
        <w:t xml:space="preserve">Patients with </w:t>
      </w:r>
      <w:r w:rsidR="0087221E" w:rsidRPr="00A249F7">
        <w:t>S</w:t>
      </w:r>
      <w:r w:rsidR="002F15EC" w:rsidRPr="00A249F7">
        <w:t>tage</w:t>
      </w:r>
      <w:r w:rsidR="0087221E" w:rsidRPr="00A249F7">
        <w:t xml:space="preserve"> </w:t>
      </w:r>
      <w:r w:rsidR="002F15EC" w:rsidRPr="00A249F7">
        <w:t>III disease at study entry</w:t>
      </w:r>
    </w:p>
    <w:tbl>
      <w:tblPr>
        <w:tblStyle w:val="TableTGAblue"/>
        <w:tblW w:w="0" w:type="auto"/>
        <w:tblLook w:val="04A0" w:firstRow="1" w:lastRow="0" w:firstColumn="1" w:lastColumn="0" w:noHBand="0" w:noVBand="1"/>
      </w:tblPr>
      <w:tblGrid>
        <w:gridCol w:w="2802"/>
        <w:gridCol w:w="2409"/>
        <w:gridCol w:w="2694"/>
      </w:tblGrid>
      <w:tr w:rsidR="002F15EC" w14:paraId="45B395A4" w14:textId="77777777" w:rsidTr="0087221E">
        <w:trPr>
          <w:cnfStyle w:val="100000000000" w:firstRow="1" w:lastRow="0" w:firstColumn="0" w:lastColumn="0" w:oddVBand="0" w:evenVBand="0" w:oddHBand="0" w:evenHBand="0" w:firstRowFirstColumn="0" w:firstRowLastColumn="0" w:lastRowFirstColumn="0" w:lastRowLastColumn="0"/>
        </w:trPr>
        <w:tc>
          <w:tcPr>
            <w:tcW w:w="2802" w:type="dxa"/>
          </w:tcPr>
          <w:p w14:paraId="1B63AAEE" w14:textId="77777777" w:rsidR="002F15EC" w:rsidRPr="0087221E" w:rsidRDefault="002F15EC" w:rsidP="00B12F6E">
            <w:pPr>
              <w:rPr>
                <w:sz w:val="20"/>
                <w:szCs w:val="20"/>
              </w:rPr>
            </w:pPr>
          </w:p>
        </w:tc>
        <w:tc>
          <w:tcPr>
            <w:tcW w:w="2409" w:type="dxa"/>
          </w:tcPr>
          <w:p w14:paraId="59A13BF5" w14:textId="77777777" w:rsidR="002F15EC" w:rsidRPr="0087221E" w:rsidRDefault="002F15EC" w:rsidP="00B12F6E">
            <w:pPr>
              <w:rPr>
                <w:sz w:val="20"/>
                <w:szCs w:val="20"/>
              </w:rPr>
            </w:pPr>
            <w:r w:rsidRPr="0087221E">
              <w:rPr>
                <w:sz w:val="20"/>
                <w:szCs w:val="20"/>
              </w:rPr>
              <w:t>Nivolumab</w:t>
            </w:r>
          </w:p>
          <w:p w14:paraId="19861B7E" w14:textId="77777777" w:rsidR="002F15EC" w:rsidRPr="0087221E" w:rsidRDefault="002F15EC" w:rsidP="00B12F6E">
            <w:pPr>
              <w:rPr>
                <w:sz w:val="20"/>
                <w:szCs w:val="20"/>
              </w:rPr>
            </w:pPr>
            <w:r w:rsidRPr="0087221E">
              <w:rPr>
                <w:sz w:val="20"/>
                <w:szCs w:val="20"/>
              </w:rPr>
              <w:t>N=369</w:t>
            </w:r>
          </w:p>
        </w:tc>
        <w:tc>
          <w:tcPr>
            <w:tcW w:w="2694" w:type="dxa"/>
          </w:tcPr>
          <w:p w14:paraId="48D9836B" w14:textId="77777777" w:rsidR="002F15EC" w:rsidRPr="0087221E" w:rsidRDefault="002F15EC" w:rsidP="00B12F6E">
            <w:pPr>
              <w:rPr>
                <w:sz w:val="20"/>
                <w:szCs w:val="20"/>
              </w:rPr>
            </w:pPr>
            <w:r w:rsidRPr="0087221E">
              <w:rPr>
                <w:sz w:val="20"/>
                <w:szCs w:val="20"/>
              </w:rPr>
              <w:t>Ipilimumab</w:t>
            </w:r>
          </w:p>
          <w:p w14:paraId="5B93871F" w14:textId="77777777" w:rsidR="002F15EC" w:rsidRPr="0087221E" w:rsidRDefault="002F15EC" w:rsidP="00B12F6E">
            <w:pPr>
              <w:rPr>
                <w:sz w:val="20"/>
                <w:szCs w:val="20"/>
              </w:rPr>
            </w:pPr>
            <w:r w:rsidRPr="0087221E">
              <w:rPr>
                <w:sz w:val="20"/>
                <w:szCs w:val="20"/>
              </w:rPr>
              <w:t>N=366</w:t>
            </w:r>
          </w:p>
        </w:tc>
      </w:tr>
      <w:tr w:rsidR="002F15EC" w14:paraId="017A12E7" w14:textId="77777777" w:rsidTr="0087221E">
        <w:tc>
          <w:tcPr>
            <w:tcW w:w="2802" w:type="dxa"/>
          </w:tcPr>
          <w:p w14:paraId="15808534" w14:textId="77777777" w:rsidR="002F15EC" w:rsidRPr="0087221E" w:rsidRDefault="002F15EC" w:rsidP="00B12F6E">
            <w:pPr>
              <w:rPr>
                <w:sz w:val="20"/>
                <w:szCs w:val="20"/>
              </w:rPr>
            </w:pPr>
            <w:r w:rsidRPr="0087221E">
              <w:rPr>
                <w:sz w:val="20"/>
                <w:szCs w:val="20"/>
              </w:rPr>
              <w:t xml:space="preserve">Events, </w:t>
            </w:r>
            <w:proofErr w:type="gramStart"/>
            <w:r w:rsidRPr="0087221E">
              <w:rPr>
                <w:sz w:val="20"/>
                <w:szCs w:val="20"/>
              </w:rPr>
              <w:t>n(</w:t>
            </w:r>
            <w:proofErr w:type="gramEnd"/>
            <w:r w:rsidRPr="0087221E">
              <w:rPr>
                <w:sz w:val="20"/>
                <w:szCs w:val="20"/>
              </w:rPr>
              <w:t>%)</w:t>
            </w:r>
          </w:p>
        </w:tc>
        <w:tc>
          <w:tcPr>
            <w:tcW w:w="2409" w:type="dxa"/>
          </w:tcPr>
          <w:p w14:paraId="7E82E072" w14:textId="77777777" w:rsidR="002F15EC" w:rsidRPr="0087221E" w:rsidRDefault="002F15EC" w:rsidP="00B12F6E">
            <w:pPr>
              <w:rPr>
                <w:sz w:val="20"/>
                <w:szCs w:val="20"/>
              </w:rPr>
            </w:pPr>
            <w:r w:rsidRPr="0087221E">
              <w:rPr>
                <w:sz w:val="20"/>
                <w:szCs w:val="20"/>
              </w:rPr>
              <w:t>93 (25%)</w:t>
            </w:r>
          </w:p>
        </w:tc>
        <w:tc>
          <w:tcPr>
            <w:tcW w:w="2694" w:type="dxa"/>
          </w:tcPr>
          <w:p w14:paraId="7DE97D55" w14:textId="77777777" w:rsidR="002F15EC" w:rsidRPr="0087221E" w:rsidRDefault="002F15EC" w:rsidP="00B12F6E">
            <w:pPr>
              <w:rPr>
                <w:sz w:val="20"/>
                <w:szCs w:val="20"/>
              </w:rPr>
            </w:pPr>
            <w:r w:rsidRPr="0087221E">
              <w:rPr>
                <w:sz w:val="20"/>
                <w:szCs w:val="20"/>
              </w:rPr>
              <w:t>115 (31%)</w:t>
            </w:r>
          </w:p>
        </w:tc>
      </w:tr>
      <w:tr w:rsidR="002F15EC" w14:paraId="23AC96CC" w14:textId="77777777" w:rsidTr="0087221E">
        <w:tc>
          <w:tcPr>
            <w:tcW w:w="2802" w:type="dxa"/>
          </w:tcPr>
          <w:p w14:paraId="4333E67C" w14:textId="77777777" w:rsidR="002F15EC" w:rsidRPr="0087221E" w:rsidRDefault="002F15EC" w:rsidP="00B12F6E">
            <w:pPr>
              <w:rPr>
                <w:sz w:val="20"/>
                <w:szCs w:val="20"/>
              </w:rPr>
            </w:pPr>
            <w:r w:rsidRPr="0087221E">
              <w:rPr>
                <w:sz w:val="20"/>
                <w:szCs w:val="20"/>
              </w:rPr>
              <w:t>Median (95% CI)</w:t>
            </w:r>
          </w:p>
        </w:tc>
        <w:tc>
          <w:tcPr>
            <w:tcW w:w="2409" w:type="dxa"/>
          </w:tcPr>
          <w:p w14:paraId="391DF03A" w14:textId="77777777" w:rsidR="002F15EC" w:rsidRPr="0087221E" w:rsidRDefault="002F15EC" w:rsidP="00B12F6E">
            <w:pPr>
              <w:rPr>
                <w:sz w:val="20"/>
                <w:szCs w:val="20"/>
              </w:rPr>
            </w:pPr>
            <w:r w:rsidRPr="0087221E">
              <w:rPr>
                <w:sz w:val="20"/>
                <w:szCs w:val="20"/>
              </w:rPr>
              <w:t>Not reached</w:t>
            </w:r>
          </w:p>
        </w:tc>
        <w:tc>
          <w:tcPr>
            <w:tcW w:w="2694" w:type="dxa"/>
          </w:tcPr>
          <w:p w14:paraId="4C95A375" w14:textId="77777777" w:rsidR="002F15EC" w:rsidRPr="0087221E" w:rsidRDefault="002F15EC" w:rsidP="00B12F6E">
            <w:pPr>
              <w:rPr>
                <w:sz w:val="20"/>
                <w:szCs w:val="20"/>
              </w:rPr>
            </w:pPr>
            <w:r w:rsidRPr="0087221E">
              <w:rPr>
                <w:sz w:val="20"/>
                <w:szCs w:val="20"/>
              </w:rPr>
              <w:t>Not reached</w:t>
            </w:r>
          </w:p>
        </w:tc>
      </w:tr>
      <w:tr w:rsidR="002F15EC" w14:paraId="73BE536C" w14:textId="77777777" w:rsidTr="0087221E">
        <w:tc>
          <w:tcPr>
            <w:tcW w:w="2802" w:type="dxa"/>
          </w:tcPr>
          <w:p w14:paraId="2F21DB0A" w14:textId="77777777" w:rsidR="002F15EC" w:rsidRPr="0087221E" w:rsidRDefault="002F15EC" w:rsidP="00B12F6E">
            <w:pPr>
              <w:rPr>
                <w:sz w:val="20"/>
                <w:szCs w:val="20"/>
              </w:rPr>
            </w:pPr>
            <w:r w:rsidRPr="0087221E">
              <w:rPr>
                <w:sz w:val="20"/>
                <w:szCs w:val="20"/>
              </w:rPr>
              <w:t>HR (97.56% CI)</w:t>
            </w:r>
          </w:p>
        </w:tc>
        <w:tc>
          <w:tcPr>
            <w:tcW w:w="5103" w:type="dxa"/>
            <w:gridSpan w:val="2"/>
          </w:tcPr>
          <w:p w14:paraId="40DCDAAF" w14:textId="77777777" w:rsidR="002F15EC" w:rsidRPr="0087221E" w:rsidRDefault="002F15EC" w:rsidP="00B12F6E">
            <w:pPr>
              <w:rPr>
                <w:sz w:val="20"/>
                <w:szCs w:val="20"/>
              </w:rPr>
            </w:pPr>
            <w:r w:rsidRPr="0087221E">
              <w:rPr>
                <w:sz w:val="20"/>
                <w:szCs w:val="20"/>
              </w:rPr>
              <w:t>0.73 (0.55, 0.95)</w:t>
            </w:r>
          </w:p>
        </w:tc>
      </w:tr>
      <w:tr w:rsidR="002F15EC" w14:paraId="449C5C21" w14:textId="77777777" w:rsidTr="0087221E">
        <w:tc>
          <w:tcPr>
            <w:tcW w:w="2802" w:type="dxa"/>
          </w:tcPr>
          <w:p w14:paraId="67934CFE" w14:textId="77777777" w:rsidR="002F15EC" w:rsidRPr="0087221E" w:rsidRDefault="002F15EC" w:rsidP="00B12F6E">
            <w:pPr>
              <w:rPr>
                <w:sz w:val="20"/>
                <w:szCs w:val="20"/>
              </w:rPr>
            </w:pPr>
            <w:r w:rsidRPr="0087221E">
              <w:rPr>
                <w:sz w:val="20"/>
                <w:szCs w:val="20"/>
              </w:rPr>
              <w:t>12 month rate (95% CI)</w:t>
            </w:r>
          </w:p>
        </w:tc>
        <w:tc>
          <w:tcPr>
            <w:tcW w:w="2409" w:type="dxa"/>
          </w:tcPr>
          <w:p w14:paraId="18FDA8BB" w14:textId="77777777" w:rsidR="002F15EC" w:rsidRPr="0087221E" w:rsidRDefault="002F15EC" w:rsidP="00B12F6E">
            <w:pPr>
              <w:rPr>
                <w:sz w:val="20"/>
                <w:szCs w:val="20"/>
              </w:rPr>
            </w:pPr>
            <w:r w:rsidRPr="0087221E">
              <w:rPr>
                <w:sz w:val="20"/>
                <w:szCs w:val="20"/>
              </w:rPr>
              <w:t>80% (76, 84)</w:t>
            </w:r>
          </w:p>
        </w:tc>
        <w:tc>
          <w:tcPr>
            <w:tcW w:w="2694" w:type="dxa"/>
          </w:tcPr>
          <w:p w14:paraId="563EDC75" w14:textId="77777777" w:rsidR="002F15EC" w:rsidRPr="0087221E" w:rsidRDefault="002F15EC" w:rsidP="00B12F6E">
            <w:pPr>
              <w:rPr>
                <w:sz w:val="20"/>
                <w:szCs w:val="20"/>
              </w:rPr>
            </w:pPr>
            <w:r w:rsidRPr="0087221E">
              <w:rPr>
                <w:sz w:val="20"/>
                <w:szCs w:val="20"/>
              </w:rPr>
              <w:t>73% (68, 78)</w:t>
            </w:r>
          </w:p>
        </w:tc>
      </w:tr>
      <w:tr w:rsidR="002F15EC" w14:paraId="02107871" w14:textId="77777777" w:rsidTr="0087221E">
        <w:tc>
          <w:tcPr>
            <w:tcW w:w="2802" w:type="dxa"/>
          </w:tcPr>
          <w:p w14:paraId="3D873FD8" w14:textId="77777777" w:rsidR="002F15EC" w:rsidRPr="0087221E" w:rsidRDefault="002F15EC" w:rsidP="00B12F6E">
            <w:pPr>
              <w:rPr>
                <w:sz w:val="20"/>
                <w:szCs w:val="20"/>
              </w:rPr>
            </w:pPr>
            <w:r w:rsidRPr="0087221E">
              <w:rPr>
                <w:sz w:val="20"/>
                <w:szCs w:val="20"/>
              </w:rPr>
              <w:t>18 month rate (95% CI)</w:t>
            </w:r>
          </w:p>
        </w:tc>
        <w:tc>
          <w:tcPr>
            <w:tcW w:w="2409" w:type="dxa"/>
          </w:tcPr>
          <w:p w14:paraId="08A923DA" w14:textId="77777777" w:rsidR="002F15EC" w:rsidRPr="0087221E" w:rsidRDefault="002F15EC" w:rsidP="00B12F6E">
            <w:pPr>
              <w:rPr>
                <w:sz w:val="20"/>
                <w:szCs w:val="20"/>
              </w:rPr>
            </w:pPr>
            <w:r w:rsidRPr="0087221E">
              <w:rPr>
                <w:sz w:val="20"/>
                <w:szCs w:val="20"/>
              </w:rPr>
              <w:t>75% (70, 79)</w:t>
            </w:r>
          </w:p>
        </w:tc>
        <w:tc>
          <w:tcPr>
            <w:tcW w:w="2694" w:type="dxa"/>
          </w:tcPr>
          <w:p w14:paraId="5BD128A0" w14:textId="77777777" w:rsidR="002F15EC" w:rsidRPr="0087221E" w:rsidRDefault="002F15EC" w:rsidP="00B12F6E">
            <w:pPr>
              <w:rPr>
                <w:sz w:val="20"/>
                <w:szCs w:val="20"/>
              </w:rPr>
            </w:pPr>
            <w:r w:rsidRPr="0087221E">
              <w:rPr>
                <w:sz w:val="20"/>
                <w:szCs w:val="20"/>
              </w:rPr>
              <w:t>67% (61, 71)</w:t>
            </w:r>
          </w:p>
        </w:tc>
      </w:tr>
    </w:tbl>
    <w:p w14:paraId="4CE93342" w14:textId="77777777" w:rsidR="002F15EC" w:rsidRDefault="002F15EC" w:rsidP="00B12F6E">
      <w:pPr>
        <w:pStyle w:val="Heading6"/>
      </w:pPr>
      <w:r>
        <w:t>Quality of life</w:t>
      </w:r>
    </w:p>
    <w:p w14:paraId="29604B43" w14:textId="484DBD87" w:rsidR="002F15EC" w:rsidRPr="00D12D64" w:rsidRDefault="002F15EC" w:rsidP="00B12F6E">
      <w:r>
        <w:t>Quality-of-life scores in the two groups remained close to baseline values without any clinically meaningful changes with respect to the score on the EORTC QLQ-C30</w:t>
      </w:r>
      <w:r w:rsidR="00C44B3A">
        <w:rPr>
          <w:rStyle w:val="FootnoteReference"/>
        </w:rPr>
        <w:footnoteReference w:id="2"/>
      </w:r>
      <w:r>
        <w:t xml:space="preserve"> Global Health Status or on any of the individual scales, as well as to scores on the EQ-5D utility index and the EQ-5D visual analogue scale</w:t>
      </w:r>
      <w:r w:rsidR="00953F03">
        <w:t>.</w:t>
      </w:r>
      <w:r w:rsidR="00B23D05">
        <w:rPr>
          <w:rStyle w:val="FootnoteReference"/>
        </w:rPr>
        <w:footnoteReference w:id="3"/>
      </w:r>
    </w:p>
    <w:p w14:paraId="6E34237A" w14:textId="77777777" w:rsidR="002F15EC" w:rsidRDefault="002F15EC" w:rsidP="00B12F6E">
      <w:r w:rsidRPr="00347C7B">
        <w:rPr>
          <w:lang w:eastAsia="ja-JP"/>
        </w:rPr>
        <w:lastRenderedPageBreak/>
        <w:t xml:space="preserve">EORTC QLQ-C30 </w:t>
      </w:r>
      <w:r>
        <w:rPr>
          <w:lang w:eastAsia="ja-JP"/>
        </w:rPr>
        <w:t>q</w:t>
      </w:r>
      <w:r w:rsidRPr="00347C7B">
        <w:rPr>
          <w:lang w:eastAsia="ja-JP"/>
        </w:rPr>
        <w:t>uestionnaire completion rates at baseline were 97.8% (443/453) in the nivolumab group and</w:t>
      </w:r>
      <w:r>
        <w:rPr>
          <w:lang w:eastAsia="ja-JP"/>
        </w:rPr>
        <w:t xml:space="preserve"> </w:t>
      </w:r>
      <w:r w:rsidRPr="00347C7B">
        <w:rPr>
          <w:lang w:eastAsia="ja-JP"/>
        </w:rPr>
        <w:t>96.0% (435/453) in the ipilimumab group</w:t>
      </w:r>
      <w:r>
        <w:rPr>
          <w:lang w:eastAsia="ja-JP"/>
        </w:rPr>
        <w:t>, 86% and 84% respectively through 49 weeks, and 76% and 71% at follow-up, respectively.</w:t>
      </w:r>
    </w:p>
    <w:p w14:paraId="6141ECDD" w14:textId="4BC3A916" w:rsidR="002F15EC" w:rsidRDefault="002F15EC" w:rsidP="00B12F6E">
      <w:r w:rsidRPr="009D5A3E">
        <w:rPr>
          <w:rFonts w:asciiTheme="minorHAnsi" w:hAnsiTheme="minorHAnsi" w:cstheme="minorHAnsi"/>
        </w:rPr>
        <w:t xml:space="preserve">In Australia, the most relevant comparison is to placebo, not ipilimumab. The sponsor provided an </w:t>
      </w:r>
      <w:r w:rsidRPr="009D5A3E">
        <w:rPr>
          <w:rFonts w:asciiTheme="minorHAnsi" w:hAnsiTheme="minorHAnsi" w:cstheme="minorHAnsi"/>
          <w:lang w:eastAsia="ja-JP"/>
        </w:rPr>
        <w:t xml:space="preserve">overlay of QoL curves for nivolumab in CM-238 (CA209238) versus placebo in </w:t>
      </w:r>
      <w:r w:rsidR="0087221E" w:rsidRPr="0087221E">
        <w:rPr>
          <w:rFonts w:asciiTheme="minorHAnsi" w:hAnsiTheme="minorHAnsi" w:cstheme="minorHAnsi"/>
          <w:lang w:eastAsia="ja-JP"/>
        </w:rPr>
        <w:t>Study</w:t>
      </w:r>
      <w:r w:rsidR="00953F03">
        <w:rPr>
          <w:rFonts w:asciiTheme="minorHAnsi" w:hAnsiTheme="minorHAnsi" w:cstheme="minorHAnsi"/>
          <w:lang w:eastAsia="ja-JP"/>
        </w:rPr>
        <w:t xml:space="preserve"> </w:t>
      </w:r>
      <w:r w:rsidRPr="009D5A3E">
        <w:rPr>
          <w:rFonts w:asciiTheme="minorHAnsi" w:hAnsiTheme="minorHAnsi" w:cstheme="minorHAnsi"/>
          <w:lang w:eastAsia="ja-JP"/>
        </w:rPr>
        <w:t xml:space="preserve">CA184029. EORTC QLQ-C30 </w:t>
      </w:r>
      <w:r>
        <w:rPr>
          <w:rFonts w:asciiTheme="minorHAnsi" w:hAnsiTheme="minorHAnsi" w:cstheme="minorHAnsi"/>
          <w:lang w:eastAsia="ja-JP"/>
        </w:rPr>
        <w:t xml:space="preserve">scores </w:t>
      </w:r>
      <w:r w:rsidRPr="009D5A3E">
        <w:rPr>
          <w:rFonts w:asciiTheme="minorHAnsi" w:hAnsiTheme="minorHAnsi" w:cstheme="minorHAnsi"/>
          <w:lang w:eastAsia="ja-JP"/>
        </w:rPr>
        <w:t xml:space="preserve">were similar for nivolumab in </w:t>
      </w:r>
      <w:r w:rsidR="0087221E" w:rsidRPr="0087221E">
        <w:rPr>
          <w:rFonts w:asciiTheme="minorHAnsi" w:hAnsiTheme="minorHAnsi" w:cstheme="minorHAnsi"/>
          <w:lang w:eastAsia="ja-JP"/>
        </w:rPr>
        <w:t>Study</w:t>
      </w:r>
      <w:r w:rsidR="0087221E">
        <w:rPr>
          <w:rFonts w:asciiTheme="minorHAnsi" w:hAnsiTheme="minorHAnsi" w:cstheme="minorHAnsi"/>
          <w:lang w:eastAsia="ja-JP"/>
        </w:rPr>
        <w:t xml:space="preserve"> </w:t>
      </w:r>
      <w:r w:rsidRPr="009D5A3E">
        <w:rPr>
          <w:rFonts w:asciiTheme="minorHAnsi" w:hAnsiTheme="minorHAnsi" w:cstheme="minorHAnsi"/>
          <w:lang w:eastAsia="ja-JP"/>
        </w:rPr>
        <w:t xml:space="preserve">CA209238 and placebo in </w:t>
      </w:r>
      <w:r w:rsidR="0087221E" w:rsidRPr="0087221E">
        <w:rPr>
          <w:rFonts w:asciiTheme="minorHAnsi" w:hAnsiTheme="minorHAnsi" w:cstheme="minorHAnsi"/>
          <w:lang w:eastAsia="ja-JP"/>
        </w:rPr>
        <w:t>Study</w:t>
      </w:r>
      <w:r w:rsidR="0087221E">
        <w:rPr>
          <w:rFonts w:asciiTheme="minorHAnsi" w:hAnsiTheme="minorHAnsi" w:cstheme="minorHAnsi"/>
          <w:lang w:eastAsia="ja-JP"/>
        </w:rPr>
        <w:t xml:space="preserve"> </w:t>
      </w:r>
      <w:r w:rsidRPr="009D5A3E">
        <w:rPr>
          <w:rFonts w:asciiTheme="minorHAnsi" w:hAnsiTheme="minorHAnsi" w:cstheme="minorHAnsi"/>
          <w:lang w:eastAsia="ja-JP"/>
        </w:rPr>
        <w:t>CA184029</w:t>
      </w:r>
      <w:r>
        <w:rPr>
          <w:rFonts w:asciiTheme="minorHAnsi" w:hAnsiTheme="minorHAnsi" w:cstheme="minorHAnsi"/>
          <w:lang w:eastAsia="ja-JP"/>
        </w:rPr>
        <w:t>; however this analysis is not definitive, given the well-known problems with indirect comparisons across trials.</w:t>
      </w:r>
    </w:p>
    <w:p w14:paraId="3928C9B4" w14:textId="77777777" w:rsidR="002F15EC" w:rsidRDefault="002F15EC" w:rsidP="00B12F6E">
      <w:pPr>
        <w:pStyle w:val="Heading4"/>
        <w:rPr>
          <w:lang w:eastAsia="en-AU"/>
        </w:rPr>
      </w:pPr>
      <w:r w:rsidRPr="00CF5BD9">
        <w:rPr>
          <w:lang w:eastAsia="en-AU"/>
        </w:rPr>
        <w:t>Safety</w:t>
      </w:r>
    </w:p>
    <w:p w14:paraId="6CCEDC0C" w14:textId="77777777" w:rsidR="00AA0F85" w:rsidRPr="00AA0F85" w:rsidRDefault="00AA0F85" w:rsidP="00AA0F85">
      <w:pPr>
        <w:rPr>
          <w:lang w:eastAsia="en-AU"/>
        </w:rPr>
      </w:pPr>
      <w:r>
        <w:rPr>
          <w:lang w:eastAsia="en-AU"/>
        </w:rPr>
        <w:t>Adverse events reported are summarised in Table 17 below.</w:t>
      </w:r>
    </w:p>
    <w:p w14:paraId="56DCBA82" w14:textId="77777777" w:rsidR="002F15EC" w:rsidRPr="00AE0816" w:rsidRDefault="00AA0F85" w:rsidP="00AA0F85">
      <w:pPr>
        <w:pStyle w:val="TableTitle"/>
        <w:rPr>
          <w:lang w:eastAsia="en-AU"/>
        </w:rPr>
      </w:pPr>
      <w:r>
        <w:rPr>
          <w:lang w:eastAsia="en-AU"/>
        </w:rPr>
        <w:t xml:space="preserve">Table 17: All grades </w:t>
      </w:r>
      <w:r w:rsidR="002F15EC">
        <w:rPr>
          <w:lang w:eastAsia="en-AU"/>
        </w:rPr>
        <w:t>AEs</w:t>
      </w:r>
      <w:r>
        <w:rPr>
          <w:lang w:eastAsia="en-AU"/>
        </w:rPr>
        <w:t xml:space="preserve"> for n</w:t>
      </w:r>
      <w:r w:rsidRPr="00AA0F85">
        <w:rPr>
          <w:sz w:val="20"/>
          <w:szCs w:val="20"/>
        </w:rPr>
        <w:t>ivolumab</w:t>
      </w:r>
      <w:r>
        <w:rPr>
          <w:sz w:val="20"/>
          <w:szCs w:val="20"/>
        </w:rPr>
        <w:t xml:space="preserve"> and i</w:t>
      </w:r>
      <w:r w:rsidRPr="00AA0F85">
        <w:rPr>
          <w:sz w:val="20"/>
          <w:szCs w:val="20"/>
        </w:rPr>
        <w:t>pilimumab</w:t>
      </w:r>
    </w:p>
    <w:tbl>
      <w:tblPr>
        <w:tblStyle w:val="TableTGAblue"/>
        <w:tblW w:w="0" w:type="auto"/>
        <w:tblLook w:val="04A0" w:firstRow="1" w:lastRow="0" w:firstColumn="1" w:lastColumn="0" w:noHBand="0" w:noVBand="1"/>
      </w:tblPr>
      <w:tblGrid>
        <w:gridCol w:w="2013"/>
        <w:gridCol w:w="1469"/>
        <w:gridCol w:w="1558"/>
        <w:gridCol w:w="1872"/>
        <w:gridCol w:w="1808"/>
      </w:tblGrid>
      <w:tr w:rsidR="002F15EC" w14:paraId="626B1C0E" w14:textId="77777777" w:rsidTr="00AA0F85">
        <w:trPr>
          <w:cnfStyle w:val="100000000000" w:firstRow="1" w:lastRow="0" w:firstColumn="0" w:lastColumn="0" w:oddVBand="0" w:evenVBand="0" w:oddHBand="0" w:evenHBand="0" w:firstRowFirstColumn="0" w:firstRowLastColumn="0" w:lastRowFirstColumn="0" w:lastRowLastColumn="0"/>
          <w:cantSplit/>
        </w:trPr>
        <w:tc>
          <w:tcPr>
            <w:tcW w:w="2013" w:type="dxa"/>
          </w:tcPr>
          <w:p w14:paraId="6CEBFAB2" w14:textId="77777777" w:rsidR="002F15EC" w:rsidRPr="00AA0F85" w:rsidRDefault="002F15EC" w:rsidP="002F15EC">
            <w:pPr>
              <w:rPr>
                <w:sz w:val="20"/>
                <w:szCs w:val="20"/>
              </w:rPr>
            </w:pPr>
          </w:p>
        </w:tc>
        <w:tc>
          <w:tcPr>
            <w:tcW w:w="3027" w:type="dxa"/>
            <w:gridSpan w:val="2"/>
          </w:tcPr>
          <w:p w14:paraId="33FD66F7" w14:textId="48710638" w:rsidR="002F15EC" w:rsidRPr="00AA0F85" w:rsidRDefault="002F15EC" w:rsidP="002F15EC">
            <w:pPr>
              <w:jc w:val="center"/>
              <w:rPr>
                <w:sz w:val="20"/>
                <w:szCs w:val="20"/>
              </w:rPr>
            </w:pPr>
            <w:r w:rsidRPr="00AA0F85">
              <w:rPr>
                <w:sz w:val="20"/>
                <w:szCs w:val="20"/>
              </w:rPr>
              <w:t>Nivolumab, n</w:t>
            </w:r>
            <w:r w:rsidR="00953F03">
              <w:rPr>
                <w:sz w:val="20"/>
                <w:szCs w:val="20"/>
              </w:rPr>
              <w:t xml:space="preserve"> </w:t>
            </w:r>
            <w:r w:rsidRPr="00AA0F85">
              <w:rPr>
                <w:sz w:val="20"/>
                <w:szCs w:val="20"/>
              </w:rPr>
              <w:t>=</w:t>
            </w:r>
            <w:r w:rsidR="00953F03">
              <w:rPr>
                <w:sz w:val="20"/>
                <w:szCs w:val="20"/>
              </w:rPr>
              <w:t xml:space="preserve"> </w:t>
            </w:r>
            <w:r w:rsidRPr="00AA0F85">
              <w:rPr>
                <w:sz w:val="20"/>
                <w:szCs w:val="20"/>
              </w:rPr>
              <w:t>452</w:t>
            </w:r>
          </w:p>
        </w:tc>
        <w:tc>
          <w:tcPr>
            <w:tcW w:w="3680" w:type="dxa"/>
            <w:gridSpan w:val="2"/>
          </w:tcPr>
          <w:p w14:paraId="1B63E594" w14:textId="656D413C" w:rsidR="002F15EC" w:rsidRPr="00AA0F85" w:rsidRDefault="002F15EC" w:rsidP="002F15EC">
            <w:pPr>
              <w:jc w:val="center"/>
              <w:rPr>
                <w:sz w:val="20"/>
                <w:szCs w:val="20"/>
              </w:rPr>
            </w:pPr>
            <w:r w:rsidRPr="00AA0F85">
              <w:rPr>
                <w:sz w:val="20"/>
                <w:szCs w:val="20"/>
              </w:rPr>
              <w:t>Ipilimumab, n</w:t>
            </w:r>
            <w:r w:rsidR="00953F03">
              <w:rPr>
                <w:sz w:val="20"/>
                <w:szCs w:val="20"/>
              </w:rPr>
              <w:t xml:space="preserve"> </w:t>
            </w:r>
            <w:r w:rsidRPr="00AA0F85">
              <w:rPr>
                <w:sz w:val="20"/>
                <w:szCs w:val="20"/>
              </w:rPr>
              <w:t>=</w:t>
            </w:r>
            <w:r w:rsidR="00953F03">
              <w:rPr>
                <w:sz w:val="20"/>
                <w:szCs w:val="20"/>
              </w:rPr>
              <w:t xml:space="preserve"> </w:t>
            </w:r>
            <w:r w:rsidRPr="00AA0F85">
              <w:rPr>
                <w:sz w:val="20"/>
                <w:szCs w:val="20"/>
              </w:rPr>
              <w:t>453</w:t>
            </w:r>
          </w:p>
        </w:tc>
      </w:tr>
      <w:tr w:rsidR="002F15EC" w14:paraId="24EE8489" w14:textId="77777777" w:rsidTr="00AA0F85">
        <w:trPr>
          <w:cantSplit/>
        </w:trPr>
        <w:tc>
          <w:tcPr>
            <w:tcW w:w="2013" w:type="dxa"/>
          </w:tcPr>
          <w:p w14:paraId="42203541" w14:textId="77777777" w:rsidR="002F15EC" w:rsidRPr="00AA0F85" w:rsidRDefault="002F15EC" w:rsidP="002F15EC">
            <w:pPr>
              <w:rPr>
                <w:sz w:val="20"/>
                <w:szCs w:val="20"/>
              </w:rPr>
            </w:pPr>
          </w:p>
        </w:tc>
        <w:tc>
          <w:tcPr>
            <w:tcW w:w="1469" w:type="dxa"/>
          </w:tcPr>
          <w:p w14:paraId="68A7D53A" w14:textId="77777777" w:rsidR="002F15EC" w:rsidRPr="00AA0F85" w:rsidRDefault="002F15EC" w:rsidP="002F15EC">
            <w:pPr>
              <w:jc w:val="center"/>
              <w:rPr>
                <w:sz w:val="20"/>
                <w:szCs w:val="20"/>
              </w:rPr>
            </w:pPr>
            <w:r w:rsidRPr="00AA0F85">
              <w:rPr>
                <w:sz w:val="20"/>
                <w:szCs w:val="20"/>
              </w:rPr>
              <w:t>All grades</w:t>
            </w:r>
          </w:p>
        </w:tc>
        <w:tc>
          <w:tcPr>
            <w:tcW w:w="1558" w:type="dxa"/>
          </w:tcPr>
          <w:p w14:paraId="09AC1161" w14:textId="2C3A9B2B" w:rsidR="002F15EC" w:rsidRPr="00AA0F85" w:rsidRDefault="002F15EC" w:rsidP="002F15EC">
            <w:pPr>
              <w:jc w:val="center"/>
              <w:rPr>
                <w:sz w:val="20"/>
                <w:szCs w:val="20"/>
              </w:rPr>
            </w:pPr>
            <w:r w:rsidRPr="00AA0F85">
              <w:rPr>
                <w:sz w:val="20"/>
                <w:szCs w:val="20"/>
              </w:rPr>
              <w:t>Grade 3</w:t>
            </w:r>
            <w:r w:rsidR="00953F03">
              <w:rPr>
                <w:sz w:val="20"/>
                <w:szCs w:val="20"/>
              </w:rPr>
              <w:t>/</w:t>
            </w:r>
            <w:r w:rsidRPr="00AA0F85">
              <w:rPr>
                <w:sz w:val="20"/>
                <w:szCs w:val="20"/>
              </w:rPr>
              <w:t>4</w:t>
            </w:r>
          </w:p>
        </w:tc>
        <w:tc>
          <w:tcPr>
            <w:tcW w:w="1872" w:type="dxa"/>
          </w:tcPr>
          <w:p w14:paraId="29235AA8" w14:textId="77777777" w:rsidR="002F15EC" w:rsidRPr="00AA0F85" w:rsidRDefault="002F15EC" w:rsidP="002F15EC">
            <w:pPr>
              <w:jc w:val="center"/>
              <w:rPr>
                <w:sz w:val="20"/>
                <w:szCs w:val="20"/>
              </w:rPr>
            </w:pPr>
            <w:r w:rsidRPr="00AA0F85">
              <w:rPr>
                <w:sz w:val="20"/>
                <w:szCs w:val="20"/>
              </w:rPr>
              <w:t>All grades</w:t>
            </w:r>
          </w:p>
        </w:tc>
        <w:tc>
          <w:tcPr>
            <w:tcW w:w="1808" w:type="dxa"/>
          </w:tcPr>
          <w:p w14:paraId="4C599D25" w14:textId="5F5F82DB" w:rsidR="002F15EC" w:rsidRPr="00AA0F85" w:rsidRDefault="002F15EC" w:rsidP="002F15EC">
            <w:pPr>
              <w:jc w:val="center"/>
              <w:rPr>
                <w:sz w:val="20"/>
                <w:szCs w:val="20"/>
              </w:rPr>
            </w:pPr>
            <w:r w:rsidRPr="00AA0F85">
              <w:rPr>
                <w:sz w:val="20"/>
                <w:szCs w:val="20"/>
              </w:rPr>
              <w:t>Grade 3</w:t>
            </w:r>
            <w:r w:rsidR="00953F03">
              <w:rPr>
                <w:sz w:val="20"/>
                <w:szCs w:val="20"/>
              </w:rPr>
              <w:t>/</w:t>
            </w:r>
            <w:r w:rsidRPr="00AA0F85">
              <w:rPr>
                <w:sz w:val="20"/>
                <w:szCs w:val="20"/>
              </w:rPr>
              <w:t>4</w:t>
            </w:r>
          </w:p>
        </w:tc>
      </w:tr>
      <w:tr w:rsidR="002F15EC" w14:paraId="6C132551" w14:textId="77777777" w:rsidTr="00AA0F85">
        <w:tc>
          <w:tcPr>
            <w:tcW w:w="2013" w:type="dxa"/>
          </w:tcPr>
          <w:p w14:paraId="6D5F4B6A" w14:textId="77777777" w:rsidR="002F15EC" w:rsidRPr="00AA0F85" w:rsidRDefault="002F15EC" w:rsidP="002F15EC">
            <w:pPr>
              <w:rPr>
                <w:b/>
                <w:sz w:val="20"/>
                <w:szCs w:val="20"/>
              </w:rPr>
            </w:pPr>
            <w:r w:rsidRPr="00AA0F85">
              <w:rPr>
                <w:b/>
                <w:sz w:val="20"/>
                <w:szCs w:val="20"/>
              </w:rPr>
              <w:t>Any AE</w:t>
            </w:r>
          </w:p>
        </w:tc>
        <w:tc>
          <w:tcPr>
            <w:tcW w:w="1469" w:type="dxa"/>
          </w:tcPr>
          <w:p w14:paraId="7BDD24EE" w14:textId="77777777" w:rsidR="002F15EC" w:rsidRPr="00AA0F85" w:rsidRDefault="002F15EC" w:rsidP="002F15EC">
            <w:pPr>
              <w:jc w:val="center"/>
              <w:rPr>
                <w:sz w:val="20"/>
                <w:szCs w:val="20"/>
              </w:rPr>
            </w:pPr>
            <w:r w:rsidRPr="00AA0F85">
              <w:rPr>
                <w:sz w:val="20"/>
                <w:szCs w:val="20"/>
              </w:rPr>
              <w:t>438 (96.9%)</w:t>
            </w:r>
          </w:p>
        </w:tc>
        <w:tc>
          <w:tcPr>
            <w:tcW w:w="1558" w:type="dxa"/>
          </w:tcPr>
          <w:p w14:paraId="6DDEAF60" w14:textId="77777777" w:rsidR="002F15EC" w:rsidRPr="00AA0F85" w:rsidRDefault="002F15EC" w:rsidP="002F15EC">
            <w:pPr>
              <w:jc w:val="center"/>
              <w:rPr>
                <w:sz w:val="20"/>
                <w:szCs w:val="20"/>
              </w:rPr>
            </w:pPr>
            <w:r w:rsidRPr="00AA0F85">
              <w:rPr>
                <w:sz w:val="20"/>
                <w:szCs w:val="20"/>
              </w:rPr>
              <w:t>115 (25.4%)</w:t>
            </w:r>
          </w:p>
        </w:tc>
        <w:tc>
          <w:tcPr>
            <w:tcW w:w="1872" w:type="dxa"/>
          </w:tcPr>
          <w:p w14:paraId="12FAEBE4" w14:textId="77777777" w:rsidR="002F15EC" w:rsidRPr="00AA0F85" w:rsidRDefault="002F15EC" w:rsidP="002F15EC">
            <w:pPr>
              <w:jc w:val="center"/>
              <w:rPr>
                <w:sz w:val="20"/>
                <w:szCs w:val="20"/>
              </w:rPr>
            </w:pPr>
            <w:r w:rsidRPr="00AA0F85">
              <w:rPr>
                <w:sz w:val="20"/>
                <w:szCs w:val="20"/>
              </w:rPr>
              <w:t>446 (98.5%)</w:t>
            </w:r>
          </w:p>
        </w:tc>
        <w:tc>
          <w:tcPr>
            <w:tcW w:w="1808" w:type="dxa"/>
          </w:tcPr>
          <w:p w14:paraId="3F38409A" w14:textId="77777777" w:rsidR="002F15EC" w:rsidRPr="00AA0F85" w:rsidRDefault="002F15EC" w:rsidP="002F15EC">
            <w:pPr>
              <w:jc w:val="center"/>
              <w:rPr>
                <w:sz w:val="20"/>
                <w:szCs w:val="20"/>
              </w:rPr>
            </w:pPr>
            <w:r w:rsidRPr="00AA0F85">
              <w:rPr>
                <w:sz w:val="20"/>
                <w:szCs w:val="20"/>
              </w:rPr>
              <w:t>250 (55.2%)</w:t>
            </w:r>
          </w:p>
        </w:tc>
      </w:tr>
      <w:tr w:rsidR="002F15EC" w14:paraId="76CAD6C9" w14:textId="77777777" w:rsidTr="00AA0F85">
        <w:tc>
          <w:tcPr>
            <w:tcW w:w="2013" w:type="dxa"/>
          </w:tcPr>
          <w:p w14:paraId="358B784E" w14:textId="77777777" w:rsidR="002F15EC" w:rsidRPr="00AA0F85" w:rsidRDefault="002F15EC" w:rsidP="00AA0F85">
            <w:pPr>
              <w:rPr>
                <w:b/>
                <w:sz w:val="20"/>
                <w:szCs w:val="20"/>
              </w:rPr>
            </w:pPr>
            <w:r w:rsidRPr="00AA0F85">
              <w:rPr>
                <w:b/>
                <w:sz w:val="20"/>
                <w:szCs w:val="20"/>
              </w:rPr>
              <w:t>T</w:t>
            </w:r>
            <w:r w:rsidR="00AA0F85" w:rsidRPr="00AA0F85">
              <w:rPr>
                <w:b/>
                <w:sz w:val="20"/>
                <w:szCs w:val="20"/>
              </w:rPr>
              <w:t>reatment</w:t>
            </w:r>
            <w:r w:rsidRPr="00AA0F85">
              <w:rPr>
                <w:b/>
                <w:sz w:val="20"/>
                <w:szCs w:val="20"/>
              </w:rPr>
              <w:t>-related AEs</w:t>
            </w:r>
          </w:p>
        </w:tc>
        <w:tc>
          <w:tcPr>
            <w:tcW w:w="1469" w:type="dxa"/>
          </w:tcPr>
          <w:p w14:paraId="4293271F" w14:textId="77777777" w:rsidR="002F15EC" w:rsidRPr="00AA0F85" w:rsidRDefault="002F15EC" w:rsidP="002F15EC">
            <w:pPr>
              <w:jc w:val="center"/>
              <w:rPr>
                <w:sz w:val="20"/>
                <w:szCs w:val="20"/>
              </w:rPr>
            </w:pPr>
            <w:r w:rsidRPr="00AA0F85">
              <w:rPr>
                <w:sz w:val="20"/>
                <w:szCs w:val="20"/>
              </w:rPr>
              <w:t>385 (85.2%)</w:t>
            </w:r>
          </w:p>
        </w:tc>
        <w:tc>
          <w:tcPr>
            <w:tcW w:w="1558" w:type="dxa"/>
          </w:tcPr>
          <w:p w14:paraId="2250A17C" w14:textId="77777777" w:rsidR="002F15EC" w:rsidRPr="00AA0F85" w:rsidRDefault="002F15EC" w:rsidP="002F15EC">
            <w:pPr>
              <w:jc w:val="center"/>
              <w:rPr>
                <w:sz w:val="20"/>
                <w:szCs w:val="20"/>
              </w:rPr>
            </w:pPr>
            <w:r w:rsidRPr="00AA0F85">
              <w:rPr>
                <w:sz w:val="20"/>
                <w:szCs w:val="20"/>
              </w:rPr>
              <w:t>65 (14.4%)</w:t>
            </w:r>
          </w:p>
        </w:tc>
        <w:tc>
          <w:tcPr>
            <w:tcW w:w="1872" w:type="dxa"/>
          </w:tcPr>
          <w:p w14:paraId="0A4FE7FE" w14:textId="77777777" w:rsidR="002F15EC" w:rsidRPr="00AA0F85" w:rsidRDefault="002F15EC" w:rsidP="002F15EC">
            <w:pPr>
              <w:jc w:val="center"/>
              <w:rPr>
                <w:sz w:val="20"/>
                <w:szCs w:val="20"/>
              </w:rPr>
            </w:pPr>
            <w:r w:rsidRPr="00AA0F85">
              <w:rPr>
                <w:sz w:val="20"/>
                <w:szCs w:val="20"/>
              </w:rPr>
              <w:t>434 (95.8%)</w:t>
            </w:r>
          </w:p>
        </w:tc>
        <w:tc>
          <w:tcPr>
            <w:tcW w:w="1808" w:type="dxa"/>
          </w:tcPr>
          <w:p w14:paraId="3683BBDD" w14:textId="77777777" w:rsidR="002F15EC" w:rsidRPr="00AA0F85" w:rsidRDefault="002F15EC" w:rsidP="002F15EC">
            <w:pPr>
              <w:jc w:val="center"/>
              <w:rPr>
                <w:sz w:val="20"/>
                <w:szCs w:val="20"/>
              </w:rPr>
            </w:pPr>
            <w:r w:rsidRPr="00AA0F85">
              <w:rPr>
                <w:sz w:val="20"/>
                <w:szCs w:val="20"/>
              </w:rPr>
              <w:t>208 (45.9%)</w:t>
            </w:r>
          </w:p>
        </w:tc>
      </w:tr>
      <w:tr w:rsidR="002F15EC" w14:paraId="6561F8B2" w14:textId="77777777" w:rsidTr="00AA0F85">
        <w:tc>
          <w:tcPr>
            <w:tcW w:w="2013" w:type="dxa"/>
          </w:tcPr>
          <w:p w14:paraId="5E9EE47D" w14:textId="77777777" w:rsidR="002F15EC" w:rsidRPr="00AA0F85" w:rsidRDefault="002F15EC" w:rsidP="002F15EC">
            <w:pPr>
              <w:rPr>
                <w:b/>
                <w:sz w:val="20"/>
                <w:szCs w:val="20"/>
              </w:rPr>
            </w:pPr>
            <w:r w:rsidRPr="00AA0F85">
              <w:rPr>
                <w:b/>
                <w:sz w:val="20"/>
                <w:szCs w:val="20"/>
              </w:rPr>
              <w:t>AEs leading to discontinuation</w:t>
            </w:r>
          </w:p>
        </w:tc>
        <w:tc>
          <w:tcPr>
            <w:tcW w:w="1469" w:type="dxa"/>
          </w:tcPr>
          <w:p w14:paraId="10B078D6" w14:textId="77777777" w:rsidR="002F15EC" w:rsidRPr="00AA0F85" w:rsidRDefault="002F15EC" w:rsidP="002F15EC">
            <w:pPr>
              <w:jc w:val="center"/>
              <w:rPr>
                <w:sz w:val="20"/>
                <w:szCs w:val="20"/>
              </w:rPr>
            </w:pPr>
            <w:r w:rsidRPr="00AA0F85">
              <w:rPr>
                <w:sz w:val="20"/>
                <w:szCs w:val="20"/>
              </w:rPr>
              <w:t>44 (9.7%)</w:t>
            </w:r>
          </w:p>
        </w:tc>
        <w:tc>
          <w:tcPr>
            <w:tcW w:w="1558" w:type="dxa"/>
          </w:tcPr>
          <w:p w14:paraId="5D187305" w14:textId="77777777" w:rsidR="002F15EC" w:rsidRPr="00AA0F85" w:rsidRDefault="002F15EC" w:rsidP="002F15EC">
            <w:pPr>
              <w:jc w:val="center"/>
              <w:rPr>
                <w:sz w:val="20"/>
                <w:szCs w:val="20"/>
              </w:rPr>
            </w:pPr>
            <w:r w:rsidRPr="00AA0F85">
              <w:rPr>
                <w:sz w:val="20"/>
                <w:szCs w:val="20"/>
              </w:rPr>
              <w:t>21 (4.6%)</w:t>
            </w:r>
          </w:p>
        </w:tc>
        <w:tc>
          <w:tcPr>
            <w:tcW w:w="1872" w:type="dxa"/>
          </w:tcPr>
          <w:p w14:paraId="0E017963" w14:textId="77777777" w:rsidR="002F15EC" w:rsidRPr="00AA0F85" w:rsidRDefault="002F15EC" w:rsidP="002F15EC">
            <w:pPr>
              <w:jc w:val="center"/>
              <w:rPr>
                <w:sz w:val="20"/>
                <w:szCs w:val="20"/>
              </w:rPr>
            </w:pPr>
            <w:r w:rsidRPr="00AA0F85">
              <w:rPr>
                <w:sz w:val="20"/>
                <w:szCs w:val="20"/>
              </w:rPr>
              <w:t>193 (42.6%)</w:t>
            </w:r>
          </w:p>
        </w:tc>
        <w:tc>
          <w:tcPr>
            <w:tcW w:w="1808" w:type="dxa"/>
          </w:tcPr>
          <w:p w14:paraId="699A7406" w14:textId="77777777" w:rsidR="002F15EC" w:rsidRPr="00AA0F85" w:rsidRDefault="002F15EC" w:rsidP="002F15EC">
            <w:pPr>
              <w:jc w:val="center"/>
              <w:rPr>
                <w:sz w:val="20"/>
                <w:szCs w:val="20"/>
              </w:rPr>
            </w:pPr>
            <w:r w:rsidRPr="00AA0F85">
              <w:rPr>
                <w:sz w:val="20"/>
                <w:szCs w:val="20"/>
              </w:rPr>
              <w:t>140 (30.9%)</w:t>
            </w:r>
          </w:p>
        </w:tc>
      </w:tr>
      <w:tr w:rsidR="002F15EC" w14:paraId="43EAD791" w14:textId="77777777" w:rsidTr="00AA0F85">
        <w:tc>
          <w:tcPr>
            <w:tcW w:w="2013" w:type="dxa"/>
          </w:tcPr>
          <w:p w14:paraId="7A8EC1CB" w14:textId="77777777" w:rsidR="002F15EC" w:rsidRPr="00AA0F85" w:rsidRDefault="002F15EC" w:rsidP="00AA0F85">
            <w:pPr>
              <w:rPr>
                <w:b/>
                <w:sz w:val="20"/>
                <w:szCs w:val="20"/>
              </w:rPr>
            </w:pPr>
            <w:r w:rsidRPr="00AA0F85">
              <w:rPr>
                <w:b/>
                <w:sz w:val="20"/>
                <w:szCs w:val="20"/>
              </w:rPr>
              <w:t>T</w:t>
            </w:r>
            <w:r w:rsidR="00AA0F85" w:rsidRPr="00AA0F85">
              <w:rPr>
                <w:b/>
                <w:sz w:val="20"/>
                <w:szCs w:val="20"/>
              </w:rPr>
              <w:t>reatment</w:t>
            </w:r>
            <w:r w:rsidRPr="00AA0F85">
              <w:rPr>
                <w:b/>
                <w:sz w:val="20"/>
                <w:szCs w:val="20"/>
              </w:rPr>
              <w:t>-related AEs leading to discontinuation</w:t>
            </w:r>
          </w:p>
        </w:tc>
        <w:tc>
          <w:tcPr>
            <w:tcW w:w="1469" w:type="dxa"/>
          </w:tcPr>
          <w:p w14:paraId="51AD6F9F" w14:textId="77777777" w:rsidR="002F15EC" w:rsidRPr="00AA0F85" w:rsidRDefault="002F15EC" w:rsidP="002F15EC">
            <w:pPr>
              <w:jc w:val="center"/>
              <w:rPr>
                <w:sz w:val="20"/>
                <w:szCs w:val="20"/>
              </w:rPr>
            </w:pPr>
            <w:r w:rsidRPr="00AA0F85">
              <w:rPr>
                <w:sz w:val="20"/>
                <w:szCs w:val="20"/>
              </w:rPr>
              <w:t>35 (7.7%)</w:t>
            </w:r>
          </w:p>
        </w:tc>
        <w:tc>
          <w:tcPr>
            <w:tcW w:w="1558" w:type="dxa"/>
          </w:tcPr>
          <w:p w14:paraId="05A00FBD" w14:textId="77777777" w:rsidR="002F15EC" w:rsidRPr="00AA0F85" w:rsidRDefault="002F15EC" w:rsidP="002F15EC">
            <w:pPr>
              <w:jc w:val="center"/>
              <w:rPr>
                <w:sz w:val="20"/>
                <w:szCs w:val="20"/>
              </w:rPr>
            </w:pPr>
            <w:r w:rsidRPr="00AA0F85">
              <w:rPr>
                <w:sz w:val="20"/>
                <w:szCs w:val="20"/>
              </w:rPr>
              <w:t>16 (3.5%)</w:t>
            </w:r>
          </w:p>
        </w:tc>
        <w:tc>
          <w:tcPr>
            <w:tcW w:w="1872" w:type="dxa"/>
          </w:tcPr>
          <w:p w14:paraId="68888B7E" w14:textId="77777777" w:rsidR="002F15EC" w:rsidRPr="00AA0F85" w:rsidRDefault="002F15EC" w:rsidP="002F15EC">
            <w:pPr>
              <w:jc w:val="center"/>
              <w:rPr>
                <w:sz w:val="20"/>
                <w:szCs w:val="20"/>
              </w:rPr>
            </w:pPr>
            <w:r w:rsidRPr="00AA0F85">
              <w:rPr>
                <w:sz w:val="20"/>
                <w:szCs w:val="20"/>
              </w:rPr>
              <w:t>189 (41.7%)</w:t>
            </w:r>
          </w:p>
        </w:tc>
        <w:tc>
          <w:tcPr>
            <w:tcW w:w="1808" w:type="dxa"/>
          </w:tcPr>
          <w:p w14:paraId="595C45B3" w14:textId="77777777" w:rsidR="002F15EC" w:rsidRPr="00AA0F85" w:rsidRDefault="002F15EC" w:rsidP="002F15EC">
            <w:pPr>
              <w:jc w:val="center"/>
              <w:rPr>
                <w:sz w:val="20"/>
                <w:szCs w:val="20"/>
              </w:rPr>
            </w:pPr>
            <w:r w:rsidRPr="00AA0F85">
              <w:rPr>
                <w:sz w:val="20"/>
                <w:szCs w:val="20"/>
              </w:rPr>
              <w:t>136 (30.0%)</w:t>
            </w:r>
          </w:p>
        </w:tc>
      </w:tr>
      <w:tr w:rsidR="002F15EC" w14:paraId="7D2767E7" w14:textId="77777777" w:rsidTr="00AA0F85">
        <w:tc>
          <w:tcPr>
            <w:tcW w:w="2013" w:type="dxa"/>
          </w:tcPr>
          <w:p w14:paraId="235CB2F7" w14:textId="77777777" w:rsidR="002F15EC" w:rsidRPr="00AA0F85" w:rsidRDefault="002F15EC" w:rsidP="002F15EC">
            <w:pPr>
              <w:rPr>
                <w:b/>
              </w:rPr>
            </w:pPr>
            <w:r w:rsidRPr="00AA0F85">
              <w:rPr>
                <w:b/>
              </w:rPr>
              <w:t>Serious AEs</w:t>
            </w:r>
          </w:p>
        </w:tc>
        <w:tc>
          <w:tcPr>
            <w:tcW w:w="1469" w:type="dxa"/>
          </w:tcPr>
          <w:p w14:paraId="364A66AD" w14:textId="77777777" w:rsidR="002F15EC" w:rsidRDefault="002F15EC" w:rsidP="002F15EC">
            <w:pPr>
              <w:jc w:val="center"/>
            </w:pPr>
            <w:r>
              <w:t>79 (17.5%)</w:t>
            </w:r>
          </w:p>
        </w:tc>
        <w:tc>
          <w:tcPr>
            <w:tcW w:w="1558" w:type="dxa"/>
          </w:tcPr>
          <w:p w14:paraId="5F51D67C" w14:textId="77777777" w:rsidR="002F15EC" w:rsidRDefault="002F15EC" w:rsidP="002F15EC">
            <w:pPr>
              <w:jc w:val="center"/>
            </w:pPr>
            <w:r>
              <w:t>48 (10.6%)</w:t>
            </w:r>
          </w:p>
        </w:tc>
        <w:tc>
          <w:tcPr>
            <w:tcW w:w="1872" w:type="dxa"/>
          </w:tcPr>
          <w:p w14:paraId="619E3281" w14:textId="77777777" w:rsidR="002F15EC" w:rsidRDefault="002F15EC" w:rsidP="002F15EC">
            <w:pPr>
              <w:jc w:val="center"/>
            </w:pPr>
            <w:r>
              <w:t>183 (40.4%)</w:t>
            </w:r>
          </w:p>
        </w:tc>
        <w:tc>
          <w:tcPr>
            <w:tcW w:w="1808" w:type="dxa"/>
          </w:tcPr>
          <w:p w14:paraId="0D046871" w14:textId="77777777" w:rsidR="002F15EC" w:rsidRDefault="002F15EC" w:rsidP="002F15EC">
            <w:pPr>
              <w:jc w:val="center"/>
            </w:pPr>
            <w:r>
              <w:t>144 (31.8%)</w:t>
            </w:r>
          </w:p>
        </w:tc>
      </w:tr>
    </w:tbl>
    <w:p w14:paraId="6BC9F33D" w14:textId="77777777" w:rsidR="00364BBD" w:rsidRDefault="002F15EC" w:rsidP="00364BBD">
      <w:pPr>
        <w:pStyle w:val="TableDescription"/>
        <w:rPr>
          <w:lang w:eastAsia="en-AU"/>
        </w:rPr>
      </w:pPr>
      <w:r>
        <w:rPr>
          <w:lang w:eastAsia="en-AU"/>
        </w:rPr>
        <w:t xml:space="preserve">Serious: </w:t>
      </w:r>
      <w:r w:rsidRPr="000B6915">
        <w:rPr>
          <w:lang w:eastAsia="en-AU"/>
        </w:rPr>
        <w:t>death, illness requiring hospitalization, events deemed life-threatening, results in persistent or significant disability/incapacity, a congenital anomaly/birth defect or medically important condition</w:t>
      </w:r>
      <w:r>
        <w:rPr>
          <w:lang w:eastAsia="en-AU"/>
        </w:rPr>
        <w:t>.</w:t>
      </w:r>
      <w:r w:rsidR="00AA0F85">
        <w:rPr>
          <w:lang w:eastAsia="en-AU"/>
        </w:rPr>
        <w:t xml:space="preserve"> </w:t>
      </w:r>
    </w:p>
    <w:p w14:paraId="3D8561C6" w14:textId="77777777" w:rsidR="002F15EC" w:rsidRPr="000B6915" w:rsidRDefault="00AA0F85" w:rsidP="00AA0F85">
      <w:pPr>
        <w:rPr>
          <w:lang w:eastAsia="en-AU"/>
        </w:rPr>
      </w:pPr>
      <w:r>
        <w:rPr>
          <w:lang w:eastAsia="en-AU"/>
        </w:rPr>
        <w:t xml:space="preserve">Deaths </w:t>
      </w:r>
      <w:r w:rsidR="00364BBD">
        <w:rPr>
          <w:lang w:eastAsia="en-AU"/>
        </w:rPr>
        <w:t xml:space="preserve">that </w:t>
      </w:r>
      <w:r>
        <w:rPr>
          <w:lang w:eastAsia="en-AU"/>
        </w:rPr>
        <w:t>occurred during the study are described in Table 18 below.</w:t>
      </w:r>
    </w:p>
    <w:p w14:paraId="4104B116" w14:textId="77777777" w:rsidR="002F15EC" w:rsidRPr="00AE0816" w:rsidRDefault="00AA0F85" w:rsidP="00AA0F85">
      <w:pPr>
        <w:pStyle w:val="TableTitle"/>
        <w:rPr>
          <w:lang w:eastAsia="en-AU"/>
        </w:rPr>
      </w:pPr>
      <w:r>
        <w:rPr>
          <w:lang w:eastAsia="en-AU"/>
        </w:rPr>
        <w:t xml:space="preserve">Table 18: </w:t>
      </w:r>
      <w:r w:rsidR="002F15EC">
        <w:rPr>
          <w:lang w:eastAsia="en-AU"/>
        </w:rPr>
        <w:t>D</w:t>
      </w:r>
      <w:r w:rsidR="002F15EC" w:rsidRPr="00AE0816">
        <w:rPr>
          <w:lang w:eastAsia="en-AU"/>
        </w:rPr>
        <w:t>eaths</w:t>
      </w:r>
    </w:p>
    <w:tbl>
      <w:tblPr>
        <w:tblStyle w:val="TableTGAblue"/>
        <w:tblW w:w="0" w:type="auto"/>
        <w:tblLook w:val="04A0" w:firstRow="1" w:lastRow="0" w:firstColumn="1" w:lastColumn="0" w:noHBand="0" w:noVBand="1"/>
      </w:tblPr>
      <w:tblGrid>
        <w:gridCol w:w="1843"/>
        <w:gridCol w:w="1560"/>
        <w:gridCol w:w="1634"/>
      </w:tblGrid>
      <w:tr w:rsidR="002F15EC" w14:paraId="1C0E493D" w14:textId="77777777" w:rsidTr="00B12F6E">
        <w:trPr>
          <w:cnfStyle w:val="100000000000" w:firstRow="1" w:lastRow="0" w:firstColumn="0" w:lastColumn="0" w:oddVBand="0" w:evenVBand="0" w:oddHBand="0" w:evenHBand="0" w:firstRowFirstColumn="0" w:firstRowLastColumn="0" w:lastRowFirstColumn="0" w:lastRowLastColumn="0"/>
        </w:trPr>
        <w:tc>
          <w:tcPr>
            <w:tcW w:w="1843" w:type="dxa"/>
          </w:tcPr>
          <w:p w14:paraId="6C0A6FC2" w14:textId="77777777" w:rsidR="002F15EC" w:rsidRPr="00364BBD" w:rsidRDefault="002F15EC" w:rsidP="00B12F6E">
            <w:pPr>
              <w:rPr>
                <w:sz w:val="20"/>
                <w:szCs w:val="20"/>
              </w:rPr>
            </w:pPr>
          </w:p>
        </w:tc>
        <w:tc>
          <w:tcPr>
            <w:tcW w:w="1417" w:type="dxa"/>
          </w:tcPr>
          <w:p w14:paraId="676E4C5A" w14:textId="77777777" w:rsidR="002F15EC" w:rsidRPr="00364BBD" w:rsidRDefault="002F15EC" w:rsidP="00B12F6E">
            <w:pPr>
              <w:rPr>
                <w:sz w:val="20"/>
                <w:szCs w:val="20"/>
              </w:rPr>
            </w:pPr>
            <w:r w:rsidRPr="00364BBD">
              <w:rPr>
                <w:sz w:val="20"/>
                <w:szCs w:val="20"/>
              </w:rPr>
              <w:t>Nivolumab</w:t>
            </w:r>
          </w:p>
          <w:p w14:paraId="0D7401AC" w14:textId="77777777" w:rsidR="002F15EC" w:rsidRPr="00364BBD" w:rsidRDefault="002F15EC" w:rsidP="00B12F6E">
            <w:pPr>
              <w:rPr>
                <w:sz w:val="20"/>
                <w:szCs w:val="20"/>
              </w:rPr>
            </w:pPr>
            <w:r w:rsidRPr="00364BBD">
              <w:rPr>
                <w:sz w:val="20"/>
                <w:szCs w:val="20"/>
              </w:rPr>
              <w:t>N=452</w:t>
            </w:r>
          </w:p>
        </w:tc>
        <w:tc>
          <w:tcPr>
            <w:tcW w:w="1276" w:type="dxa"/>
          </w:tcPr>
          <w:p w14:paraId="3670E952" w14:textId="77777777" w:rsidR="002F15EC" w:rsidRPr="00364BBD" w:rsidRDefault="002F15EC" w:rsidP="00B12F6E">
            <w:pPr>
              <w:rPr>
                <w:sz w:val="20"/>
                <w:szCs w:val="20"/>
              </w:rPr>
            </w:pPr>
            <w:r w:rsidRPr="00364BBD">
              <w:rPr>
                <w:sz w:val="20"/>
                <w:szCs w:val="20"/>
              </w:rPr>
              <w:t>Ipilimumab</w:t>
            </w:r>
          </w:p>
          <w:p w14:paraId="24B3AD5B" w14:textId="77777777" w:rsidR="002F15EC" w:rsidRPr="00364BBD" w:rsidRDefault="002F15EC" w:rsidP="00B12F6E">
            <w:pPr>
              <w:rPr>
                <w:sz w:val="20"/>
                <w:szCs w:val="20"/>
              </w:rPr>
            </w:pPr>
            <w:r w:rsidRPr="00364BBD">
              <w:rPr>
                <w:sz w:val="20"/>
                <w:szCs w:val="20"/>
              </w:rPr>
              <w:t>N=453</w:t>
            </w:r>
          </w:p>
        </w:tc>
      </w:tr>
      <w:tr w:rsidR="002F15EC" w14:paraId="2C29CC1D" w14:textId="77777777" w:rsidTr="00B12F6E">
        <w:tc>
          <w:tcPr>
            <w:tcW w:w="1843" w:type="dxa"/>
          </w:tcPr>
          <w:p w14:paraId="6B1C6015" w14:textId="77777777" w:rsidR="002F15EC" w:rsidRPr="00364BBD" w:rsidRDefault="002F15EC" w:rsidP="00B12F6E">
            <w:pPr>
              <w:rPr>
                <w:sz w:val="20"/>
                <w:szCs w:val="20"/>
              </w:rPr>
            </w:pPr>
            <w:r w:rsidRPr="00364BBD">
              <w:rPr>
                <w:sz w:val="20"/>
                <w:szCs w:val="20"/>
              </w:rPr>
              <w:t>Disease related</w:t>
            </w:r>
          </w:p>
        </w:tc>
        <w:tc>
          <w:tcPr>
            <w:tcW w:w="1417" w:type="dxa"/>
          </w:tcPr>
          <w:p w14:paraId="3A9EE4F0" w14:textId="77777777" w:rsidR="002F15EC" w:rsidRPr="00364BBD" w:rsidRDefault="002F15EC" w:rsidP="00B12F6E">
            <w:pPr>
              <w:rPr>
                <w:sz w:val="20"/>
                <w:szCs w:val="20"/>
              </w:rPr>
            </w:pPr>
            <w:r w:rsidRPr="00364BBD">
              <w:rPr>
                <w:sz w:val="20"/>
                <w:szCs w:val="20"/>
              </w:rPr>
              <w:t>41 (9.1%)</w:t>
            </w:r>
          </w:p>
        </w:tc>
        <w:tc>
          <w:tcPr>
            <w:tcW w:w="1276" w:type="dxa"/>
          </w:tcPr>
          <w:p w14:paraId="7CC1A6D2" w14:textId="77777777" w:rsidR="002F15EC" w:rsidRPr="00364BBD" w:rsidRDefault="002F15EC" w:rsidP="00B12F6E">
            <w:pPr>
              <w:rPr>
                <w:sz w:val="20"/>
                <w:szCs w:val="20"/>
              </w:rPr>
            </w:pPr>
            <w:r w:rsidRPr="00364BBD">
              <w:rPr>
                <w:sz w:val="20"/>
                <w:szCs w:val="20"/>
              </w:rPr>
              <w:t>41 (9.1%)</w:t>
            </w:r>
          </w:p>
        </w:tc>
      </w:tr>
      <w:tr w:rsidR="002F15EC" w14:paraId="53C3C6A5" w14:textId="77777777" w:rsidTr="00B12F6E">
        <w:tc>
          <w:tcPr>
            <w:tcW w:w="1843" w:type="dxa"/>
          </w:tcPr>
          <w:p w14:paraId="5A8837E5" w14:textId="77777777" w:rsidR="002F15EC" w:rsidRPr="00364BBD" w:rsidRDefault="002F15EC" w:rsidP="00B12F6E">
            <w:pPr>
              <w:rPr>
                <w:sz w:val="20"/>
                <w:szCs w:val="20"/>
              </w:rPr>
            </w:pPr>
            <w:r w:rsidRPr="00364BBD">
              <w:rPr>
                <w:sz w:val="20"/>
                <w:szCs w:val="20"/>
              </w:rPr>
              <w:t>Toxicity of medicine</w:t>
            </w:r>
          </w:p>
        </w:tc>
        <w:tc>
          <w:tcPr>
            <w:tcW w:w="1417" w:type="dxa"/>
          </w:tcPr>
          <w:p w14:paraId="36D53158" w14:textId="77777777" w:rsidR="002F15EC" w:rsidRPr="00364BBD" w:rsidRDefault="002F15EC" w:rsidP="00B12F6E">
            <w:pPr>
              <w:rPr>
                <w:sz w:val="20"/>
                <w:szCs w:val="20"/>
              </w:rPr>
            </w:pPr>
            <w:r w:rsidRPr="00364BBD">
              <w:rPr>
                <w:sz w:val="20"/>
                <w:szCs w:val="20"/>
              </w:rPr>
              <w:t>0</w:t>
            </w:r>
          </w:p>
        </w:tc>
        <w:tc>
          <w:tcPr>
            <w:tcW w:w="1276" w:type="dxa"/>
          </w:tcPr>
          <w:p w14:paraId="2BD2DF0D" w14:textId="77777777" w:rsidR="002F15EC" w:rsidRPr="00364BBD" w:rsidRDefault="002F15EC" w:rsidP="00B12F6E">
            <w:pPr>
              <w:rPr>
                <w:sz w:val="20"/>
                <w:szCs w:val="20"/>
              </w:rPr>
            </w:pPr>
            <w:r w:rsidRPr="00364BBD">
              <w:rPr>
                <w:sz w:val="20"/>
                <w:szCs w:val="20"/>
              </w:rPr>
              <w:t>2 (0.4%)</w:t>
            </w:r>
          </w:p>
        </w:tc>
      </w:tr>
      <w:tr w:rsidR="002F15EC" w14:paraId="70EF9659" w14:textId="77777777" w:rsidTr="00B12F6E">
        <w:tc>
          <w:tcPr>
            <w:tcW w:w="1843" w:type="dxa"/>
          </w:tcPr>
          <w:p w14:paraId="18A88860" w14:textId="77777777" w:rsidR="002F15EC" w:rsidRPr="00364BBD" w:rsidRDefault="002F15EC" w:rsidP="00B12F6E">
            <w:pPr>
              <w:rPr>
                <w:sz w:val="20"/>
                <w:szCs w:val="20"/>
              </w:rPr>
            </w:pPr>
            <w:r w:rsidRPr="00364BBD">
              <w:rPr>
                <w:sz w:val="20"/>
                <w:szCs w:val="20"/>
              </w:rPr>
              <w:t>Other</w:t>
            </w:r>
          </w:p>
        </w:tc>
        <w:tc>
          <w:tcPr>
            <w:tcW w:w="1417" w:type="dxa"/>
          </w:tcPr>
          <w:p w14:paraId="14849BF3" w14:textId="77777777" w:rsidR="002F15EC" w:rsidRPr="00364BBD" w:rsidRDefault="002F15EC" w:rsidP="00B12F6E">
            <w:pPr>
              <w:rPr>
                <w:sz w:val="20"/>
                <w:szCs w:val="20"/>
              </w:rPr>
            </w:pPr>
            <w:r w:rsidRPr="00364BBD">
              <w:rPr>
                <w:sz w:val="20"/>
                <w:szCs w:val="20"/>
              </w:rPr>
              <w:t>3 (0.7%)</w:t>
            </w:r>
          </w:p>
        </w:tc>
        <w:tc>
          <w:tcPr>
            <w:tcW w:w="1276" w:type="dxa"/>
          </w:tcPr>
          <w:p w14:paraId="3E5F8149" w14:textId="77777777" w:rsidR="002F15EC" w:rsidRPr="00364BBD" w:rsidRDefault="002F15EC" w:rsidP="00B12F6E">
            <w:pPr>
              <w:rPr>
                <w:sz w:val="20"/>
                <w:szCs w:val="20"/>
              </w:rPr>
            </w:pPr>
            <w:r w:rsidRPr="00364BBD">
              <w:rPr>
                <w:sz w:val="20"/>
                <w:szCs w:val="20"/>
              </w:rPr>
              <w:t>2 (0.4%)</w:t>
            </w:r>
          </w:p>
        </w:tc>
      </w:tr>
      <w:tr w:rsidR="002F15EC" w14:paraId="077965F1" w14:textId="77777777" w:rsidTr="00B12F6E">
        <w:tc>
          <w:tcPr>
            <w:tcW w:w="1843" w:type="dxa"/>
          </w:tcPr>
          <w:p w14:paraId="3267C374" w14:textId="77777777" w:rsidR="002F15EC" w:rsidRPr="00364BBD" w:rsidRDefault="002F15EC" w:rsidP="00B12F6E">
            <w:pPr>
              <w:rPr>
                <w:sz w:val="20"/>
                <w:szCs w:val="20"/>
              </w:rPr>
            </w:pPr>
            <w:r w:rsidRPr="00364BBD">
              <w:rPr>
                <w:sz w:val="20"/>
                <w:szCs w:val="20"/>
              </w:rPr>
              <w:t>Total</w:t>
            </w:r>
          </w:p>
        </w:tc>
        <w:tc>
          <w:tcPr>
            <w:tcW w:w="1417" w:type="dxa"/>
          </w:tcPr>
          <w:p w14:paraId="51C1FB00" w14:textId="77777777" w:rsidR="002F15EC" w:rsidRPr="00364BBD" w:rsidRDefault="002F15EC" w:rsidP="00B12F6E">
            <w:pPr>
              <w:rPr>
                <w:sz w:val="20"/>
                <w:szCs w:val="20"/>
              </w:rPr>
            </w:pPr>
            <w:r w:rsidRPr="00364BBD">
              <w:rPr>
                <w:sz w:val="20"/>
                <w:szCs w:val="20"/>
              </w:rPr>
              <w:t>44 (9.7%)</w:t>
            </w:r>
          </w:p>
        </w:tc>
        <w:tc>
          <w:tcPr>
            <w:tcW w:w="1276" w:type="dxa"/>
          </w:tcPr>
          <w:p w14:paraId="19C7223E" w14:textId="77777777" w:rsidR="002F15EC" w:rsidRPr="00364BBD" w:rsidRDefault="002F15EC" w:rsidP="00B12F6E">
            <w:pPr>
              <w:rPr>
                <w:sz w:val="20"/>
                <w:szCs w:val="20"/>
              </w:rPr>
            </w:pPr>
            <w:r w:rsidRPr="00364BBD">
              <w:rPr>
                <w:sz w:val="20"/>
                <w:szCs w:val="20"/>
              </w:rPr>
              <w:t>45 (9.9%)</w:t>
            </w:r>
          </w:p>
        </w:tc>
      </w:tr>
    </w:tbl>
    <w:p w14:paraId="5748719E" w14:textId="77777777" w:rsidR="002F15EC" w:rsidRPr="00424D56" w:rsidRDefault="002F15EC" w:rsidP="00364BBD">
      <w:pPr>
        <w:pStyle w:val="Heading6"/>
      </w:pPr>
      <w:r>
        <w:lastRenderedPageBreak/>
        <w:t>Immune-related AEs included:</w:t>
      </w:r>
    </w:p>
    <w:p w14:paraId="113B948A" w14:textId="77777777" w:rsidR="002F15EC" w:rsidRPr="00364BBD" w:rsidRDefault="002F15EC" w:rsidP="00364BBD">
      <w:pPr>
        <w:pStyle w:val="ListBullet"/>
      </w:pPr>
      <w:r w:rsidRPr="00364BBD">
        <w:t>hypothyroidism 11.1%</w:t>
      </w:r>
    </w:p>
    <w:p w14:paraId="35BE3951" w14:textId="77777777" w:rsidR="002F15EC" w:rsidRPr="00364BBD" w:rsidRDefault="002F15EC" w:rsidP="00364BBD">
      <w:pPr>
        <w:pStyle w:val="ListBullet"/>
      </w:pPr>
      <w:r w:rsidRPr="00364BBD">
        <w:t>hyperthyroidism 8.4%</w:t>
      </w:r>
    </w:p>
    <w:p w14:paraId="5DA9A154" w14:textId="77777777" w:rsidR="002F15EC" w:rsidRPr="00364BBD" w:rsidRDefault="002F15EC" w:rsidP="00364BBD">
      <w:pPr>
        <w:pStyle w:val="ListBullet"/>
      </w:pPr>
      <w:r w:rsidRPr="00364BBD">
        <w:t>hypophysitis 1.5%</w:t>
      </w:r>
    </w:p>
    <w:p w14:paraId="4F9F099A" w14:textId="77777777" w:rsidR="002F15EC" w:rsidRPr="00364BBD" w:rsidRDefault="002F15EC" w:rsidP="00364BBD">
      <w:pPr>
        <w:pStyle w:val="ListBullet"/>
      </w:pPr>
      <w:r w:rsidRPr="00364BBD">
        <w:t>thyroiditis 2.2%</w:t>
      </w:r>
    </w:p>
    <w:p w14:paraId="23403CFA" w14:textId="77777777" w:rsidR="002F15EC" w:rsidRPr="00364BBD" w:rsidRDefault="002F15EC" w:rsidP="00364BBD">
      <w:pPr>
        <w:pStyle w:val="ListBullet"/>
      </w:pPr>
      <w:r w:rsidRPr="00364BBD">
        <w:t>diarrhoea 24.3%</w:t>
      </w:r>
    </w:p>
    <w:p w14:paraId="7270091A" w14:textId="77777777" w:rsidR="002F15EC" w:rsidRPr="00364BBD" w:rsidRDefault="002F15EC" w:rsidP="00364BBD">
      <w:pPr>
        <w:pStyle w:val="ListBullet"/>
      </w:pPr>
      <w:r w:rsidRPr="00364BBD">
        <w:t>rash 28.5%</w:t>
      </w:r>
    </w:p>
    <w:p w14:paraId="4F1A12D2" w14:textId="77777777" w:rsidR="002F15EC" w:rsidRPr="00364BBD" w:rsidRDefault="002F15EC" w:rsidP="00364BBD">
      <w:pPr>
        <w:pStyle w:val="ListBullet"/>
      </w:pPr>
      <w:r w:rsidRPr="00364BBD">
        <w:t>pruritus 23.2%</w:t>
      </w:r>
    </w:p>
    <w:p w14:paraId="3650DD2E" w14:textId="77777777" w:rsidR="002F15EC" w:rsidRPr="00364BBD" w:rsidRDefault="002F15EC" w:rsidP="00364BBD">
      <w:pPr>
        <w:pStyle w:val="ListBullet"/>
      </w:pPr>
      <w:r w:rsidRPr="00364BBD">
        <w:t>arthralgia 12.6%</w:t>
      </w:r>
    </w:p>
    <w:p w14:paraId="5741EDD9" w14:textId="77777777" w:rsidR="00A249F7" w:rsidRPr="00424D56" w:rsidRDefault="00A249F7" w:rsidP="00A249F7">
      <w:pPr>
        <w:pStyle w:val="Heading4"/>
        <w:rPr>
          <w:lang w:eastAsia="en-AU"/>
        </w:rPr>
      </w:pPr>
      <w:r>
        <w:rPr>
          <w:lang w:eastAsia="en-AU"/>
        </w:rPr>
        <w:t>Condition of registration</w:t>
      </w:r>
    </w:p>
    <w:p w14:paraId="174E8A42" w14:textId="77777777" w:rsidR="00A249F7" w:rsidRDefault="00A249F7" w:rsidP="00A249F7">
      <w:pPr>
        <w:pStyle w:val="Heading5"/>
        <w:rPr>
          <w:lang w:eastAsia="en-AU"/>
        </w:rPr>
      </w:pPr>
      <w:r>
        <w:rPr>
          <w:lang w:eastAsia="en-AU"/>
        </w:rPr>
        <w:t>Postmarketing studies</w:t>
      </w:r>
    </w:p>
    <w:p w14:paraId="3B1AB316" w14:textId="77777777" w:rsidR="00A249F7" w:rsidRPr="00B36EC1" w:rsidRDefault="00A249F7" w:rsidP="00A249F7">
      <w:pPr>
        <w:rPr>
          <w:lang w:eastAsia="en-AU"/>
        </w:rPr>
      </w:pPr>
      <w:r w:rsidRPr="00B36EC1">
        <w:rPr>
          <w:lang w:eastAsia="en-AU"/>
        </w:rPr>
        <w:t>Submit the final clinical report and datasets at the time of the final analysis for</w:t>
      </w:r>
      <w:r>
        <w:rPr>
          <w:lang w:eastAsia="en-AU"/>
        </w:rPr>
        <w:t xml:space="preserve"> </w:t>
      </w:r>
      <w:r w:rsidRPr="00B36EC1">
        <w:rPr>
          <w:lang w:eastAsia="en-AU"/>
        </w:rPr>
        <w:t xml:space="preserve">overall survival (OS) of </w:t>
      </w:r>
      <w:r>
        <w:rPr>
          <w:lang w:eastAsia="en-AU"/>
        </w:rPr>
        <w:t>Study</w:t>
      </w:r>
      <w:r w:rsidRPr="00B36EC1">
        <w:rPr>
          <w:lang w:eastAsia="en-AU"/>
        </w:rPr>
        <w:t xml:space="preserve"> CA209238, entitled </w:t>
      </w:r>
      <w:r>
        <w:rPr>
          <w:lang w:eastAsia="en-AU"/>
        </w:rPr>
        <w:t>‘</w:t>
      </w:r>
      <w:r w:rsidRPr="00364BBD">
        <w:rPr>
          <w:i/>
          <w:lang w:eastAsia="en-AU"/>
        </w:rPr>
        <w:t>A Phase III, Randomized, Double-blind Study of Adjuvant Immunotherapy with Nivolumab versus Ipilimumab after Complete Resection of Stage IIIB/C or Stage IV Melanoma in Subjects who are at High Risk for Recurrence (CheckMate 238)</w:t>
      </w:r>
      <w:r>
        <w:rPr>
          <w:lang w:eastAsia="en-AU"/>
        </w:rPr>
        <w:t>’</w:t>
      </w:r>
      <w:r w:rsidRPr="00B36EC1">
        <w:rPr>
          <w:lang w:eastAsia="en-AU"/>
        </w:rPr>
        <w:t>, to revise the</w:t>
      </w:r>
      <w:r>
        <w:rPr>
          <w:lang w:eastAsia="en-AU"/>
        </w:rPr>
        <w:t xml:space="preserve"> </w:t>
      </w:r>
      <w:r w:rsidRPr="00B36EC1">
        <w:rPr>
          <w:lang w:eastAsia="en-AU"/>
        </w:rPr>
        <w:t>product label with mature OS data.</w:t>
      </w:r>
    </w:p>
    <w:p w14:paraId="0A5513CF" w14:textId="77777777" w:rsidR="00A249F7" w:rsidRDefault="00A249F7" w:rsidP="00A249F7">
      <w:pPr>
        <w:rPr>
          <w:lang w:eastAsia="en-AU"/>
        </w:rPr>
      </w:pPr>
      <w:r w:rsidRPr="00B36EC1">
        <w:rPr>
          <w:lang w:eastAsia="en-AU"/>
        </w:rPr>
        <w:t>Final Report Submission</w:t>
      </w:r>
      <w:r>
        <w:rPr>
          <w:lang w:eastAsia="en-AU"/>
        </w:rPr>
        <w:t xml:space="preserve"> is expected</w:t>
      </w:r>
      <w:r w:rsidRPr="00B36EC1">
        <w:rPr>
          <w:lang w:eastAsia="en-AU"/>
        </w:rPr>
        <w:t xml:space="preserve"> September 2020</w:t>
      </w:r>
      <w:r>
        <w:rPr>
          <w:lang w:eastAsia="en-AU"/>
        </w:rPr>
        <w:t>.</w:t>
      </w:r>
    </w:p>
    <w:p w14:paraId="7CE5A43E" w14:textId="77777777" w:rsidR="008E7846" w:rsidRDefault="00386150" w:rsidP="007B6132">
      <w:pPr>
        <w:pStyle w:val="Heading3"/>
        <w:rPr>
          <w:lang w:eastAsia="en-AU"/>
        </w:rPr>
      </w:pPr>
      <w:bookmarkStart w:id="94" w:name="_Toc522802914"/>
      <w:r>
        <w:rPr>
          <w:lang w:eastAsia="en-AU"/>
        </w:rPr>
        <w:t>Risk m</w:t>
      </w:r>
      <w:r w:rsidR="008E7846">
        <w:rPr>
          <w:lang w:eastAsia="en-AU"/>
        </w:rPr>
        <w:t xml:space="preserve">anagement </w:t>
      </w:r>
      <w:r>
        <w:rPr>
          <w:lang w:eastAsia="en-AU"/>
        </w:rPr>
        <w:t>p</w:t>
      </w:r>
      <w:r w:rsidR="008E7846">
        <w:rPr>
          <w:lang w:eastAsia="en-AU"/>
        </w:rPr>
        <w:t>lan</w:t>
      </w:r>
      <w:bookmarkEnd w:id="93"/>
      <w:bookmarkEnd w:id="94"/>
    </w:p>
    <w:p w14:paraId="10DAD9A2" w14:textId="77777777" w:rsidR="008E7846" w:rsidRDefault="00AA2469" w:rsidP="008E7846">
      <w:r>
        <w:t xml:space="preserve">See </w:t>
      </w:r>
      <w:r w:rsidRPr="00AA2469">
        <w:rPr>
          <w:i/>
        </w:rPr>
        <w:t>Pharmacovigilance</w:t>
      </w:r>
      <w:r>
        <w:t xml:space="preserve"> </w:t>
      </w:r>
      <w:r w:rsidR="00364BBD" w:rsidRPr="00364BBD">
        <w:rPr>
          <w:i/>
        </w:rPr>
        <w:t>findings</w:t>
      </w:r>
      <w:r w:rsidR="00364BBD">
        <w:t xml:space="preserve"> </w:t>
      </w:r>
      <w:r>
        <w:t>above.</w:t>
      </w:r>
    </w:p>
    <w:p w14:paraId="36DBE01D" w14:textId="77777777" w:rsidR="008E7846" w:rsidRDefault="00AA0ED0" w:rsidP="008E7846">
      <w:pPr>
        <w:pStyle w:val="Heading3"/>
      </w:pPr>
      <w:bookmarkStart w:id="95" w:name="_Toc247691531"/>
      <w:bookmarkStart w:id="96" w:name="_Toc314842515"/>
      <w:bookmarkStart w:id="97" w:name="_Toc196046505"/>
      <w:bookmarkStart w:id="98" w:name="_Toc196046949"/>
      <w:bookmarkStart w:id="99" w:name="_Toc522802915"/>
      <w:r>
        <w:t>Risk-benefit a</w:t>
      </w:r>
      <w:r w:rsidR="008E7846">
        <w:t>nalysis</w:t>
      </w:r>
      <w:bookmarkEnd w:id="95"/>
      <w:bookmarkEnd w:id="96"/>
      <w:bookmarkEnd w:id="99"/>
    </w:p>
    <w:p w14:paraId="2C317E38" w14:textId="77777777" w:rsidR="00D23139" w:rsidRDefault="00D23139" w:rsidP="00D23139">
      <w:pPr>
        <w:pStyle w:val="Heading4"/>
      </w:pPr>
      <w:r w:rsidRPr="00D23139">
        <w:t xml:space="preserve">Delegate’s considerations </w:t>
      </w:r>
    </w:p>
    <w:p w14:paraId="01C40157" w14:textId="77777777" w:rsidR="00E61C93" w:rsidRDefault="00E61C93" w:rsidP="00AA2469">
      <w:pPr>
        <w:pStyle w:val="Heading5"/>
        <w:rPr>
          <w:lang w:eastAsia="en-AU"/>
        </w:rPr>
      </w:pPr>
      <w:r>
        <w:rPr>
          <w:lang w:eastAsia="en-AU"/>
        </w:rPr>
        <w:t>Benefit risk balance</w:t>
      </w:r>
    </w:p>
    <w:p w14:paraId="577415A9" w14:textId="77777777" w:rsidR="00AA2469" w:rsidRDefault="00AA2469" w:rsidP="00AA2469">
      <w:pPr>
        <w:pStyle w:val="Heading6"/>
      </w:pPr>
      <w:r w:rsidRPr="00C70779">
        <w:t>Condition</w:t>
      </w:r>
      <w:r w:rsidRPr="00AA2469">
        <w:t xml:space="preserve"> </w:t>
      </w:r>
    </w:p>
    <w:p w14:paraId="1B6FD0F0" w14:textId="77777777" w:rsidR="00AA2469" w:rsidRDefault="00AA2469" w:rsidP="002F15EC">
      <w:r w:rsidRPr="00C70779">
        <w:t xml:space="preserve">Stage III </w:t>
      </w:r>
      <w:r>
        <w:t xml:space="preserve">melanoma </w:t>
      </w:r>
      <w:r w:rsidRPr="00C70779">
        <w:t>patients are a heterogeneous group; for example, the 5</w:t>
      </w:r>
      <w:r w:rsidR="00364BBD">
        <w:t xml:space="preserve"> </w:t>
      </w:r>
      <w:r w:rsidRPr="00C70779">
        <w:t xml:space="preserve">year death rate for IIIa patients (included in </w:t>
      </w:r>
      <w:r w:rsidR="00364BBD">
        <w:t xml:space="preserve">Study </w:t>
      </w:r>
      <w:r w:rsidRPr="00C70779">
        <w:t xml:space="preserve">CA184-029 [ipilimumab versus placebo] but not </w:t>
      </w:r>
      <w:r w:rsidR="00364BBD">
        <w:t xml:space="preserve">Study </w:t>
      </w:r>
      <w:r w:rsidRPr="00C70779">
        <w:t xml:space="preserve">CM-238 [nivolumab versus ipilimumab]) is about 25% (from the placebo arm of </w:t>
      </w:r>
      <w:r w:rsidR="00364BBD">
        <w:t xml:space="preserve">Study </w:t>
      </w:r>
      <w:r w:rsidRPr="00C70779">
        <w:t>CA184-029).</w:t>
      </w:r>
      <w:r>
        <w:t xml:space="preserve"> IIIa is N1a or N2a: clinically occult lymph node involvement (</w:t>
      </w:r>
      <w:r w:rsidR="00673E24">
        <w:t>that is,</w:t>
      </w:r>
      <w:r>
        <w:t xml:space="preserve"> detected by sentinel lymph node biopsy).</w:t>
      </w:r>
      <w:r w:rsidRPr="00C70779">
        <w:t xml:space="preserve"> </w:t>
      </w:r>
    </w:p>
    <w:p w14:paraId="2BAF37D1" w14:textId="77777777" w:rsidR="002F15EC" w:rsidRDefault="00AA2469" w:rsidP="00AA2469">
      <w:r w:rsidRPr="00C70779">
        <w:t>There are various estimates of 5</w:t>
      </w:r>
      <w:r w:rsidR="00364BBD">
        <w:t xml:space="preserve"> </w:t>
      </w:r>
      <w:r w:rsidRPr="00C70779">
        <w:t>year relapse</w:t>
      </w:r>
      <w:r w:rsidR="00364BBD">
        <w:t xml:space="preserve"> </w:t>
      </w:r>
      <w:r w:rsidRPr="00C70779">
        <w:t>free survival for Stage</w:t>
      </w:r>
      <w:r w:rsidR="00364BBD">
        <w:t xml:space="preserve"> </w:t>
      </w:r>
      <w:r w:rsidRPr="00C70779">
        <w:t>III melanoma; for example, I</w:t>
      </w:r>
      <w:r w:rsidR="00F453DA">
        <w:t>IIa: 63%; IIIb: 32%; IIIc: 11%.</w:t>
      </w:r>
      <w:r w:rsidR="00F453DA">
        <w:rPr>
          <w:rStyle w:val="FootnoteReference"/>
        </w:rPr>
        <w:footnoteReference w:id="4"/>
      </w:r>
    </w:p>
    <w:p w14:paraId="7BFD2257" w14:textId="77777777" w:rsidR="00AA2469" w:rsidRPr="00C70779" w:rsidRDefault="00364BBD" w:rsidP="002F15EC">
      <w:r>
        <w:t xml:space="preserve">[III] </w:t>
      </w:r>
      <w:proofErr w:type="gramStart"/>
      <w:r w:rsidR="00AA2469" w:rsidRPr="00C70779">
        <w:t>a</w:t>
      </w:r>
      <w:proofErr w:type="gramEnd"/>
      <w:r w:rsidR="00AA2469" w:rsidRPr="00C70779">
        <w:t>,</w:t>
      </w:r>
      <w:r>
        <w:t xml:space="preserve"> </w:t>
      </w:r>
      <w:r w:rsidR="00AA2469" w:rsidRPr="00C70779">
        <w:t>b,</w:t>
      </w:r>
      <w:r>
        <w:t xml:space="preserve"> </w:t>
      </w:r>
      <w:r w:rsidR="00AA2469" w:rsidRPr="00C70779">
        <w:t>c depends on:</w:t>
      </w:r>
    </w:p>
    <w:p w14:paraId="391B6682" w14:textId="77777777" w:rsidR="00AA2469" w:rsidRPr="00C70779" w:rsidRDefault="00AA2469" w:rsidP="002F15EC">
      <w:pPr>
        <w:pStyle w:val="ListBullet"/>
      </w:pPr>
      <w:r w:rsidRPr="00C70779">
        <w:t xml:space="preserve">micro </w:t>
      </w:r>
      <w:r>
        <w:t xml:space="preserve">(occult) </w:t>
      </w:r>
      <w:r w:rsidRPr="00C70779">
        <w:t xml:space="preserve">versus macro </w:t>
      </w:r>
      <w:r w:rsidR="00364BBD">
        <w:t>lymph node (</w:t>
      </w:r>
      <w:r w:rsidRPr="00C70779">
        <w:t>LN</w:t>
      </w:r>
      <w:r w:rsidR="00364BBD">
        <w:t>)</w:t>
      </w:r>
      <w:r>
        <w:t xml:space="preserve"> involvement</w:t>
      </w:r>
    </w:p>
    <w:p w14:paraId="6B38494A" w14:textId="77777777" w:rsidR="00AA2469" w:rsidRPr="00C70779" w:rsidRDefault="00AA2469" w:rsidP="002F15EC">
      <w:pPr>
        <w:pStyle w:val="ListBullet"/>
      </w:pPr>
      <w:r w:rsidRPr="00C70779">
        <w:t>number of LN</w:t>
      </w:r>
      <w:r w:rsidR="00364BBD">
        <w:t>s</w:t>
      </w:r>
    </w:p>
    <w:p w14:paraId="69608155" w14:textId="77777777" w:rsidR="00AA2469" w:rsidRPr="00C70779" w:rsidRDefault="00AA2469" w:rsidP="002F15EC">
      <w:pPr>
        <w:pStyle w:val="ListBullet"/>
      </w:pPr>
      <w:r w:rsidRPr="00C70779">
        <w:t>clumping of LN</w:t>
      </w:r>
      <w:r w:rsidR="00364BBD">
        <w:t>s</w:t>
      </w:r>
    </w:p>
    <w:p w14:paraId="364E97FC" w14:textId="77777777" w:rsidR="00AA2469" w:rsidRPr="00C70779" w:rsidRDefault="00AA2469" w:rsidP="002F15EC">
      <w:pPr>
        <w:pStyle w:val="ListBullet"/>
      </w:pPr>
      <w:r w:rsidRPr="00C70779">
        <w:lastRenderedPageBreak/>
        <w:t>ulceration and thickness of the primary lesion</w:t>
      </w:r>
    </w:p>
    <w:p w14:paraId="00296CED" w14:textId="77777777" w:rsidR="00E61C93" w:rsidRDefault="00AA2469" w:rsidP="002F15EC">
      <w:r w:rsidRPr="00C70779">
        <w:t>A patient’s decision on whether to have adjuvant treatment will depend on their preferences/values, age, comorbidities, and the risk of recurrence (which can vary, as above).</w:t>
      </w:r>
    </w:p>
    <w:p w14:paraId="5044736C" w14:textId="77777777" w:rsidR="00AA2469" w:rsidRPr="00364BBD" w:rsidRDefault="00AA2469" w:rsidP="00364BBD">
      <w:pPr>
        <w:pStyle w:val="Heading6"/>
      </w:pPr>
      <w:r w:rsidRPr="00C70779">
        <w:t>Current treatment options</w:t>
      </w:r>
    </w:p>
    <w:p w14:paraId="6D0CE055" w14:textId="77777777" w:rsidR="00AA2469" w:rsidRPr="00C70779" w:rsidRDefault="00AA2469" w:rsidP="002F15EC">
      <w:r w:rsidRPr="00C70779">
        <w:t xml:space="preserve">The term ‘adjuvant treatment’ refers to treatment offered after initial primary therapy, to further delay relapse and to improve overall survival. </w:t>
      </w:r>
    </w:p>
    <w:p w14:paraId="22070CE6" w14:textId="77777777" w:rsidR="00AA2469" w:rsidRPr="00C70779" w:rsidRDefault="00AA2469" w:rsidP="002F15EC">
      <w:r w:rsidRPr="00C70779">
        <w:t>Currently, the only registered option for adjuvant treatment of such patients in Australia is Interferon alpha-2b which required 4 weeks of intensive intravenous therapy (daily infusions Days 1</w:t>
      </w:r>
      <w:r w:rsidR="00364BBD">
        <w:t xml:space="preserve"> to </w:t>
      </w:r>
      <w:r w:rsidRPr="00C70779">
        <w:t xml:space="preserve">5 for 4 weeks) and then three subcutaneous injections per week for an additional 48 weeks. The benefits were limited with an improvement in </w:t>
      </w:r>
      <w:r w:rsidR="00364BBD">
        <w:t>RFS</w:t>
      </w:r>
      <w:r w:rsidRPr="00C70779">
        <w:t xml:space="preserve"> demonstrated in two studies and a pooled analysis, but no benefit in OS identified in the pooled analysis.</w:t>
      </w:r>
      <w:r w:rsidR="007942B2">
        <w:rPr>
          <w:rStyle w:val="FootnoteReference"/>
        </w:rPr>
        <w:footnoteReference w:id="5"/>
      </w:r>
      <w:r w:rsidRPr="00C70779">
        <w:t xml:space="preserve"> </w:t>
      </w:r>
      <w:r>
        <w:t>A</w:t>
      </w:r>
      <w:r w:rsidRPr="00C70779">
        <w:t xml:space="preserve">dverse effects </w:t>
      </w:r>
      <w:r>
        <w:t xml:space="preserve">were common </w:t>
      </w:r>
      <w:r w:rsidRPr="00C70779">
        <w:t>(</w:t>
      </w:r>
      <w:r w:rsidR="00364BBD">
        <w:t xml:space="preserve">for example, </w:t>
      </w:r>
      <w:r w:rsidRPr="00C70779">
        <w:t>dose modifications occurred in 65% of patients in the meta-analysis). Interferon is mainly of historical interest.</w:t>
      </w:r>
    </w:p>
    <w:p w14:paraId="03869C50" w14:textId="2C12C009" w:rsidR="00AA2469" w:rsidRPr="00C70779" w:rsidRDefault="00AA2469" w:rsidP="002F15EC">
      <w:r w:rsidRPr="00C70779">
        <w:t>Ipi</w:t>
      </w:r>
      <w:r>
        <w:t>limumab does not have marketing approval</w:t>
      </w:r>
      <w:r w:rsidRPr="00C70779">
        <w:t xml:space="preserve"> as an adjuvant treatment for melanoma in Australia. A </w:t>
      </w:r>
      <w:r w:rsidR="00364BBD">
        <w:t>randomised, controlled trial (</w:t>
      </w:r>
      <w:r w:rsidRPr="00C70779">
        <w:t>RCT</w:t>
      </w:r>
      <w:r w:rsidR="00364BBD">
        <w:t>)</w:t>
      </w:r>
      <w:r w:rsidRPr="00C70779">
        <w:t xml:space="preserve"> of ipilimumab 10</w:t>
      </w:r>
      <w:r w:rsidR="00364BBD">
        <w:t xml:space="preserve"> </w:t>
      </w:r>
      <w:r w:rsidRPr="00C70779">
        <w:t>mg/kg every 3 weeks then 3</w:t>
      </w:r>
      <w:r w:rsidR="00364BBD">
        <w:t xml:space="preserve"> </w:t>
      </w:r>
      <w:r w:rsidRPr="00C70779">
        <w:t>monthly for a total of 3 years demonstrated improved RFS and OS compared with placebo, but with the expected toxicity associated with ipilimumab (</w:t>
      </w:r>
      <w:r w:rsidR="00DF5C08">
        <w:t xml:space="preserve">Study </w:t>
      </w:r>
      <w:r w:rsidR="00261A6B">
        <w:t>CA184029</w:t>
      </w:r>
      <w:r w:rsidRPr="00C70779">
        <w:t>).</w:t>
      </w:r>
      <w:r w:rsidR="00953F03">
        <w:rPr>
          <w:rStyle w:val="FootnoteReference"/>
        </w:rPr>
        <w:footnoteReference w:id="6"/>
      </w:r>
      <w:r w:rsidR="00953F03">
        <w:t xml:space="preserve"> </w:t>
      </w:r>
      <w:r w:rsidRPr="00C70779">
        <w:t>Ipilimumab is approved in the US for adjuvant treatment of melanoma.</w:t>
      </w:r>
    </w:p>
    <w:p w14:paraId="5E276AD9" w14:textId="77777777" w:rsidR="00AA2469" w:rsidRDefault="00AA2469" w:rsidP="002F15EC">
      <w:r w:rsidRPr="00C70779">
        <w:t xml:space="preserve">In Australia, the current management of patients with </w:t>
      </w:r>
      <w:r w:rsidR="00DF5C08">
        <w:t>S</w:t>
      </w:r>
      <w:r w:rsidRPr="00C70779">
        <w:t>tage</w:t>
      </w:r>
      <w:r w:rsidR="00DF5C08">
        <w:t xml:space="preserve"> </w:t>
      </w:r>
      <w:r w:rsidRPr="00C70779">
        <w:t>III melanoma is to enrol them in a clinical trial or watch and wait.</w:t>
      </w:r>
    </w:p>
    <w:p w14:paraId="293AF31B" w14:textId="665DE1CC" w:rsidR="00AA2469" w:rsidRDefault="00AA2469" w:rsidP="00AA2469">
      <w:pPr>
        <w:pStyle w:val="Heading6"/>
        <w:rPr>
          <w:b/>
        </w:rPr>
      </w:pPr>
      <w:r w:rsidRPr="00C70779">
        <w:t>Benefits and associated uncertainties</w:t>
      </w:r>
    </w:p>
    <w:p w14:paraId="558D1857" w14:textId="77777777" w:rsidR="00AA2469" w:rsidRPr="00C70779" w:rsidRDefault="00AA2469" w:rsidP="00DF5C08">
      <w:pPr>
        <w:pStyle w:val="Heading6"/>
      </w:pPr>
      <w:r w:rsidRPr="00C70779">
        <w:t>RFS</w:t>
      </w:r>
    </w:p>
    <w:p w14:paraId="20EBB107" w14:textId="3AAC48B8" w:rsidR="00AA2469" w:rsidRDefault="00953F03" w:rsidP="002F15EC">
      <w:r>
        <w:t xml:space="preserve">Study </w:t>
      </w:r>
      <w:r w:rsidR="00AA2469" w:rsidRPr="00C70779">
        <w:t xml:space="preserve">CA209238 (Checkmate-238): </w:t>
      </w:r>
      <w:r w:rsidR="00DF5C08">
        <w:t>S</w:t>
      </w:r>
      <w:r w:rsidR="00AA2469" w:rsidRPr="00C70779">
        <w:t>tage-IIIb, IIIc, and fully-rese</w:t>
      </w:r>
      <w:r w:rsidR="00AA2469">
        <w:t xml:space="preserve">cted </w:t>
      </w:r>
      <w:r w:rsidR="001C5E9A">
        <w:t>Stage IV</w:t>
      </w:r>
      <w:r w:rsidR="00DF5C08">
        <w:t>;</w:t>
      </w:r>
      <w:r w:rsidR="00AA2469">
        <w:t xml:space="preserve"> nivolumab (n</w:t>
      </w:r>
      <w:r>
        <w:t> </w:t>
      </w:r>
      <w:r w:rsidR="00AA2469">
        <w:t>=</w:t>
      </w:r>
      <w:r>
        <w:t> </w:t>
      </w:r>
      <w:r w:rsidR="00AA2469">
        <w:t>435) versus ipilimumab (n</w:t>
      </w:r>
      <w:r>
        <w:t> </w:t>
      </w:r>
      <w:r w:rsidR="00AA2469">
        <w:t>=</w:t>
      </w:r>
      <w:r>
        <w:t> </w:t>
      </w:r>
      <w:r w:rsidR="00AA2469">
        <w:t>453).</w:t>
      </w:r>
    </w:p>
    <w:p w14:paraId="0CF310D8" w14:textId="77777777" w:rsidR="00AA2469" w:rsidRDefault="00AA2469" w:rsidP="002F15EC">
      <w:r w:rsidRPr="001F7A0F">
        <w:t>The CSR was submitted to regulatory agencies (FDA, EMA</w:t>
      </w:r>
      <w:r w:rsidR="00DF5C08">
        <w:t xml:space="preserve"> and the</w:t>
      </w:r>
      <w:r w:rsidRPr="001F7A0F">
        <w:t xml:space="preserve"> TGA) based on a planned interim analysis</w:t>
      </w:r>
      <w:r>
        <w:t xml:space="preserve"> (data cut-point: June 2017)</w:t>
      </w:r>
      <w:r w:rsidRPr="001F7A0F">
        <w:t>, after all patients had a</w:t>
      </w:r>
      <w:r>
        <w:t xml:space="preserve"> minimum follow-up of 18 months. </w:t>
      </w:r>
      <w:r w:rsidRPr="001F7A0F">
        <w:t xml:space="preserve">No patients were still on study </w:t>
      </w:r>
      <w:r w:rsidR="00DF5C08">
        <w:t xml:space="preserve">treatment. The independent </w:t>
      </w:r>
      <w:r w:rsidRPr="001F7A0F">
        <w:t>DMC reviewed the interim data (as per the Jan</w:t>
      </w:r>
      <w:r w:rsidR="00DF5C08">
        <w:t xml:space="preserve">uary </w:t>
      </w:r>
      <w:r w:rsidRPr="001F7A0F">
        <w:t>2017 protocol amendment) and confirmed that the pre-specified boundary for RFS was crossed with no new safety signals identified that would affect continuation of the study</w:t>
      </w:r>
      <w:r w:rsidRPr="00E50D4B">
        <w:t>.</w:t>
      </w:r>
    </w:p>
    <w:p w14:paraId="63D9E3E4" w14:textId="77777777" w:rsidR="00AA2469" w:rsidRPr="00C70779" w:rsidRDefault="00AA2469" w:rsidP="002F15EC">
      <w:r w:rsidRPr="00C70779">
        <w:t xml:space="preserve">The proposed indication is for all </w:t>
      </w:r>
      <w:r w:rsidR="00DF5C08">
        <w:t>S</w:t>
      </w:r>
      <w:r w:rsidRPr="00C70779">
        <w:t>tage</w:t>
      </w:r>
      <w:r w:rsidR="00DF5C08">
        <w:t xml:space="preserve"> </w:t>
      </w:r>
      <w:r w:rsidRPr="00C70779">
        <w:t xml:space="preserve">III </w:t>
      </w:r>
      <w:r>
        <w:t xml:space="preserve">(which would include IIIa); and fully resected </w:t>
      </w:r>
      <w:r w:rsidR="001C5E9A">
        <w:t>Stage IV</w:t>
      </w:r>
      <w:r w:rsidRPr="00C70779">
        <w:t>.</w:t>
      </w:r>
      <w:r>
        <w:t xml:space="preserve"> </w:t>
      </w:r>
      <w:r w:rsidRPr="00C70779">
        <w:t xml:space="preserve">[CA184-029 (ipilimumab versus placebo) enrolled </w:t>
      </w:r>
      <w:r w:rsidR="001C5E9A">
        <w:t>Stage III</w:t>
      </w:r>
      <w:r w:rsidRPr="00C70779">
        <w:t xml:space="preserve">a, IIIb, IIIc, but not </w:t>
      </w:r>
      <w:r w:rsidR="001C5E9A">
        <w:t>Stage IV</w:t>
      </w:r>
      <w:r w:rsidRPr="00C70779">
        <w:t>.]</w:t>
      </w:r>
    </w:p>
    <w:p w14:paraId="39088F39" w14:textId="77777777" w:rsidR="00AA2469" w:rsidRPr="00C70779" w:rsidRDefault="00AA2469" w:rsidP="00DF5C08">
      <w:pPr>
        <w:pStyle w:val="Heading6"/>
      </w:pPr>
      <w:r w:rsidRPr="00C70779">
        <w:t>CA209-238</w:t>
      </w:r>
    </w:p>
    <w:p w14:paraId="186B5F0B" w14:textId="7E6E8D1D" w:rsidR="00AA2469" w:rsidRPr="00C70779" w:rsidRDefault="00AA2469" w:rsidP="002F15EC">
      <w:r w:rsidRPr="00C70779">
        <w:t>After a minimum of 18 months follow-up (median</w:t>
      </w:r>
      <w:r w:rsidR="00953F03">
        <w:t xml:space="preserve"> </w:t>
      </w:r>
      <w:r w:rsidRPr="00C70779">
        <w:t>=</w:t>
      </w:r>
      <w:r w:rsidR="00953F03">
        <w:t xml:space="preserve"> </w:t>
      </w:r>
      <w:r w:rsidRPr="00C70779">
        <w:t xml:space="preserve">19.5 months), patients in the nivolumab arm </w:t>
      </w:r>
      <w:r>
        <w:t>ha</w:t>
      </w:r>
      <w:r w:rsidRPr="00C70779">
        <w:t>d fewer recurrences/deaths, 34.0% (n</w:t>
      </w:r>
      <w:r w:rsidR="00953F03">
        <w:t xml:space="preserve"> </w:t>
      </w:r>
      <w:r w:rsidRPr="00C70779">
        <w:t>=</w:t>
      </w:r>
      <w:r w:rsidR="00953F03">
        <w:t xml:space="preserve"> </w:t>
      </w:r>
      <w:r w:rsidRPr="00C70779">
        <w:t>154</w:t>
      </w:r>
      <w:r>
        <w:t>/453</w:t>
      </w:r>
      <w:r w:rsidRPr="00C70779">
        <w:t xml:space="preserve">), compared with </w:t>
      </w:r>
      <w:r>
        <w:t xml:space="preserve">patients in the ipilimumab arm: </w:t>
      </w:r>
      <w:r w:rsidRPr="00C70779">
        <w:t>45.5</w:t>
      </w:r>
      <w:r>
        <w:t>% (n</w:t>
      </w:r>
      <w:r w:rsidR="00953F03">
        <w:t xml:space="preserve"> </w:t>
      </w:r>
      <w:r>
        <w:t>=</w:t>
      </w:r>
      <w:r w:rsidR="00953F03">
        <w:t xml:space="preserve"> </w:t>
      </w:r>
      <w:r>
        <w:t xml:space="preserve">206/453). </w:t>
      </w:r>
      <w:r w:rsidRPr="00C70779">
        <w:t>HR for RFS (pre-specified primary endpoint) for nivolumab versus ipilimumab was 0.65 (0.51, 0.83), p</w:t>
      </w:r>
      <w:r w:rsidR="00953F03">
        <w:t xml:space="preserve"> </w:t>
      </w:r>
      <w:r w:rsidRPr="00C70779">
        <w:t>&lt;</w:t>
      </w:r>
      <w:r w:rsidR="00953F03">
        <w:t xml:space="preserve"> </w:t>
      </w:r>
      <w:r w:rsidRPr="00C70779">
        <w:t>0.0001. This HR was further from 1.0 than the pre-specified MCID (0.75), used in the sample size calculation.</w:t>
      </w:r>
    </w:p>
    <w:p w14:paraId="6A29DA99" w14:textId="77777777" w:rsidR="00AA2469" w:rsidRPr="00C70779" w:rsidRDefault="00AA2469" w:rsidP="002F15EC">
      <w:r w:rsidRPr="00C70779">
        <w:lastRenderedPageBreak/>
        <w:t>Median RFS was not reached in either arm. The K</w:t>
      </w:r>
      <w:r w:rsidR="00DF5C08">
        <w:t>aplan</w:t>
      </w:r>
      <w:r w:rsidRPr="00C70779">
        <w:t>-M</w:t>
      </w:r>
      <w:r w:rsidR="00DF5C08">
        <w:t>eier</w:t>
      </w:r>
      <w:r w:rsidRPr="00C70779">
        <w:t xml:space="preserve"> RFS rate (accounting for censoring) at 18 months was 66% in the nivolumab arm versus 53% in the ipilimumab arm.</w:t>
      </w:r>
    </w:p>
    <w:p w14:paraId="62B402DC" w14:textId="77777777" w:rsidR="00AA2469" w:rsidRPr="00C70779" w:rsidRDefault="00AA2469" w:rsidP="002F15EC">
      <w:r w:rsidRPr="00C70779">
        <w:t>These RFS results were from a pre-specified interim analysis,</w:t>
      </w:r>
      <w:r>
        <w:t xml:space="preserve"> with data cut</w:t>
      </w:r>
      <w:r w:rsidR="00DF5C08">
        <w:t>-</w:t>
      </w:r>
      <w:r>
        <w:t>point June 2017</w:t>
      </w:r>
      <w:r w:rsidRPr="00C70779">
        <w:t xml:space="preserve"> based on a protocol amendment from January 2017 (p-values and CIs for RFS were appropriately adjusted for multiplicity). The final RFS analysis is planned when patients have been followed</w:t>
      </w:r>
      <w:r w:rsidR="00DF5C08">
        <w:t xml:space="preserve"> </w:t>
      </w:r>
      <w:r w:rsidRPr="00C70779">
        <w:t>for 36 months.</w:t>
      </w:r>
    </w:p>
    <w:p w14:paraId="2EDEA59D" w14:textId="7CA26C0F" w:rsidR="00AA2469" w:rsidRPr="00C70779" w:rsidRDefault="00AA2469" w:rsidP="002F15EC">
      <w:r w:rsidRPr="00C70779">
        <w:t xml:space="preserve">Study CA184029 compared ipilimumab to placebo in the adjuvant setting: </w:t>
      </w:r>
      <w:r w:rsidR="006733FF" w:rsidRPr="00C70779">
        <w:t>HR (</w:t>
      </w:r>
      <w:r w:rsidRPr="00C70779">
        <w:t>RFS</w:t>
      </w:r>
      <w:r w:rsidR="006733FF" w:rsidRPr="00C70779">
        <w:t>) =</w:t>
      </w:r>
      <w:r w:rsidRPr="00C70779">
        <w:t>0.76 (0.64, 0.89); 5</w:t>
      </w:r>
      <w:r w:rsidR="00DF5C08">
        <w:t xml:space="preserve"> </w:t>
      </w:r>
      <w:r w:rsidRPr="00C70779">
        <w:t>year RFS rate: 41% versus 30%. These results are relevant for an indirect comparison of nivolumab to placebo; with the usual caveat about indirect comparisons across different trials (</w:t>
      </w:r>
      <w:r w:rsidR="00DF5C08">
        <w:t>for example,</w:t>
      </w:r>
      <w:r w:rsidRPr="00C70779">
        <w:t xml:space="preserve"> </w:t>
      </w:r>
      <w:r w:rsidR="00DF5C08">
        <w:t xml:space="preserve">Study </w:t>
      </w:r>
      <w:r w:rsidRPr="00C70779">
        <w:t>CA184029 enrolled Stage-IIIa patients, but not fully resected Stage</w:t>
      </w:r>
      <w:r w:rsidR="00CD3FC1">
        <w:t xml:space="preserve"> </w:t>
      </w:r>
      <w:r w:rsidRPr="00C70779">
        <w:t xml:space="preserve">IV; </w:t>
      </w:r>
      <w:r w:rsidR="00DF5C08">
        <w:t xml:space="preserve">Study </w:t>
      </w:r>
      <w:r w:rsidRPr="00C70779">
        <w:t>CA209-238 enrolled fully resected Stage-IV, but not Stage</w:t>
      </w:r>
      <w:r w:rsidR="00E1394B">
        <w:t> </w:t>
      </w:r>
      <w:r w:rsidRPr="00C70779">
        <w:t>IIIa.)</w:t>
      </w:r>
    </w:p>
    <w:p w14:paraId="2E843CE5" w14:textId="77777777" w:rsidR="00AA2469" w:rsidRDefault="00AA2469" w:rsidP="00DF5C08">
      <w:pPr>
        <w:pStyle w:val="Heading6"/>
      </w:pPr>
      <w:r w:rsidRPr="00C70779">
        <w:t>OS</w:t>
      </w:r>
    </w:p>
    <w:p w14:paraId="2220F443" w14:textId="7E18738E" w:rsidR="00AA2469" w:rsidRPr="00C70779" w:rsidRDefault="00AA2469" w:rsidP="002F15EC">
      <w:r w:rsidRPr="00C70779">
        <w:t>No results have been reported for OS (secondary endpoint) from the pivotal registration trial (</w:t>
      </w:r>
      <w:r w:rsidR="00DF5C08">
        <w:t xml:space="preserve">Study </w:t>
      </w:r>
      <w:r w:rsidRPr="00C70779">
        <w:t>CA209238).</w:t>
      </w:r>
    </w:p>
    <w:p w14:paraId="6547645C" w14:textId="77777777" w:rsidR="00AA2469" w:rsidRPr="00C70779" w:rsidRDefault="00AA2469" w:rsidP="00AA2469">
      <w:r w:rsidRPr="00C70779">
        <w:t>Interim OS analyses are planned after 36 months follow-up, with final OS analyses planned after 48 months follow-up (expected 2020; see Condition</w:t>
      </w:r>
      <w:r w:rsidR="00DF5C08">
        <w:t xml:space="preserve"> </w:t>
      </w:r>
      <w:r w:rsidRPr="00C70779">
        <w:t>of</w:t>
      </w:r>
      <w:r w:rsidR="00DF5C08">
        <w:t xml:space="preserve"> r</w:t>
      </w:r>
      <w:r w:rsidRPr="00C70779">
        <w:t>egistration).</w:t>
      </w:r>
    </w:p>
    <w:p w14:paraId="7EE21C32" w14:textId="77777777" w:rsidR="00AA2469" w:rsidRPr="00C70779" w:rsidRDefault="00AA2469" w:rsidP="00AA2469">
      <w:r w:rsidRPr="00C70779">
        <w:t>When available, interpretation of OS results might be complicated by the post-recurrence treatments received by patients. For example, at the June 2017 data cut</w:t>
      </w:r>
      <w:r w:rsidR="00DF5C08">
        <w:t>-</w:t>
      </w:r>
      <w:r w:rsidRPr="00C70779">
        <w:t>point, 20% of patients in the nivolumab arm and 30% of patients in the ipilimumab arm had additional systemic therapies.</w:t>
      </w:r>
    </w:p>
    <w:p w14:paraId="4360B741" w14:textId="0B161563" w:rsidR="00AA2469" w:rsidRPr="00C70779" w:rsidRDefault="00AA2469" w:rsidP="00AA2469">
      <w:r w:rsidRPr="00C70779">
        <w:t xml:space="preserve">Based on </w:t>
      </w:r>
      <w:r w:rsidR="00DF5C08">
        <w:t xml:space="preserve">Study </w:t>
      </w:r>
      <w:r w:rsidRPr="00C70779">
        <w:t xml:space="preserve">CA184029 (the </w:t>
      </w:r>
      <w:r w:rsidR="00DF5C08">
        <w:t>ipilimumab versus placebo trial</w:t>
      </w:r>
      <w:r w:rsidRPr="00C70779">
        <w:t>), RFS benefit in this setting seems to translate into OS benefit.</w:t>
      </w:r>
    </w:p>
    <w:p w14:paraId="706313A6" w14:textId="77777777" w:rsidR="00AA2469" w:rsidRPr="00C70779" w:rsidRDefault="00AA2469" w:rsidP="00DF5C08">
      <w:pPr>
        <w:pStyle w:val="Heading6"/>
      </w:pPr>
      <w:r w:rsidRPr="00C70779">
        <w:t>Subgroup analyses</w:t>
      </w:r>
    </w:p>
    <w:p w14:paraId="23F5BBBF" w14:textId="77777777" w:rsidR="00AA2469" w:rsidRDefault="00AA2469" w:rsidP="00AA2469">
      <w:r w:rsidRPr="00C70779">
        <w:t>Benefit for nivolumab was reported for RFS in nearly every subgroup tested, including those defined according to age, sex, disease stage, microscopic versus macroscopic nodal disease, ulceration status of the primary tumour, BRAF status and various PD-L1 expression cut</w:t>
      </w:r>
      <w:r w:rsidR="00DF5C08">
        <w:t>-</w:t>
      </w:r>
      <w:r w:rsidRPr="00C70779">
        <w:t>points.</w:t>
      </w:r>
    </w:p>
    <w:p w14:paraId="25304C5B" w14:textId="77777777" w:rsidR="00AA2469" w:rsidRDefault="00AA2469" w:rsidP="00AA2469">
      <w:pPr>
        <w:pStyle w:val="Heading6"/>
      </w:pPr>
      <w:r w:rsidRPr="00C70779">
        <w:t>Harms and associated uncertainties</w:t>
      </w:r>
    </w:p>
    <w:p w14:paraId="48EDFADA" w14:textId="02295149" w:rsidR="00AA2469" w:rsidRPr="00C70779" w:rsidRDefault="00AA2469" w:rsidP="00AA2469">
      <w:r w:rsidRPr="00C70779">
        <w:t xml:space="preserve">The pivotal </w:t>
      </w:r>
      <w:r w:rsidR="00DF5C08">
        <w:t>S</w:t>
      </w:r>
      <w:r w:rsidRPr="00C70779">
        <w:t>tudy CA209238 showed that nivolumab is less toxic than ipilimumab (10</w:t>
      </w:r>
      <w:r w:rsidR="00E1394B">
        <w:t> </w:t>
      </w:r>
      <w:r w:rsidRPr="00C70779">
        <w:t>mg/kg). This was expected.</w:t>
      </w:r>
    </w:p>
    <w:p w14:paraId="6CBD5515" w14:textId="0620004A" w:rsidR="00AA2469" w:rsidRDefault="00AA2469" w:rsidP="00AA2469">
      <w:r w:rsidRPr="00C70779">
        <w:t xml:space="preserve">Nivolumab was discontinued </w:t>
      </w:r>
      <w:r>
        <w:t xml:space="preserve">for adverse events </w:t>
      </w:r>
      <w:r w:rsidRPr="00C70779">
        <w:t>in 9% of patients</w:t>
      </w:r>
      <w:r>
        <w:t xml:space="preserve"> (ipilimumab </w:t>
      </w:r>
      <w:r w:rsidR="00E1394B">
        <w:t xml:space="preserve">around </w:t>
      </w:r>
      <w:r>
        <w:t>40%)</w:t>
      </w:r>
      <w:r w:rsidRPr="00C70779">
        <w:t>.</w:t>
      </w:r>
    </w:p>
    <w:p w14:paraId="3676094E" w14:textId="77777777" w:rsidR="00AA2469" w:rsidRPr="00C70779" w:rsidRDefault="00AA2469" w:rsidP="00AA2469">
      <w:r>
        <w:t>Median time on treatment was 11.5 months in the nivolumab arm and 2.7 months in the ipilimumab arm.</w:t>
      </w:r>
    </w:p>
    <w:p w14:paraId="694FC6C8" w14:textId="77777777" w:rsidR="00AA2469" w:rsidRDefault="00AA2469" w:rsidP="00AA2469">
      <w:r w:rsidRPr="00C70779">
        <w:t>No new types of adverse effects for nivolumab were identified in this setting.</w:t>
      </w:r>
    </w:p>
    <w:p w14:paraId="3489D181" w14:textId="77777777" w:rsidR="00AA2469" w:rsidRDefault="00AA2469" w:rsidP="00AA2469">
      <w:pPr>
        <w:pStyle w:val="Heading6"/>
      </w:pPr>
      <w:r w:rsidRPr="00C70779">
        <w:t>Benefit-risk balance</w:t>
      </w:r>
    </w:p>
    <w:p w14:paraId="26371C74" w14:textId="6B790177" w:rsidR="00AA2469" w:rsidRPr="00C70779" w:rsidRDefault="00AA2469" w:rsidP="00AA2469">
      <w:r w:rsidRPr="00C70779">
        <w:t>The decision about whether to undertake adjuvant treatment with nivolumab (infusions every 2 weeks for 12 months) is a decision for each individual patient in consultation with their medical oncologist. Adjuvant treatment is secondary prevention. Some patients, who decide to have adjuvant treatment</w:t>
      </w:r>
      <w:r>
        <w:t xml:space="preserve"> </w:t>
      </w:r>
      <w:r w:rsidRPr="00C70779">
        <w:t xml:space="preserve">(perhaps one-third, depending on the subgroup of </w:t>
      </w:r>
      <w:r w:rsidR="00261A6B">
        <w:t>S</w:t>
      </w:r>
      <w:r w:rsidRPr="00C70779">
        <w:t>tage</w:t>
      </w:r>
      <w:r w:rsidR="00261A6B">
        <w:t xml:space="preserve"> </w:t>
      </w:r>
      <w:r w:rsidRPr="00C70779">
        <w:t>III disease), would never have had a recurrence (without adjuvant treatment) by 5</w:t>
      </w:r>
      <w:r w:rsidR="00E1394B">
        <w:t> </w:t>
      </w:r>
      <w:r w:rsidRPr="00C70779">
        <w:t xml:space="preserve">years; and so will be exposed to the </w:t>
      </w:r>
      <w:r>
        <w:t xml:space="preserve">possible </w:t>
      </w:r>
      <w:r w:rsidRPr="00C70779">
        <w:t>toxic effects of nivolumab without benefit.</w:t>
      </w:r>
    </w:p>
    <w:p w14:paraId="2B4B58C5" w14:textId="1C3A35AD" w:rsidR="00AA2469" w:rsidRPr="00C70779" w:rsidRDefault="00AA2469" w:rsidP="00AA2469">
      <w:r w:rsidRPr="00C70779">
        <w:t>Nivolumab will be prescribed by medical oncologists, who are well versed in the benefit</w:t>
      </w:r>
      <w:r w:rsidR="00E1394B">
        <w:noBreakHyphen/>
      </w:r>
      <w:r w:rsidRPr="00C70779">
        <w:t xml:space="preserve">risk trade-offs involved in the adjuvant treatment of any cancer and will be able to </w:t>
      </w:r>
      <w:r w:rsidRPr="00C70779">
        <w:lastRenderedPageBreak/>
        <w:t>assist patients with decisions about whether to embark on adjuvant nivolumab treatment of their (completely resected) melanoma.</w:t>
      </w:r>
    </w:p>
    <w:p w14:paraId="0499541D" w14:textId="77777777" w:rsidR="00AA2469" w:rsidRDefault="00AA2469" w:rsidP="00AA2469">
      <w:r w:rsidRPr="00C70779">
        <w:t>Patients, who decide to have adjuvant treatment, would need to be aware of the symptoms of the various immune</w:t>
      </w:r>
      <w:r w:rsidR="00261A6B">
        <w:t xml:space="preserve"> </w:t>
      </w:r>
      <w:r w:rsidRPr="00C70779">
        <w:t>related to</w:t>
      </w:r>
      <w:r>
        <w:t xml:space="preserve">xicities so that they can seek </w:t>
      </w:r>
      <w:r w:rsidRPr="00C70779">
        <w:t>immediate treatment.</w:t>
      </w:r>
    </w:p>
    <w:p w14:paraId="093C8826" w14:textId="77777777" w:rsidR="00D23139" w:rsidRDefault="00D23139" w:rsidP="00D23139">
      <w:pPr>
        <w:pStyle w:val="Heading4"/>
      </w:pPr>
      <w:r w:rsidRPr="00D23139">
        <w:t>Request for ACPM advice</w:t>
      </w:r>
    </w:p>
    <w:p w14:paraId="723FC257" w14:textId="77777777" w:rsidR="00456765" w:rsidRPr="00456765" w:rsidRDefault="00AA2469" w:rsidP="00456765">
      <w:r>
        <w:t xml:space="preserve">This application was not referred to the Advisory Committee on Medicines for advice. </w:t>
      </w:r>
    </w:p>
    <w:p w14:paraId="130F67B6" w14:textId="77777777" w:rsidR="00D23139" w:rsidRPr="0065007F" w:rsidRDefault="009C2211" w:rsidP="00D23139">
      <w:pPr>
        <w:pStyle w:val="Heading4"/>
      </w:pPr>
      <w:r w:rsidRPr="0065007F">
        <w:t>Response from s</w:t>
      </w:r>
      <w:r w:rsidR="00456765" w:rsidRPr="0065007F">
        <w:t>ponsor</w:t>
      </w:r>
    </w:p>
    <w:p w14:paraId="510A7E5E" w14:textId="03A62F03" w:rsidR="002E166D" w:rsidRPr="0065007F" w:rsidRDefault="005354BD" w:rsidP="005354BD">
      <w:pPr>
        <w:pStyle w:val="Heading5"/>
      </w:pPr>
      <w:r w:rsidRPr="0065007F">
        <w:t xml:space="preserve">Responses to questions raised by the </w:t>
      </w:r>
      <w:r w:rsidR="00DA36BF" w:rsidRPr="0065007F">
        <w:t xml:space="preserve">Delegate </w:t>
      </w:r>
      <w:r w:rsidRPr="0065007F">
        <w:t>of the 2 April</w:t>
      </w:r>
      <w:r w:rsidR="002E166D" w:rsidRPr="0065007F">
        <w:rPr>
          <w:spacing w:val="-2"/>
        </w:rPr>
        <w:t xml:space="preserve"> </w:t>
      </w:r>
      <w:r w:rsidR="002E166D" w:rsidRPr="0065007F">
        <w:t>2018</w:t>
      </w:r>
    </w:p>
    <w:p w14:paraId="740D35F5" w14:textId="39DBE720" w:rsidR="00CC241E" w:rsidRPr="0065007F" w:rsidRDefault="00CC241E" w:rsidP="0065007F">
      <w:r w:rsidRPr="0065007F">
        <w:t>[</w:t>
      </w:r>
      <w:proofErr w:type="gramStart"/>
      <w:r w:rsidRPr="0065007F">
        <w:t>information</w:t>
      </w:r>
      <w:proofErr w:type="gramEnd"/>
      <w:r w:rsidRPr="0065007F">
        <w:t xml:space="preserve"> redacted]</w:t>
      </w:r>
    </w:p>
    <w:p w14:paraId="0DECE2B6" w14:textId="77777777" w:rsidR="002E166D" w:rsidRPr="0065007F" w:rsidRDefault="002E166D" w:rsidP="005354BD">
      <w:r w:rsidRPr="0065007F">
        <w:t xml:space="preserve">The FDA approved indication for the use of nivolumab as an adjuvant therapy in patients with melanoma based on the results from </w:t>
      </w:r>
      <w:r w:rsidR="00934B0C" w:rsidRPr="0065007F">
        <w:t>Study CA2</w:t>
      </w:r>
      <w:r w:rsidRPr="0065007F">
        <w:t>09238 is as follows:</w:t>
      </w:r>
    </w:p>
    <w:p w14:paraId="53C21EAE" w14:textId="77777777" w:rsidR="002E166D" w:rsidRPr="0065007F" w:rsidRDefault="009B53C8" w:rsidP="00AA07EB">
      <w:pPr>
        <w:ind w:left="720"/>
        <w:rPr>
          <w:i/>
        </w:rPr>
      </w:pPr>
      <w:r w:rsidRPr="0065007F">
        <w:rPr>
          <w:i/>
        </w:rPr>
        <w:t>Opdivo</w:t>
      </w:r>
      <w:r w:rsidR="002E166D" w:rsidRPr="0065007F">
        <w:rPr>
          <w:i/>
        </w:rPr>
        <w:t xml:space="preserve"> is indicated for the adjuvant treatment of patients with melanoma with involvement of lymph nodes or metastatic disease </w:t>
      </w:r>
      <w:proofErr w:type="gramStart"/>
      <w:r w:rsidR="002E166D" w:rsidRPr="0065007F">
        <w:rPr>
          <w:i/>
        </w:rPr>
        <w:t>who</w:t>
      </w:r>
      <w:proofErr w:type="gramEnd"/>
      <w:r w:rsidR="002E166D" w:rsidRPr="0065007F">
        <w:rPr>
          <w:i/>
        </w:rPr>
        <w:t xml:space="preserve"> have undergone complete resection.</w:t>
      </w:r>
    </w:p>
    <w:p w14:paraId="591FECC0" w14:textId="77777777" w:rsidR="002E166D" w:rsidRPr="0065007F" w:rsidRDefault="005354BD" w:rsidP="00AA07EB">
      <w:r w:rsidRPr="0065007F">
        <w:t>The sponsor</w:t>
      </w:r>
      <w:r w:rsidR="002E166D" w:rsidRPr="0065007F">
        <w:t xml:space="preserve"> considers that the definition of patients with completely resected Grade 3 or Grade 4 melanoma is identical to patients </w:t>
      </w:r>
      <w:r w:rsidR="009B53C8" w:rsidRPr="0065007F">
        <w:t>‘</w:t>
      </w:r>
      <w:r w:rsidR="002E166D" w:rsidRPr="0065007F">
        <w:rPr>
          <w:i/>
        </w:rPr>
        <w:t>with melanoma with involvement of lymph nodes or metastatic disease who have undergone complete resection</w:t>
      </w:r>
      <w:r w:rsidR="009B53C8" w:rsidRPr="0065007F">
        <w:rPr>
          <w:i/>
        </w:rPr>
        <w:t>’</w:t>
      </w:r>
      <w:r w:rsidR="002E166D" w:rsidRPr="0065007F">
        <w:t>.</w:t>
      </w:r>
    </w:p>
    <w:p w14:paraId="38CA5F09" w14:textId="77777777" w:rsidR="002E166D" w:rsidRPr="0065007F" w:rsidRDefault="002E166D" w:rsidP="00AA07EB">
      <w:r w:rsidRPr="0065007F">
        <w:t xml:space="preserve">In view of this, </w:t>
      </w:r>
      <w:r w:rsidR="005354BD" w:rsidRPr="0065007F">
        <w:t>the sponsor</w:t>
      </w:r>
      <w:r w:rsidRPr="0065007F">
        <w:t xml:space="preserve"> would be open to discussing the wording of the indication with the TGA when the PI is being finalised.</w:t>
      </w:r>
    </w:p>
    <w:p w14:paraId="46ACBB94" w14:textId="77777777" w:rsidR="008E7846" w:rsidRDefault="008E7846" w:rsidP="008E7846">
      <w:pPr>
        <w:pStyle w:val="Heading4"/>
      </w:pPr>
      <w:r w:rsidRPr="0065007F">
        <w:t>Advisory Committee Considerations</w:t>
      </w:r>
    </w:p>
    <w:p w14:paraId="6BA4F867" w14:textId="77777777" w:rsidR="00AA07EB" w:rsidRPr="00456765" w:rsidRDefault="00AA2469" w:rsidP="00AA2469">
      <w:r>
        <w:t xml:space="preserve">This application was not referred to the </w:t>
      </w:r>
      <w:r w:rsidR="005354BD">
        <w:t>TGA</w:t>
      </w:r>
      <w:r w:rsidR="006733FF">
        <w:t>’</w:t>
      </w:r>
      <w:r w:rsidR="005354BD">
        <w:t xml:space="preserve">s </w:t>
      </w:r>
      <w:r>
        <w:t>Advisory Com</w:t>
      </w:r>
      <w:r w:rsidR="00AA07EB">
        <w:t>mittee on Medicines for advice.</w:t>
      </w:r>
    </w:p>
    <w:p w14:paraId="32DA66E1" w14:textId="77777777" w:rsidR="008E7846" w:rsidRDefault="008E7846" w:rsidP="008E7846">
      <w:pPr>
        <w:pStyle w:val="Heading3"/>
      </w:pPr>
      <w:bookmarkStart w:id="100" w:name="_Toc247691532"/>
      <w:bookmarkStart w:id="101" w:name="_Toc314842516"/>
      <w:bookmarkStart w:id="102" w:name="_Toc522802916"/>
      <w:bookmarkEnd w:id="72"/>
      <w:bookmarkEnd w:id="97"/>
      <w:bookmarkEnd w:id="98"/>
      <w:r>
        <w:t>Outcome</w:t>
      </w:r>
      <w:bookmarkEnd w:id="100"/>
      <w:bookmarkEnd w:id="101"/>
      <w:bookmarkEnd w:id="102"/>
    </w:p>
    <w:p w14:paraId="7FA98918" w14:textId="658AADEB" w:rsidR="00D23139" w:rsidRPr="00D23139" w:rsidRDefault="00D23139" w:rsidP="00393AA5">
      <w:bookmarkStart w:id="103" w:name="_Toc247691533"/>
      <w:bookmarkStart w:id="104" w:name="_Toc314842517"/>
      <w:r w:rsidRPr="00D23139">
        <w:t xml:space="preserve">Based on a review of quality, safety and efficacy, TGA approved the registration of </w:t>
      </w:r>
      <w:r w:rsidR="00393AA5">
        <w:t xml:space="preserve">approve the registration of AUST R 231867 </w:t>
      </w:r>
      <w:r w:rsidR="009B53C8">
        <w:t>Opdivo</w:t>
      </w:r>
      <w:r w:rsidR="00393AA5">
        <w:t xml:space="preserve"> nivolumab 40 mg in 4 mL (10 mg/mL) concentrated solution for IV infusion vial AUST R 231868 </w:t>
      </w:r>
      <w:r w:rsidR="009B53C8">
        <w:t>Opdivo</w:t>
      </w:r>
      <w:r w:rsidR="00393AA5">
        <w:t xml:space="preserve"> nivolumab 100 mg in 10</w:t>
      </w:r>
      <w:r w:rsidR="00BD122A">
        <w:t> </w:t>
      </w:r>
      <w:r w:rsidR="00393AA5">
        <w:t>mL (10 mg/mL) concentrated solution for IV infusion vial</w:t>
      </w:r>
      <w:r w:rsidRPr="00D23139">
        <w:t>, indicated for:</w:t>
      </w:r>
    </w:p>
    <w:p w14:paraId="25FD693D" w14:textId="77777777" w:rsidR="00D23139" w:rsidRPr="00393AA5" w:rsidRDefault="009B53C8" w:rsidP="00393AA5">
      <w:pPr>
        <w:ind w:left="720"/>
        <w:rPr>
          <w:i/>
        </w:rPr>
      </w:pPr>
      <w:r>
        <w:rPr>
          <w:i/>
        </w:rPr>
        <w:t>Opdivo</w:t>
      </w:r>
      <w:r w:rsidR="00393AA5" w:rsidRPr="00393AA5">
        <w:rPr>
          <w:i/>
        </w:rPr>
        <w:t xml:space="preserve"> as monotherapy is indicated for the adjuvant treatment of patients with melanoma with involvement of lymph nodes or metastatic disease </w:t>
      </w:r>
      <w:proofErr w:type="gramStart"/>
      <w:r w:rsidR="00393AA5" w:rsidRPr="00393AA5">
        <w:rPr>
          <w:i/>
        </w:rPr>
        <w:t>who</w:t>
      </w:r>
      <w:proofErr w:type="gramEnd"/>
      <w:r w:rsidR="00393AA5" w:rsidRPr="00393AA5">
        <w:rPr>
          <w:i/>
        </w:rPr>
        <w:t xml:space="preserve"> have undergone complete resection</w:t>
      </w:r>
      <w:r w:rsidR="006733FF">
        <w:rPr>
          <w:i/>
        </w:rPr>
        <w:t>.</w:t>
      </w:r>
    </w:p>
    <w:p w14:paraId="05BB0508" w14:textId="77777777" w:rsidR="00D23139" w:rsidRDefault="00D23139" w:rsidP="00D23139">
      <w:pPr>
        <w:pStyle w:val="Heading4"/>
      </w:pPr>
      <w:r w:rsidRPr="00D23139">
        <w:t>Specific conditions of registration applying to these goods</w:t>
      </w:r>
    </w:p>
    <w:p w14:paraId="72BCBC66" w14:textId="77777777" w:rsidR="00BA6AD6" w:rsidRDefault="00BA6AD6" w:rsidP="00E26986">
      <w:pPr>
        <w:pStyle w:val="Numberbullet0"/>
        <w:numPr>
          <w:ilvl w:val="0"/>
          <w:numId w:val="41"/>
        </w:numPr>
      </w:pPr>
      <w:r>
        <w:t xml:space="preserve">Submit the final clinical report at the time of the final analysis for overall survival (OS) of Trial CA209238, entitled </w:t>
      </w:r>
      <w:r w:rsidR="009B53C8">
        <w:t>‘</w:t>
      </w:r>
      <w:r>
        <w:t xml:space="preserve">A </w:t>
      </w:r>
      <w:r w:rsidR="001C5E9A">
        <w:t>Phase III</w:t>
      </w:r>
      <w:r>
        <w:t>, Randomized, Double-blind Study of Adjuvant Immunotherapy with Nivolumab versus Ipilimumab after Complete Resection of Stage IIIB/C or Stage IV Melanoma in Subjects who are at High Risk for Recurrence (CheckMate 238).</w:t>
      </w:r>
      <w:r w:rsidR="009B53C8">
        <w:t>’</w:t>
      </w:r>
    </w:p>
    <w:p w14:paraId="4D94939C" w14:textId="77777777" w:rsidR="00393AA5" w:rsidRPr="00393AA5" w:rsidRDefault="00BA6AD6" w:rsidP="00BA6AD6">
      <w:pPr>
        <w:pStyle w:val="Numberbullet0"/>
      </w:pPr>
      <w:r>
        <w:t xml:space="preserve">The </w:t>
      </w:r>
      <w:r w:rsidR="009B53C8">
        <w:t>Opdivo</w:t>
      </w:r>
      <w:r>
        <w:t xml:space="preserve"> EU-Risk Management Plan (RMP) (version 12.0, 20 September 2017; DLP 3 July 2017), with Australian Specific Annex (version 10.0, dated 2 October 2017), included with submission PM-2017-03752-1-4, and any subsequent revisions, as agreed with the TGA will be implemented in Australia.</w:t>
      </w:r>
    </w:p>
    <w:p w14:paraId="57EF9991" w14:textId="77777777" w:rsidR="008E7846" w:rsidRDefault="00A80B5B" w:rsidP="00D23139">
      <w:pPr>
        <w:pStyle w:val="Heading2"/>
      </w:pPr>
      <w:bookmarkStart w:id="105" w:name="_Toc522802917"/>
      <w:proofErr w:type="gramStart"/>
      <w:r>
        <w:lastRenderedPageBreak/>
        <w:t>Attachment 1.</w:t>
      </w:r>
      <w:proofErr w:type="gramEnd"/>
      <w:r>
        <w:t xml:space="preserve"> </w:t>
      </w:r>
      <w:r w:rsidR="008E7846">
        <w:t xml:space="preserve">Product </w:t>
      </w:r>
      <w:r w:rsidR="00AA0ED0">
        <w:t>I</w:t>
      </w:r>
      <w:r w:rsidR="008E7846">
        <w:t>nformation</w:t>
      </w:r>
      <w:bookmarkEnd w:id="103"/>
      <w:bookmarkEnd w:id="104"/>
      <w:bookmarkEnd w:id="105"/>
    </w:p>
    <w:p w14:paraId="1DE33DF9" w14:textId="77777777" w:rsidR="00C80137" w:rsidRDefault="006136D7" w:rsidP="00C80137">
      <w:pPr>
        <w:rPr>
          <w:color w:val="000000"/>
          <w:lang w:eastAsia="en-AU"/>
        </w:rPr>
      </w:pPr>
      <w:r w:rsidRPr="002B3624">
        <w:t xml:space="preserve">The </w:t>
      </w:r>
      <w:r>
        <w:t>PI</w:t>
      </w:r>
      <w:r w:rsidRPr="002B3624">
        <w:t xml:space="preserve"> for </w:t>
      </w:r>
      <w:r w:rsidR="00393AA5">
        <w:t>Opdivo</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17" w:history="1">
        <w:r w:rsidR="007C6B9B" w:rsidRPr="007C6B9B">
          <w:rPr>
            <w:rStyle w:val="Hyperlink"/>
          </w:rPr>
          <w:t>https://www.tga.gov.au/product-information-pi</w:t>
        </w:r>
      </w:hyperlink>
      <w:r w:rsidR="007C6B9B" w:rsidRPr="007C6B9B">
        <w:t xml:space="preserve">&gt;. </w:t>
      </w:r>
    </w:p>
    <w:p w14:paraId="31CD3B52" w14:textId="77777777" w:rsidR="00291957" w:rsidRDefault="00C80137" w:rsidP="009B53C8">
      <w:pPr>
        <w:pStyle w:val="Heading2"/>
        <w:rPr>
          <w:lang w:eastAsia="ja-JP"/>
        </w:rPr>
      </w:pPr>
      <w:bookmarkStart w:id="106" w:name="_Toc522802918"/>
      <w:proofErr w:type="gramStart"/>
      <w:r>
        <w:rPr>
          <w:lang w:eastAsia="en-AU"/>
        </w:rPr>
        <w:t>Attachment 2.</w:t>
      </w:r>
      <w:proofErr w:type="gramEnd"/>
      <w:r w:rsidR="00A80B5B">
        <w:rPr>
          <w:lang w:eastAsia="en-AU"/>
        </w:rPr>
        <w:t xml:space="preserve"> </w:t>
      </w:r>
      <w:r>
        <w:rPr>
          <w:lang w:eastAsia="en-AU"/>
        </w:rPr>
        <w:t>Extract from the Clinical Evaluation Report</w:t>
      </w:r>
      <w:bookmarkEnd w:id="106"/>
      <w:r w:rsidR="008E7846" w:rsidRPr="00C80137">
        <w:rPr>
          <w:b w:val="0"/>
        </w:rPr>
        <w:br w:type="page"/>
      </w:r>
    </w:p>
    <w:p w14:paraId="296985AB" w14:textId="77777777" w:rsidR="00C80137" w:rsidRPr="001D043B" w:rsidRDefault="00C80137" w:rsidP="003A7F6C">
      <w:pPr>
        <w:pStyle w:val="TableTitle"/>
        <w:sectPr w:rsidR="00C80137" w:rsidRPr="001D043B" w:rsidSect="00B452CE">
          <w:headerReference w:type="even" r:id="rId18"/>
          <w:headerReference w:type="default" r:id="rId19"/>
          <w:headerReference w:type="first" r:id="rId20"/>
          <w:footerReference w:type="first" r:id="rId21"/>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5082FB33" w14:textId="77777777" w:rsidTr="00A05FA4">
        <w:trPr>
          <w:trHeight w:hRule="exact" w:val="704"/>
        </w:trPr>
        <w:tc>
          <w:tcPr>
            <w:tcW w:w="9175" w:type="dxa"/>
          </w:tcPr>
          <w:p w14:paraId="5039B288" w14:textId="77777777" w:rsidR="001C32CD" w:rsidRPr="00487162" w:rsidRDefault="001C32CD" w:rsidP="00A05FA4">
            <w:pPr>
              <w:pStyle w:val="TGASignoff"/>
            </w:pPr>
            <w:r w:rsidRPr="00487162">
              <w:lastRenderedPageBreak/>
              <w:t>Therapeutic Goods Administration</w:t>
            </w:r>
          </w:p>
        </w:tc>
      </w:tr>
      <w:tr w:rsidR="001C32CD" w:rsidRPr="004C239D" w14:paraId="4AE44F3F" w14:textId="77777777" w:rsidTr="00A05FA4">
        <w:trPr>
          <w:trHeight w:val="1221"/>
        </w:trPr>
        <w:tc>
          <w:tcPr>
            <w:tcW w:w="9175" w:type="dxa"/>
            <w:tcMar>
              <w:top w:w="28" w:type="dxa"/>
            </w:tcMar>
          </w:tcPr>
          <w:p w14:paraId="4BEBADAA" w14:textId="77777777" w:rsidR="001C32CD" w:rsidRPr="00487162" w:rsidRDefault="001C32CD" w:rsidP="00A05FA4">
            <w:pPr>
              <w:pStyle w:val="Address"/>
            </w:pPr>
            <w:r w:rsidRPr="00487162">
              <w:t>PO Box 100 Woden ACT 2606 Australia</w:t>
            </w:r>
          </w:p>
          <w:p w14:paraId="2B72404E" w14:textId="77777777" w:rsidR="001C32CD" w:rsidRPr="00487162" w:rsidRDefault="001C32CD" w:rsidP="00A05FA4">
            <w:pPr>
              <w:pStyle w:val="Address"/>
            </w:pPr>
            <w:r w:rsidRPr="00487162">
              <w:t xml:space="preserve">Email: </w:t>
            </w:r>
            <w:hyperlink r:id="rId22" w:history="1">
              <w:r w:rsidRPr="004C239D">
                <w:rPr>
                  <w:rStyle w:val="Hyperlink"/>
                </w:rPr>
                <w:t>info@tga.gov.au</w:t>
              </w:r>
            </w:hyperlink>
            <w:r w:rsidRPr="00487162">
              <w:t xml:space="preserve">  Phone: 1800 020 653  Fax: 02 6232 8605</w:t>
            </w:r>
          </w:p>
          <w:p w14:paraId="5919B93D" w14:textId="77777777" w:rsidR="001C32CD" w:rsidRPr="004C239D" w:rsidRDefault="004B303A" w:rsidP="00A05FA4">
            <w:pPr>
              <w:pStyle w:val="Address"/>
              <w:spacing w:line="260" w:lineRule="atLeast"/>
              <w:rPr>
                <w:b/>
                <w:color w:val="0000FF"/>
                <w:u w:val="single"/>
              </w:rPr>
            </w:pPr>
            <w:hyperlink r:id="rId23" w:history="1">
              <w:r w:rsidR="007C6B9B" w:rsidRPr="007C6B9B">
                <w:rPr>
                  <w:rStyle w:val="Hyperlink"/>
                  <w:b/>
                </w:rPr>
                <w:t>https://www.tga.gov.au</w:t>
              </w:r>
            </w:hyperlink>
          </w:p>
        </w:tc>
      </w:tr>
    </w:tbl>
    <w:p w14:paraId="33C107EB" w14:textId="77777777" w:rsidR="00774E1D" w:rsidRPr="008A5E0B" w:rsidRDefault="00774E1D" w:rsidP="004C239D"/>
    <w:sectPr w:rsidR="00774E1D" w:rsidRPr="008A5E0B" w:rsidSect="001C32CD">
      <w:headerReference w:type="even" r:id="rId24"/>
      <w:headerReference w:type="default" r:id="rId25"/>
      <w:footerReference w:type="default" r:id="rId26"/>
      <w:headerReference w:type="first" r:id="rId27"/>
      <w:footerReference w:type="first" r:id="rId28"/>
      <w:pgSz w:w="11906" w:h="16838" w:code="9"/>
      <w:pgMar w:top="13467" w:right="1701" w:bottom="426" w:left="1701" w:header="907" w:footer="0"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1E213C" w15:done="0"/>
  <w15:commentEx w15:paraId="61AA0DF5" w15:done="0"/>
  <w15:commentEx w15:paraId="28542F0A" w15:done="0"/>
  <w15:commentEx w15:paraId="39F28426" w15:done="0"/>
  <w15:commentEx w15:paraId="70D559F1" w15:done="0"/>
  <w15:commentEx w15:paraId="7635318C" w15:done="0"/>
  <w15:commentEx w15:paraId="0E0B221B" w15:done="0"/>
  <w15:commentEx w15:paraId="5E80D79C" w15:done="0"/>
  <w15:commentEx w15:paraId="65F661F7" w15:done="0"/>
  <w15:commentEx w15:paraId="78A6CA89" w15:done="0"/>
  <w15:commentEx w15:paraId="68AAED6A" w15:done="0"/>
  <w15:commentEx w15:paraId="5212D7A0" w15:done="0"/>
  <w15:commentEx w15:paraId="1C80AB88" w15:done="0"/>
  <w15:commentEx w15:paraId="22A5FAEB" w15:done="0"/>
  <w15:commentEx w15:paraId="4B466938" w15:done="0"/>
  <w15:commentEx w15:paraId="73419CE2" w15:done="0"/>
  <w15:commentEx w15:paraId="3A85F237" w15:done="0"/>
  <w15:commentEx w15:paraId="3A3CEE74" w15:done="0"/>
  <w15:commentEx w15:paraId="4D71D4B0" w15:done="0"/>
  <w15:commentEx w15:paraId="48F33A29" w15:done="0"/>
  <w15:commentEx w15:paraId="246619E5" w15:done="0"/>
  <w15:commentEx w15:paraId="363D11DC" w15:done="0"/>
  <w15:commentEx w15:paraId="0896282A" w15:done="0"/>
  <w15:commentEx w15:paraId="12F3C50B" w15:done="0"/>
  <w15:commentEx w15:paraId="31A42CF6" w15:done="0"/>
  <w15:commentEx w15:paraId="05C3F9E9" w15:done="0"/>
  <w15:commentEx w15:paraId="63B013D0" w15:done="0"/>
  <w15:commentEx w15:paraId="14F80AFA" w15:done="0"/>
  <w15:commentEx w15:paraId="1BC3DE4E" w15:done="0"/>
  <w15:commentEx w15:paraId="5C63615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2D5ED" w14:textId="77777777" w:rsidR="004B303A" w:rsidRDefault="004B303A" w:rsidP="00C40A36">
      <w:pPr>
        <w:spacing w:after="0"/>
      </w:pPr>
      <w:r>
        <w:separator/>
      </w:r>
    </w:p>
  </w:endnote>
  <w:endnote w:type="continuationSeparator" w:id="0">
    <w:p w14:paraId="66CDB935" w14:textId="77777777" w:rsidR="004B303A" w:rsidRDefault="004B303A"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4B303A" w:rsidRPr="00487162" w14:paraId="1AECD8BA" w14:textId="77777777" w:rsidTr="00DB750B">
      <w:trPr>
        <w:trHeight w:val="269"/>
      </w:trPr>
      <w:tc>
        <w:tcPr>
          <w:tcW w:w="7371" w:type="dxa"/>
          <w:tcMar>
            <w:top w:w="142" w:type="dxa"/>
            <w:bottom w:w="0" w:type="dxa"/>
          </w:tcMar>
        </w:tcPr>
        <w:p w14:paraId="71394FF9" w14:textId="2F5F98E1" w:rsidR="004B303A" w:rsidRPr="00487162" w:rsidRDefault="004B303A" w:rsidP="0065007F">
          <w:pPr>
            <w:pStyle w:val="Footer"/>
          </w:pPr>
          <w:r w:rsidRPr="00487162">
            <w:t>AusPA</w:t>
          </w:r>
          <w:r>
            <w:t>R Opdivo Nivolumab BMS Australia PM-2017</w:t>
          </w:r>
          <w:r w:rsidRPr="00487162">
            <w:t>-</w:t>
          </w:r>
          <w:r>
            <w:t>03752-1-4</w:t>
          </w:r>
          <w:r>
            <w:br/>
            <w:t>Final 6 August 2018</w:t>
          </w:r>
        </w:p>
      </w:tc>
      <w:tc>
        <w:tcPr>
          <w:tcW w:w="1490" w:type="dxa"/>
          <w:tcMar>
            <w:top w:w="142" w:type="dxa"/>
            <w:bottom w:w="0" w:type="dxa"/>
          </w:tcMar>
        </w:tcPr>
        <w:p w14:paraId="3EBE05AF" w14:textId="7B7F1EB5" w:rsidR="004B303A" w:rsidRPr="00487162" w:rsidRDefault="004B303A" w:rsidP="00DB750B">
          <w:pPr>
            <w:pStyle w:val="Footer"/>
            <w:jc w:val="right"/>
          </w:pPr>
          <w:r w:rsidRPr="00487162">
            <w:t xml:space="preserve">Page </w:t>
          </w:r>
          <w:r>
            <w:fldChar w:fldCharType="begin"/>
          </w:r>
          <w:r>
            <w:instrText xml:space="preserve"> PAGE  \* Arabic </w:instrText>
          </w:r>
          <w:r>
            <w:fldChar w:fldCharType="separate"/>
          </w:r>
          <w:r w:rsidR="00D1157D">
            <w:rPr>
              <w:noProof/>
            </w:rPr>
            <w:t>2</w:t>
          </w:r>
          <w:r>
            <w:fldChar w:fldCharType="end"/>
          </w:r>
          <w:r w:rsidRPr="00487162">
            <w:t xml:space="preserve"> of </w:t>
          </w:r>
          <w:fldSimple w:instr=" NUMPAGES  \* Arabic ">
            <w:r w:rsidR="00D1157D">
              <w:rPr>
                <w:noProof/>
              </w:rPr>
              <w:t>32</w:t>
            </w:r>
          </w:fldSimple>
        </w:p>
      </w:tc>
    </w:tr>
  </w:tbl>
  <w:p w14:paraId="0B431C5C" w14:textId="77777777" w:rsidR="004B303A" w:rsidRDefault="004B303A"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4B303A" w:rsidRPr="00487162" w14:paraId="448F0F39" w14:textId="77777777" w:rsidTr="00E45619">
      <w:trPr>
        <w:trHeight w:val="269"/>
      </w:trPr>
      <w:tc>
        <w:tcPr>
          <w:tcW w:w="4519" w:type="dxa"/>
          <w:tcBorders>
            <w:top w:val="single" w:sz="4" w:space="0" w:color="auto"/>
          </w:tcBorders>
          <w:tcMar>
            <w:top w:w="142" w:type="dxa"/>
            <w:bottom w:w="0" w:type="dxa"/>
          </w:tcMar>
        </w:tcPr>
        <w:p w14:paraId="2B92B060" w14:textId="77777777" w:rsidR="004B303A" w:rsidRPr="00487162" w:rsidRDefault="004B303A" w:rsidP="00FE1DEE">
          <w:pPr>
            <w:pStyle w:val="Footer"/>
          </w:pPr>
          <w:r w:rsidRPr="00487162">
            <w:t>Document title, Part #, Section # - Section title</w:t>
          </w:r>
        </w:p>
        <w:p w14:paraId="35852359" w14:textId="77777777" w:rsidR="004B303A" w:rsidRPr="00487162" w:rsidRDefault="004B303A" w:rsidP="00FE1DEE">
          <w:pPr>
            <w:pStyle w:val="Footer"/>
          </w:pPr>
          <w:r w:rsidRPr="00487162">
            <w:t>V1.0 October 2010</w:t>
          </w:r>
        </w:p>
      </w:tc>
      <w:tc>
        <w:tcPr>
          <w:tcW w:w="4342" w:type="dxa"/>
          <w:tcBorders>
            <w:top w:val="single" w:sz="4" w:space="0" w:color="auto"/>
          </w:tcBorders>
          <w:tcMar>
            <w:top w:w="142" w:type="dxa"/>
            <w:bottom w:w="0" w:type="dxa"/>
          </w:tcMar>
        </w:tcPr>
        <w:p w14:paraId="4FA9EA51" w14:textId="77777777" w:rsidR="004B303A" w:rsidRPr="00487162" w:rsidRDefault="004B303A"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1</w:t>
            </w:r>
          </w:fldSimple>
        </w:p>
      </w:tc>
    </w:tr>
  </w:tbl>
  <w:p w14:paraId="3F47E9D4" w14:textId="77777777" w:rsidR="004B303A" w:rsidRDefault="004B30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BFA9C" w14:textId="77777777" w:rsidR="004B303A" w:rsidRPr="001C32CD" w:rsidRDefault="004B303A"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4B303A" w14:paraId="31D63D9C" w14:textId="77777777" w:rsidTr="0010601F">
      <w:trPr>
        <w:trHeight w:val="108"/>
      </w:trPr>
      <w:tc>
        <w:tcPr>
          <w:tcW w:w="8875" w:type="dxa"/>
          <w:gridSpan w:val="2"/>
          <w:tcBorders>
            <w:bottom w:val="single" w:sz="4" w:space="0" w:color="auto"/>
          </w:tcBorders>
          <w:tcMar>
            <w:right w:w="284" w:type="dxa"/>
          </w:tcMar>
        </w:tcPr>
        <w:p w14:paraId="153369C4" w14:textId="77777777" w:rsidR="004B303A" w:rsidRDefault="004B303A" w:rsidP="006E08B3">
          <w:pPr>
            <w:pStyle w:val="Heading3"/>
          </w:pPr>
          <w:r>
            <w:t>Copyright</w:t>
          </w:r>
        </w:p>
        <w:p w14:paraId="706D3C9F" w14:textId="77777777" w:rsidR="004B303A" w:rsidRDefault="004B303A" w:rsidP="006E08B3">
          <w:r>
            <w:rPr>
              <w:rFonts w:cs="Arial"/>
            </w:rPr>
            <w:t>©</w:t>
          </w:r>
          <w:r>
            <w:t xml:space="preserve"> Commonwealth of Australia [add year]</w:t>
          </w:r>
        </w:p>
        <w:p w14:paraId="29BB9759" w14:textId="77777777" w:rsidR="004B303A" w:rsidRDefault="004B303A" w:rsidP="006E08B3"/>
        <w:p w14:paraId="1CAA0747" w14:textId="77777777" w:rsidR="004B303A" w:rsidRDefault="004B303A"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41E5EF62" w14:textId="77777777" w:rsidR="004B303A" w:rsidRDefault="004B303A" w:rsidP="006E08B3"/>
        <w:p w14:paraId="2D1D4C1C" w14:textId="77777777" w:rsidR="004B303A" w:rsidRDefault="004B303A" w:rsidP="006E08B3">
          <w:pPr>
            <w:pStyle w:val="Heading3"/>
          </w:pPr>
          <w:r>
            <w:t>Confidentiality</w:t>
          </w:r>
        </w:p>
        <w:p w14:paraId="57FD88EA" w14:textId="77777777" w:rsidR="004B303A" w:rsidRDefault="004B303A"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347A626F" w14:textId="77777777" w:rsidR="004B303A" w:rsidRDefault="004B303A" w:rsidP="006E08B3"/>
        <w:p w14:paraId="561F059A" w14:textId="77777777" w:rsidR="004B303A" w:rsidRDefault="004B303A" w:rsidP="006E08B3">
          <w:r>
            <w:t>For submission made by individuals, all personal details, other than your name, will be removed from your submission before it is published on the TGA’s Internet site.</w:t>
          </w:r>
        </w:p>
        <w:p w14:paraId="7F26D782" w14:textId="77777777" w:rsidR="004B303A" w:rsidRDefault="004B303A" w:rsidP="006E08B3"/>
        <w:p w14:paraId="10268C04" w14:textId="77777777" w:rsidR="004B303A" w:rsidRDefault="004B303A" w:rsidP="006E08B3">
          <w:r>
            <w:t>In addition, a list of parties making submissions will be published. If you do not wish to be identified with your submission you must specifically request this in the space provided ib the submission coversheet.</w:t>
          </w:r>
        </w:p>
      </w:tc>
    </w:tr>
    <w:tr w:rsidR="004B303A" w14:paraId="04CBC3DA" w14:textId="77777777" w:rsidTr="0010601F">
      <w:trPr>
        <w:trHeight w:val="417"/>
      </w:trPr>
      <w:tc>
        <w:tcPr>
          <w:tcW w:w="4519" w:type="dxa"/>
          <w:tcBorders>
            <w:top w:val="single" w:sz="4" w:space="0" w:color="auto"/>
          </w:tcBorders>
          <w:tcMar>
            <w:top w:w="142" w:type="dxa"/>
            <w:bottom w:w="0" w:type="dxa"/>
          </w:tcMar>
        </w:tcPr>
        <w:p w14:paraId="03066071" w14:textId="77777777" w:rsidR="004B303A" w:rsidRDefault="004B303A" w:rsidP="006E08B3">
          <w:r>
            <w:t>Document title, Part #, Section # - Section title</w:t>
          </w:r>
        </w:p>
        <w:p w14:paraId="26AE8F91" w14:textId="77777777" w:rsidR="004B303A" w:rsidRDefault="004B303A" w:rsidP="006E08B3">
          <w:r>
            <w:t>V1.0 October 2010</w:t>
          </w:r>
        </w:p>
      </w:tc>
      <w:tc>
        <w:tcPr>
          <w:tcW w:w="4356" w:type="dxa"/>
          <w:tcBorders>
            <w:top w:val="single" w:sz="4" w:space="0" w:color="auto"/>
          </w:tcBorders>
          <w:tcMar>
            <w:top w:w="142" w:type="dxa"/>
            <w:bottom w:w="0" w:type="dxa"/>
          </w:tcMar>
        </w:tcPr>
        <w:p w14:paraId="11C67038" w14:textId="77777777" w:rsidR="004B303A" w:rsidRDefault="004B303A"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1</w:t>
            </w:r>
          </w:fldSimple>
          <w:r>
            <w:t xml:space="preserve">  </w:t>
          </w:r>
        </w:p>
      </w:tc>
    </w:tr>
  </w:tbl>
  <w:p w14:paraId="18253BD1" w14:textId="77777777" w:rsidR="004B303A" w:rsidRDefault="004B30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20594" w14:textId="77777777" w:rsidR="004B303A" w:rsidRDefault="004B303A" w:rsidP="00C40A36">
      <w:pPr>
        <w:spacing w:after="0"/>
      </w:pPr>
      <w:r>
        <w:separator/>
      </w:r>
    </w:p>
  </w:footnote>
  <w:footnote w:type="continuationSeparator" w:id="0">
    <w:p w14:paraId="4805FF53" w14:textId="77777777" w:rsidR="004B303A" w:rsidRDefault="004B303A" w:rsidP="00C40A36">
      <w:pPr>
        <w:spacing w:after="0"/>
      </w:pPr>
      <w:r>
        <w:continuationSeparator/>
      </w:r>
    </w:p>
  </w:footnote>
  <w:footnote w:id="1">
    <w:p w14:paraId="55E4C1BB" w14:textId="4E3190BA" w:rsidR="004B303A" w:rsidRPr="00CA702F" w:rsidRDefault="004B303A">
      <w:pPr>
        <w:pStyle w:val="FootnoteText"/>
        <w:rPr>
          <w:lang w:val="en-GB"/>
        </w:rPr>
      </w:pPr>
      <w:r>
        <w:rPr>
          <w:rStyle w:val="FootnoteReference"/>
        </w:rPr>
        <w:footnoteRef/>
      </w:r>
      <w:r>
        <w:t xml:space="preserve"> </w:t>
      </w:r>
      <w:r>
        <w:rPr>
          <w:lang w:val="en-GB"/>
        </w:rPr>
        <w:t>The US FDA application letter and full US FDA label is available from the accessdata.fda.gov website.</w:t>
      </w:r>
    </w:p>
  </w:footnote>
  <w:footnote w:id="2">
    <w:p w14:paraId="442BAC9E" w14:textId="77777777" w:rsidR="004B303A" w:rsidRPr="00C44B3A" w:rsidRDefault="004B303A">
      <w:pPr>
        <w:pStyle w:val="FootnoteText"/>
        <w:rPr>
          <w:lang w:val="en-US"/>
        </w:rPr>
      </w:pPr>
      <w:r>
        <w:rPr>
          <w:rStyle w:val="FootnoteReference"/>
        </w:rPr>
        <w:footnoteRef/>
      </w:r>
      <w:r>
        <w:t xml:space="preserve"> </w:t>
      </w:r>
      <w:r w:rsidRPr="00C44B3A">
        <w:t>The EORTC QLQ-C30 is a questionnaire developed to assess the quality of life of cancer patients.</w:t>
      </w:r>
    </w:p>
  </w:footnote>
  <w:footnote w:id="3">
    <w:p w14:paraId="5A89EFC1" w14:textId="77777777" w:rsidR="004B303A" w:rsidRPr="00B23D05" w:rsidRDefault="004B303A">
      <w:pPr>
        <w:pStyle w:val="FootnoteText"/>
        <w:rPr>
          <w:lang w:val="en-US"/>
        </w:rPr>
      </w:pPr>
      <w:r>
        <w:rPr>
          <w:rStyle w:val="FootnoteReference"/>
        </w:rPr>
        <w:footnoteRef/>
      </w:r>
      <w:r>
        <w:t xml:space="preserve"> </w:t>
      </w:r>
      <w:r w:rsidRPr="00B23D05">
        <w:t xml:space="preserve">EQ-5D is a standardized instrument developed by the EuroQol Group as a measure of health-related quality of life that can be used in a wide range of health conditions and treatments. The EQ-5D consists of a descriptive system and the EQ </w:t>
      </w:r>
      <w:r w:rsidRPr="00AA0F85">
        <w:t xml:space="preserve">visual analogue scale </w:t>
      </w:r>
      <w:r>
        <w:t>(</w:t>
      </w:r>
      <w:r w:rsidRPr="00B23D05">
        <w:t>VAS</w:t>
      </w:r>
      <w:r>
        <w:t>)</w:t>
      </w:r>
      <w:r w:rsidRPr="00B23D05">
        <w:t>.</w:t>
      </w:r>
    </w:p>
  </w:footnote>
  <w:footnote w:id="4">
    <w:p w14:paraId="78BFAE74" w14:textId="77777777" w:rsidR="004B303A" w:rsidRPr="00F453DA" w:rsidRDefault="004B303A">
      <w:pPr>
        <w:pStyle w:val="FootnoteText"/>
        <w:rPr>
          <w:lang w:val="en-US"/>
        </w:rPr>
      </w:pPr>
      <w:r>
        <w:rPr>
          <w:rStyle w:val="FootnoteReference"/>
        </w:rPr>
        <w:footnoteRef/>
      </w:r>
      <w:r>
        <w:t xml:space="preserve"> </w:t>
      </w:r>
      <w:r w:rsidRPr="00F453DA">
        <w:t>Romano E, Scordo M, Dusza SW, Coit DG, Chapman PB. Site and timing of first relapse in Stage III melanoma patients: implications for follow-up guidelines. J Clin Oncol 2010;28: 3042-7</w:t>
      </w:r>
    </w:p>
  </w:footnote>
  <w:footnote w:id="5">
    <w:p w14:paraId="6C949532" w14:textId="77777777" w:rsidR="004B303A" w:rsidRPr="007942B2" w:rsidRDefault="004B303A" w:rsidP="007942B2">
      <w:pPr>
        <w:pStyle w:val="FootnoteText"/>
        <w:rPr>
          <w:szCs w:val="18"/>
          <w:lang w:val="en-US"/>
        </w:rPr>
      </w:pPr>
      <w:r w:rsidRPr="007942B2">
        <w:rPr>
          <w:rStyle w:val="FootnoteReference"/>
          <w:szCs w:val="18"/>
        </w:rPr>
        <w:footnoteRef/>
      </w:r>
      <w:r w:rsidRPr="007942B2">
        <w:rPr>
          <w:szCs w:val="18"/>
        </w:rPr>
        <w:t xml:space="preserve"> Kirkwood JM, Manola J, Ibrahim J, Sondak V, Ernstoff MS, Rao U. ‘A pooled analysis of eastern cooperative oncology group and intergroup trials of adjuvant high-dose interferon for melanoma.’ Clin Cancer Res 2004; 10(5):1670–1677</w:t>
      </w:r>
    </w:p>
  </w:footnote>
  <w:footnote w:id="6">
    <w:p w14:paraId="3B0E6F10" w14:textId="77777777" w:rsidR="004B303A" w:rsidRPr="007942B2" w:rsidRDefault="004B303A" w:rsidP="00953F03">
      <w:pPr>
        <w:pStyle w:val="Numberbullet0"/>
        <w:numPr>
          <w:ilvl w:val="0"/>
          <w:numId w:val="0"/>
        </w:numPr>
        <w:spacing w:before="0" w:after="0" w:line="240" w:lineRule="auto"/>
        <w:rPr>
          <w:lang w:eastAsia="ja-JP"/>
        </w:rPr>
      </w:pPr>
      <w:r w:rsidRPr="007942B2">
        <w:rPr>
          <w:rStyle w:val="FootnoteReference"/>
          <w:sz w:val="18"/>
          <w:szCs w:val="18"/>
        </w:rPr>
        <w:footnoteRef/>
      </w:r>
      <w:r w:rsidRPr="007942B2">
        <w:rPr>
          <w:sz w:val="18"/>
          <w:szCs w:val="18"/>
        </w:rPr>
        <w:t xml:space="preserve"> </w:t>
      </w:r>
      <w:r w:rsidRPr="007942B2">
        <w:rPr>
          <w:sz w:val="18"/>
          <w:szCs w:val="18"/>
          <w:lang w:eastAsia="ja-JP"/>
        </w:rPr>
        <w:t>Eggermont AM, Chiarion-Sileni V, Grob JJ, et al. Prolonged Survival in Stage III Melanoma with Ipilimumab Adjuvant Therapy. N Engl J Med 2016; 375:1845-55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2DF7A" w14:textId="77777777" w:rsidR="004B303A" w:rsidRDefault="004B303A"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DA20A" w14:textId="77777777" w:rsidR="004B303A" w:rsidRDefault="004B303A">
    <w:pPr>
      <w:rPr>
        <w:noProof/>
        <w:lang w:eastAsia="en-AU"/>
      </w:rPr>
    </w:pPr>
    <w:r w:rsidRPr="00347824">
      <w:rPr>
        <w:noProof/>
        <w:lang w:eastAsia="en-AU"/>
      </w:rPr>
      <w:drawing>
        <wp:anchor distT="0" distB="0" distL="114300" distR="114300" simplePos="0" relativeHeight="251659264" behindDoc="1" locked="0" layoutInCell="1" allowOverlap="1" wp14:anchorId="3C0B5896" wp14:editId="1A525088">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13DE31AD" w14:textId="77777777" w:rsidR="004B303A" w:rsidRDefault="004B303A" w:rsidP="00593AD1">
    <w:pPr>
      <w:pStyle w:val="HeaderNoLine"/>
    </w:pPr>
    <w:r>
      <w:rPr>
        <w:noProof/>
        <w:lang w:eastAsia="en-AU"/>
      </w:rPr>
      <w:drawing>
        <wp:inline distT="0" distB="0" distL="0" distR="0" wp14:anchorId="62E8234F" wp14:editId="7E9F667C">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85E80" w14:textId="77777777" w:rsidR="004B303A" w:rsidRDefault="004B303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DD2A1" w14:textId="77777777" w:rsidR="004B303A" w:rsidRDefault="004B303A">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35B5B" w14:textId="77777777" w:rsidR="004B303A" w:rsidRDefault="004B303A">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0131E" w14:textId="77777777" w:rsidR="004B303A" w:rsidRDefault="004B303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1E207" w14:textId="77777777" w:rsidR="004B303A" w:rsidRDefault="004B303A"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E7A23" w14:textId="77777777" w:rsidR="004B303A" w:rsidRDefault="004B303A" w:rsidP="006E08B3">
    <w:r>
      <w:t>Therapeutic Goods Administration</w:t>
    </w:r>
  </w:p>
  <w:p w14:paraId="01B0981D" w14:textId="77777777" w:rsidR="004B303A" w:rsidRDefault="004B303A"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9FDEABFC"/>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B6B34ED"/>
    <w:multiLevelType w:val="hybridMultilevel"/>
    <w:tmpl w:val="3FEE0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68F13E9"/>
    <w:multiLevelType w:val="multilevel"/>
    <w:tmpl w:val="FEB028D4"/>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1C1220DC"/>
    <w:multiLevelType w:val="hybridMultilevel"/>
    <w:tmpl w:val="80C80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F161949"/>
    <w:multiLevelType w:val="hybridMultilevel"/>
    <w:tmpl w:val="69EAD0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36BA3EB1"/>
    <w:multiLevelType w:val="hybridMultilevel"/>
    <w:tmpl w:val="38C0A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42D3176"/>
    <w:multiLevelType w:val="hybridMultilevel"/>
    <w:tmpl w:val="8DD2340C"/>
    <w:lvl w:ilvl="0" w:tplc="07000F98">
      <w:start w:val="43"/>
      <w:numFmt w:val="bullet"/>
      <w:lvlText w:val="-"/>
      <w:lvlJc w:val="left"/>
      <w:pPr>
        <w:ind w:left="530" w:hanging="360"/>
      </w:pPr>
      <w:rPr>
        <w:rFonts w:ascii="Cambria" w:eastAsia="Cambria" w:hAnsi="Cambria" w:cs="Times New Roman"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B173F9F"/>
    <w:multiLevelType w:val="hybridMultilevel"/>
    <w:tmpl w:val="D09C7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5F07397"/>
    <w:multiLevelType w:val="hybridMultilevel"/>
    <w:tmpl w:val="52B68A56"/>
    <w:lvl w:ilvl="0" w:tplc="6A0EFFE4">
      <w:start w:val="1"/>
      <w:numFmt w:val="decimal"/>
      <w:lvlText w:val="%1."/>
      <w:lvlJc w:val="left"/>
      <w:pPr>
        <w:ind w:left="120" w:hanging="240"/>
      </w:pPr>
      <w:rPr>
        <w:rFonts w:ascii="Times New Roman" w:eastAsia="Times New Roman" w:hAnsi="Times New Roman" w:cs="Times New Roman" w:hint="default"/>
        <w:b/>
        <w:bCs/>
        <w:i/>
        <w:spacing w:val="-1"/>
        <w:w w:val="100"/>
        <w:sz w:val="24"/>
        <w:szCs w:val="24"/>
      </w:rPr>
    </w:lvl>
    <w:lvl w:ilvl="1" w:tplc="740680D0">
      <w:numFmt w:val="bullet"/>
      <w:lvlText w:val="•"/>
      <w:lvlJc w:val="left"/>
      <w:pPr>
        <w:ind w:left="1068" w:hanging="240"/>
      </w:pPr>
      <w:rPr>
        <w:rFonts w:hint="default"/>
      </w:rPr>
    </w:lvl>
    <w:lvl w:ilvl="2" w:tplc="2AF441BA">
      <w:numFmt w:val="bullet"/>
      <w:lvlText w:val="•"/>
      <w:lvlJc w:val="left"/>
      <w:pPr>
        <w:ind w:left="2016" w:hanging="240"/>
      </w:pPr>
      <w:rPr>
        <w:rFonts w:hint="default"/>
      </w:rPr>
    </w:lvl>
    <w:lvl w:ilvl="3" w:tplc="F73C8178">
      <w:numFmt w:val="bullet"/>
      <w:lvlText w:val="•"/>
      <w:lvlJc w:val="left"/>
      <w:pPr>
        <w:ind w:left="2964" w:hanging="240"/>
      </w:pPr>
      <w:rPr>
        <w:rFonts w:hint="default"/>
      </w:rPr>
    </w:lvl>
    <w:lvl w:ilvl="4" w:tplc="5058AEB2">
      <w:numFmt w:val="bullet"/>
      <w:lvlText w:val="•"/>
      <w:lvlJc w:val="left"/>
      <w:pPr>
        <w:ind w:left="3912" w:hanging="240"/>
      </w:pPr>
      <w:rPr>
        <w:rFonts w:hint="default"/>
      </w:rPr>
    </w:lvl>
    <w:lvl w:ilvl="5" w:tplc="7C847B94">
      <w:numFmt w:val="bullet"/>
      <w:lvlText w:val="•"/>
      <w:lvlJc w:val="left"/>
      <w:pPr>
        <w:ind w:left="4860" w:hanging="240"/>
      </w:pPr>
      <w:rPr>
        <w:rFonts w:hint="default"/>
      </w:rPr>
    </w:lvl>
    <w:lvl w:ilvl="6" w:tplc="504E29AC">
      <w:numFmt w:val="bullet"/>
      <w:lvlText w:val="•"/>
      <w:lvlJc w:val="left"/>
      <w:pPr>
        <w:ind w:left="5808" w:hanging="240"/>
      </w:pPr>
      <w:rPr>
        <w:rFonts w:hint="default"/>
      </w:rPr>
    </w:lvl>
    <w:lvl w:ilvl="7" w:tplc="F376B2DC">
      <w:numFmt w:val="bullet"/>
      <w:lvlText w:val="•"/>
      <w:lvlJc w:val="left"/>
      <w:pPr>
        <w:ind w:left="6756" w:hanging="240"/>
      </w:pPr>
      <w:rPr>
        <w:rFonts w:hint="default"/>
      </w:rPr>
    </w:lvl>
    <w:lvl w:ilvl="8" w:tplc="3800CAFC">
      <w:numFmt w:val="bullet"/>
      <w:lvlText w:val="•"/>
      <w:lvlJc w:val="left"/>
      <w:pPr>
        <w:ind w:left="7704" w:hanging="240"/>
      </w:pPr>
      <w:rPr>
        <w:rFonts w:hint="default"/>
      </w:rPr>
    </w:lvl>
  </w:abstractNum>
  <w:abstractNum w:abstractNumId="14">
    <w:nsid w:val="693B3F7F"/>
    <w:multiLevelType w:val="hybridMultilevel"/>
    <w:tmpl w:val="74D80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9D14E13"/>
    <w:multiLevelType w:val="hybridMultilevel"/>
    <w:tmpl w:val="016496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6D214E8B"/>
    <w:multiLevelType w:val="hybridMultilevel"/>
    <w:tmpl w:val="4426C4F8"/>
    <w:lvl w:ilvl="0" w:tplc="D910F5CC">
      <w:start w:val="1"/>
      <w:numFmt w:val="bullet"/>
      <w:pStyle w:val="TableBullet"/>
      <w:lvlText w:val="•"/>
      <w:lvlJc w:val="left"/>
      <w:pPr>
        <w:tabs>
          <w:tab w:val="num" w:pos="85"/>
        </w:tabs>
        <w:ind w:left="113" w:hanging="113"/>
      </w:pPr>
      <w:rPr>
        <w:rFonts w:ascii="Times New Roman" w:hAnsi="Times New Roman" w:cs="Times New Roman"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6D8E2EF9"/>
    <w:multiLevelType w:val="hybridMultilevel"/>
    <w:tmpl w:val="40429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1692116"/>
    <w:multiLevelType w:val="hybridMultilevel"/>
    <w:tmpl w:val="26CA99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781E6615"/>
    <w:multiLevelType w:val="hybridMultilevel"/>
    <w:tmpl w:val="164CB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5"/>
  </w:num>
  <w:num w:numId="17">
    <w:abstractNumId w:val="5"/>
  </w:num>
  <w:num w:numId="18">
    <w:abstractNumId w:val="5"/>
  </w:num>
  <w:num w:numId="19">
    <w:abstractNumId w:val="6"/>
  </w:num>
  <w:num w:numId="20">
    <w:abstractNumId w:val="6"/>
  </w:num>
  <w:num w:numId="21">
    <w:abstractNumId w:val="6"/>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1"/>
  </w:num>
  <w:num w:numId="28">
    <w:abstractNumId w:val="19"/>
  </w:num>
  <w:num w:numId="29">
    <w:abstractNumId w:val="9"/>
  </w:num>
  <w:num w:numId="30">
    <w:abstractNumId w:val="16"/>
  </w:num>
  <w:num w:numId="31">
    <w:abstractNumId w:val="20"/>
  </w:num>
  <w:num w:numId="32">
    <w:abstractNumId w:val="17"/>
  </w:num>
  <w:num w:numId="33">
    <w:abstractNumId w:val="18"/>
  </w:num>
  <w:num w:numId="34">
    <w:abstractNumId w:val="12"/>
  </w:num>
  <w:num w:numId="35">
    <w:abstractNumId w:val="15"/>
  </w:num>
  <w:num w:numId="36">
    <w:abstractNumId w:val="4"/>
  </w:num>
  <w:num w:numId="37">
    <w:abstractNumId w:val="7"/>
  </w:num>
  <w:num w:numId="38">
    <w:abstractNumId w:val="14"/>
  </w:num>
  <w:num w:numId="39">
    <w:abstractNumId w:val="8"/>
  </w:num>
  <w:num w:numId="40">
    <w:abstractNumId w:val="13"/>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mes Hillman">
    <w15:presenceInfo w15:providerId="Windows Live" w15:userId="3c9ea4507e25e1d1"/>
  </w15:person>
  <w15:person w15:author="Adams, Glen">
    <w15:presenceInfo w15:providerId="AD" w15:userId="S-1-5-21-1085031214-73586283-839522115-84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E55"/>
    <w:rsid w:val="00002031"/>
    <w:rsid w:val="00004734"/>
    <w:rsid w:val="00006B22"/>
    <w:rsid w:val="0001276A"/>
    <w:rsid w:val="000246AE"/>
    <w:rsid w:val="00025C67"/>
    <w:rsid w:val="00037E3D"/>
    <w:rsid w:val="00044772"/>
    <w:rsid w:val="0005559E"/>
    <w:rsid w:val="000604D6"/>
    <w:rsid w:val="000734D8"/>
    <w:rsid w:val="00077775"/>
    <w:rsid w:val="00084711"/>
    <w:rsid w:val="00090471"/>
    <w:rsid w:val="00096AA7"/>
    <w:rsid w:val="000A3AED"/>
    <w:rsid w:val="000A6D3C"/>
    <w:rsid w:val="000B3532"/>
    <w:rsid w:val="000B3A75"/>
    <w:rsid w:val="000C00C2"/>
    <w:rsid w:val="000C690F"/>
    <w:rsid w:val="000D1295"/>
    <w:rsid w:val="000D391B"/>
    <w:rsid w:val="000D3D6D"/>
    <w:rsid w:val="000D4FC7"/>
    <w:rsid w:val="000E58A0"/>
    <w:rsid w:val="000E6196"/>
    <w:rsid w:val="000F4869"/>
    <w:rsid w:val="000F5B42"/>
    <w:rsid w:val="000F6E6F"/>
    <w:rsid w:val="0010355F"/>
    <w:rsid w:val="0010601F"/>
    <w:rsid w:val="0010788A"/>
    <w:rsid w:val="00107A31"/>
    <w:rsid w:val="00110EA5"/>
    <w:rsid w:val="00112F56"/>
    <w:rsid w:val="00124ACD"/>
    <w:rsid w:val="00125318"/>
    <w:rsid w:val="00125515"/>
    <w:rsid w:val="001272A0"/>
    <w:rsid w:val="001305A2"/>
    <w:rsid w:val="00133238"/>
    <w:rsid w:val="00133A1B"/>
    <w:rsid w:val="0014197B"/>
    <w:rsid w:val="001447CD"/>
    <w:rsid w:val="001516B1"/>
    <w:rsid w:val="00154EBB"/>
    <w:rsid w:val="00156316"/>
    <w:rsid w:val="00161181"/>
    <w:rsid w:val="00162D14"/>
    <w:rsid w:val="00163780"/>
    <w:rsid w:val="00165389"/>
    <w:rsid w:val="00171A37"/>
    <w:rsid w:val="0017693F"/>
    <w:rsid w:val="0018110E"/>
    <w:rsid w:val="00181684"/>
    <w:rsid w:val="001843C6"/>
    <w:rsid w:val="001850E0"/>
    <w:rsid w:val="0019455C"/>
    <w:rsid w:val="001A2158"/>
    <w:rsid w:val="001A525F"/>
    <w:rsid w:val="001B09F9"/>
    <w:rsid w:val="001B5C90"/>
    <w:rsid w:val="001B6448"/>
    <w:rsid w:val="001C32CD"/>
    <w:rsid w:val="001C5E9A"/>
    <w:rsid w:val="001C6796"/>
    <w:rsid w:val="001D2984"/>
    <w:rsid w:val="001E07CF"/>
    <w:rsid w:val="001E59F1"/>
    <w:rsid w:val="001F2CEE"/>
    <w:rsid w:val="001F49EB"/>
    <w:rsid w:val="001F6CBA"/>
    <w:rsid w:val="00201D4E"/>
    <w:rsid w:val="00204F75"/>
    <w:rsid w:val="002076C9"/>
    <w:rsid w:val="00220B8A"/>
    <w:rsid w:val="002257F3"/>
    <w:rsid w:val="00233456"/>
    <w:rsid w:val="002339A5"/>
    <w:rsid w:val="00250550"/>
    <w:rsid w:val="00257848"/>
    <w:rsid w:val="00261A6B"/>
    <w:rsid w:val="0027084A"/>
    <w:rsid w:val="00271B44"/>
    <w:rsid w:val="00286434"/>
    <w:rsid w:val="00286C59"/>
    <w:rsid w:val="00291957"/>
    <w:rsid w:val="002942D1"/>
    <w:rsid w:val="0029501A"/>
    <w:rsid w:val="002A3721"/>
    <w:rsid w:val="002B1638"/>
    <w:rsid w:val="002B3624"/>
    <w:rsid w:val="002D0952"/>
    <w:rsid w:val="002E166D"/>
    <w:rsid w:val="002E40B3"/>
    <w:rsid w:val="002E4C9A"/>
    <w:rsid w:val="002F11F8"/>
    <w:rsid w:val="002F15EC"/>
    <w:rsid w:val="002F3F56"/>
    <w:rsid w:val="002F44B5"/>
    <w:rsid w:val="00311AC0"/>
    <w:rsid w:val="003176FC"/>
    <w:rsid w:val="0032583B"/>
    <w:rsid w:val="00327883"/>
    <w:rsid w:val="00335504"/>
    <w:rsid w:val="00340C18"/>
    <w:rsid w:val="003442FD"/>
    <w:rsid w:val="00347824"/>
    <w:rsid w:val="00350567"/>
    <w:rsid w:val="003521E8"/>
    <w:rsid w:val="00364BBD"/>
    <w:rsid w:val="00370CE3"/>
    <w:rsid w:val="003728F3"/>
    <w:rsid w:val="0037496E"/>
    <w:rsid w:val="00383221"/>
    <w:rsid w:val="00386150"/>
    <w:rsid w:val="003874CE"/>
    <w:rsid w:val="00390900"/>
    <w:rsid w:val="00393AA5"/>
    <w:rsid w:val="003A7F6C"/>
    <w:rsid w:val="003B0112"/>
    <w:rsid w:val="003B4D60"/>
    <w:rsid w:val="003B7E39"/>
    <w:rsid w:val="003C0481"/>
    <w:rsid w:val="003C58DC"/>
    <w:rsid w:val="003C7B52"/>
    <w:rsid w:val="003D1E62"/>
    <w:rsid w:val="003E0B99"/>
    <w:rsid w:val="003E2486"/>
    <w:rsid w:val="003E3208"/>
    <w:rsid w:val="003F0B04"/>
    <w:rsid w:val="0040134E"/>
    <w:rsid w:val="004334C7"/>
    <w:rsid w:val="00440A2D"/>
    <w:rsid w:val="00441C3F"/>
    <w:rsid w:val="004564A7"/>
    <w:rsid w:val="00456765"/>
    <w:rsid w:val="00461684"/>
    <w:rsid w:val="004617BF"/>
    <w:rsid w:val="00463658"/>
    <w:rsid w:val="004637A0"/>
    <w:rsid w:val="004722CC"/>
    <w:rsid w:val="00481789"/>
    <w:rsid w:val="004936E4"/>
    <w:rsid w:val="00494E60"/>
    <w:rsid w:val="00497487"/>
    <w:rsid w:val="004A6189"/>
    <w:rsid w:val="004A7390"/>
    <w:rsid w:val="004B303A"/>
    <w:rsid w:val="004B7B76"/>
    <w:rsid w:val="004C239D"/>
    <w:rsid w:val="004C2DCA"/>
    <w:rsid w:val="004C61D2"/>
    <w:rsid w:val="004D470D"/>
    <w:rsid w:val="004F0C4A"/>
    <w:rsid w:val="004F0F38"/>
    <w:rsid w:val="004F47D6"/>
    <w:rsid w:val="00500337"/>
    <w:rsid w:val="00500B77"/>
    <w:rsid w:val="00501921"/>
    <w:rsid w:val="00502CEF"/>
    <w:rsid w:val="005125AE"/>
    <w:rsid w:val="00530354"/>
    <w:rsid w:val="005354BD"/>
    <w:rsid w:val="0053625B"/>
    <w:rsid w:val="0053790D"/>
    <w:rsid w:val="0054308A"/>
    <w:rsid w:val="005434C6"/>
    <w:rsid w:val="00543B39"/>
    <w:rsid w:val="00546154"/>
    <w:rsid w:val="00550096"/>
    <w:rsid w:val="00555280"/>
    <w:rsid w:val="00557FF9"/>
    <w:rsid w:val="00562327"/>
    <w:rsid w:val="00566E55"/>
    <w:rsid w:val="005711D5"/>
    <w:rsid w:val="00576378"/>
    <w:rsid w:val="00577130"/>
    <w:rsid w:val="00577945"/>
    <w:rsid w:val="00577E38"/>
    <w:rsid w:val="00585322"/>
    <w:rsid w:val="005857C6"/>
    <w:rsid w:val="00587A4B"/>
    <w:rsid w:val="00592F6E"/>
    <w:rsid w:val="005934D7"/>
    <w:rsid w:val="00593AD1"/>
    <w:rsid w:val="005A68B6"/>
    <w:rsid w:val="005C5570"/>
    <w:rsid w:val="005C79A4"/>
    <w:rsid w:val="005D5442"/>
    <w:rsid w:val="00603F32"/>
    <w:rsid w:val="00605AD4"/>
    <w:rsid w:val="006136D7"/>
    <w:rsid w:val="00625A6E"/>
    <w:rsid w:val="00632398"/>
    <w:rsid w:val="00640FC3"/>
    <w:rsid w:val="00642020"/>
    <w:rsid w:val="0065007F"/>
    <w:rsid w:val="0065337B"/>
    <w:rsid w:val="0065419D"/>
    <w:rsid w:val="006604D8"/>
    <w:rsid w:val="00664A5B"/>
    <w:rsid w:val="0066735C"/>
    <w:rsid w:val="006733FF"/>
    <w:rsid w:val="00673E24"/>
    <w:rsid w:val="006763D2"/>
    <w:rsid w:val="00680C08"/>
    <w:rsid w:val="006815DF"/>
    <w:rsid w:val="006916A0"/>
    <w:rsid w:val="006931B1"/>
    <w:rsid w:val="006A15C0"/>
    <w:rsid w:val="006C3E2A"/>
    <w:rsid w:val="006C642F"/>
    <w:rsid w:val="006D03E5"/>
    <w:rsid w:val="006D20D8"/>
    <w:rsid w:val="006D5D3E"/>
    <w:rsid w:val="006E08B3"/>
    <w:rsid w:val="006F17AC"/>
    <w:rsid w:val="006F25B8"/>
    <w:rsid w:val="006F572E"/>
    <w:rsid w:val="00701525"/>
    <w:rsid w:val="007046D6"/>
    <w:rsid w:val="00705DB0"/>
    <w:rsid w:val="00713D88"/>
    <w:rsid w:val="00722B57"/>
    <w:rsid w:val="00730F8A"/>
    <w:rsid w:val="00731EA8"/>
    <w:rsid w:val="00735A8C"/>
    <w:rsid w:val="0074253D"/>
    <w:rsid w:val="0074429B"/>
    <w:rsid w:val="00747FD1"/>
    <w:rsid w:val="007615BC"/>
    <w:rsid w:val="00762F05"/>
    <w:rsid w:val="007652FF"/>
    <w:rsid w:val="00770CAC"/>
    <w:rsid w:val="00770EF1"/>
    <w:rsid w:val="00772A74"/>
    <w:rsid w:val="00773EF7"/>
    <w:rsid w:val="00774E1D"/>
    <w:rsid w:val="007765D8"/>
    <w:rsid w:val="0077675A"/>
    <w:rsid w:val="00780355"/>
    <w:rsid w:val="007819FD"/>
    <w:rsid w:val="00785717"/>
    <w:rsid w:val="00785721"/>
    <w:rsid w:val="00790646"/>
    <w:rsid w:val="00793A59"/>
    <w:rsid w:val="007942B2"/>
    <w:rsid w:val="007A46F5"/>
    <w:rsid w:val="007B002E"/>
    <w:rsid w:val="007B0361"/>
    <w:rsid w:val="007B6132"/>
    <w:rsid w:val="007B6E9F"/>
    <w:rsid w:val="007C1216"/>
    <w:rsid w:val="007C1AF7"/>
    <w:rsid w:val="007C6B9B"/>
    <w:rsid w:val="00805D27"/>
    <w:rsid w:val="00806DCB"/>
    <w:rsid w:val="00821776"/>
    <w:rsid w:val="008321F5"/>
    <w:rsid w:val="00832369"/>
    <w:rsid w:val="008324D7"/>
    <w:rsid w:val="00834660"/>
    <w:rsid w:val="008347B6"/>
    <w:rsid w:val="00836BC2"/>
    <w:rsid w:val="0085049D"/>
    <w:rsid w:val="0085156D"/>
    <w:rsid w:val="0085641B"/>
    <w:rsid w:val="00857136"/>
    <w:rsid w:val="0087221E"/>
    <w:rsid w:val="00875A6B"/>
    <w:rsid w:val="00885B11"/>
    <w:rsid w:val="00886D15"/>
    <w:rsid w:val="00887DD8"/>
    <w:rsid w:val="00891BA9"/>
    <w:rsid w:val="00896018"/>
    <w:rsid w:val="008960DD"/>
    <w:rsid w:val="0089635C"/>
    <w:rsid w:val="008A2B9D"/>
    <w:rsid w:val="008A3D9F"/>
    <w:rsid w:val="008A5E0B"/>
    <w:rsid w:val="008A6D59"/>
    <w:rsid w:val="008B4B03"/>
    <w:rsid w:val="008B596F"/>
    <w:rsid w:val="008C159F"/>
    <w:rsid w:val="008C1623"/>
    <w:rsid w:val="008C1850"/>
    <w:rsid w:val="008C51A9"/>
    <w:rsid w:val="008D4301"/>
    <w:rsid w:val="008E7846"/>
    <w:rsid w:val="008F02E5"/>
    <w:rsid w:val="008F1CCC"/>
    <w:rsid w:val="008F2967"/>
    <w:rsid w:val="008F67B6"/>
    <w:rsid w:val="008F6943"/>
    <w:rsid w:val="00902A21"/>
    <w:rsid w:val="00920330"/>
    <w:rsid w:val="009219D7"/>
    <w:rsid w:val="00922D53"/>
    <w:rsid w:val="00923B70"/>
    <w:rsid w:val="00924482"/>
    <w:rsid w:val="00926B96"/>
    <w:rsid w:val="00930237"/>
    <w:rsid w:val="00934B0C"/>
    <w:rsid w:val="00937C17"/>
    <w:rsid w:val="00940A89"/>
    <w:rsid w:val="00946EA5"/>
    <w:rsid w:val="00953F03"/>
    <w:rsid w:val="00963C08"/>
    <w:rsid w:val="00972CB7"/>
    <w:rsid w:val="009752A5"/>
    <w:rsid w:val="0098585A"/>
    <w:rsid w:val="00993A64"/>
    <w:rsid w:val="0099474E"/>
    <w:rsid w:val="009A4CED"/>
    <w:rsid w:val="009A690D"/>
    <w:rsid w:val="009B1D12"/>
    <w:rsid w:val="009B416B"/>
    <w:rsid w:val="009B53C8"/>
    <w:rsid w:val="009C2211"/>
    <w:rsid w:val="009C4BD5"/>
    <w:rsid w:val="009D7B77"/>
    <w:rsid w:val="009E0BB0"/>
    <w:rsid w:val="009E3FBB"/>
    <w:rsid w:val="009E7793"/>
    <w:rsid w:val="009F7353"/>
    <w:rsid w:val="00A022EB"/>
    <w:rsid w:val="00A04F85"/>
    <w:rsid w:val="00A05FA4"/>
    <w:rsid w:val="00A102E4"/>
    <w:rsid w:val="00A12C42"/>
    <w:rsid w:val="00A14DF7"/>
    <w:rsid w:val="00A249F7"/>
    <w:rsid w:val="00A3246D"/>
    <w:rsid w:val="00A36FA7"/>
    <w:rsid w:val="00A42A89"/>
    <w:rsid w:val="00A44DDB"/>
    <w:rsid w:val="00A475B7"/>
    <w:rsid w:val="00A47AF7"/>
    <w:rsid w:val="00A47C3E"/>
    <w:rsid w:val="00A50226"/>
    <w:rsid w:val="00A60BAD"/>
    <w:rsid w:val="00A74AC5"/>
    <w:rsid w:val="00A80B5B"/>
    <w:rsid w:val="00A84E36"/>
    <w:rsid w:val="00A964D1"/>
    <w:rsid w:val="00AA07EB"/>
    <w:rsid w:val="00AA0ED0"/>
    <w:rsid w:val="00AA0F85"/>
    <w:rsid w:val="00AA2469"/>
    <w:rsid w:val="00AC2B40"/>
    <w:rsid w:val="00AC2BB2"/>
    <w:rsid w:val="00AC2C3C"/>
    <w:rsid w:val="00AC512D"/>
    <w:rsid w:val="00AD0083"/>
    <w:rsid w:val="00AD3935"/>
    <w:rsid w:val="00AE65EB"/>
    <w:rsid w:val="00AE67A7"/>
    <w:rsid w:val="00AF02C5"/>
    <w:rsid w:val="00AF1D94"/>
    <w:rsid w:val="00AF60C5"/>
    <w:rsid w:val="00B009C6"/>
    <w:rsid w:val="00B01548"/>
    <w:rsid w:val="00B12F6E"/>
    <w:rsid w:val="00B13EBD"/>
    <w:rsid w:val="00B21D29"/>
    <w:rsid w:val="00B23D05"/>
    <w:rsid w:val="00B25034"/>
    <w:rsid w:val="00B25A54"/>
    <w:rsid w:val="00B33588"/>
    <w:rsid w:val="00B33863"/>
    <w:rsid w:val="00B33BB3"/>
    <w:rsid w:val="00B37D17"/>
    <w:rsid w:val="00B4175E"/>
    <w:rsid w:val="00B41C85"/>
    <w:rsid w:val="00B44F70"/>
    <w:rsid w:val="00B452CE"/>
    <w:rsid w:val="00B54C25"/>
    <w:rsid w:val="00B74FBD"/>
    <w:rsid w:val="00B76B91"/>
    <w:rsid w:val="00B77EB1"/>
    <w:rsid w:val="00B811C6"/>
    <w:rsid w:val="00B855B0"/>
    <w:rsid w:val="00B92E08"/>
    <w:rsid w:val="00BA6AD6"/>
    <w:rsid w:val="00BC622A"/>
    <w:rsid w:val="00BD122A"/>
    <w:rsid w:val="00BE0A78"/>
    <w:rsid w:val="00BE79F0"/>
    <w:rsid w:val="00BF046D"/>
    <w:rsid w:val="00BF1190"/>
    <w:rsid w:val="00BF5D04"/>
    <w:rsid w:val="00C009AA"/>
    <w:rsid w:val="00C02A19"/>
    <w:rsid w:val="00C03199"/>
    <w:rsid w:val="00C10495"/>
    <w:rsid w:val="00C1164D"/>
    <w:rsid w:val="00C15A0D"/>
    <w:rsid w:val="00C16861"/>
    <w:rsid w:val="00C248F2"/>
    <w:rsid w:val="00C346AB"/>
    <w:rsid w:val="00C404A6"/>
    <w:rsid w:val="00C40A36"/>
    <w:rsid w:val="00C44419"/>
    <w:rsid w:val="00C44B3A"/>
    <w:rsid w:val="00C45E7B"/>
    <w:rsid w:val="00C471B1"/>
    <w:rsid w:val="00C6316B"/>
    <w:rsid w:val="00C634A9"/>
    <w:rsid w:val="00C64586"/>
    <w:rsid w:val="00C70D53"/>
    <w:rsid w:val="00C73D0B"/>
    <w:rsid w:val="00C772FF"/>
    <w:rsid w:val="00C80137"/>
    <w:rsid w:val="00C801AF"/>
    <w:rsid w:val="00C80256"/>
    <w:rsid w:val="00C8182D"/>
    <w:rsid w:val="00C94CD4"/>
    <w:rsid w:val="00C9747E"/>
    <w:rsid w:val="00CA65F2"/>
    <w:rsid w:val="00CA702F"/>
    <w:rsid w:val="00CB6BC0"/>
    <w:rsid w:val="00CC1B7C"/>
    <w:rsid w:val="00CC241E"/>
    <w:rsid w:val="00CC727F"/>
    <w:rsid w:val="00CD3FC1"/>
    <w:rsid w:val="00CF15C3"/>
    <w:rsid w:val="00CF2B6F"/>
    <w:rsid w:val="00CF2F3E"/>
    <w:rsid w:val="00CF58B6"/>
    <w:rsid w:val="00D0062D"/>
    <w:rsid w:val="00D017ED"/>
    <w:rsid w:val="00D040D3"/>
    <w:rsid w:val="00D04C65"/>
    <w:rsid w:val="00D1157D"/>
    <w:rsid w:val="00D201D2"/>
    <w:rsid w:val="00D224FE"/>
    <w:rsid w:val="00D23139"/>
    <w:rsid w:val="00D425BB"/>
    <w:rsid w:val="00D63F45"/>
    <w:rsid w:val="00D6493E"/>
    <w:rsid w:val="00D7195D"/>
    <w:rsid w:val="00D71FB7"/>
    <w:rsid w:val="00D7301E"/>
    <w:rsid w:val="00D83AE1"/>
    <w:rsid w:val="00D855D4"/>
    <w:rsid w:val="00D902C9"/>
    <w:rsid w:val="00D93466"/>
    <w:rsid w:val="00DA1124"/>
    <w:rsid w:val="00DA36BF"/>
    <w:rsid w:val="00DB6124"/>
    <w:rsid w:val="00DB750B"/>
    <w:rsid w:val="00DB75B7"/>
    <w:rsid w:val="00DC6E02"/>
    <w:rsid w:val="00DD28CD"/>
    <w:rsid w:val="00DE02AE"/>
    <w:rsid w:val="00DE4DCC"/>
    <w:rsid w:val="00DF1D7F"/>
    <w:rsid w:val="00DF4BE4"/>
    <w:rsid w:val="00DF56B6"/>
    <w:rsid w:val="00DF5C08"/>
    <w:rsid w:val="00E02FB4"/>
    <w:rsid w:val="00E1394B"/>
    <w:rsid w:val="00E13FC7"/>
    <w:rsid w:val="00E20571"/>
    <w:rsid w:val="00E235F7"/>
    <w:rsid w:val="00E23659"/>
    <w:rsid w:val="00E239D4"/>
    <w:rsid w:val="00E26130"/>
    <w:rsid w:val="00E26986"/>
    <w:rsid w:val="00E40B22"/>
    <w:rsid w:val="00E44ED1"/>
    <w:rsid w:val="00E45619"/>
    <w:rsid w:val="00E4588F"/>
    <w:rsid w:val="00E46DA3"/>
    <w:rsid w:val="00E51BB1"/>
    <w:rsid w:val="00E61C93"/>
    <w:rsid w:val="00E624A5"/>
    <w:rsid w:val="00E64BA4"/>
    <w:rsid w:val="00E7344E"/>
    <w:rsid w:val="00E82665"/>
    <w:rsid w:val="00E828CC"/>
    <w:rsid w:val="00EB0798"/>
    <w:rsid w:val="00EB40AD"/>
    <w:rsid w:val="00EB586E"/>
    <w:rsid w:val="00EB5FC8"/>
    <w:rsid w:val="00EC463D"/>
    <w:rsid w:val="00EC68E7"/>
    <w:rsid w:val="00EC7A85"/>
    <w:rsid w:val="00ED2922"/>
    <w:rsid w:val="00ED3CAD"/>
    <w:rsid w:val="00ED5A41"/>
    <w:rsid w:val="00EE1DE8"/>
    <w:rsid w:val="00EE27C2"/>
    <w:rsid w:val="00EE77B6"/>
    <w:rsid w:val="00EF4BAD"/>
    <w:rsid w:val="00EF59DC"/>
    <w:rsid w:val="00F033EC"/>
    <w:rsid w:val="00F04F68"/>
    <w:rsid w:val="00F12670"/>
    <w:rsid w:val="00F14B27"/>
    <w:rsid w:val="00F3148D"/>
    <w:rsid w:val="00F325C5"/>
    <w:rsid w:val="00F32FE0"/>
    <w:rsid w:val="00F35298"/>
    <w:rsid w:val="00F453DA"/>
    <w:rsid w:val="00F47333"/>
    <w:rsid w:val="00F47E37"/>
    <w:rsid w:val="00F53C07"/>
    <w:rsid w:val="00F54B65"/>
    <w:rsid w:val="00F640B6"/>
    <w:rsid w:val="00F66DF2"/>
    <w:rsid w:val="00F80E40"/>
    <w:rsid w:val="00F848D9"/>
    <w:rsid w:val="00FA5B82"/>
    <w:rsid w:val="00FA639E"/>
    <w:rsid w:val="00FC1FCA"/>
    <w:rsid w:val="00FC25E4"/>
    <w:rsid w:val="00FC4EF7"/>
    <w:rsid w:val="00FD0824"/>
    <w:rsid w:val="00FD119B"/>
    <w:rsid w:val="00FD1EDC"/>
    <w:rsid w:val="00FE1DEE"/>
    <w:rsid w:val="00FF2126"/>
    <w:rsid w:val="00FF2FC5"/>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C3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87221E"/>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3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TabletextChar">
    <w:name w:val="Table text Char"/>
    <w:basedOn w:val="DefaultParagraphFont"/>
    <w:link w:val="Tabletext"/>
    <w:rsid w:val="001C6796"/>
    <w:rPr>
      <w:rFonts w:ascii="Cambria" w:eastAsia="Cambria" w:hAnsi="Cambria" w:cs="Times New Roman"/>
      <w:sz w:val="19"/>
    </w:rPr>
  </w:style>
  <w:style w:type="table" w:customStyle="1" w:styleId="TableGrid2">
    <w:name w:val="Table Grid2"/>
    <w:basedOn w:val="TableNormal"/>
    <w:next w:val="TableGrid"/>
    <w:uiPriority w:val="59"/>
    <w:rsid w:val="001C6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828CC"/>
    <w:pPr>
      <w:ind w:left="720"/>
      <w:contextualSpacing/>
    </w:pPr>
  </w:style>
  <w:style w:type="paragraph" w:customStyle="1" w:styleId="TableBullet">
    <w:name w:val="Table Bullet"/>
    <w:basedOn w:val="Normal"/>
    <w:rsid w:val="00B25A54"/>
    <w:pPr>
      <w:numPr>
        <w:numId w:val="3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paragraph" w:customStyle="1" w:styleId="table">
    <w:name w:val="table"/>
    <w:basedOn w:val="Normal"/>
    <w:qFormat/>
    <w:rsid w:val="002F15EC"/>
    <w:pPr>
      <w:widowControl w:val="0"/>
      <w:adjustRightInd w:val="0"/>
      <w:snapToGrid w:val="0"/>
      <w:spacing w:before="0" w:after="0" w:line="240" w:lineRule="auto"/>
      <w:contextualSpacing/>
    </w:pPr>
    <w:rPr>
      <w:rFonts w:ascii="Times New Roman" w:eastAsia="MS Mincho" w:hAnsi="Times New Roman"/>
      <w:sz w:val="18"/>
      <w:szCs w:val="20"/>
      <w:lang w:eastAsia="ja-JP"/>
    </w:rPr>
  </w:style>
  <w:style w:type="paragraph" w:customStyle="1" w:styleId="mine">
    <w:name w:val="mine"/>
    <w:basedOn w:val="Normal"/>
    <w:qFormat/>
    <w:rsid w:val="00393AA5"/>
    <w:pPr>
      <w:widowControl w:val="0"/>
      <w:adjustRightInd w:val="0"/>
      <w:snapToGrid w:val="0"/>
      <w:spacing w:before="0" w:after="0" w:line="240" w:lineRule="auto"/>
      <w:contextualSpacing/>
    </w:pPr>
    <w:rPr>
      <w:rFonts w:ascii="Times New Roman" w:eastAsia="MS Mincho" w:hAnsi="Times New Roman"/>
      <w:sz w:val="24"/>
      <w:szCs w:val="21"/>
      <w:lang w:eastAsia="en-AU"/>
    </w:rPr>
  </w:style>
  <w:style w:type="paragraph" w:styleId="BodyText">
    <w:name w:val="Body Text"/>
    <w:basedOn w:val="Normal"/>
    <w:link w:val="BodyTextChar"/>
    <w:uiPriority w:val="1"/>
    <w:qFormat/>
    <w:rsid w:val="002E166D"/>
    <w:pPr>
      <w:widowControl w:val="0"/>
      <w:autoSpaceDE w:val="0"/>
      <w:autoSpaceDN w:val="0"/>
      <w:spacing w:before="0"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2E166D"/>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87221E"/>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3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TabletextChar">
    <w:name w:val="Table text Char"/>
    <w:basedOn w:val="DefaultParagraphFont"/>
    <w:link w:val="Tabletext"/>
    <w:rsid w:val="001C6796"/>
    <w:rPr>
      <w:rFonts w:ascii="Cambria" w:eastAsia="Cambria" w:hAnsi="Cambria" w:cs="Times New Roman"/>
      <w:sz w:val="19"/>
    </w:rPr>
  </w:style>
  <w:style w:type="table" w:customStyle="1" w:styleId="TableGrid2">
    <w:name w:val="Table Grid2"/>
    <w:basedOn w:val="TableNormal"/>
    <w:next w:val="TableGrid"/>
    <w:uiPriority w:val="59"/>
    <w:rsid w:val="001C6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828CC"/>
    <w:pPr>
      <w:ind w:left="720"/>
      <w:contextualSpacing/>
    </w:pPr>
  </w:style>
  <w:style w:type="paragraph" w:customStyle="1" w:styleId="TableBullet">
    <w:name w:val="Table Bullet"/>
    <w:basedOn w:val="Normal"/>
    <w:rsid w:val="00B25A54"/>
    <w:pPr>
      <w:numPr>
        <w:numId w:val="3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paragraph" w:customStyle="1" w:styleId="table">
    <w:name w:val="table"/>
    <w:basedOn w:val="Normal"/>
    <w:qFormat/>
    <w:rsid w:val="002F15EC"/>
    <w:pPr>
      <w:widowControl w:val="0"/>
      <w:adjustRightInd w:val="0"/>
      <w:snapToGrid w:val="0"/>
      <w:spacing w:before="0" w:after="0" w:line="240" w:lineRule="auto"/>
      <w:contextualSpacing/>
    </w:pPr>
    <w:rPr>
      <w:rFonts w:ascii="Times New Roman" w:eastAsia="MS Mincho" w:hAnsi="Times New Roman"/>
      <w:sz w:val="18"/>
      <w:szCs w:val="20"/>
      <w:lang w:eastAsia="ja-JP"/>
    </w:rPr>
  </w:style>
  <w:style w:type="paragraph" w:customStyle="1" w:styleId="mine">
    <w:name w:val="mine"/>
    <w:basedOn w:val="Normal"/>
    <w:qFormat/>
    <w:rsid w:val="00393AA5"/>
    <w:pPr>
      <w:widowControl w:val="0"/>
      <w:adjustRightInd w:val="0"/>
      <w:snapToGrid w:val="0"/>
      <w:spacing w:before="0" w:after="0" w:line="240" w:lineRule="auto"/>
      <w:contextualSpacing/>
    </w:pPr>
    <w:rPr>
      <w:rFonts w:ascii="Times New Roman" w:eastAsia="MS Mincho" w:hAnsi="Times New Roman"/>
      <w:sz w:val="24"/>
      <w:szCs w:val="21"/>
      <w:lang w:eastAsia="en-AU"/>
    </w:rPr>
  </w:style>
  <w:style w:type="paragraph" w:styleId="BodyText">
    <w:name w:val="Body Text"/>
    <w:basedOn w:val="Normal"/>
    <w:link w:val="BodyTextChar"/>
    <w:uiPriority w:val="1"/>
    <w:qFormat/>
    <w:rsid w:val="002E166D"/>
    <w:pPr>
      <w:widowControl w:val="0"/>
      <w:autoSpaceDE w:val="0"/>
      <w:autoSpaceDN w:val="0"/>
      <w:spacing w:before="0"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2E166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2877">
      <w:bodyDiv w:val="1"/>
      <w:marLeft w:val="0"/>
      <w:marRight w:val="0"/>
      <w:marTop w:val="0"/>
      <w:marBottom w:val="0"/>
      <w:divBdr>
        <w:top w:val="none" w:sz="0" w:space="0" w:color="auto"/>
        <w:left w:val="none" w:sz="0" w:space="0" w:color="auto"/>
        <w:bottom w:val="none" w:sz="0" w:space="0" w:color="auto"/>
        <w:right w:val="none" w:sz="0" w:space="0" w:color="auto"/>
      </w:divBdr>
    </w:div>
    <w:div w:id="128473477">
      <w:bodyDiv w:val="1"/>
      <w:marLeft w:val="0"/>
      <w:marRight w:val="0"/>
      <w:marTop w:val="0"/>
      <w:marBottom w:val="0"/>
      <w:divBdr>
        <w:top w:val="none" w:sz="0" w:space="0" w:color="auto"/>
        <w:left w:val="none" w:sz="0" w:space="0" w:color="auto"/>
        <w:bottom w:val="none" w:sz="0" w:space="0" w:color="auto"/>
        <w:right w:val="none" w:sz="0" w:space="0" w:color="auto"/>
      </w:divBdr>
    </w:div>
    <w:div w:id="245577028">
      <w:bodyDiv w:val="1"/>
      <w:marLeft w:val="0"/>
      <w:marRight w:val="0"/>
      <w:marTop w:val="0"/>
      <w:marBottom w:val="0"/>
      <w:divBdr>
        <w:top w:val="none" w:sz="0" w:space="0" w:color="auto"/>
        <w:left w:val="none" w:sz="0" w:space="0" w:color="auto"/>
        <w:bottom w:val="none" w:sz="0" w:space="0" w:color="auto"/>
        <w:right w:val="none" w:sz="0" w:space="0" w:color="auto"/>
      </w:divBdr>
    </w:div>
    <w:div w:id="307830389">
      <w:bodyDiv w:val="1"/>
      <w:marLeft w:val="0"/>
      <w:marRight w:val="0"/>
      <w:marTop w:val="0"/>
      <w:marBottom w:val="0"/>
      <w:divBdr>
        <w:top w:val="none" w:sz="0" w:space="0" w:color="auto"/>
        <w:left w:val="none" w:sz="0" w:space="0" w:color="auto"/>
        <w:bottom w:val="none" w:sz="0" w:space="0" w:color="auto"/>
        <w:right w:val="none" w:sz="0" w:space="0" w:color="auto"/>
      </w:divBdr>
    </w:div>
    <w:div w:id="421681959">
      <w:bodyDiv w:val="1"/>
      <w:marLeft w:val="0"/>
      <w:marRight w:val="0"/>
      <w:marTop w:val="0"/>
      <w:marBottom w:val="0"/>
      <w:divBdr>
        <w:top w:val="none" w:sz="0" w:space="0" w:color="auto"/>
        <w:left w:val="none" w:sz="0" w:space="0" w:color="auto"/>
        <w:bottom w:val="none" w:sz="0" w:space="0" w:color="auto"/>
        <w:right w:val="none" w:sz="0" w:space="0" w:color="auto"/>
      </w:divBdr>
    </w:div>
    <w:div w:id="453328534">
      <w:bodyDiv w:val="1"/>
      <w:marLeft w:val="0"/>
      <w:marRight w:val="0"/>
      <w:marTop w:val="0"/>
      <w:marBottom w:val="0"/>
      <w:divBdr>
        <w:top w:val="none" w:sz="0" w:space="0" w:color="auto"/>
        <w:left w:val="none" w:sz="0" w:space="0" w:color="auto"/>
        <w:bottom w:val="none" w:sz="0" w:space="0" w:color="auto"/>
        <w:right w:val="none" w:sz="0" w:space="0" w:color="auto"/>
      </w:divBdr>
    </w:div>
    <w:div w:id="488833591">
      <w:bodyDiv w:val="1"/>
      <w:marLeft w:val="0"/>
      <w:marRight w:val="0"/>
      <w:marTop w:val="0"/>
      <w:marBottom w:val="0"/>
      <w:divBdr>
        <w:top w:val="none" w:sz="0" w:space="0" w:color="auto"/>
        <w:left w:val="none" w:sz="0" w:space="0" w:color="auto"/>
        <w:bottom w:val="none" w:sz="0" w:space="0" w:color="auto"/>
        <w:right w:val="none" w:sz="0" w:space="0" w:color="auto"/>
      </w:divBdr>
    </w:div>
    <w:div w:id="502205833">
      <w:bodyDiv w:val="1"/>
      <w:marLeft w:val="0"/>
      <w:marRight w:val="0"/>
      <w:marTop w:val="0"/>
      <w:marBottom w:val="0"/>
      <w:divBdr>
        <w:top w:val="none" w:sz="0" w:space="0" w:color="auto"/>
        <w:left w:val="none" w:sz="0" w:space="0" w:color="auto"/>
        <w:bottom w:val="none" w:sz="0" w:space="0" w:color="auto"/>
        <w:right w:val="none" w:sz="0" w:space="0" w:color="auto"/>
      </w:divBdr>
    </w:div>
    <w:div w:id="515266218">
      <w:bodyDiv w:val="1"/>
      <w:marLeft w:val="0"/>
      <w:marRight w:val="0"/>
      <w:marTop w:val="0"/>
      <w:marBottom w:val="0"/>
      <w:divBdr>
        <w:top w:val="none" w:sz="0" w:space="0" w:color="auto"/>
        <w:left w:val="none" w:sz="0" w:space="0" w:color="auto"/>
        <w:bottom w:val="none" w:sz="0" w:space="0" w:color="auto"/>
        <w:right w:val="none" w:sz="0" w:space="0" w:color="auto"/>
      </w:divBdr>
    </w:div>
    <w:div w:id="536892570">
      <w:bodyDiv w:val="1"/>
      <w:marLeft w:val="0"/>
      <w:marRight w:val="0"/>
      <w:marTop w:val="0"/>
      <w:marBottom w:val="0"/>
      <w:divBdr>
        <w:top w:val="none" w:sz="0" w:space="0" w:color="auto"/>
        <w:left w:val="none" w:sz="0" w:space="0" w:color="auto"/>
        <w:bottom w:val="none" w:sz="0" w:space="0" w:color="auto"/>
        <w:right w:val="none" w:sz="0" w:space="0" w:color="auto"/>
      </w:divBdr>
    </w:div>
    <w:div w:id="671220074">
      <w:bodyDiv w:val="1"/>
      <w:marLeft w:val="0"/>
      <w:marRight w:val="0"/>
      <w:marTop w:val="0"/>
      <w:marBottom w:val="0"/>
      <w:divBdr>
        <w:top w:val="none" w:sz="0" w:space="0" w:color="auto"/>
        <w:left w:val="none" w:sz="0" w:space="0" w:color="auto"/>
        <w:bottom w:val="none" w:sz="0" w:space="0" w:color="auto"/>
        <w:right w:val="none" w:sz="0" w:space="0" w:color="auto"/>
      </w:divBdr>
    </w:div>
    <w:div w:id="774980577">
      <w:bodyDiv w:val="1"/>
      <w:marLeft w:val="0"/>
      <w:marRight w:val="0"/>
      <w:marTop w:val="0"/>
      <w:marBottom w:val="0"/>
      <w:divBdr>
        <w:top w:val="none" w:sz="0" w:space="0" w:color="auto"/>
        <w:left w:val="none" w:sz="0" w:space="0" w:color="auto"/>
        <w:bottom w:val="none" w:sz="0" w:space="0" w:color="auto"/>
        <w:right w:val="none" w:sz="0" w:space="0" w:color="auto"/>
      </w:divBdr>
    </w:div>
    <w:div w:id="777069615">
      <w:bodyDiv w:val="1"/>
      <w:marLeft w:val="0"/>
      <w:marRight w:val="0"/>
      <w:marTop w:val="0"/>
      <w:marBottom w:val="0"/>
      <w:divBdr>
        <w:top w:val="none" w:sz="0" w:space="0" w:color="auto"/>
        <w:left w:val="none" w:sz="0" w:space="0" w:color="auto"/>
        <w:bottom w:val="none" w:sz="0" w:space="0" w:color="auto"/>
        <w:right w:val="none" w:sz="0" w:space="0" w:color="auto"/>
      </w:divBdr>
    </w:div>
    <w:div w:id="814251711">
      <w:bodyDiv w:val="1"/>
      <w:marLeft w:val="0"/>
      <w:marRight w:val="0"/>
      <w:marTop w:val="0"/>
      <w:marBottom w:val="0"/>
      <w:divBdr>
        <w:top w:val="none" w:sz="0" w:space="0" w:color="auto"/>
        <w:left w:val="none" w:sz="0" w:space="0" w:color="auto"/>
        <w:bottom w:val="none" w:sz="0" w:space="0" w:color="auto"/>
        <w:right w:val="none" w:sz="0" w:space="0" w:color="auto"/>
      </w:divBdr>
    </w:div>
    <w:div w:id="944776523">
      <w:bodyDiv w:val="1"/>
      <w:marLeft w:val="0"/>
      <w:marRight w:val="0"/>
      <w:marTop w:val="0"/>
      <w:marBottom w:val="0"/>
      <w:divBdr>
        <w:top w:val="none" w:sz="0" w:space="0" w:color="auto"/>
        <w:left w:val="none" w:sz="0" w:space="0" w:color="auto"/>
        <w:bottom w:val="none" w:sz="0" w:space="0" w:color="auto"/>
        <w:right w:val="none" w:sz="0" w:space="0" w:color="auto"/>
      </w:divBdr>
    </w:div>
    <w:div w:id="1025134161">
      <w:bodyDiv w:val="1"/>
      <w:marLeft w:val="0"/>
      <w:marRight w:val="0"/>
      <w:marTop w:val="0"/>
      <w:marBottom w:val="0"/>
      <w:divBdr>
        <w:top w:val="none" w:sz="0" w:space="0" w:color="auto"/>
        <w:left w:val="none" w:sz="0" w:space="0" w:color="auto"/>
        <w:bottom w:val="none" w:sz="0" w:space="0" w:color="auto"/>
        <w:right w:val="none" w:sz="0" w:space="0" w:color="auto"/>
      </w:divBdr>
    </w:div>
    <w:div w:id="1079794603">
      <w:bodyDiv w:val="1"/>
      <w:marLeft w:val="0"/>
      <w:marRight w:val="0"/>
      <w:marTop w:val="0"/>
      <w:marBottom w:val="0"/>
      <w:divBdr>
        <w:top w:val="none" w:sz="0" w:space="0" w:color="auto"/>
        <w:left w:val="none" w:sz="0" w:space="0" w:color="auto"/>
        <w:bottom w:val="none" w:sz="0" w:space="0" w:color="auto"/>
        <w:right w:val="none" w:sz="0" w:space="0" w:color="auto"/>
      </w:divBdr>
    </w:div>
    <w:div w:id="1129864286">
      <w:bodyDiv w:val="1"/>
      <w:marLeft w:val="0"/>
      <w:marRight w:val="0"/>
      <w:marTop w:val="0"/>
      <w:marBottom w:val="0"/>
      <w:divBdr>
        <w:top w:val="none" w:sz="0" w:space="0" w:color="auto"/>
        <w:left w:val="none" w:sz="0" w:space="0" w:color="auto"/>
        <w:bottom w:val="none" w:sz="0" w:space="0" w:color="auto"/>
        <w:right w:val="none" w:sz="0" w:space="0" w:color="auto"/>
      </w:divBdr>
    </w:div>
    <w:div w:id="1167285363">
      <w:bodyDiv w:val="1"/>
      <w:marLeft w:val="0"/>
      <w:marRight w:val="0"/>
      <w:marTop w:val="0"/>
      <w:marBottom w:val="0"/>
      <w:divBdr>
        <w:top w:val="none" w:sz="0" w:space="0" w:color="auto"/>
        <w:left w:val="none" w:sz="0" w:space="0" w:color="auto"/>
        <w:bottom w:val="none" w:sz="0" w:space="0" w:color="auto"/>
        <w:right w:val="none" w:sz="0" w:space="0" w:color="auto"/>
      </w:divBdr>
    </w:div>
    <w:div w:id="1170290903">
      <w:bodyDiv w:val="1"/>
      <w:marLeft w:val="0"/>
      <w:marRight w:val="0"/>
      <w:marTop w:val="0"/>
      <w:marBottom w:val="0"/>
      <w:divBdr>
        <w:top w:val="none" w:sz="0" w:space="0" w:color="auto"/>
        <w:left w:val="none" w:sz="0" w:space="0" w:color="auto"/>
        <w:bottom w:val="none" w:sz="0" w:space="0" w:color="auto"/>
        <w:right w:val="none" w:sz="0" w:space="0" w:color="auto"/>
      </w:divBdr>
    </w:div>
    <w:div w:id="1170827362">
      <w:bodyDiv w:val="1"/>
      <w:marLeft w:val="0"/>
      <w:marRight w:val="0"/>
      <w:marTop w:val="0"/>
      <w:marBottom w:val="0"/>
      <w:divBdr>
        <w:top w:val="none" w:sz="0" w:space="0" w:color="auto"/>
        <w:left w:val="none" w:sz="0" w:space="0" w:color="auto"/>
        <w:bottom w:val="none" w:sz="0" w:space="0" w:color="auto"/>
        <w:right w:val="none" w:sz="0" w:space="0" w:color="auto"/>
      </w:divBdr>
    </w:div>
    <w:div w:id="1173766372">
      <w:bodyDiv w:val="1"/>
      <w:marLeft w:val="0"/>
      <w:marRight w:val="0"/>
      <w:marTop w:val="0"/>
      <w:marBottom w:val="0"/>
      <w:divBdr>
        <w:top w:val="none" w:sz="0" w:space="0" w:color="auto"/>
        <w:left w:val="none" w:sz="0" w:space="0" w:color="auto"/>
        <w:bottom w:val="none" w:sz="0" w:space="0" w:color="auto"/>
        <w:right w:val="none" w:sz="0" w:space="0" w:color="auto"/>
      </w:divBdr>
    </w:div>
    <w:div w:id="1214192801">
      <w:bodyDiv w:val="1"/>
      <w:marLeft w:val="0"/>
      <w:marRight w:val="0"/>
      <w:marTop w:val="0"/>
      <w:marBottom w:val="0"/>
      <w:divBdr>
        <w:top w:val="none" w:sz="0" w:space="0" w:color="auto"/>
        <w:left w:val="none" w:sz="0" w:space="0" w:color="auto"/>
        <w:bottom w:val="none" w:sz="0" w:space="0" w:color="auto"/>
        <w:right w:val="none" w:sz="0" w:space="0" w:color="auto"/>
      </w:divBdr>
    </w:div>
    <w:div w:id="1216314566">
      <w:bodyDiv w:val="1"/>
      <w:marLeft w:val="0"/>
      <w:marRight w:val="0"/>
      <w:marTop w:val="0"/>
      <w:marBottom w:val="0"/>
      <w:divBdr>
        <w:top w:val="none" w:sz="0" w:space="0" w:color="auto"/>
        <w:left w:val="none" w:sz="0" w:space="0" w:color="auto"/>
        <w:bottom w:val="none" w:sz="0" w:space="0" w:color="auto"/>
        <w:right w:val="none" w:sz="0" w:space="0" w:color="auto"/>
      </w:divBdr>
    </w:div>
    <w:div w:id="1456410881">
      <w:bodyDiv w:val="1"/>
      <w:marLeft w:val="0"/>
      <w:marRight w:val="0"/>
      <w:marTop w:val="0"/>
      <w:marBottom w:val="0"/>
      <w:divBdr>
        <w:top w:val="none" w:sz="0" w:space="0" w:color="auto"/>
        <w:left w:val="none" w:sz="0" w:space="0" w:color="auto"/>
        <w:bottom w:val="none" w:sz="0" w:space="0" w:color="auto"/>
        <w:right w:val="none" w:sz="0" w:space="0" w:color="auto"/>
      </w:divBdr>
    </w:div>
    <w:div w:id="1513227437">
      <w:bodyDiv w:val="1"/>
      <w:marLeft w:val="0"/>
      <w:marRight w:val="0"/>
      <w:marTop w:val="0"/>
      <w:marBottom w:val="0"/>
      <w:divBdr>
        <w:top w:val="none" w:sz="0" w:space="0" w:color="auto"/>
        <w:left w:val="none" w:sz="0" w:space="0" w:color="auto"/>
        <w:bottom w:val="none" w:sz="0" w:space="0" w:color="auto"/>
        <w:right w:val="none" w:sz="0" w:space="0" w:color="auto"/>
      </w:divBdr>
    </w:div>
    <w:div w:id="1521314522">
      <w:bodyDiv w:val="1"/>
      <w:marLeft w:val="0"/>
      <w:marRight w:val="0"/>
      <w:marTop w:val="0"/>
      <w:marBottom w:val="0"/>
      <w:divBdr>
        <w:top w:val="none" w:sz="0" w:space="0" w:color="auto"/>
        <w:left w:val="none" w:sz="0" w:space="0" w:color="auto"/>
        <w:bottom w:val="none" w:sz="0" w:space="0" w:color="auto"/>
        <w:right w:val="none" w:sz="0" w:space="0" w:color="auto"/>
      </w:divBdr>
    </w:div>
    <w:div w:id="1534877271">
      <w:bodyDiv w:val="1"/>
      <w:marLeft w:val="0"/>
      <w:marRight w:val="0"/>
      <w:marTop w:val="0"/>
      <w:marBottom w:val="0"/>
      <w:divBdr>
        <w:top w:val="none" w:sz="0" w:space="0" w:color="auto"/>
        <w:left w:val="none" w:sz="0" w:space="0" w:color="auto"/>
        <w:bottom w:val="none" w:sz="0" w:space="0" w:color="auto"/>
        <w:right w:val="none" w:sz="0" w:space="0" w:color="auto"/>
      </w:divBdr>
    </w:div>
    <w:div w:id="1545096999">
      <w:bodyDiv w:val="1"/>
      <w:marLeft w:val="0"/>
      <w:marRight w:val="0"/>
      <w:marTop w:val="0"/>
      <w:marBottom w:val="0"/>
      <w:divBdr>
        <w:top w:val="none" w:sz="0" w:space="0" w:color="auto"/>
        <w:left w:val="none" w:sz="0" w:space="0" w:color="auto"/>
        <w:bottom w:val="none" w:sz="0" w:space="0" w:color="auto"/>
        <w:right w:val="none" w:sz="0" w:space="0" w:color="auto"/>
      </w:divBdr>
    </w:div>
    <w:div w:id="1548033737">
      <w:bodyDiv w:val="1"/>
      <w:marLeft w:val="0"/>
      <w:marRight w:val="0"/>
      <w:marTop w:val="0"/>
      <w:marBottom w:val="0"/>
      <w:divBdr>
        <w:top w:val="none" w:sz="0" w:space="0" w:color="auto"/>
        <w:left w:val="none" w:sz="0" w:space="0" w:color="auto"/>
        <w:bottom w:val="none" w:sz="0" w:space="0" w:color="auto"/>
        <w:right w:val="none" w:sz="0" w:space="0" w:color="auto"/>
      </w:divBdr>
    </w:div>
    <w:div w:id="1552768276">
      <w:bodyDiv w:val="1"/>
      <w:marLeft w:val="0"/>
      <w:marRight w:val="0"/>
      <w:marTop w:val="0"/>
      <w:marBottom w:val="0"/>
      <w:divBdr>
        <w:top w:val="none" w:sz="0" w:space="0" w:color="auto"/>
        <w:left w:val="none" w:sz="0" w:space="0" w:color="auto"/>
        <w:bottom w:val="none" w:sz="0" w:space="0" w:color="auto"/>
        <w:right w:val="none" w:sz="0" w:space="0" w:color="auto"/>
      </w:divBdr>
    </w:div>
    <w:div w:id="1617637047">
      <w:bodyDiv w:val="1"/>
      <w:marLeft w:val="0"/>
      <w:marRight w:val="0"/>
      <w:marTop w:val="0"/>
      <w:marBottom w:val="0"/>
      <w:divBdr>
        <w:top w:val="none" w:sz="0" w:space="0" w:color="auto"/>
        <w:left w:val="none" w:sz="0" w:space="0" w:color="auto"/>
        <w:bottom w:val="none" w:sz="0" w:space="0" w:color="auto"/>
        <w:right w:val="none" w:sz="0" w:space="0" w:color="auto"/>
      </w:divBdr>
    </w:div>
    <w:div w:id="1636565895">
      <w:bodyDiv w:val="1"/>
      <w:marLeft w:val="0"/>
      <w:marRight w:val="0"/>
      <w:marTop w:val="0"/>
      <w:marBottom w:val="0"/>
      <w:divBdr>
        <w:top w:val="none" w:sz="0" w:space="0" w:color="auto"/>
        <w:left w:val="none" w:sz="0" w:space="0" w:color="auto"/>
        <w:bottom w:val="none" w:sz="0" w:space="0" w:color="auto"/>
        <w:right w:val="none" w:sz="0" w:space="0" w:color="auto"/>
      </w:divBdr>
    </w:div>
    <w:div w:id="1780295257">
      <w:bodyDiv w:val="1"/>
      <w:marLeft w:val="0"/>
      <w:marRight w:val="0"/>
      <w:marTop w:val="0"/>
      <w:marBottom w:val="0"/>
      <w:divBdr>
        <w:top w:val="none" w:sz="0" w:space="0" w:color="auto"/>
        <w:left w:val="none" w:sz="0" w:space="0" w:color="auto"/>
        <w:bottom w:val="none" w:sz="0" w:space="0" w:color="auto"/>
        <w:right w:val="none" w:sz="0" w:space="0" w:color="auto"/>
      </w:divBdr>
    </w:div>
    <w:div w:id="1974751824">
      <w:bodyDiv w:val="1"/>
      <w:marLeft w:val="0"/>
      <w:marRight w:val="0"/>
      <w:marTop w:val="0"/>
      <w:marBottom w:val="0"/>
      <w:divBdr>
        <w:top w:val="none" w:sz="0" w:space="0" w:color="auto"/>
        <w:left w:val="none" w:sz="0" w:space="0" w:color="auto"/>
        <w:bottom w:val="none" w:sz="0" w:space="0" w:color="auto"/>
        <w:right w:val="none" w:sz="0" w:space="0" w:color="auto"/>
      </w:divBdr>
    </w:div>
    <w:div w:id="1975018587">
      <w:bodyDiv w:val="1"/>
      <w:marLeft w:val="0"/>
      <w:marRight w:val="0"/>
      <w:marTop w:val="0"/>
      <w:marBottom w:val="0"/>
      <w:divBdr>
        <w:top w:val="none" w:sz="0" w:space="0" w:color="auto"/>
        <w:left w:val="none" w:sz="0" w:space="0" w:color="auto"/>
        <w:bottom w:val="none" w:sz="0" w:space="0" w:color="auto"/>
        <w:right w:val="none" w:sz="0" w:space="0" w:color="auto"/>
      </w:divBdr>
    </w:div>
    <w:div w:id="1985770143">
      <w:bodyDiv w:val="1"/>
      <w:marLeft w:val="0"/>
      <w:marRight w:val="0"/>
      <w:marTop w:val="0"/>
      <w:marBottom w:val="0"/>
      <w:divBdr>
        <w:top w:val="none" w:sz="0" w:space="0" w:color="auto"/>
        <w:left w:val="none" w:sz="0" w:space="0" w:color="auto"/>
        <w:bottom w:val="none" w:sz="0" w:space="0" w:color="auto"/>
        <w:right w:val="none" w:sz="0" w:space="0" w:color="auto"/>
      </w:divBdr>
    </w:div>
    <w:div w:id="2005430457">
      <w:bodyDiv w:val="1"/>
      <w:marLeft w:val="0"/>
      <w:marRight w:val="0"/>
      <w:marTop w:val="0"/>
      <w:marBottom w:val="0"/>
      <w:divBdr>
        <w:top w:val="none" w:sz="0" w:space="0" w:color="auto"/>
        <w:left w:val="none" w:sz="0" w:space="0" w:color="auto"/>
        <w:bottom w:val="none" w:sz="0" w:space="0" w:color="auto"/>
        <w:right w:val="none" w:sz="0" w:space="0" w:color="auto"/>
      </w:divBdr>
    </w:div>
    <w:div w:id="213694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tga.gov.au/product-information-pi" TargetMode="External"/><Relationship Id="rId25" Type="http://schemas.openxmlformats.org/officeDocument/2006/relationships/header" Target="header7.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www.tga.gov.au" TargetMode="External"/><Relationship Id="rId28" Type="http://schemas.openxmlformats.org/officeDocument/2006/relationships/footer" Target="footer4.xml"/><Relationship Id="rId10" Type="http://schemas.openxmlformats.org/officeDocument/2006/relationships/hyperlink" Target="mailto:tga.copyright@tga.gov.au" TargetMode="External"/><Relationship Id="rId19" Type="http://schemas.openxmlformats.org/officeDocument/2006/relationships/header" Target="header4.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yperlink" Target="mailto:info@tga.gov.au" TargetMode="External"/><Relationship Id="rId27" Type="http://schemas.openxmlformats.org/officeDocument/2006/relationships/header" Target="header8.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9032\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6AB30-F392-421B-A1B8-F2EE6241F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24</TotalTime>
  <Pages>32</Pages>
  <Words>8738</Words>
  <Characters>49811</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Australian Public Assessment Report for Nivolumab</vt:lpstr>
    </vt:vector>
  </TitlesOfParts>
  <Company>Department of Health Therapeutic Goods Administration</Company>
  <LinksUpToDate>false</LinksUpToDate>
  <CharactersWithSpaces>58433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Nivolumab</dc:title>
  <dc:subject>prescription medicines</dc:subject>
  <dc:creator>Therapeutic Goods Administration</dc:creator>
  <cp:keywords>AusPARs</cp:keywords>
  <cp:lastModifiedBy>LACK, Janet</cp:lastModifiedBy>
  <cp:revision>3</cp:revision>
  <cp:lastPrinted>2018-06-11T23:58:00Z</cp:lastPrinted>
  <dcterms:created xsi:type="dcterms:W3CDTF">2018-08-23T05:26:00Z</dcterms:created>
  <dcterms:modified xsi:type="dcterms:W3CDTF">2018-08-23T05:52:00Z</dcterms:modified>
  <cp:category/>
</cp:coreProperties>
</file>