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FD1A3" w14:textId="77777777" w:rsidR="00312D0B" w:rsidRDefault="004032BD" w:rsidP="000E5B87">
      <w:pPr>
        <w:pStyle w:val="Title"/>
      </w:pPr>
      <w:bookmarkStart w:id="0" w:name="_GoBack"/>
      <w:r w:rsidRPr="003B14A8">
        <w:t xml:space="preserve">Australian </w:t>
      </w:r>
      <w:r w:rsidRPr="000E5B87">
        <w:t>P</w:t>
      </w:r>
      <w:r w:rsidR="00312D0B" w:rsidRPr="000E5B87">
        <w:t>RODUCT</w:t>
      </w:r>
      <w:r w:rsidR="00312D0B">
        <w:t xml:space="preserve"> </w:t>
      </w:r>
      <w:r w:rsidRPr="003B14A8">
        <w:t>I</w:t>
      </w:r>
      <w:r w:rsidR="00312D0B">
        <w:t>NFORMATION</w:t>
      </w:r>
    </w:p>
    <w:bookmarkEnd w:id="0"/>
    <w:p w14:paraId="510597A0" w14:textId="7C9D1140" w:rsidR="004032BD" w:rsidRDefault="003E5E4F" w:rsidP="000C203B">
      <w:pPr>
        <w:pStyle w:val="Title"/>
      </w:pPr>
      <w:r>
        <w:t>OPDIVO</w:t>
      </w:r>
      <w:proofErr w:type="gramStart"/>
      <w:r w:rsidR="004704A9" w:rsidRPr="003B14A8">
        <w:rPr>
          <w:vertAlign w:val="superscript"/>
          <w:lang w:val="en-US"/>
        </w:rPr>
        <w:t>®</w:t>
      </w:r>
      <w:r w:rsidR="0030249B">
        <w:rPr>
          <w:vertAlign w:val="superscript"/>
          <w:lang w:val="en-US"/>
        </w:rPr>
        <w:t xml:space="preserve"> </w:t>
      </w:r>
      <w:r w:rsidR="00312D0B" w:rsidRPr="00312D0B">
        <w:t xml:space="preserve"> </w:t>
      </w:r>
      <w:r w:rsidR="00312D0B">
        <w:t>(</w:t>
      </w:r>
      <w:proofErr w:type="gramEnd"/>
      <w:r w:rsidR="00312D0B">
        <w:t>NIVOLUMAB)</w:t>
      </w:r>
    </w:p>
    <w:tbl>
      <w:tblPr>
        <w:tblStyle w:val="TableGrid"/>
        <w:tblW w:w="9085" w:type="dxa"/>
        <w:tblLook w:val="04A0" w:firstRow="1" w:lastRow="0" w:firstColumn="1" w:lastColumn="0" w:noHBand="0" w:noVBand="1"/>
      </w:tblPr>
      <w:tblGrid>
        <w:gridCol w:w="9085"/>
      </w:tblGrid>
      <w:tr w:rsidR="00AD2CAD" w14:paraId="26444D1D" w14:textId="77777777" w:rsidTr="00597894">
        <w:tc>
          <w:tcPr>
            <w:tcW w:w="9085" w:type="dxa"/>
          </w:tcPr>
          <w:p w14:paraId="582E2A26" w14:textId="533993E7" w:rsidR="00AD2CAD" w:rsidRPr="00597894" w:rsidRDefault="00AD2CAD" w:rsidP="00C00F7A">
            <w:pPr>
              <w:pStyle w:val="Heading2"/>
              <w:numPr>
                <w:ilvl w:val="0"/>
                <w:numId w:val="0"/>
              </w:numPr>
              <w:ind w:left="792" w:hanging="792"/>
              <w:outlineLvl w:val="1"/>
            </w:pPr>
            <w:r w:rsidRPr="00C00F7A">
              <w:t>WARNING: IMMUNE-RELATED ADVERSE REACTIONS WITH OPDIVO AND YERVOY (IPILIMUMAB) COMBINATION THERAPY</w:t>
            </w:r>
            <w:r w:rsidRPr="00597894">
              <w:t>.</w:t>
            </w:r>
          </w:p>
          <w:p w14:paraId="5C0C5ED9" w14:textId="2408853F" w:rsidR="00AD2CAD" w:rsidRPr="004B6E16" w:rsidRDefault="00597894" w:rsidP="004B6E16">
            <w:pPr>
              <w:spacing w:after="160"/>
              <w:rPr>
                <w:b/>
                <w:sz w:val="24"/>
                <w:szCs w:val="24"/>
              </w:rPr>
            </w:pPr>
            <w:r w:rsidRPr="004B6E16">
              <w:rPr>
                <w:b/>
                <w:sz w:val="24"/>
                <w:szCs w:val="24"/>
              </w:rPr>
              <w:t xml:space="preserve">More frequent and more </w:t>
            </w:r>
            <w:r w:rsidR="00AD2CAD" w:rsidRPr="004B6E16">
              <w:rPr>
                <w:b/>
                <w:sz w:val="24"/>
                <w:szCs w:val="24"/>
              </w:rPr>
              <w:t>serious immune-related adverse reac</w:t>
            </w:r>
            <w:r w:rsidRPr="004B6E16">
              <w:rPr>
                <w:b/>
                <w:sz w:val="24"/>
                <w:szCs w:val="24"/>
              </w:rPr>
              <w:t xml:space="preserve">tions are seen with OPDIVO and </w:t>
            </w:r>
            <w:r w:rsidR="00AD2CAD" w:rsidRPr="004B6E16">
              <w:rPr>
                <w:b/>
                <w:sz w:val="24"/>
                <w:szCs w:val="24"/>
              </w:rPr>
              <w:t xml:space="preserve">YERVOY combination therapy than with the use of OPDIVO or YERVOY monotherapy. Potentially life-threatening immune-related adverse reactions including pneumonitis, hepatitis, </w:t>
            </w:r>
            <w:proofErr w:type="spellStart"/>
            <w:r w:rsidR="00AD2CAD" w:rsidRPr="004B6E16">
              <w:rPr>
                <w:b/>
                <w:sz w:val="24"/>
                <w:szCs w:val="24"/>
              </w:rPr>
              <w:t>diarrhoea</w:t>
            </w:r>
            <w:proofErr w:type="spellEnd"/>
            <w:r w:rsidR="00AD2CAD" w:rsidRPr="004B6E16">
              <w:rPr>
                <w:b/>
                <w:sz w:val="24"/>
                <w:szCs w:val="24"/>
              </w:rPr>
              <w:t xml:space="preserve">/colitis, skin adverse reactions, </w:t>
            </w:r>
            <w:proofErr w:type="spellStart"/>
            <w:r w:rsidR="00AD2CAD" w:rsidRPr="004B6E16">
              <w:rPr>
                <w:b/>
                <w:sz w:val="24"/>
                <w:szCs w:val="24"/>
              </w:rPr>
              <w:t>hypophysitis</w:t>
            </w:r>
            <w:proofErr w:type="spellEnd"/>
            <w:r w:rsidR="00AD2CAD" w:rsidRPr="004B6E16">
              <w:rPr>
                <w:b/>
                <w:sz w:val="24"/>
                <w:szCs w:val="24"/>
              </w:rPr>
              <w:t xml:space="preserve"> and thyroid dysfunction as well as immune related adverse reactions in other organ systems have been observed.</w:t>
            </w:r>
          </w:p>
          <w:p w14:paraId="619F9CA5" w14:textId="77777777" w:rsidR="00AD2CAD" w:rsidRPr="004B6E16" w:rsidRDefault="00AD2CAD" w:rsidP="004B6E16">
            <w:pPr>
              <w:spacing w:after="160"/>
              <w:rPr>
                <w:b/>
                <w:sz w:val="24"/>
                <w:szCs w:val="24"/>
              </w:rPr>
            </w:pPr>
            <w:r w:rsidRPr="004B6E16">
              <w:rPr>
                <w:b/>
                <w:sz w:val="24"/>
                <w:szCs w:val="24"/>
              </w:rPr>
              <w:t>Physicians should consult the YERVOY product information prior to initiation of OPDIVO in combination with YERVOY.</w:t>
            </w:r>
          </w:p>
          <w:p w14:paraId="434962C6" w14:textId="77777777" w:rsidR="00AD2CAD" w:rsidRPr="004B6E16" w:rsidRDefault="00AD2CAD" w:rsidP="004B6E16">
            <w:pPr>
              <w:spacing w:after="160"/>
              <w:rPr>
                <w:b/>
                <w:sz w:val="24"/>
                <w:szCs w:val="24"/>
                <w:lang w:val="en-AU"/>
              </w:rPr>
            </w:pPr>
            <w:r w:rsidRPr="004B6E16">
              <w:rPr>
                <w:b/>
                <w:sz w:val="24"/>
                <w:szCs w:val="24"/>
                <w:lang w:val="en-AU"/>
              </w:rPr>
              <w:t xml:space="preserve">It is recommended that the combination of OPDIVO and YERVOY should be administered and monitored under the supervision of physicians experienced with the use of immunotherapy in the treatment of </w:t>
            </w:r>
            <w:proofErr w:type="spellStart"/>
            <w:r w:rsidRPr="004B6E16">
              <w:rPr>
                <w:b/>
                <w:sz w:val="24"/>
                <w:szCs w:val="24"/>
                <w:lang w:val="en-AU"/>
              </w:rPr>
              <w:t>unresectable</w:t>
            </w:r>
            <w:proofErr w:type="spellEnd"/>
            <w:r w:rsidRPr="004B6E16">
              <w:rPr>
                <w:b/>
                <w:sz w:val="24"/>
                <w:szCs w:val="24"/>
                <w:lang w:val="en-AU"/>
              </w:rPr>
              <w:t xml:space="preserve"> or metastatic melanoma. </w:t>
            </w:r>
          </w:p>
          <w:p w14:paraId="00E68336" w14:textId="49A4E642" w:rsidR="00AD2CAD" w:rsidRDefault="00AD2CAD" w:rsidP="005621A7">
            <w:pPr>
              <w:spacing w:after="160"/>
            </w:pPr>
            <w:r w:rsidRPr="004B6E16">
              <w:rPr>
                <w:b/>
                <w:sz w:val="24"/>
                <w:szCs w:val="24"/>
              </w:rPr>
              <w:t xml:space="preserve">Early diagnosis and appropriate management are essential to </w:t>
            </w:r>
            <w:proofErr w:type="spellStart"/>
            <w:r w:rsidRPr="004B6E16">
              <w:rPr>
                <w:b/>
                <w:sz w:val="24"/>
                <w:szCs w:val="24"/>
              </w:rPr>
              <w:t>minimise</w:t>
            </w:r>
            <w:proofErr w:type="spellEnd"/>
            <w:r w:rsidRPr="004B6E16">
              <w:rPr>
                <w:b/>
                <w:sz w:val="24"/>
                <w:szCs w:val="24"/>
              </w:rPr>
              <w:t xml:space="preserve"> life-threatening complications (</w:t>
            </w:r>
            <w:r w:rsidR="00310419" w:rsidRPr="004B6E16">
              <w:rPr>
                <w:b/>
                <w:sz w:val="24"/>
                <w:szCs w:val="24"/>
              </w:rPr>
              <w:t>see Sections 4.2 Dose and method of administration, 4.4 Special warnings and precautions for use and 4.8 Adverse Effects</w:t>
            </w:r>
            <w:r w:rsidRPr="004B6E16">
              <w:rPr>
                <w:b/>
                <w:sz w:val="24"/>
                <w:szCs w:val="24"/>
              </w:rPr>
              <w:t>).</w:t>
            </w:r>
          </w:p>
        </w:tc>
      </w:tr>
    </w:tbl>
    <w:p w14:paraId="54F134D8" w14:textId="77777777" w:rsidR="001A3992" w:rsidRDefault="001A3992" w:rsidP="004B6E16">
      <w:pPr>
        <w:pStyle w:val="Heading1"/>
      </w:pPr>
      <w:r w:rsidRPr="003B14A8">
        <w:t>Name of the medicine</w:t>
      </w:r>
    </w:p>
    <w:p w14:paraId="61F15694" w14:textId="54826ACC" w:rsidR="003E5E4F" w:rsidRPr="000D1179" w:rsidRDefault="003E5E4F" w:rsidP="00960083">
      <w:pPr>
        <w:rPr>
          <w:noProof/>
        </w:rPr>
      </w:pPr>
      <w:r w:rsidRPr="000D1179">
        <w:t xml:space="preserve">OPDIVO </w:t>
      </w:r>
      <w:r w:rsidRPr="000D1179">
        <w:rPr>
          <w:vertAlign w:val="superscript"/>
        </w:rPr>
        <w:t>®</w:t>
      </w:r>
      <w:r w:rsidRPr="000D1179">
        <w:t xml:space="preserve"> (</w:t>
      </w:r>
      <w:proofErr w:type="spellStart"/>
      <w:r w:rsidRPr="000D1179">
        <w:t>nivolumab</w:t>
      </w:r>
      <w:proofErr w:type="spellEnd"/>
      <w:r w:rsidRPr="000D1179">
        <w:t xml:space="preserve">) </w:t>
      </w:r>
    </w:p>
    <w:p w14:paraId="40A1BF9F" w14:textId="77777777" w:rsidR="001A3992" w:rsidRDefault="001A3992" w:rsidP="004B6E16">
      <w:pPr>
        <w:pStyle w:val="Heading1"/>
      </w:pPr>
      <w:r w:rsidRPr="003B14A8">
        <w:t>Qualitative and quantitative composition</w:t>
      </w:r>
    </w:p>
    <w:p w14:paraId="65258399" w14:textId="73CBEA28" w:rsidR="00C75E2B" w:rsidRDefault="00C75E2B" w:rsidP="00EE5D4D">
      <w:pPr>
        <w:pStyle w:val="EMEABodyText"/>
        <w:rPr>
          <w:szCs w:val="22"/>
        </w:rPr>
      </w:pPr>
      <w:r w:rsidRPr="000D1179">
        <w:t>10</w:t>
      </w:r>
      <w:r w:rsidRPr="000D1179">
        <w:rPr>
          <w:noProof/>
        </w:rPr>
        <w:t> mg/mL concentrate solution for infusion</w:t>
      </w:r>
    </w:p>
    <w:p w14:paraId="72E2021A" w14:textId="77777777" w:rsidR="00C75E2B" w:rsidRDefault="00C75E2B" w:rsidP="00EE5D4D">
      <w:pPr>
        <w:pStyle w:val="EMEABodyText"/>
        <w:rPr>
          <w:szCs w:val="22"/>
        </w:rPr>
      </w:pPr>
    </w:p>
    <w:p w14:paraId="37B3D690" w14:textId="07521450" w:rsidR="00EE5D4D" w:rsidRPr="004F3718" w:rsidRDefault="00EE5D4D" w:rsidP="00EE5D4D">
      <w:pPr>
        <w:pStyle w:val="EMEABodyText"/>
        <w:rPr>
          <w:szCs w:val="22"/>
        </w:rPr>
      </w:pPr>
      <w:r w:rsidRPr="004F3718">
        <w:rPr>
          <w:szCs w:val="22"/>
        </w:rPr>
        <w:t xml:space="preserve">Each 1 mL of concentrate contains 10 mg of </w:t>
      </w:r>
      <w:proofErr w:type="spellStart"/>
      <w:r w:rsidRPr="004F3718">
        <w:rPr>
          <w:szCs w:val="22"/>
        </w:rPr>
        <w:t>nivolumab</w:t>
      </w:r>
      <w:proofErr w:type="spellEnd"/>
      <w:r w:rsidRPr="004F3718">
        <w:rPr>
          <w:szCs w:val="22"/>
        </w:rPr>
        <w:t>.</w:t>
      </w:r>
    </w:p>
    <w:p w14:paraId="093B2A35" w14:textId="77777777" w:rsidR="00EE5D4D" w:rsidRPr="004F3718" w:rsidRDefault="00EE5D4D" w:rsidP="00EE5D4D">
      <w:pPr>
        <w:pStyle w:val="EMEABodyText"/>
        <w:rPr>
          <w:szCs w:val="22"/>
        </w:rPr>
      </w:pPr>
      <w:r w:rsidRPr="004F3718">
        <w:rPr>
          <w:szCs w:val="22"/>
        </w:rPr>
        <w:t xml:space="preserve">One 10 mL vial contains 40 mg of </w:t>
      </w:r>
      <w:proofErr w:type="spellStart"/>
      <w:r w:rsidRPr="004F3718">
        <w:rPr>
          <w:szCs w:val="22"/>
        </w:rPr>
        <w:t>nivolumab</w:t>
      </w:r>
      <w:proofErr w:type="spellEnd"/>
      <w:r w:rsidRPr="004F3718">
        <w:rPr>
          <w:szCs w:val="22"/>
        </w:rPr>
        <w:t xml:space="preserve"> in 4mL.</w:t>
      </w:r>
    </w:p>
    <w:p w14:paraId="3DCEE934" w14:textId="77777777" w:rsidR="00EE5D4D" w:rsidRPr="00014220" w:rsidRDefault="00EE5D4D" w:rsidP="004F3718">
      <w:pPr>
        <w:rPr>
          <w:sz w:val="24"/>
        </w:rPr>
      </w:pPr>
      <w:r w:rsidRPr="004F3718">
        <w:t xml:space="preserve">One 10 mL vial contains 100 mg of </w:t>
      </w:r>
      <w:proofErr w:type="spellStart"/>
      <w:r w:rsidRPr="004F3718">
        <w:t>nivolumab</w:t>
      </w:r>
      <w:proofErr w:type="spellEnd"/>
      <w:r w:rsidRPr="004F3718">
        <w:t xml:space="preserve"> in 10mL</w:t>
      </w:r>
      <w:r w:rsidRPr="00014220">
        <w:rPr>
          <w:sz w:val="24"/>
        </w:rPr>
        <w:t>.</w:t>
      </w:r>
    </w:p>
    <w:p w14:paraId="1B753A41" w14:textId="642E3017" w:rsidR="003E5E4F" w:rsidRDefault="003E5E4F" w:rsidP="004F3718">
      <w:pPr>
        <w:rPr>
          <w:snapToGrid w:val="0"/>
        </w:rPr>
      </w:pPr>
      <w:r w:rsidRPr="000D1179">
        <w:rPr>
          <w:snapToGrid w:val="0"/>
        </w:rPr>
        <w:t>OPDIVO (</w:t>
      </w:r>
      <w:proofErr w:type="spellStart"/>
      <w:r w:rsidRPr="000D1179">
        <w:rPr>
          <w:snapToGrid w:val="0"/>
        </w:rPr>
        <w:t>nivolumab</w:t>
      </w:r>
      <w:proofErr w:type="spellEnd"/>
      <w:r w:rsidRPr="000D1179">
        <w:rPr>
          <w:snapToGrid w:val="0"/>
        </w:rPr>
        <w:t xml:space="preserve"> (</w:t>
      </w:r>
      <w:proofErr w:type="spellStart"/>
      <w:r w:rsidRPr="000D1179">
        <w:rPr>
          <w:snapToGrid w:val="0"/>
        </w:rPr>
        <w:t>rch</w:t>
      </w:r>
      <w:proofErr w:type="spellEnd"/>
      <w:r w:rsidRPr="000D1179">
        <w:rPr>
          <w:snapToGrid w:val="0"/>
        </w:rPr>
        <w:t>)) is a fully human anti-PD-1 monoclonal antibody (IgG4) produced in mammalian (Chinese hamster ovary</w:t>
      </w:r>
      <w:r>
        <w:rPr>
          <w:snapToGrid w:val="0"/>
        </w:rPr>
        <w:t>)</w:t>
      </w:r>
      <w:r w:rsidRPr="000D1179">
        <w:rPr>
          <w:snapToGrid w:val="0"/>
        </w:rPr>
        <w:t xml:space="preserve"> cells by recombinant DNA technology.</w:t>
      </w:r>
    </w:p>
    <w:p w14:paraId="1405ADA0" w14:textId="77777777" w:rsidR="00EE5D4D" w:rsidRPr="00EF37E4" w:rsidRDefault="00EE5D4D" w:rsidP="00714903">
      <w:r w:rsidRPr="00714903">
        <w:rPr>
          <w:b/>
        </w:rPr>
        <w:t>Excipient with known effect</w:t>
      </w:r>
    </w:p>
    <w:p w14:paraId="38E283FB" w14:textId="77777777" w:rsidR="00EE5D4D" w:rsidRPr="00EE5D4D" w:rsidRDefault="00EE5D4D" w:rsidP="004F3718">
      <w:pPr>
        <w:rPr>
          <w:snapToGrid w:val="0"/>
          <w:lang w:val="en-US"/>
        </w:rPr>
      </w:pPr>
      <w:r w:rsidRPr="00EE5D4D">
        <w:rPr>
          <w:snapToGrid w:val="0"/>
          <w:lang w:val="en-US"/>
        </w:rPr>
        <w:t>Each 1 mL of concentrate contains 0.1 </w:t>
      </w:r>
      <w:proofErr w:type="spellStart"/>
      <w:r w:rsidRPr="00EE5D4D">
        <w:rPr>
          <w:snapToGrid w:val="0"/>
          <w:lang w:val="en-US"/>
        </w:rPr>
        <w:t>mmol</w:t>
      </w:r>
      <w:proofErr w:type="spellEnd"/>
      <w:r w:rsidRPr="00EE5D4D">
        <w:rPr>
          <w:snapToGrid w:val="0"/>
          <w:lang w:val="en-US"/>
        </w:rPr>
        <w:t xml:space="preserve"> (or 2.5 mg) sodium.</w:t>
      </w:r>
    </w:p>
    <w:p w14:paraId="1855739E" w14:textId="77777777" w:rsidR="00EE5D4D" w:rsidRPr="00BA5EB4" w:rsidRDefault="00EE5D4D" w:rsidP="002503AB">
      <w:pPr>
        <w:pStyle w:val="Heading4"/>
        <w:rPr>
          <w:noProof/>
        </w:rPr>
      </w:pPr>
      <w:r w:rsidRPr="00EE5D4D">
        <w:rPr>
          <w:snapToGrid w:val="0"/>
          <w:lang w:val="en-US"/>
        </w:rPr>
        <w:t>For the full list of excipients, see section 6.1</w:t>
      </w:r>
      <w:r w:rsidRPr="00BA5EB4">
        <w:rPr>
          <w:noProof/>
        </w:rPr>
        <w:t>.</w:t>
      </w:r>
    </w:p>
    <w:p w14:paraId="3F527148" w14:textId="77777777" w:rsidR="001A3992" w:rsidRDefault="001A3992" w:rsidP="004B6E16">
      <w:pPr>
        <w:pStyle w:val="Heading1"/>
      </w:pPr>
      <w:r w:rsidRPr="003B14A8">
        <w:t>Pharmaceutical form</w:t>
      </w:r>
    </w:p>
    <w:p w14:paraId="4DACE5D3" w14:textId="77777777" w:rsidR="00EE5D4D" w:rsidRPr="00242A03" w:rsidRDefault="00EE5D4D" w:rsidP="004F3718">
      <w:pPr>
        <w:rPr>
          <w:snapToGrid w:val="0"/>
          <w:lang w:val="en-US"/>
        </w:rPr>
      </w:pPr>
      <w:r w:rsidRPr="00242A03">
        <w:rPr>
          <w:snapToGrid w:val="0"/>
          <w:lang w:val="en-US"/>
        </w:rPr>
        <w:t>Concentrate for solution for infusion.</w:t>
      </w:r>
    </w:p>
    <w:p w14:paraId="10136205" w14:textId="69E22FB7" w:rsidR="00EE22DA" w:rsidRDefault="00EE5D4D" w:rsidP="004F3718">
      <w:pPr>
        <w:rPr>
          <w:snapToGrid w:val="0"/>
          <w:lang w:val="en-US"/>
        </w:rPr>
      </w:pPr>
      <w:r w:rsidRPr="00242A03">
        <w:rPr>
          <w:snapToGrid w:val="0"/>
          <w:lang w:val="en-US"/>
        </w:rPr>
        <w:t xml:space="preserve">Clear to opalescent, colorless to pale yellow liquid that may contain few light particles. The solution has a pH of approximately 6.0 and an </w:t>
      </w:r>
      <w:proofErr w:type="spellStart"/>
      <w:r w:rsidRPr="00242A03">
        <w:rPr>
          <w:snapToGrid w:val="0"/>
          <w:lang w:val="en-US"/>
        </w:rPr>
        <w:t>osmolarity</w:t>
      </w:r>
      <w:proofErr w:type="spellEnd"/>
      <w:r w:rsidRPr="00242A03">
        <w:rPr>
          <w:snapToGrid w:val="0"/>
          <w:lang w:val="en-US"/>
        </w:rPr>
        <w:t xml:space="preserve"> </w:t>
      </w:r>
      <w:proofErr w:type="gramStart"/>
      <w:r w:rsidRPr="00242A03">
        <w:rPr>
          <w:snapToGrid w:val="0"/>
          <w:lang w:val="en-US"/>
        </w:rPr>
        <w:t>of approximately 340 </w:t>
      </w:r>
      <w:proofErr w:type="spellStart"/>
      <w:r w:rsidRPr="00242A03">
        <w:rPr>
          <w:snapToGrid w:val="0"/>
          <w:lang w:val="en-US"/>
        </w:rPr>
        <w:t>mOsm</w:t>
      </w:r>
      <w:proofErr w:type="spellEnd"/>
      <w:r w:rsidRPr="00242A03">
        <w:rPr>
          <w:snapToGrid w:val="0"/>
          <w:lang w:val="en-US"/>
        </w:rPr>
        <w:t>/kg</w:t>
      </w:r>
      <w:proofErr w:type="gramEnd"/>
      <w:r w:rsidRPr="00242A03">
        <w:rPr>
          <w:snapToGrid w:val="0"/>
          <w:lang w:val="en-US"/>
        </w:rPr>
        <w:t>.</w:t>
      </w:r>
    </w:p>
    <w:p w14:paraId="254D65E9" w14:textId="77777777" w:rsidR="00EE22DA" w:rsidRDefault="00EE22DA">
      <w:pPr>
        <w:spacing w:line="276" w:lineRule="auto"/>
        <w:jc w:val="left"/>
        <w:rPr>
          <w:snapToGrid w:val="0"/>
          <w:lang w:val="en-US"/>
        </w:rPr>
      </w:pPr>
      <w:r>
        <w:rPr>
          <w:snapToGrid w:val="0"/>
          <w:lang w:val="en-US"/>
        </w:rPr>
        <w:br w:type="page"/>
      </w:r>
    </w:p>
    <w:p w14:paraId="58C6FC72" w14:textId="77777777" w:rsidR="001A3992" w:rsidRPr="003B14A8" w:rsidRDefault="001A3992" w:rsidP="004B6E16">
      <w:pPr>
        <w:pStyle w:val="Heading1"/>
      </w:pPr>
      <w:r w:rsidRPr="003B14A8">
        <w:lastRenderedPageBreak/>
        <w:t xml:space="preserve">Clinical </w:t>
      </w:r>
      <w:r w:rsidRPr="00C00F7A">
        <w:t>particulars</w:t>
      </w:r>
    </w:p>
    <w:p w14:paraId="64CF8B96" w14:textId="3FB38FCD" w:rsidR="001A3992" w:rsidRPr="00690E42" w:rsidRDefault="003B14A8" w:rsidP="00690E42">
      <w:pPr>
        <w:pStyle w:val="Heading2"/>
      </w:pPr>
      <w:r w:rsidRPr="00690E42">
        <w:t>Therapeutic indications</w:t>
      </w:r>
    </w:p>
    <w:p w14:paraId="40A034DB" w14:textId="64E1D116" w:rsidR="00B07255" w:rsidRDefault="00B07255" w:rsidP="003E47FA">
      <w:pPr>
        <w:pStyle w:val="Heading3"/>
      </w:pPr>
      <w:r w:rsidRPr="00B07255">
        <w:t>Melanoma</w:t>
      </w:r>
    </w:p>
    <w:p w14:paraId="35C62717" w14:textId="77777777" w:rsidR="00ED63FA" w:rsidRDefault="00ED63FA" w:rsidP="00ED63FA">
      <w:pPr>
        <w:rPr>
          <w:snapToGrid w:val="0"/>
          <w:lang w:val="en-US"/>
        </w:rPr>
      </w:pPr>
      <w:r>
        <w:rPr>
          <w:snapToGrid w:val="0"/>
          <w:lang w:val="en-US"/>
        </w:rPr>
        <w:t xml:space="preserve">OPDIVO, as monotherapy is indicated for the adjuvant treatment of patients with melanoma with involvement of lymph nodes or metastatic disease </w:t>
      </w:r>
      <w:proofErr w:type="gramStart"/>
      <w:r>
        <w:rPr>
          <w:snapToGrid w:val="0"/>
          <w:lang w:val="en-US"/>
        </w:rPr>
        <w:t>who</w:t>
      </w:r>
      <w:proofErr w:type="gramEnd"/>
      <w:r>
        <w:rPr>
          <w:snapToGrid w:val="0"/>
          <w:lang w:val="en-US"/>
        </w:rPr>
        <w:t xml:space="preserve"> have undergone complete resection.</w:t>
      </w:r>
    </w:p>
    <w:p w14:paraId="45626E27" w14:textId="535201A0" w:rsidR="00EE5D4D" w:rsidRDefault="00EE5D4D" w:rsidP="004F3718">
      <w:pPr>
        <w:rPr>
          <w:snapToGrid w:val="0"/>
          <w:lang w:val="en-US"/>
        </w:rPr>
      </w:pPr>
      <w:r w:rsidRPr="00EE5D4D">
        <w:rPr>
          <w:snapToGrid w:val="0"/>
          <w:lang w:val="en-US"/>
        </w:rPr>
        <w:t xml:space="preserve">OPDIVO, as monotherapy is indicated for the treatment of patients with </w:t>
      </w:r>
      <w:proofErr w:type="spellStart"/>
      <w:r w:rsidRPr="00EE5D4D">
        <w:rPr>
          <w:snapToGrid w:val="0"/>
          <w:lang w:val="en-US"/>
        </w:rPr>
        <w:t>unresectable</w:t>
      </w:r>
      <w:proofErr w:type="spellEnd"/>
      <w:r w:rsidRPr="00EE5D4D">
        <w:rPr>
          <w:snapToGrid w:val="0"/>
          <w:lang w:val="en-US"/>
        </w:rPr>
        <w:t xml:space="preserve"> (Stage III) or metastatic (Stage IV) melanoma.</w:t>
      </w:r>
    </w:p>
    <w:p w14:paraId="6F7FDDDC" w14:textId="51488F0D" w:rsidR="00EE5D4D" w:rsidRDefault="00EE5D4D" w:rsidP="004F3718">
      <w:pPr>
        <w:rPr>
          <w:snapToGrid w:val="0"/>
          <w:lang w:val="en-US"/>
        </w:rPr>
      </w:pPr>
      <w:r w:rsidRPr="00EE5D4D">
        <w:rPr>
          <w:snapToGrid w:val="0"/>
          <w:lang w:val="en-US"/>
        </w:rPr>
        <w:t>OPDIVO, in combination with YERVOY (</w:t>
      </w:r>
      <w:proofErr w:type="spellStart"/>
      <w:r w:rsidRPr="00EE5D4D">
        <w:rPr>
          <w:snapToGrid w:val="0"/>
          <w:lang w:val="en-US"/>
        </w:rPr>
        <w:t>ipilimumab</w:t>
      </w:r>
      <w:proofErr w:type="spellEnd"/>
      <w:r w:rsidRPr="00EE5D4D">
        <w:rPr>
          <w:snapToGrid w:val="0"/>
          <w:lang w:val="en-US"/>
        </w:rPr>
        <w:t>) is indicated for the treatment of patients with metastatic (Stage IV) melanoma with M1c disease or elevated lactic dehydrogenase (LDH).</w:t>
      </w:r>
    </w:p>
    <w:p w14:paraId="5792EE8D" w14:textId="21449122" w:rsidR="00B07255" w:rsidRPr="00B07255" w:rsidRDefault="00B07255" w:rsidP="003E47FA">
      <w:pPr>
        <w:pStyle w:val="Heading3"/>
      </w:pPr>
      <w:r w:rsidRPr="00B07255">
        <w:t>Non-Small Cell Lung Cancer (NSCLC)</w:t>
      </w:r>
    </w:p>
    <w:p w14:paraId="0DD60896" w14:textId="77777777" w:rsidR="00EE5D4D" w:rsidRDefault="00EE5D4D" w:rsidP="004F3718">
      <w:pPr>
        <w:rPr>
          <w:snapToGrid w:val="0"/>
          <w:lang w:val="en-US"/>
        </w:rPr>
      </w:pPr>
      <w:r w:rsidRPr="00EE5D4D">
        <w:rPr>
          <w:snapToGrid w:val="0"/>
          <w:lang w:val="en-US"/>
        </w:rPr>
        <w:t>OPDIVO, as monotherapy is indicated for the treatment of locally advanced or metastatic squamous non-small cell lung cancer (NSCLC) with progression on or after prior chemotherapy.</w:t>
      </w:r>
    </w:p>
    <w:p w14:paraId="2660A093" w14:textId="02A1A225" w:rsidR="00EE5D4D" w:rsidRPr="00EE5D4D" w:rsidRDefault="00EE5D4D" w:rsidP="004F3718">
      <w:pPr>
        <w:rPr>
          <w:snapToGrid w:val="0"/>
          <w:lang w:val="en-US"/>
        </w:rPr>
      </w:pPr>
      <w:r w:rsidRPr="00EE5D4D">
        <w:rPr>
          <w:snapToGrid w:val="0"/>
          <w:lang w:val="en-US"/>
        </w:rPr>
        <w:t xml:space="preserve">OPDIVO, as monotherapy is indicated for the treatment of locally advanced or metastatic non squamous non-small cell lung cancer (NSCLC) with progression on or after prior chemotherapy. In patients with </w:t>
      </w:r>
      <w:proofErr w:type="spellStart"/>
      <w:r w:rsidRPr="00EE5D4D">
        <w:rPr>
          <w:snapToGrid w:val="0"/>
          <w:lang w:val="en-US"/>
        </w:rPr>
        <w:t>tumour</w:t>
      </w:r>
      <w:proofErr w:type="spellEnd"/>
      <w:r w:rsidRPr="00EE5D4D">
        <w:rPr>
          <w:snapToGrid w:val="0"/>
          <w:lang w:val="en-US"/>
        </w:rPr>
        <w:t xml:space="preserve"> EGFR or ALK genomic aberrations, OPDIVO should be used after progression on or after targeted therapy. </w:t>
      </w:r>
    </w:p>
    <w:p w14:paraId="4934BA41" w14:textId="5D169AD1" w:rsidR="00B07255" w:rsidRDefault="00B07255" w:rsidP="003E47FA">
      <w:pPr>
        <w:pStyle w:val="Heading3"/>
      </w:pPr>
      <w:r>
        <w:t>Renal Cell Carcinoma (RCC)</w:t>
      </w:r>
    </w:p>
    <w:p w14:paraId="78C9FFDC" w14:textId="0F8A56E8" w:rsidR="00EE5D4D" w:rsidRPr="00EE5D4D" w:rsidRDefault="00EE5D4D" w:rsidP="004F3718">
      <w:pPr>
        <w:rPr>
          <w:snapToGrid w:val="0"/>
          <w:lang w:val="en-US"/>
        </w:rPr>
      </w:pPr>
      <w:r w:rsidRPr="00EE5D4D">
        <w:rPr>
          <w:snapToGrid w:val="0"/>
          <w:lang w:val="en-US"/>
        </w:rPr>
        <w:t>OPDIVO as monotherapy is indicated for the treatment of patients with advanced clear cell renal cell carcinoma after prior anti-angiogenic therapy in adults.</w:t>
      </w:r>
    </w:p>
    <w:p w14:paraId="0CBE48FF" w14:textId="798D3BE0" w:rsidR="00B07255" w:rsidRDefault="00B07255" w:rsidP="003E47FA">
      <w:pPr>
        <w:pStyle w:val="Heading3"/>
      </w:pPr>
      <w:r>
        <w:t>Classical Hodgkin lymphoma (cHL)</w:t>
      </w:r>
    </w:p>
    <w:p w14:paraId="070F0556" w14:textId="160AAE7B" w:rsidR="00EE5D4D" w:rsidRPr="00EE5D4D" w:rsidRDefault="00EE5D4D" w:rsidP="004F3718">
      <w:pPr>
        <w:rPr>
          <w:snapToGrid w:val="0"/>
          <w:lang w:val="en-US"/>
        </w:rPr>
      </w:pPr>
      <w:r w:rsidRPr="00EE5D4D">
        <w:rPr>
          <w:snapToGrid w:val="0"/>
          <w:lang w:val="en-US"/>
        </w:rPr>
        <w:t>OPDIVO, as monotherapy is indicated for the treatment of adult patients with relapsed or refractory classical Hodgkin lymphoma (</w:t>
      </w:r>
      <w:proofErr w:type="spellStart"/>
      <w:r w:rsidRPr="00EE5D4D">
        <w:rPr>
          <w:snapToGrid w:val="0"/>
          <w:lang w:val="en-US"/>
        </w:rPr>
        <w:t>cHL</w:t>
      </w:r>
      <w:proofErr w:type="spellEnd"/>
      <w:r w:rsidRPr="00EE5D4D">
        <w:rPr>
          <w:snapToGrid w:val="0"/>
          <w:lang w:val="en-US"/>
        </w:rPr>
        <w:t xml:space="preserve">) after autologous stem cell transplant and treatment with </w:t>
      </w:r>
      <w:proofErr w:type="spellStart"/>
      <w:r w:rsidRPr="00EE5D4D">
        <w:rPr>
          <w:snapToGrid w:val="0"/>
          <w:lang w:val="en-US"/>
        </w:rPr>
        <w:t>brentuximab</w:t>
      </w:r>
      <w:proofErr w:type="spellEnd"/>
      <w:r w:rsidRPr="00EE5D4D">
        <w:rPr>
          <w:snapToGrid w:val="0"/>
          <w:lang w:val="en-US"/>
        </w:rPr>
        <w:t xml:space="preserve"> </w:t>
      </w:r>
      <w:proofErr w:type="spellStart"/>
      <w:r w:rsidRPr="00EE5D4D">
        <w:rPr>
          <w:snapToGrid w:val="0"/>
          <w:lang w:val="en-US"/>
        </w:rPr>
        <w:t>vedotin</w:t>
      </w:r>
      <w:proofErr w:type="spellEnd"/>
      <w:r w:rsidRPr="00EE5D4D">
        <w:rPr>
          <w:snapToGrid w:val="0"/>
          <w:lang w:val="en-US"/>
        </w:rPr>
        <w:t>. The approval of this indication is based on objective response rate</w:t>
      </w:r>
      <w:r w:rsidR="00AC758E">
        <w:rPr>
          <w:snapToGrid w:val="0"/>
          <w:lang w:val="en-US"/>
        </w:rPr>
        <w:t xml:space="preserve"> in a single arm study</w:t>
      </w:r>
      <w:r w:rsidRPr="00EE5D4D">
        <w:rPr>
          <w:snapToGrid w:val="0"/>
          <w:lang w:val="en-US"/>
        </w:rPr>
        <w:t xml:space="preserve">.  </w:t>
      </w:r>
    </w:p>
    <w:p w14:paraId="23A50852" w14:textId="7F244DF1" w:rsidR="00B07255" w:rsidRDefault="00B07255" w:rsidP="003E47FA">
      <w:pPr>
        <w:pStyle w:val="Heading3"/>
      </w:pPr>
      <w:r>
        <w:t>Squamous Cell Carcinoma of the Head and Neck (SCCHN)</w:t>
      </w:r>
    </w:p>
    <w:p w14:paraId="664C78CD" w14:textId="603098BF" w:rsidR="00EE5D4D" w:rsidRDefault="00EE5D4D" w:rsidP="004F3718">
      <w:pPr>
        <w:rPr>
          <w:snapToGrid w:val="0"/>
          <w:lang w:val="en-US"/>
        </w:rPr>
      </w:pPr>
      <w:r w:rsidRPr="00EE5D4D">
        <w:rPr>
          <w:snapToGrid w:val="0"/>
          <w:lang w:val="en-US"/>
        </w:rPr>
        <w:t>OPDIVO as monotherapy is indicated for the treatment of recurrent or metastatic squamous cell cancer of the head and neck in adults progressing on or after platinum based therapy.</w:t>
      </w:r>
    </w:p>
    <w:p w14:paraId="4360BBA4" w14:textId="00EF59A3" w:rsidR="00B80CB5" w:rsidRDefault="00B80CB5" w:rsidP="00AC758E">
      <w:pPr>
        <w:pStyle w:val="Heading3"/>
      </w:pPr>
      <w:r>
        <w:t>Urothelial Carcinoma</w:t>
      </w:r>
    </w:p>
    <w:p w14:paraId="4963D86A" w14:textId="696DAEB8" w:rsidR="00B80CB5" w:rsidRDefault="00B80CB5" w:rsidP="00B80CB5">
      <w:r>
        <w:t xml:space="preserve">OPDIVO, </w:t>
      </w:r>
      <w:r w:rsidRPr="00FF7C9A">
        <w:t>as monotherapy</w:t>
      </w:r>
      <w:r>
        <w:t xml:space="preserve"> is indicated for the treatment of patients with locally advanced </w:t>
      </w:r>
      <w:proofErr w:type="spellStart"/>
      <w:r>
        <w:t>unresectable</w:t>
      </w:r>
      <w:proofErr w:type="spellEnd"/>
      <w:r>
        <w:t xml:space="preserve"> or metastatic urothelial carcinoma after prior platinum-containing therapy.  </w:t>
      </w:r>
      <w:r w:rsidRPr="0067671F">
        <w:rPr>
          <w:color w:val="000000" w:themeColor="text1"/>
        </w:rPr>
        <w:t>The approval of this indication is based on objective response rate</w:t>
      </w:r>
      <w:r>
        <w:rPr>
          <w:color w:val="000000" w:themeColor="text1"/>
        </w:rPr>
        <w:t xml:space="preserve"> and duration of response</w:t>
      </w:r>
      <w:r w:rsidR="00AC758E">
        <w:rPr>
          <w:color w:val="000000" w:themeColor="text1"/>
        </w:rPr>
        <w:t xml:space="preserve"> in a single arm study</w:t>
      </w:r>
      <w:r w:rsidRPr="0067671F">
        <w:rPr>
          <w:color w:val="000000" w:themeColor="text1"/>
        </w:rPr>
        <w:t xml:space="preserve">.  </w:t>
      </w:r>
    </w:p>
    <w:p w14:paraId="4D307C13" w14:textId="10994CFF" w:rsidR="001A3992" w:rsidRDefault="001A3992" w:rsidP="003C2DE8">
      <w:pPr>
        <w:pStyle w:val="Heading2"/>
      </w:pPr>
      <w:r w:rsidRPr="003B14A8">
        <w:t>Do</w:t>
      </w:r>
      <w:r w:rsidR="00413966">
        <w:t>se and method of administration</w:t>
      </w:r>
    </w:p>
    <w:p w14:paraId="4C03C568" w14:textId="4DBA6ABA" w:rsidR="00EE5D4D" w:rsidRPr="006A6D4B" w:rsidRDefault="00EE5D4D" w:rsidP="006A1E17">
      <w:pPr>
        <w:rPr>
          <w:lang w:eastAsia="ja-JP"/>
        </w:rPr>
      </w:pPr>
      <w:r w:rsidRPr="006A6D4B">
        <w:rPr>
          <w:lang w:val="en-US" w:eastAsia="ja-JP"/>
        </w:rPr>
        <w:t xml:space="preserve">Treatment must be initiated and supervised by specialist physicians experienced in the </w:t>
      </w:r>
      <w:r w:rsidRPr="006A6D4B">
        <w:rPr>
          <w:lang w:eastAsia="ja-JP"/>
        </w:rPr>
        <w:t>treatment of cancer.</w:t>
      </w:r>
    </w:p>
    <w:p w14:paraId="1D121FB0" w14:textId="77777777" w:rsidR="00EE5D4D" w:rsidRPr="006A6D4B" w:rsidRDefault="00EE5D4D" w:rsidP="006A1E17">
      <w:r w:rsidRPr="006A6D4B">
        <w:t>OPDIVO infusion must not be administered as an intravenous push or bolus injection.</w:t>
      </w:r>
    </w:p>
    <w:p w14:paraId="1ECFDD8C" w14:textId="2FC87C82" w:rsidR="00EE5D4D" w:rsidRPr="006A6D4B" w:rsidRDefault="00EE5D4D" w:rsidP="00E23211">
      <w:r w:rsidRPr="00955AD5">
        <w:t xml:space="preserve">Dose escalation or reduction is not recommended. Guidelines for permanent discontinuation or withholding of doses are described in Table </w:t>
      </w:r>
      <w:r w:rsidR="00BA04BC" w:rsidRPr="00955AD5">
        <w:t>1</w:t>
      </w:r>
      <w:r w:rsidRPr="00955AD5">
        <w:t xml:space="preserve">. Detailed guidelines for the management of immune-related adverse reactions are described in </w:t>
      </w:r>
      <w:r w:rsidR="00382645" w:rsidRPr="00955AD5">
        <w:t>Section 4.4</w:t>
      </w:r>
      <w:r w:rsidR="006A1E17" w:rsidRPr="00955AD5">
        <w:t xml:space="preserve"> Special warnings and prec</w:t>
      </w:r>
      <w:r w:rsidR="00AD5343" w:rsidRPr="00955AD5">
        <w:t>a</w:t>
      </w:r>
      <w:r w:rsidR="006A1E17" w:rsidRPr="00955AD5">
        <w:t>utions for use</w:t>
      </w:r>
      <w:r w:rsidRPr="00955AD5">
        <w:t>.</w:t>
      </w:r>
    </w:p>
    <w:p w14:paraId="7CAE6152" w14:textId="173CC84B" w:rsidR="00242A03" w:rsidRPr="003E47FA" w:rsidRDefault="003E47FA" w:rsidP="003E47FA">
      <w:pPr>
        <w:pStyle w:val="Heading3"/>
      </w:pPr>
      <w:r w:rsidRPr="003E47FA">
        <w:lastRenderedPageBreak/>
        <w:t>OPDIVO MONOTHERAPY</w:t>
      </w:r>
    </w:p>
    <w:p w14:paraId="02113E33" w14:textId="01D70700" w:rsidR="00EE5D4D" w:rsidRPr="00AD2CAD" w:rsidRDefault="00EE5D4D" w:rsidP="00AD2CAD">
      <w:pPr>
        <w:rPr>
          <w:b/>
        </w:rPr>
      </w:pPr>
      <w:proofErr w:type="spellStart"/>
      <w:r w:rsidRPr="00AD2CAD">
        <w:rPr>
          <w:b/>
        </w:rPr>
        <w:t>Unresectable</w:t>
      </w:r>
      <w:proofErr w:type="spellEnd"/>
      <w:r w:rsidRPr="00AD2CAD">
        <w:rPr>
          <w:b/>
        </w:rPr>
        <w:t xml:space="preserve"> or metastatic melanoma, Squamous NSCLC, </w:t>
      </w:r>
      <w:proofErr w:type="spellStart"/>
      <w:r w:rsidRPr="00AD2CAD">
        <w:rPr>
          <w:b/>
        </w:rPr>
        <w:t>non squamous</w:t>
      </w:r>
      <w:proofErr w:type="spellEnd"/>
      <w:r w:rsidRPr="00AD2CAD">
        <w:rPr>
          <w:b/>
        </w:rPr>
        <w:t xml:space="preserve"> NSCLC, renal cell carcinoma, relapsed/refractory classical Hodgkin lymphoma and recurrent or metastatic squamous cell carcinoma of the head and neck</w:t>
      </w:r>
      <w:r w:rsidR="004F7254">
        <w:rPr>
          <w:b/>
        </w:rPr>
        <w:t>,</w:t>
      </w:r>
      <w:r w:rsidR="00E37C07">
        <w:rPr>
          <w:b/>
        </w:rPr>
        <w:t xml:space="preserve"> urothelial carcinoma</w:t>
      </w:r>
      <w:r w:rsidR="004F7254" w:rsidRPr="00F762FF">
        <w:rPr>
          <w:b/>
        </w:rPr>
        <w:t xml:space="preserve"> and adjuvant treatment in completely resected Stage III and IV melanoma</w:t>
      </w:r>
      <w:r w:rsidR="00BA04BC" w:rsidRPr="00F762FF">
        <w:rPr>
          <w:b/>
        </w:rPr>
        <w:t>.</w:t>
      </w:r>
    </w:p>
    <w:p w14:paraId="14602C10" w14:textId="321EA25D" w:rsidR="00EE5D4D" w:rsidRDefault="00EE5D4D" w:rsidP="006A1E17">
      <w:r w:rsidRPr="006A6D4B">
        <w:rPr>
          <w:color w:val="000000" w:themeColor="text1"/>
        </w:rPr>
        <w:t>The recommended dose of OPDIVO as a monotherapy is 3 mg/kg administered intravenously over 60 minutes every</w:t>
      </w:r>
      <w:r w:rsidRPr="001F1978">
        <w:t xml:space="preserve"> 2 weeks. Treatment should be continued as long as clinical benefit is observed or until treatment is no longer tolerated by the patient. </w:t>
      </w:r>
    </w:p>
    <w:p w14:paraId="5E150257" w14:textId="77777777" w:rsidR="004F7254" w:rsidRPr="009C5DE5" w:rsidRDefault="004F7254" w:rsidP="004F7254">
      <w:pPr>
        <w:rPr>
          <w:lang w:val="en-US"/>
        </w:rPr>
      </w:pPr>
      <w:r w:rsidRPr="004F7254">
        <w:rPr>
          <w:lang w:val="en-US"/>
        </w:rPr>
        <w:t>The maximum treatment duration with OPDIVO as monotherapy for adjuvant melanoma is 12 months.</w:t>
      </w:r>
    </w:p>
    <w:p w14:paraId="73CC64E3" w14:textId="77777777" w:rsidR="00242A03" w:rsidRDefault="00EE5D4D" w:rsidP="003E47FA">
      <w:pPr>
        <w:pStyle w:val="Heading3"/>
      </w:pPr>
      <w:r w:rsidRPr="00E06492">
        <w:t>OPDIVO IN COMBINATION WITH YERVOY</w:t>
      </w:r>
      <w:r>
        <w:t xml:space="preserve"> </w:t>
      </w:r>
      <w:r w:rsidRPr="00E06492">
        <w:t xml:space="preserve">(ipilimumab) </w:t>
      </w:r>
    </w:p>
    <w:p w14:paraId="050E5E1B" w14:textId="3ED140B5" w:rsidR="00EE5D4D" w:rsidRPr="00E06492" w:rsidRDefault="00EE5D4D" w:rsidP="00242A03">
      <w:pPr>
        <w:spacing w:after="0"/>
        <w:rPr>
          <w:sz w:val="24"/>
          <w:szCs w:val="24"/>
          <w:highlight w:val="yellow"/>
        </w:rPr>
      </w:pPr>
      <w:proofErr w:type="gramStart"/>
      <w:r w:rsidRPr="00E06492">
        <w:rPr>
          <w:b/>
          <w:sz w:val="24"/>
          <w:szCs w:val="24"/>
        </w:rPr>
        <w:t>Metastatic (Stage IV) melanoma with M1c disease or elevated LDH</w:t>
      </w:r>
      <w:r w:rsidR="00BA04BC">
        <w:rPr>
          <w:b/>
          <w:sz w:val="24"/>
          <w:szCs w:val="24"/>
        </w:rPr>
        <w:t>.</w:t>
      </w:r>
      <w:proofErr w:type="gramEnd"/>
    </w:p>
    <w:p w14:paraId="133CE13E" w14:textId="77777777" w:rsidR="00EE5D4D" w:rsidRPr="001F1978" w:rsidRDefault="00EE5D4D" w:rsidP="00EE5D4D">
      <w:pPr>
        <w:pStyle w:val="EMEABodyText"/>
        <w:rPr>
          <w:sz w:val="24"/>
          <w:highlight w:val="yellow"/>
          <w:lang w:val="en-AU"/>
        </w:rPr>
      </w:pPr>
    </w:p>
    <w:p w14:paraId="2199BA2D" w14:textId="77777777" w:rsidR="00EE5D4D" w:rsidRPr="00CF5818" w:rsidRDefault="00EE5D4D" w:rsidP="006A1E17">
      <w:pPr>
        <w:rPr>
          <w:b/>
        </w:rPr>
      </w:pPr>
      <w:r w:rsidRPr="00CF5818">
        <w:rPr>
          <w:b/>
        </w:rPr>
        <w:t>OPDIVO and YERVOY should be administered and monitored under the supervision of physicians experienced with the use of immunotherapy.</w:t>
      </w:r>
    </w:p>
    <w:p w14:paraId="7E90D313" w14:textId="77777777" w:rsidR="00EE5D4D" w:rsidRPr="001F1978" w:rsidRDefault="00EE5D4D" w:rsidP="006A1E17">
      <w:r w:rsidRPr="00686F90">
        <w:t>Please review the full prescribing information for YERVOY (</w:t>
      </w:r>
      <w:proofErr w:type="spellStart"/>
      <w:r w:rsidRPr="00686F90">
        <w:t>ipilimumab</w:t>
      </w:r>
      <w:proofErr w:type="spellEnd"/>
      <w:r w:rsidRPr="00686F90">
        <w:t xml:space="preserve">) prior to initiation of OPDIVO in combination with </w:t>
      </w:r>
      <w:proofErr w:type="spellStart"/>
      <w:r w:rsidRPr="00686F90">
        <w:t>ipilimumab</w:t>
      </w:r>
      <w:proofErr w:type="spellEnd"/>
      <w:r w:rsidRPr="00686F90">
        <w:t>.</w:t>
      </w:r>
      <w:r>
        <w:t xml:space="preserve"> </w:t>
      </w:r>
    </w:p>
    <w:p w14:paraId="0029B8B8" w14:textId="77777777" w:rsidR="00EE5D4D" w:rsidRDefault="00EE5D4D" w:rsidP="003E47FA">
      <w:pPr>
        <w:pStyle w:val="Heading3"/>
      </w:pPr>
      <w:r w:rsidRPr="00073C70">
        <w:t xml:space="preserve">Combination Phase: </w:t>
      </w:r>
    </w:p>
    <w:p w14:paraId="5BA013E7" w14:textId="77777777" w:rsidR="00EE5D4D" w:rsidRDefault="00EE5D4D" w:rsidP="00CF5818">
      <w:r>
        <w:t>In the initial combination phase, administer OPDIVO and YERVOY (</w:t>
      </w:r>
      <w:proofErr w:type="spellStart"/>
      <w:r>
        <w:t>ipilimumab</w:t>
      </w:r>
      <w:proofErr w:type="spellEnd"/>
      <w:r>
        <w:t>) on the same day. U</w:t>
      </w:r>
      <w:r w:rsidRPr="001F1978">
        <w:t>se separate infusion bags and filters for each infusion. Administer OPDIVO first</w:t>
      </w:r>
      <w:r>
        <w:t xml:space="preserve"> followed by YERVOY (</w:t>
      </w:r>
      <w:proofErr w:type="spellStart"/>
      <w:r>
        <w:t>ipilimumab</w:t>
      </w:r>
      <w:proofErr w:type="spellEnd"/>
      <w:r>
        <w:t>), after completion of the OPDIVO infusion</w:t>
      </w:r>
      <w:r w:rsidRPr="001F1978">
        <w:t>.</w:t>
      </w:r>
    </w:p>
    <w:p w14:paraId="55E174D7" w14:textId="77777777" w:rsidR="00EE5D4D" w:rsidRDefault="00EE5D4D" w:rsidP="00CF5818">
      <w:r>
        <w:t>The recommended dose of OPDIVO in the combination phase is 1mg/kg administered intravenously over 60 minutes every 3 weeks for the first 4 doses in combination with YERVOY (</w:t>
      </w:r>
      <w:proofErr w:type="spellStart"/>
      <w:r>
        <w:t>ipilimumab</w:t>
      </w:r>
      <w:proofErr w:type="spellEnd"/>
      <w:r>
        <w:t xml:space="preserve">) 3mg/kg </w:t>
      </w:r>
      <w:r w:rsidRPr="00062196">
        <w:t xml:space="preserve">administered </w:t>
      </w:r>
      <w:r>
        <w:t xml:space="preserve">intravenously </w:t>
      </w:r>
      <w:r w:rsidRPr="00062196">
        <w:t xml:space="preserve">over 90 minutes. This should be followed by </w:t>
      </w:r>
      <w:r>
        <w:t>OPDIVO</w:t>
      </w:r>
      <w:r w:rsidRPr="00062196">
        <w:t xml:space="preserve"> monotherapy therapy in the </w:t>
      </w:r>
      <w:r>
        <w:t>single-agent</w:t>
      </w:r>
      <w:r w:rsidRPr="00062196">
        <w:t xml:space="preserve"> phase (see below).</w:t>
      </w:r>
    </w:p>
    <w:p w14:paraId="18FA885D" w14:textId="77777777" w:rsidR="00EE5D4D" w:rsidRDefault="00EE5D4D" w:rsidP="003E47FA">
      <w:pPr>
        <w:pStyle w:val="Heading3"/>
      </w:pPr>
      <w:r>
        <w:t>Single-agent</w:t>
      </w:r>
      <w:r w:rsidRPr="00073C70">
        <w:t xml:space="preserve"> Phase:</w:t>
      </w:r>
    </w:p>
    <w:p w14:paraId="5E4E11DA" w14:textId="77777777" w:rsidR="00EE5D4D" w:rsidRPr="001F1978" w:rsidRDefault="00EE5D4D" w:rsidP="00CF5818">
      <w:r>
        <w:t>The recommended dose of OPDIVO in the single-agent phase is 3mg/kg as a monotherapy administered intravenously over 60 minutes every 2 weeks.</w:t>
      </w:r>
    </w:p>
    <w:p w14:paraId="1D9D41DC" w14:textId="7CAC28A8" w:rsidR="00EE5D4D" w:rsidRDefault="00EE5D4D" w:rsidP="00CF5818">
      <w:r w:rsidRPr="00955AD5">
        <w:t>Treatment with OPDIVO</w:t>
      </w:r>
      <w:r w:rsidR="007663C6" w:rsidRPr="00955AD5">
        <w:t xml:space="preserve"> in the single-agent </w:t>
      </w:r>
      <w:proofErr w:type="gramStart"/>
      <w:r w:rsidR="007663C6" w:rsidRPr="00955AD5">
        <w:t xml:space="preserve">phase </w:t>
      </w:r>
      <w:r w:rsidRPr="00955AD5">
        <w:t xml:space="preserve"> should</w:t>
      </w:r>
      <w:proofErr w:type="gramEnd"/>
      <w:r w:rsidRPr="00955AD5">
        <w:t xml:space="preserve"> be continued as long as clinical benefit is observed or until treatment is no longer tolerated by the patient.</w:t>
      </w:r>
      <w:r>
        <w:t xml:space="preserve"> </w:t>
      </w:r>
    </w:p>
    <w:p w14:paraId="77D8FFB0" w14:textId="01A82D15" w:rsidR="00EE5D4D" w:rsidRPr="004E3701" w:rsidRDefault="0067316B" w:rsidP="003E47FA">
      <w:pPr>
        <w:pStyle w:val="Heading3"/>
        <w:rPr>
          <w:color w:val="000000" w:themeColor="text1"/>
        </w:rPr>
      </w:pPr>
      <w:r>
        <w:t xml:space="preserve">Recommended Treatment Modifications for OPDIVO as Monotherapy and OPDIVO in combination with YERVOY (ipilimumab). </w:t>
      </w:r>
    </w:p>
    <w:p w14:paraId="5C550FA7" w14:textId="77777777" w:rsidR="00EE5D4D" w:rsidRDefault="00EE5D4D" w:rsidP="0067316B">
      <w:r w:rsidRPr="00000B43">
        <w:t>Dose escalation or reduction is not recommended.</w:t>
      </w:r>
      <w:r>
        <w:t xml:space="preserve"> </w:t>
      </w:r>
      <w:r w:rsidRPr="00000B43">
        <w:t xml:space="preserve">Dosing delay or discontinuation may be required based on individual safety and tolerability. </w:t>
      </w:r>
    </w:p>
    <w:p w14:paraId="34AFBFE8" w14:textId="02DA6A1D" w:rsidR="00E43E88" w:rsidRDefault="00EE5D4D" w:rsidP="0067316B">
      <w:r>
        <w:t>When OPDIVO is administered in combination with YERVOY (</w:t>
      </w:r>
      <w:proofErr w:type="spellStart"/>
      <w:r>
        <w:t>ipilimumab</w:t>
      </w:r>
      <w:proofErr w:type="spellEnd"/>
      <w:r>
        <w:t xml:space="preserve">), if either agent is withheld, the other agent should also be withheld. </w:t>
      </w:r>
    </w:p>
    <w:p w14:paraId="1025876C" w14:textId="4E0CF6FF" w:rsidR="00E37C07" w:rsidRDefault="00694DFD" w:rsidP="0067316B">
      <w:r w:rsidRPr="00330201">
        <w:t xml:space="preserve">Atypical responses (i.e., an initial transient increase in tumour size or small new lesions within the first few months followed by tumour shrinkage) have been observed. It is recommended to continue treatment with </w:t>
      </w:r>
      <w:proofErr w:type="spellStart"/>
      <w:r w:rsidRPr="00330201">
        <w:t>nivolumab</w:t>
      </w:r>
      <w:proofErr w:type="spellEnd"/>
      <w:r w:rsidRPr="00330201">
        <w:t xml:space="preserve"> for clinically stable patients with initial evidence of disease progression until disease progression is confirmed.</w:t>
      </w:r>
    </w:p>
    <w:tbl>
      <w:tblPr>
        <w:tblW w:w="0" w:type="auto"/>
        <w:tblLook w:val="04A0" w:firstRow="1" w:lastRow="0" w:firstColumn="1" w:lastColumn="0" w:noHBand="0" w:noVBand="1"/>
      </w:tblPr>
      <w:tblGrid>
        <w:gridCol w:w="2055"/>
        <w:gridCol w:w="3190"/>
        <w:gridCol w:w="3781"/>
      </w:tblGrid>
      <w:tr w:rsidR="007663C6" w:rsidRPr="004B4087" w14:paraId="641C2D58" w14:textId="77777777" w:rsidTr="00EE22DA">
        <w:trPr>
          <w:tblHeader/>
        </w:trPr>
        <w:tc>
          <w:tcPr>
            <w:tcW w:w="9026" w:type="dxa"/>
            <w:gridSpan w:val="3"/>
            <w:tcBorders>
              <w:bottom w:val="double" w:sz="4" w:space="0" w:color="auto"/>
            </w:tcBorders>
            <w:shd w:val="clear" w:color="auto" w:fill="auto"/>
          </w:tcPr>
          <w:p w14:paraId="011D824B" w14:textId="77777777" w:rsidR="007663C6" w:rsidRPr="00E43E88" w:rsidRDefault="007663C6" w:rsidP="00CB6ABF">
            <w:pPr>
              <w:pStyle w:val="BMSTableTitle"/>
              <w:keepNext w:val="0"/>
              <w:keepLines w:val="0"/>
              <w:spacing w:before="0"/>
              <w:rPr>
                <w:color w:val="000000"/>
                <w:sz w:val="22"/>
                <w:szCs w:val="22"/>
              </w:rPr>
            </w:pPr>
            <w:r w:rsidRPr="00E43E88">
              <w:rPr>
                <w:sz w:val="22"/>
                <w:szCs w:val="22"/>
              </w:rPr>
              <w:lastRenderedPageBreak/>
              <w:t>Table 1:</w:t>
            </w:r>
            <w:r w:rsidRPr="00E43E88">
              <w:rPr>
                <w:sz w:val="22"/>
                <w:szCs w:val="22"/>
              </w:rPr>
              <w:tab/>
              <w:t>Recommended Treatment Modifications for OPDIVO as monotherapy or OPDIVO in combination with YERVOY (</w:t>
            </w:r>
            <w:proofErr w:type="spellStart"/>
            <w:r w:rsidRPr="00E43E88">
              <w:rPr>
                <w:sz w:val="22"/>
                <w:szCs w:val="22"/>
              </w:rPr>
              <w:t>ipilimumab</w:t>
            </w:r>
            <w:proofErr w:type="spellEnd"/>
            <w:r w:rsidRPr="00E43E88">
              <w:rPr>
                <w:sz w:val="22"/>
                <w:szCs w:val="22"/>
              </w:rPr>
              <w:t>)</w:t>
            </w:r>
          </w:p>
        </w:tc>
      </w:tr>
      <w:tr w:rsidR="007663C6" w:rsidRPr="00B521F1" w14:paraId="0C3659EC" w14:textId="77777777" w:rsidTr="00CB6ABF">
        <w:trPr>
          <w:tblHeader/>
        </w:trPr>
        <w:tc>
          <w:tcPr>
            <w:tcW w:w="2055" w:type="dxa"/>
            <w:tcBorders>
              <w:top w:val="double" w:sz="4" w:space="0" w:color="auto"/>
              <w:bottom w:val="single" w:sz="4" w:space="0" w:color="auto"/>
            </w:tcBorders>
            <w:shd w:val="clear" w:color="auto" w:fill="auto"/>
          </w:tcPr>
          <w:p w14:paraId="2804685B" w14:textId="77777777" w:rsidR="007663C6" w:rsidRPr="00A85FED" w:rsidRDefault="007663C6" w:rsidP="00834A84">
            <w:pPr>
              <w:pStyle w:val="BMSTableHeader"/>
              <w:spacing w:before="0" w:after="0"/>
              <w:rPr>
                <w:lang w:val="en-GB"/>
              </w:rPr>
            </w:pPr>
            <w:r w:rsidRPr="00A85FED">
              <w:rPr>
                <w:lang w:val="en-GB"/>
              </w:rPr>
              <w:t>Immune-related adverse reaction</w:t>
            </w:r>
          </w:p>
        </w:tc>
        <w:tc>
          <w:tcPr>
            <w:tcW w:w="3190" w:type="dxa"/>
            <w:tcBorders>
              <w:top w:val="double" w:sz="4" w:space="0" w:color="auto"/>
              <w:bottom w:val="single" w:sz="4" w:space="0" w:color="auto"/>
            </w:tcBorders>
            <w:shd w:val="clear" w:color="auto" w:fill="auto"/>
          </w:tcPr>
          <w:p w14:paraId="4C2432C4" w14:textId="77777777" w:rsidR="007663C6" w:rsidRPr="00A85FED" w:rsidRDefault="007663C6" w:rsidP="00834A84">
            <w:pPr>
              <w:pStyle w:val="BMSTableHeader"/>
              <w:rPr>
                <w:lang w:val="en-GB"/>
              </w:rPr>
            </w:pPr>
            <w:r w:rsidRPr="00A85FED">
              <w:rPr>
                <w:lang w:val="en-GB"/>
              </w:rPr>
              <w:t xml:space="preserve">Adverse </w:t>
            </w:r>
            <w:proofErr w:type="spellStart"/>
            <w:r w:rsidRPr="00A85FED">
              <w:rPr>
                <w:lang w:val="en-GB"/>
              </w:rPr>
              <w:t>Reaction</w:t>
            </w:r>
            <w:r w:rsidRPr="00A85FED">
              <w:rPr>
                <w:vertAlign w:val="superscript"/>
                <w:lang w:val="en-GB"/>
              </w:rPr>
              <w:t>a</w:t>
            </w:r>
            <w:proofErr w:type="spellEnd"/>
          </w:p>
        </w:tc>
        <w:tc>
          <w:tcPr>
            <w:tcW w:w="3781" w:type="dxa"/>
            <w:tcBorders>
              <w:top w:val="double" w:sz="4" w:space="0" w:color="auto"/>
              <w:bottom w:val="single" w:sz="4" w:space="0" w:color="auto"/>
            </w:tcBorders>
            <w:shd w:val="clear" w:color="auto" w:fill="auto"/>
          </w:tcPr>
          <w:p w14:paraId="23BC5C87" w14:textId="77777777" w:rsidR="007663C6" w:rsidRPr="00A85FED" w:rsidRDefault="007663C6" w:rsidP="00834A84">
            <w:pPr>
              <w:pStyle w:val="BMSTableHeader"/>
              <w:rPr>
                <w:lang w:val="en-GB"/>
              </w:rPr>
            </w:pPr>
            <w:r w:rsidRPr="00A85FED">
              <w:rPr>
                <w:lang w:val="en-GB"/>
              </w:rPr>
              <w:t>Treatment modification</w:t>
            </w:r>
          </w:p>
        </w:tc>
      </w:tr>
      <w:tr w:rsidR="007663C6" w:rsidRPr="00B521F1" w14:paraId="4D38FD54" w14:textId="77777777" w:rsidTr="00CB6ABF">
        <w:trPr>
          <w:tblHeader/>
        </w:trPr>
        <w:tc>
          <w:tcPr>
            <w:tcW w:w="2055" w:type="dxa"/>
            <w:tcBorders>
              <w:top w:val="single" w:sz="4" w:space="0" w:color="auto"/>
            </w:tcBorders>
            <w:shd w:val="clear" w:color="auto" w:fill="auto"/>
            <w:vAlign w:val="center"/>
          </w:tcPr>
          <w:p w14:paraId="1C247306" w14:textId="77777777" w:rsidR="007663C6" w:rsidRPr="008F50C4" w:rsidRDefault="007663C6" w:rsidP="00834A84">
            <w:pPr>
              <w:pStyle w:val="BMSTableText"/>
              <w:jc w:val="left"/>
              <w:rPr>
                <w:lang w:val="en-GB"/>
              </w:rPr>
            </w:pPr>
            <w:r w:rsidRPr="008F50C4">
              <w:rPr>
                <w:lang w:val="en-GB"/>
              </w:rPr>
              <w:t>Immune</w:t>
            </w:r>
            <w:r w:rsidRPr="008F50C4">
              <w:rPr>
                <w:lang w:val="en-GB"/>
              </w:rPr>
              <w:noBreakHyphen/>
              <w:t>related pneumonitis</w:t>
            </w:r>
          </w:p>
        </w:tc>
        <w:tc>
          <w:tcPr>
            <w:tcW w:w="3190" w:type="dxa"/>
            <w:tcBorders>
              <w:top w:val="single" w:sz="4" w:space="0" w:color="auto"/>
            </w:tcBorders>
            <w:shd w:val="clear" w:color="auto" w:fill="auto"/>
          </w:tcPr>
          <w:p w14:paraId="3D5D812D" w14:textId="77777777" w:rsidR="007663C6" w:rsidRPr="008F50C4" w:rsidRDefault="007663C6" w:rsidP="00834A84">
            <w:pPr>
              <w:pStyle w:val="BMSTableText"/>
              <w:jc w:val="left"/>
              <w:rPr>
                <w:lang w:val="en-GB"/>
              </w:rPr>
            </w:pPr>
            <w:r w:rsidRPr="008F50C4">
              <w:rPr>
                <w:lang w:val="en-GB"/>
              </w:rPr>
              <w:t xml:space="preserve">Grade 2 pneumonitis </w:t>
            </w:r>
          </w:p>
        </w:tc>
        <w:tc>
          <w:tcPr>
            <w:tcW w:w="3781" w:type="dxa"/>
            <w:tcBorders>
              <w:top w:val="single" w:sz="4" w:space="0" w:color="auto"/>
            </w:tcBorders>
            <w:shd w:val="clear" w:color="auto" w:fill="auto"/>
          </w:tcPr>
          <w:p w14:paraId="47316693" w14:textId="77777777" w:rsidR="007663C6" w:rsidRPr="008F50C4" w:rsidRDefault="007663C6" w:rsidP="00834A84">
            <w:pPr>
              <w:pStyle w:val="BMSTableText"/>
              <w:jc w:val="left"/>
              <w:rPr>
                <w:lang w:val="en-GB"/>
              </w:rPr>
            </w:pPr>
            <w:r w:rsidRPr="008F50C4">
              <w:rPr>
                <w:lang w:val="en-GB"/>
              </w:rPr>
              <w:t xml:space="preserve">Withhold </w:t>
            </w:r>
            <w:r w:rsidRPr="008F50C4">
              <w:rPr>
                <w:noProof/>
                <w:lang w:val="en-GB"/>
              </w:rPr>
              <w:t>dose(s)</w:t>
            </w:r>
            <w:r w:rsidRPr="008F50C4">
              <w:rPr>
                <w:lang w:val="en-GB"/>
              </w:rPr>
              <w:t xml:space="preserve"> until symptoms resolve, radiographic abnormalities improve, and management with corticosteroids is complete.</w:t>
            </w:r>
          </w:p>
        </w:tc>
      </w:tr>
      <w:tr w:rsidR="007663C6" w:rsidRPr="00B521F1" w14:paraId="48EFBBB0" w14:textId="77777777" w:rsidTr="00CB6ABF">
        <w:trPr>
          <w:tblHeader/>
        </w:trPr>
        <w:tc>
          <w:tcPr>
            <w:tcW w:w="2055" w:type="dxa"/>
            <w:tcBorders>
              <w:bottom w:val="single" w:sz="4" w:space="0" w:color="auto"/>
            </w:tcBorders>
            <w:shd w:val="clear" w:color="auto" w:fill="auto"/>
            <w:vAlign w:val="center"/>
          </w:tcPr>
          <w:p w14:paraId="1E5B56E2" w14:textId="77777777" w:rsidR="007663C6" w:rsidRPr="008F50C4" w:rsidRDefault="007663C6" w:rsidP="00834A84">
            <w:pPr>
              <w:pStyle w:val="BMSTableText"/>
              <w:jc w:val="left"/>
              <w:rPr>
                <w:lang w:val="en-GB"/>
              </w:rPr>
            </w:pPr>
          </w:p>
        </w:tc>
        <w:tc>
          <w:tcPr>
            <w:tcW w:w="3190" w:type="dxa"/>
            <w:tcBorders>
              <w:bottom w:val="single" w:sz="4" w:space="0" w:color="auto"/>
            </w:tcBorders>
            <w:shd w:val="clear" w:color="auto" w:fill="auto"/>
          </w:tcPr>
          <w:p w14:paraId="3120EE00" w14:textId="77777777" w:rsidR="007663C6" w:rsidRPr="008F50C4" w:rsidRDefault="007663C6" w:rsidP="00834A84">
            <w:pPr>
              <w:pStyle w:val="BMSTableText"/>
              <w:jc w:val="left"/>
              <w:rPr>
                <w:lang w:val="en-GB"/>
              </w:rPr>
            </w:pPr>
            <w:r w:rsidRPr="008F50C4">
              <w:rPr>
                <w:lang w:val="en-GB"/>
              </w:rPr>
              <w:t>Grade 3 or 4 pneumonitis</w:t>
            </w:r>
          </w:p>
        </w:tc>
        <w:tc>
          <w:tcPr>
            <w:tcW w:w="3781" w:type="dxa"/>
            <w:tcBorders>
              <w:bottom w:val="single" w:sz="4" w:space="0" w:color="auto"/>
            </w:tcBorders>
            <w:shd w:val="clear" w:color="auto" w:fill="auto"/>
          </w:tcPr>
          <w:p w14:paraId="57573DEE" w14:textId="77777777" w:rsidR="007663C6" w:rsidRPr="008F50C4" w:rsidRDefault="007663C6" w:rsidP="00834A84">
            <w:pPr>
              <w:pStyle w:val="BMSTableText"/>
              <w:jc w:val="left"/>
              <w:rPr>
                <w:lang w:val="en-GB"/>
              </w:rPr>
            </w:pPr>
            <w:r w:rsidRPr="008F50C4">
              <w:rPr>
                <w:lang w:val="en-GB"/>
              </w:rPr>
              <w:t xml:space="preserve">Permanently discontinue </w:t>
            </w:r>
            <w:r w:rsidRPr="008F50C4">
              <w:rPr>
                <w:noProof/>
                <w:lang w:val="en-GB"/>
              </w:rPr>
              <w:t>treatment.</w:t>
            </w:r>
          </w:p>
        </w:tc>
      </w:tr>
      <w:tr w:rsidR="007663C6" w:rsidRPr="00B521F1" w14:paraId="1B7C4C69" w14:textId="77777777" w:rsidTr="00CB6ABF">
        <w:trPr>
          <w:tblHeader/>
        </w:trPr>
        <w:tc>
          <w:tcPr>
            <w:tcW w:w="2055" w:type="dxa"/>
            <w:vMerge w:val="restart"/>
            <w:tcBorders>
              <w:top w:val="single" w:sz="4" w:space="0" w:color="auto"/>
            </w:tcBorders>
            <w:shd w:val="clear" w:color="auto" w:fill="auto"/>
            <w:vAlign w:val="center"/>
          </w:tcPr>
          <w:p w14:paraId="30001BD1" w14:textId="77777777" w:rsidR="007663C6" w:rsidRPr="008F50C4" w:rsidRDefault="007663C6" w:rsidP="00834A84">
            <w:pPr>
              <w:pStyle w:val="BMSTableText"/>
              <w:keepNext/>
              <w:keepLines/>
              <w:jc w:val="left"/>
              <w:rPr>
                <w:lang w:val="en-GB"/>
              </w:rPr>
            </w:pPr>
            <w:r w:rsidRPr="008F50C4">
              <w:rPr>
                <w:lang w:val="en-GB"/>
              </w:rPr>
              <w:lastRenderedPageBreak/>
              <w:t>Immune-related colitis</w:t>
            </w:r>
          </w:p>
        </w:tc>
        <w:tc>
          <w:tcPr>
            <w:tcW w:w="3190" w:type="dxa"/>
            <w:tcBorders>
              <w:top w:val="single" w:sz="4" w:space="0" w:color="auto"/>
            </w:tcBorders>
            <w:shd w:val="clear" w:color="auto" w:fill="auto"/>
          </w:tcPr>
          <w:p w14:paraId="0F37E257" w14:textId="77777777" w:rsidR="007663C6" w:rsidRPr="008F50C4" w:rsidRDefault="007663C6" w:rsidP="00834A84">
            <w:pPr>
              <w:pStyle w:val="BMSTableText"/>
              <w:keepNext/>
              <w:keepLines/>
              <w:jc w:val="left"/>
              <w:rPr>
                <w:lang w:val="en-GB"/>
              </w:rPr>
            </w:pPr>
            <w:r w:rsidRPr="008F50C4">
              <w:rPr>
                <w:lang w:val="en-GB"/>
              </w:rPr>
              <w:t>Grade 2 diarrhoea or colitis</w:t>
            </w:r>
          </w:p>
        </w:tc>
        <w:tc>
          <w:tcPr>
            <w:tcW w:w="3781" w:type="dxa"/>
            <w:tcBorders>
              <w:top w:val="single" w:sz="4" w:space="0" w:color="auto"/>
            </w:tcBorders>
            <w:shd w:val="clear" w:color="auto" w:fill="auto"/>
          </w:tcPr>
          <w:p w14:paraId="6DF2ED08" w14:textId="77777777" w:rsidR="007663C6" w:rsidRPr="008F50C4" w:rsidRDefault="007663C6" w:rsidP="00834A84">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symptoms resolve and management with corticosteroids, if needed, is complete.</w:t>
            </w:r>
          </w:p>
        </w:tc>
      </w:tr>
      <w:tr w:rsidR="007663C6" w:rsidRPr="00B521F1" w14:paraId="681285F7" w14:textId="77777777" w:rsidTr="00CB6ABF">
        <w:trPr>
          <w:tblHeader/>
        </w:trPr>
        <w:tc>
          <w:tcPr>
            <w:tcW w:w="2055" w:type="dxa"/>
            <w:vMerge/>
            <w:shd w:val="clear" w:color="auto" w:fill="auto"/>
          </w:tcPr>
          <w:p w14:paraId="0A8C1F68" w14:textId="77777777" w:rsidR="007663C6" w:rsidRPr="008F50C4" w:rsidRDefault="007663C6" w:rsidP="00834A84">
            <w:pPr>
              <w:pStyle w:val="BMSTableText"/>
              <w:keepNext/>
              <w:keepLines/>
              <w:jc w:val="left"/>
              <w:rPr>
                <w:lang w:val="en-GB"/>
              </w:rPr>
            </w:pPr>
          </w:p>
        </w:tc>
        <w:tc>
          <w:tcPr>
            <w:tcW w:w="3190" w:type="dxa"/>
            <w:shd w:val="clear" w:color="auto" w:fill="auto"/>
          </w:tcPr>
          <w:p w14:paraId="3C9D824B" w14:textId="77777777" w:rsidR="007663C6" w:rsidRPr="008F50C4" w:rsidRDefault="007663C6" w:rsidP="00834A84">
            <w:pPr>
              <w:pStyle w:val="BMSTableText"/>
              <w:keepNext/>
              <w:keepLines/>
              <w:jc w:val="left"/>
              <w:rPr>
                <w:lang w:val="en-GB"/>
              </w:rPr>
            </w:pPr>
            <w:r w:rsidRPr="008F50C4">
              <w:t>Grade 3 </w:t>
            </w:r>
            <w:proofErr w:type="spellStart"/>
            <w:r w:rsidRPr="008F50C4">
              <w:t>diarrhoea</w:t>
            </w:r>
            <w:proofErr w:type="spellEnd"/>
            <w:r w:rsidRPr="008F50C4">
              <w:t xml:space="preserve"> or colitis </w:t>
            </w:r>
            <w:r w:rsidRPr="008F50C4">
              <w:br/>
            </w:r>
            <w:r w:rsidRPr="008F50C4">
              <w:tab/>
              <w:t>- OPDIVO monotherapy</w:t>
            </w:r>
          </w:p>
        </w:tc>
        <w:tc>
          <w:tcPr>
            <w:tcW w:w="3781" w:type="dxa"/>
            <w:shd w:val="clear" w:color="auto" w:fill="auto"/>
          </w:tcPr>
          <w:p w14:paraId="019C42DA" w14:textId="77777777" w:rsidR="007663C6" w:rsidRPr="008F50C4" w:rsidRDefault="007663C6" w:rsidP="00834A84">
            <w:pPr>
              <w:pStyle w:val="BMSTableText"/>
              <w:keepNext/>
              <w:keepLines/>
              <w:spacing w:before="0" w:after="0"/>
              <w:jc w:val="left"/>
              <w:rPr>
                <w:lang w:val="fr-BE"/>
              </w:rPr>
            </w:pPr>
          </w:p>
          <w:p w14:paraId="62BD633C" w14:textId="77777777" w:rsidR="007663C6" w:rsidRPr="008F50C4" w:rsidRDefault="007663C6" w:rsidP="00834A84">
            <w:pPr>
              <w:pStyle w:val="BMSTableText"/>
              <w:keepNext/>
              <w:keepLines/>
              <w:spacing w:before="0" w:after="0"/>
              <w:jc w:val="left"/>
            </w:pPr>
            <w:r w:rsidRPr="008F50C4">
              <w:t>Withhold dose(s) until symptoms resolve and management with corticosteroids is complete.</w:t>
            </w:r>
          </w:p>
          <w:p w14:paraId="1694DDED" w14:textId="77777777" w:rsidR="007663C6" w:rsidRPr="008F50C4" w:rsidRDefault="007663C6" w:rsidP="00834A84">
            <w:pPr>
              <w:pStyle w:val="BMSTableText"/>
              <w:keepNext/>
              <w:keepLines/>
              <w:jc w:val="left"/>
              <w:rPr>
                <w:lang w:val="en-GB"/>
              </w:rPr>
            </w:pPr>
          </w:p>
        </w:tc>
      </w:tr>
      <w:tr w:rsidR="007663C6" w:rsidRPr="00B521F1" w14:paraId="0A46FE48" w14:textId="77777777" w:rsidTr="00CB6ABF">
        <w:trPr>
          <w:tblHeader/>
        </w:trPr>
        <w:tc>
          <w:tcPr>
            <w:tcW w:w="2055" w:type="dxa"/>
            <w:vMerge/>
            <w:shd w:val="clear" w:color="auto" w:fill="auto"/>
          </w:tcPr>
          <w:p w14:paraId="29AA4FC4" w14:textId="77777777" w:rsidR="007663C6" w:rsidRPr="008F50C4" w:rsidRDefault="007663C6" w:rsidP="00834A84">
            <w:pPr>
              <w:pStyle w:val="BMSTableText"/>
              <w:keepNext/>
              <w:keepLines/>
              <w:jc w:val="left"/>
              <w:rPr>
                <w:lang w:val="en-GB"/>
              </w:rPr>
            </w:pPr>
          </w:p>
        </w:tc>
        <w:tc>
          <w:tcPr>
            <w:tcW w:w="3190" w:type="dxa"/>
            <w:shd w:val="clear" w:color="auto" w:fill="auto"/>
          </w:tcPr>
          <w:p w14:paraId="05C2CF6C" w14:textId="77777777" w:rsidR="007663C6" w:rsidRPr="008F50C4" w:rsidRDefault="007663C6" w:rsidP="00834A84">
            <w:pPr>
              <w:pStyle w:val="BMSTableText"/>
              <w:keepNext/>
              <w:keepLines/>
              <w:jc w:val="left"/>
              <w:rPr>
                <w:lang w:val="en-GB"/>
              </w:rPr>
            </w:pPr>
            <w:r w:rsidRPr="008F50C4">
              <w:t>Grade 3 </w:t>
            </w:r>
            <w:proofErr w:type="spellStart"/>
            <w:r w:rsidRPr="008F50C4">
              <w:t>diarrhoea</w:t>
            </w:r>
            <w:proofErr w:type="spellEnd"/>
            <w:r w:rsidRPr="008F50C4">
              <w:t xml:space="preserve"> or colitis </w:t>
            </w:r>
            <w:r w:rsidRPr="008F50C4">
              <w:br/>
            </w:r>
            <w:r w:rsidRPr="008F50C4">
              <w:tab/>
              <w:t xml:space="preserve">- </w:t>
            </w:r>
            <w:proofErr w:type="spellStart"/>
            <w:r w:rsidRPr="008F50C4">
              <w:t>OPDIVO+ipilimumab</w:t>
            </w:r>
            <w:proofErr w:type="spellEnd"/>
          </w:p>
        </w:tc>
        <w:tc>
          <w:tcPr>
            <w:tcW w:w="3781" w:type="dxa"/>
            <w:shd w:val="clear" w:color="auto" w:fill="auto"/>
          </w:tcPr>
          <w:p w14:paraId="1D9C2513" w14:textId="77777777" w:rsidR="007663C6" w:rsidRPr="008F50C4" w:rsidRDefault="007663C6" w:rsidP="00834A84">
            <w:pPr>
              <w:pStyle w:val="BMSTableText"/>
              <w:keepNext/>
              <w:keepLines/>
              <w:spacing w:before="0" w:after="0"/>
              <w:jc w:val="left"/>
              <w:rPr>
                <w:lang w:val="en-GB"/>
              </w:rPr>
            </w:pPr>
            <w:r w:rsidRPr="008F50C4">
              <w:t>Permanently discontinue treatment.</w:t>
            </w:r>
          </w:p>
        </w:tc>
      </w:tr>
      <w:tr w:rsidR="007663C6" w:rsidRPr="00B521F1" w14:paraId="58654A51" w14:textId="77777777" w:rsidTr="00CB6ABF">
        <w:trPr>
          <w:tblHeader/>
        </w:trPr>
        <w:tc>
          <w:tcPr>
            <w:tcW w:w="2055" w:type="dxa"/>
            <w:vMerge/>
            <w:tcBorders>
              <w:bottom w:val="single" w:sz="4" w:space="0" w:color="auto"/>
            </w:tcBorders>
            <w:shd w:val="clear" w:color="auto" w:fill="auto"/>
          </w:tcPr>
          <w:p w14:paraId="6095C25B" w14:textId="77777777" w:rsidR="007663C6" w:rsidRPr="008F50C4" w:rsidRDefault="007663C6" w:rsidP="00834A84">
            <w:pPr>
              <w:pStyle w:val="BMSTableText"/>
              <w:keepNext/>
              <w:keepLines/>
              <w:jc w:val="left"/>
              <w:rPr>
                <w:lang w:val="en-GB"/>
              </w:rPr>
            </w:pPr>
          </w:p>
        </w:tc>
        <w:tc>
          <w:tcPr>
            <w:tcW w:w="3190" w:type="dxa"/>
            <w:tcBorders>
              <w:bottom w:val="single" w:sz="4" w:space="0" w:color="auto"/>
            </w:tcBorders>
            <w:shd w:val="clear" w:color="auto" w:fill="auto"/>
          </w:tcPr>
          <w:p w14:paraId="6C4E11B8" w14:textId="77777777" w:rsidR="007663C6" w:rsidRPr="008F50C4" w:rsidRDefault="007663C6" w:rsidP="00834A84">
            <w:pPr>
              <w:pStyle w:val="BMSTableText"/>
              <w:keepNext/>
              <w:keepLines/>
              <w:jc w:val="left"/>
              <w:rPr>
                <w:lang w:val="en-GB"/>
              </w:rPr>
            </w:pPr>
            <w:r w:rsidRPr="008F50C4">
              <w:rPr>
                <w:lang w:val="en-GB"/>
              </w:rPr>
              <w:t>Grade 4 diarrhoea or colitis</w:t>
            </w:r>
          </w:p>
        </w:tc>
        <w:tc>
          <w:tcPr>
            <w:tcW w:w="3781" w:type="dxa"/>
            <w:tcBorders>
              <w:bottom w:val="single" w:sz="4" w:space="0" w:color="auto"/>
            </w:tcBorders>
            <w:shd w:val="clear" w:color="auto" w:fill="auto"/>
          </w:tcPr>
          <w:p w14:paraId="0A0AB8EE" w14:textId="77777777" w:rsidR="007663C6" w:rsidRPr="008F50C4" w:rsidRDefault="007663C6" w:rsidP="00834A84">
            <w:pPr>
              <w:pStyle w:val="BMSTableText"/>
              <w:keepNext/>
              <w:keepLines/>
              <w:jc w:val="left"/>
              <w:rPr>
                <w:lang w:val="en-GB"/>
              </w:rPr>
            </w:pPr>
            <w:r w:rsidRPr="008F50C4">
              <w:rPr>
                <w:lang w:val="en-GB"/>
              </w:rPr>
              <w:t xml:space="preserve">Permanently discontinue </w:t>
            </w:r>
            <w:r w:rsidRPr="008F50C4">
              <w:rPr>
                <w:noProof/>
                <w:lang w:val="en-GB"/>
              </w:rPr>
              <w:t>treatment.</w:t>
            </w:r>
          </w:p>
        </w:tc>
      </w:tr>
      <w:tr w:rsidR="007663C6" w:rsidRPr="00B521F1" w14:paraId="448DBC01" w14:textId="77777777" w:rsidTr="00CB6ABF">
        <w:trPr>
          <w:tblHeader/>
        </w:trPr>
        <w:tc>
          <w:tcPr>
            <w:tcW w:w="2055" w:type="dxa"/>
            <w:vMerge w:val="restart"/>
            <w:tcBorders>
              <w:top w:val="single" w:sz="4" w:space="0" w:color="auto"/>
            </w:tcBorders>
            <w:shd w:val="clear" w:color="auto" w:fill="auto"/>
            <w:vAlign w:val="center"/>
          </w:tcPr>
          <w:p w14:paraId="40E0E6AF" w14:textId="77777777" w:rsidR="007663C6" w:rsidRPr="008F50C4" w:rsidRDefault="007663C6" w:rsidP="00834A84">
            <w:pPr>
              <w:pStyle w:val="BMSTableText"/>
              <w:keepNext/>
              <w:keepLines/>
              <w:jc w:val="left"/>
              <w:rPr>
                <w:lang w:val="en-GB"/>
              </w:rPr>
            </w:pPr>
            <w:r w:rsidRPr="008F50C4">
              <w:rPr>
                <w:lang w:val="en-GB"/>
              </w:rPr>
              <w:t>Immune-related hepatitis</w:t>
            </w:r>
          </w:p>
        </w:tc>
        <w:tc>
          <w:tcPr>
            <w:tcW w:w="3190" w:type="dxa"/>
            <w:tcBorders>
              <w:top w:val="single" w:sz="4" w:space="0" w:color="auto"/>
            </w:tcBorders>
            <w:shd w:val="clear" w:color="auto" w:fill="auto"/>
          </w:tcPr>
          <w:p w14:paraId="0EFE9893" w14:textId="77777777" w:rsidR="007663C6" w:rsidRPr="008F50C4" w:rsidRDefault="007663C6" w:rsidP="00834A84">
            <w:pPr>
              <w:pStyle w:val="BMSTableText"/>
              <w:keepNext/>
              <w:keepLines/>
              <w:jc w:val="left"/>
              <w:rPr>
                <w:lang w:val="en-GB"/>
              </w:rPr>
            </w:pPr>
            <w:r w:rsidRPr="008F50C4">
              <w:rPr>
                <w:lang w:val="en-GB"/>
              </w:rPr>
              <w:t xml:space="preserve">Grade 2 elevation in aspartate aminotransferase (AST), alanine aminotransferase (ALT), or total bilirubin </w:t>
            </w:r>
          </w:p>
        </w:tc>
        <w:tc>
          <w:tcPr>
            <w:tcW w:w="3781" w:type="dxa"/>
            <w:tcBorders>
              <w:top w:val="single" w:sz="4" w:space="0" w:color="auto"/>
            </w:tcBorders>
            <w:shd w:val="clear" w:color="auto" w:fill="auto"/>
            <w:vAlign w:val="center"/>
          </w:tcPr>
          <w:p w14:paraId="58300070" w14:textId="77777777" w:rsidR="007663C6" w:rsidRPr="008F50C4" w:rsidRDefault="007663C6" w:rsidP="00834A84">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laboratory values return to baseline and management with corticosteroids, if needed, is complete.</w:t>
            </w:r>
          </w:p>
        </w:tc>
      </w:tr>
      <w:tr w:rsidR="007663C6" w:rsidRPr="00B521F1" w14:paraId="1E585960" w14:textId="77777777" w:rsidTr="00CB6ABF">
        <w:trPr>
          <w:tblHeader/>
        </w:trPr>
        <w:tc>
          <w:tcPr>
            <w:tcW w:w="2055" w:type="dxa"/>
            <w:vMerge/>
            <w:shd w:val="clear" w:color="auto" w:fill="auto"/>
          </w:tcPr>
          <w:p w14:paraId="0C723ABF" w14:textId="77777777" w:rsidR="007663C6" w:rsidRPr="008F50C4" w:rsidRDefault="007663C6" w:rsidP="00834A84">
            <w:pPr>
              <w:keepNext/>
              <w:keepLines/>
              <w:rPr>
                <w:sz w:val="20"/>
                <w:szCs w:val="20"/>
              </w:rPr>
            </w:pPr>
          </w:p>
        </w:tc>
        <w:tc>
          <w:tcPr>
            <w:tcW w:w="3190" w:type="dxa"/>
            <w:tcBorders>
              <w:bottom w:val="dashSmallGap" w:sz="4" w:space="0" w:color="auto"/>
            </w:tcBorders>
            <w:shd w:val="clear" w:color="auto" w:fill="auto"/>
          </w:tcPr>
          <w:p w14:paraId="154476B3" w14:textId="77777777" w:rsidR="007663C6" w:rsidRPr="008F50C4" w:rsidRDefault="007663C6" w:rsidP="00834A84">
            <w:pPr>
              <w:pStyle w:val="BMSTableText"/>
              <w:keepNext/>
              <w:keepLines/>
              <w:jc w:val="left"/>
              <w:rPr>
                <w:lang w:val="en-GB"/>
              </w:rPr>
            </w:pPr>
            <w:r w:rsidRPr="008F50C4">
              <w:rPr>
                <w:lang w:val="en-GB"/>
              </w:rPr>
              <w:t xml:space="preserve">Grade 3 or 4 elevation in AST, ALT, or total bilirubin </w:t>
            </w:r>
          </w:p>
        </w:tc>
        <w:tc>
          <w:tcPr>
            <w:tcW w:w="3781" w:type="dxa"/>
            <w:tcBorders>
              <w:bottom w:val="dashSmallGap" w:sz="4" w:space="0" w:color="auto"/>
            </w:tcBorders>
            <w:shd w:val="clear" w:color="auto" w:fill="auto"/>
            <w:vAlign w:val="center"/>
          </w:tcPr>
          <w:p w14:paraId="7E8A652D" w14:textId="77777777" w:rsidR="007663C6" w:rsidRPr="008F50C4" w:rsidRDefault="007663C6" w:rsidP="00834A84">
            <w:pPr>
              <w:pStyle w:val="BMSTableText"/>
              <w:keepNext/>
              <w:keepLines/>
              <w:jc w:val="left"/>
              <w:rPr>
                <w:lang w:val="en-GB"/>
              </w:rPr>
            </w:pPr>
            <w:r w:rsidRPr="008F50C4">
              <w:rPr>
                <w:lang w:val="en-GB"/>
              </w:rPr>
              <w:t xml:space="preserve">Permanently discontinue </w:t>
            </w:r>
            <w:r w:rsidRPr="008F50C4">
              <w:rPr>
                <w:noProof/>
                <w:lang w:val="en-GB"/>
              </w:rPr>
              <w:t>treatment.</w:t>
            </w:r>
          </w:p>
        </w:tc>
      </w:tr>
      <w:tr w:rsidR="007663C6" w:rsidRPr="00B521F1" w14:paraId="44DC66DE" w14:textId="77777777" w:rsidTr="00CB6ABF">
        <w:trPr>
          <w:tblHeader/>
        </w:trPr>
        <w:tc>
          <w:tcPr>
            <w:tcW w:w="2055" w:type="dxa"/>
            <w:vMerge w:val="restart"/>
            <w:tcBorders>
              <w:top w:val="single" w:sz="4" w:space="0" w:color="auto"/>
            </w:tcBorders>
            <w:shd w:val="clear" w:color="auto" w:fill="auto"/>
            <w:vAlign w:val="center"/>
          </w:tcPr>
          <w:p w14:paraId="3E696C40" w14:textId="77777777" w:rsidR="007663C6" w:rsidRPr="008F50C4" w:rsidRDefault="007663C6" w:rsidP="00834A84">
            <w:pPr>
              <w:pStyle w:val="BMSTableText"/>
              <w:keepNext/>
              <w:keepLines/>
              <w:jc w:val="left"/>
              <w:rPr>
                <w:lang w:val="en-GB"/>
              </w:rPr>
            </w:pPr>
            <w:r w:rsidRPr="008F50C4">
              <w:rPr>
                <w:lang w:val="en-GB"/>
              </w:rPr>
              <w:t>Immune-related nephritis and renal dysfunction</w:t>
            </w:r>
          </w:p>
        </w:tc>
        <w:tc>
          <w:tcPr>
            <w:tcW w:w="3190" w:type="dxa"/>
            <w:tcBorders>
              <w:top w:val="single" w:sz="4" w:space="0" w:color="auto"/>
            </w:tcBorders>
            <w:shd w:val="clear" w:color="auto" w:fill="auto"/>
          </w:tcPr>
          <w:p w14:paraId="6D6AABD0" w14:textId="77777777" w:rsidR="007663C6" w:rsidRPr="008F50C4" w:rsidRDefault="007663C6" w:rsidP="00834A84">
            <w:pPr>
              <w:pStyle w:val="BMSTableText"/>
              <w:keepNext/>
              <w:keepLines/>
              <w:jc w:val="left"/>
              <w:rPr>
                <w:lang w:val="en-GB"/>
              </w:rPr>
            </w:pPr>
            <w:r w:rsidRPr="008F50C4">
              <w:rPr>
                <w:lang w:val="en-GB"/>
              </w:rPr>
              <w:t xml:space="preserve">Grade 2 or 3 creatinine elevation </w:t>
            </w:r>
          </w:p>
        </w:tc>
        <w:tc>
          <w:tcPr>
            <w:tcW w:w="3781" w:type="dxa"/>
            <w:tcBorders>
              <w:top w:val="single" w:sz="4" w:space="0" w:color="auto"/>
            </w:tcBorders>
            <w:shd w:val="clear" w:color="auto" w:fill="auto"/>
          </w:tcPr>
          <w:p w14:paraId="304E3F3A" w14:textId="77777777" w:rsidR="007663C6" w:rsidRPr="008F50C4" w:rsidRDefault="007663C6" w:rsidP="00834A84">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creatinine returns to baseline and management with corticosteroids is complete.</w:t>
            </w:r>
          </w:p>
        </w:tc>
      </w:tr>
      <w:tr w:rsidR="007663C6" w:rsidRPr="00B521F1" w14:paraId="2313B43D" w14:textId="77777777" w:rsidTr="00CB6ABF">
        <w:trPr>
          <w:tblHeader/>
        </w:trPr>
        <w:tc>
          <w:tcPr>
            <w:tcW w:w="2055" w:type="dxa"/>
            <w:vMerge/>
            <w:tcBorders>
              <w:bottom w:val="single" w:sz="4" w:space="0" w:color="auto"/>
            </w:tcBorders>
            <w:shd w:val="clear" w:color="auto" w:fill="auto"/>
            <w:vAlign w:val="center"/>
          </w:tcPr>
          <w:p w14:paraId="56632179" w14:textId="77777777" w:rsidR="007663C6" w:rsidRPr="008F50C4" w:rsidRDefault="007663C6" w:rsidP="00834A84">
            <w:pPr>
              <w:pStyle w:val="BMSTableText"/>
              <w:keepNext/>
              <w:keepLines/>
              <w:jc w:val="left"/>
              <w:rPr>
                <w:lang w:val="en-GB"/>
              </w:rPr>
            </w:pPr>
          </w:p>
        </w:tc>
        <w:tc>
          <w:tcPr>
            <w:tcW w:w="3190" w:type="dxa"/>
            <w:tcBorders>
              <w:bottom w:val="single" w:sz="4" w:space="0" w:color="auto"/>
            </w:tcBorders>
            <w:shd w:val="clear" w:color="auto" w:fill="auto"/>
          </w:tcPr>
          <w:p w14:paraId="3407FC18" w14:textId="77777777" w:rsidR="007663C6" w:rsidRPr="008F50C4" w:rsidRDefault="007663C6" w:rsidP="00834A84">
            <w:pPr>
              <w:pStyle w:val="BMSTableText"/>
              <w:keepNext/>
              <w:keepLines/>
              <w:jc w:val="left"/>
              <w:rPr>
                <w:lang w:val="en-GB"/>
              </w:rPr>
            </w:pPr>
            <w:r w:rsidRPr="008F50C4">
              <w:rPr>
                <w:lang w:val="en-GB"/>
              </w:rPr>
              <w:t>Grade 4 creatinine elevation</w:t>
            </w:r>
          </w:p>
        </w:tc>
        <w:tc>
          <w:tcPr>
            <w:tcW w:w="3781" w:type="dxa"/>
            <w:tcBorders>
              <w:bottom w:val="single" w:sz="4" w:space="0" w:color="auto"/>
            </w:tcBorders>
            <w:shd w:val="clear" w:color="auto" w:fill="auto"/>
          </w:tcPr>
          <w:p w14:paraId="315EF618" w14:textId="77777777" w:rsidR="007663C6" w:rsidRPr="008F50C4" w:rsidRDefault="007663C6" w:rsidP="00834A84">
            <w:pPr>
              <w:pStyle w:val="BMSTableText"/>
              <w:keepNext/>
              <w:keepLines/>
              <w:jc w:val="left"/>
              <w:rPr>
                <w:lang w:val="en-GB"/>
              </w:rPr>
            </w:pPr>
            <w:r w:rsidRPr="008F50C4">
              <w:rPr>
                <w:lang w:val="en-GB"/>
              </w:rPr>
              <w:t xml:space="preserve">Permanently discontinue </w:t>
            </w:r>
            <w:r w:rsidRPr="008F50C4">
              <w:rPr>
                <w:noProof/>
                <w:lang w:val="en-GB"/>
              </w:rPr>
              <w:t>treatment.</w:t>
            </w:r>
          </w:p>
        </w:tc>
      </w:tr>
      <w:tr w:rsidR="007663C6" w:rsidRPr="00B521F1" w14:paraId="43DDDBD3" w14:textId="77777777" w:rsidTr="00CB6ABF">
        <w:trPr>
          <w:tblHeader/>
        </w:trPr>
        <w:tc>
          <w:tcPr>
            <w:tcW w:w="2055" w:type="dxa"/>
            <w:tcBorders>
              <w:top w:val="single" w:sz="4" w:space="0" w:color="auto"/>
            </w:tcBorders>
            <w:shd w:val="clear" w:color="auto" w:fill="auto"/>
            <w:vAlign w:val="center"/>
          </w:tcPr>
          <w:p w14:paraId="45F64082" w14:textId="77777777" w:rsidR="007663C6" w:rsidRPr="008F50C4" w:rsidRDefault="007663C6" w:rsidP="00834A84">
            <w:pPr>
              <w:pStyle w:val="BMSTableText"/>
              <w:keepNext/>
              <w:keepLines/>
              <w:jc w:val="left"/>
              <w:rPr>
                <w:lang w:val="en-GB"/>
              </w:rPr>
            </w:pPr>
            <w:r w:rsidRPr="008F50C4">
              <w:rPr>
                <w:lang w:val="en-GB"/>
              </w:rPr>
              <w:t>Immune</w:t>
            </w:r>
            <w:r w:rsidRPr="008F50C4">
              <w:rPr>
                <w:lang w:val="en-GB"/>
              </w:rPr>
              <w:noBreakHyphen/>
              <w:t xml:space="preserve">related </w:t>
            </w:r>
            <w:proofErr w:type="spellStart"/>
            <w:r w:rsidRPr="008F50C4">
              <w:rPr>
                <w:lang w:val="en-GB"/>
              </w:rPr>
              <w:t>endocrinopathies</w:t>
            </w:r>
            <w:proofErr w:type="spellEnd"/>
          </w:p>
        </w:tc>
        <w:tc>
          <w:tcPr>
            <w:tcW w:w="3190" w:type="dxa"/>
            <w:tcBorders>
              <w:top w:val="single" w:sz="4" w:space="0" w:color="auto"/>
            </w:tcBorders>
            <w:shd w:val="clear" w:color="auto" w:fill="auto"/>
          </w:tcPr>
          <w:p w14:paraId="1315857C" w14:textId="77777777" w:rsidR="007663C6" w:rsidRPr="008F50C4" w:rsidRDefault="007663C6" w:rsidP="00834A84">
            <w:pPr>
              <w:pStyle w:val="BMSTableText"/>
              <w:keepNext/>
              <w:keepLines/>
              <w:jc w:val="left"/>
              <w:rPr>
                <w:lang w:val="en-GB"/>
              </w:rPr>
            </w:pPr>
            <w:r w:rsidRPr="008F50C4">
              <w:rPr>
                <w:lang w:val="en-GB"/>
              </w:rPr>
              <w:t xml:space="preserve">Symptomatic </w:t>
            </w:r>
            <w:r w:rsidRPr="008F50C4">
              <w:t xml:space="preserve">Grade 2 or 3 </w:t>
            </w:r>
            <w:r w:rsidRPr="008F50C4">
              <w:rPr>
                <w:lang w:val="en-GB"/>
              </w:rPr>
              <w:t xml:space="preserve">hypothyroidism, hyperthyroidism, </w:t>
            </w:r>
            <w:proofErr w:type="spellStart"/>
            <w:r w:rsidRPr="008F50C4">
              <w:rPr>
                <w:lang w:val="en-GB"/>
              </w:rPr>
              <w:t>hypophysitis</w:t>
            </w:r>
            <w:proofErr w:type="spellEnd"/>
          </w:p>
          <w:p w14:paraId="3BAE99BF" w14:textId="77777777" w:rsidR="007663C6" w:rsidRPr="008F50C4" w:rsidRDefault="007663C6" w:rsidP="00834A84">
            <w:pPr>
              <w:pStyle w:val="BMSTableText"/>
              <w:keepNext/>
              <w:keepLines/>
              <w:jc w:val="left"/>
              <w:rPr>
                <w:lang w:val="en-GB"/>
              </w:rPr>
            </w:pPr>
            <w:r w:rsidRPr="008F50C4">
              <w:rPr>
                <w:lang w:val="en-GB"/>
              </w:rPr>
              <w:t xml:space="preserve">Grade 2 adrenal insufficiency </w:t>
            </w:r>
          </w:p>
          <w:p w14:paraId="344D1AF7" w14:textId="77777777" w:rsidR="007663C6" w:rsidRPr="008F50C4" w:rsidRDefault="007663C6" w:rsidP="00834A84">
            <w:pPr>
              <w:pStyle w:val="BMSTableText"/>
              <w:keepNext/>
              <w:keepLines/>
              <w:jc w:val="left"/>
              <w:rPr>
                <w:lang w:val="en-GB"/>
              </w:rPr>
            </w:pPr>
            <w:r w:rsidRPr="008F50C4">
              <w:rPr>
                <w:lang w:val="en-GB"/>
              </w:rPr>
              <w:t>Grade 3 diabetes</w:t>
            </w:r>
          </w:p>
        </w:tc>
        <w:tc>
          <w:tcPr>
            <w:tcW w:w="3781" w:type="dxa"/>
            <w:tcBorders>
              <w:top w:val="single" w:sz="4" w:space="0" w:color="auto"/>
            </w:tcBorders>
            <w:shd w:val="clear" w:color="auto" w:fill="auto"/>
          </w:tcPr>
          <w:p w14:paraId="0D1042C3" w14:textId="77777777" w:rsidR="007663C6" w:rsidRPr="008F50C4" w:rsidRDefault="007663C6" w:rsidP="00834A84">
            <w:pPr>
              <w:pStyle w:val="BMSTableText"/>
              <w:keepNext/>
              <w:keepLines/>
              <w:jc w:val="left"/>
              <w:rPr>
                <w:lang w:val="en-GB"/>
              </w:rPr>
            </w:pPr>
            <w:r w:rsidRPr="008F50C4">
              <w:rPr>
                <w:lang w:val="en-GB"/>
              </w:rPr>
              <w:t xml:space="preserve">Withhold </w:t>
            </w:r>
            <w:r w:rsidRPr="008F50C4">
              <w:rPr>
                <w:noProof/>
                <w:lang w:val="en-GB"/>
              </w:rPr>
              <w:t>dose(s)</w:t>
            </w:r>
            <w:r w:rsidRPr="008F50C4">
              <w:rPr>
                <w:lang w:val="en-GB"/>
              </w:rPr>
              <w:t xml:space="preserve"> until symptoms resolve and management with corticosteroids (if needed for symptoms of acute inflammation) is complete. OPDIVO should be continued in the presence of hormone replacement </w:t>
            </w:r>
            <w:proofErr w:type="spellStart"/>
            <w:r w:rsidRPr="008F50C4">
              <w:rPr>
                <w:lang w:val="en-GB"/>
              </w:rPr>
              <w:t>therapy</w:t>
            </w:r>
            <w:r w:rsidRPr="008F50C4">
              <w:rPr>
                <w:vertAlign w:val="superscript"/>
                <w:lang w:val="en-GB"/>
              </w:rPr>
              <w:t>b</w:t>
            </w:r>
            <w:proofErr w:type="spellEnd"/>
            <w:r w:rsidRPr="008F50C4">
              <w:rPr>
                <w:lang w:val="en-GB"/>
              </w:rPr>
              <w:t xml:space="preserve"> as long as no symptoms are present.</w:t>
            </w:r>
          </w:p>
        </w:tc>
      </w:tr>
      <w:tr w:rsidR="007663C6" w:rsidRPr="00B521F1" w14:paraId="7C5C4087" w14:textId="77777777" w:rsidTr="00CB6ABF">
        <w:trPr>
          <w:tblHeader/>
        </w:trPr>
        <w:tc>
          <w:tcPr>
            <w:tcW w:w="2055" w:type="dxa"/>
            <w:shd w:val="clear" w:color="auto" w:fill="auto"/>
            <w:vAlign w:val="center"/>
          </w:tcPr>
          <w:p w14:paraId="31471534" w14:textId="77777777" w:rsidR="007663C6" w:rsidRPr="008F50C4" w:rsidRDefault="007663C6" w:rsidP="00834A84">
            <w:pPr>
              <w:pStyle w:val="BMSTableText"/>
              <w:keepNext/>
              <w:keepLines/>
              <w:spacing w:before="0" w:after="0"/>
              <w:jc w:val="left"/>
              <w:rPr>
                <w:lang w:val="fr-BE"/>
              </w:rPr>
            </w:pPr>
          </w:p>
        </w:tc>
        <w:tc>
          <w:tcPr>
            <w:tcW w:w="3190" w:type="dxa"/>
            <w:shd w:val="clear" w:color="auto" w:fill="auto"/>
          </w:tcPr>
          <w:p w14:paraId="0F0546C8" w14:textId="77777777" w:rsidR="007663C6" w:rsidRPr="008F50C4" w:rsidRDefault="007663C6" w:rsidP="00834A84">
            <w:pPr>
              <w:pStyle w:val="BMSTableText"/>
              <w:keepNext/>
              <w:keepLines/>
              <w:spacing w:before="0" w:after="0"/>
              <w:jc w:val="left"/>
              <w:rPr>
                <w:lang w:val="fr-BE"/>
              </w:rPr>
            </w:pPr>
            <w:r w:rsidRPr="008F50C4">
              <w:rPr>
                <w:lang w:val="fr-BE"/>
              </w:rPr>
              <w:br/>
              <w:t xml:space="preserve">Grade 4 </w:t>
            </w:r>
            <w:proofErr w:type="spellStart"/>
            <w:r w:rsidRPr="008F50C4">
              <w:rPr>
                <w:lang w:val="fr-BE"/>
              </w:rPr>
              <w:t>hypothyroidism</w:t>
            </w:r>
            <w:proofErr w:type="spellEnd"/>
          </w:p>
          <w:p w14:paraId="587926CB" w14:textId="77777777" w:rsidR="007663C6" w:rsidRPr="008F50C4" w:rsidRDefault="007663C6" w:rsidP="00834A84">
            <w:pPr>
              <w:pStyle w:val="BMSTableText"/>
              <w:keepNext/>
              <w:keepLines/>
              <w:spacing w:before="0" w:after="0"/>
              <w:jc w:val="left"/>
              <w:rPr>
                <w:lang w:val="fr-BE"/>
              </w:rPr>
            </w:pPr>
            <w:r w:rsidRPr="008F50C4">
              <w:rPr>
                <w:lang w:val="fr-BE"/>
              </w:rPr>
              <w:t xml:space="preserve">Grade 4 </w:t>
            </w:r>
            <w:proofErr w:type="spellStart"/>
            <w:r w:rsidRPr="008F50C4">
              <w:rPr>
                <w:lang w:val="fr-BE"/>
              </w:rPr>
              <w:t>hyperthyroidism</w:t>
            </w:r>
            <w:proofErr w:type="spellEnd"/>
          </w:p>
          <w:p w14:paraId="3AD2262B" w14:textId="77777777" w:rsidR="007663C6" w:rsidRPr="008F50C4" w:rsidRDefault="007663C6" w:rsidP="00834A84">
            <w:pPr>
              <w:pStyle w:val="BMSTableText"/>
              <w:keepNext/>
              <w:keepLines/>
              <w:spacing w:before="0" w:after="0"/>
              <w:jc w:val="left"/>
              <w:rPr>
                <w:lang w:val="fr-BE"/>
              </w:rPr>
            </w:pPr>
            <w:r w:rsidRPr="008F50C4">
              <w:rPr>
                <w:lang w:val="fr-BE"/>
              </w:rPr>
              <w:t xml:space="preserve">Grade 4 </w:t>
            </w:r>
            <w:proofErr w:type="spellStart"/>
            <w:r w:rsidRPr="008F50C4">
              <w:rPr>
                <w:lang w:val="fr-BE"/>
              </w:rPr>
              <w:t>hypophysitis</w:t>
            </w:r>
            <w:proofErr w:type="spellEnd"/>
            <w:r w:rsidRPr="008F50C4">
              <w:rPr>
                <w:lang w:val="fr-BE"/>
              </w:rPr>
              <w:br/>
              <w:t xml:space="preserve">Grade 3 or 4 </w:t>
            </w:r>
            <w:proofErr w:type="spellStart"/>
            <w:r w:rsidRPr="008F50C4">
              <w:rPr>
                <w:lang w:val="fr-BE"/>
              </w:rPr>
              <w:t>adrenal</w:t>
            </w:r>
            <w:proofErr w:type="spellEnd"/>
            <w:r w:rsidRPr="008F50C4">
              <w:rPr>
                <w:lang w:val="fr-BE"/>
              </w:rPr>
              <w:t xml:space="preserve"> </w:t>
            </w:r>
            <w:proofErr w:type="spellStart"/>
            <w:r w:rsidRPr="008F50C4">
              <w:rPr>
                <w:lang w:val="fr-BE"/>
              </w:rPr>
              <w:t>insufficiency</w:t>
            </w:r>
            <w:proofErr w:type="spellEnd"/>
            <w:r w:rsidRPr="008F50C4">
              <w:rPr>
                <w:lang w:val="fr-BE"/>
              </w:rPr>
              <w:br/>
              <w:t xml:space="preserve">Grade 4 </w:t>
            </w:r>
            <w:proofErr w:type="spellStart"/>
            <w:r w:rsidRPr="008F50C4">
              <w:rPr>
                <w:lang w:val="fr-BE"/>
              </w:rPr>
              <w:t>diabetes</w:t>
            </w:r>
            <w:proofErr w:type="spellEnd"/>
          </w:p>
        </w:tc>
        <w:tc>
          <w:tcPr>
            <w:tcW w:w="3781" w:type="dxa"/>
            <w:shd w:val="clear" w:color="auto" w:fill="auto"/>
            <w:vAlign w:val="center"/>
          </w:tcPr>
          <w:p w14:paraId="2B0F1318" w14:textId="77777777" w:rsidR="007663C6" w:rsidRPr="008F50C4" w:rsidRDefault="007663C6" w:rsidP="00834A84">
            <w:pPr>
              <w:pStyle w:val="BMSTableText"/>
              <w:keepNext/>
              <w:keepLines/>
              <w:spacing w:before="0" w:after="0"/>
              <w:jc w:val="left"/>
            </w:pPr>
            <w:proofErr w:type="spellStart"/>
            <w:r w:rsidRPr="008F50C4">
              <w:rPr>
                <w:lang w:val="fr-BE"/>
              </w:rPr>
              <w:t>Permanently</w:t>
            </w:r>
            <w:proofErr w:type="spellEnd"/>
            <w:r w:rsidRPr="008F50C4">
              <w:rPr>
                <w:lang w:val="fr-BE"/>
              </w:rPr>
              <w:t xml:space="preserve"> discontinue </w:t>
            </w:r>
            <w:r w:rsidRPr="008F50C4">
              <w:rPr>
                <w:noProof/>
                <w:lang w:val="fr-BE"/>
              </w:rPr>
              <w:t>treatment.</w:t>
            </w:r>
          </w:p>
        </w:tc>
      </w:tr>
      <w:tr w:rsidR="007663C6" w:rsidRPr="00B521F1" w14:paraId="3C97D6DA" w14:textId="77777777" w:rsidTr="00CB6ABF">
        <w:trPr>
          <w:tblHeader/>
        </w:trPr>
        <w:tc>
          <w:tcPr>
            <w:tcW w:w="2055" w:type="dxa"/>
            <w:tcBorders>
              <w:top w:val="single" w:sz="4" w:space="0" w:color="auto"/>
            </w:tcBorders>
            <w:shd w:val="clear" w:color="auto" w:fill="auto"/>
            <w:vAlign w:val="center"/>
          </w:tcPr>
          <w:p w14:paraId="7A247FD0" w14:textId="77777777" w:rsidR="007663C6" w:rsidRPr="008F50C4" w:rsidRDefault="007663C6" w:rsidP="00834A84">
            <w:pPr>
              <w:pStyle w:val="BMSTableText"/>
              <w:keepNext/>
              <w:keepLines/>
              <w:spacing w:before="0" w:after="0"/>
              <w:jc w:val="left"/>
              <w:rPr>
                <w:lang w:val="fr-BE"/>
              </w:rPr>
            </w:pPr>
            <w:r w:rsidRPr="008F50C4">
              <w:rPr>
                <w:lang w:val="fr-BE"/>
              </w:rPr>
              <w:t>Immune-</w:t>
            </w:r>
            <w:proofErr w:type="spellStart"/>
            <w:r w:rsidRPr="008F50C4">
              <w:rPr>
                <w:lang w:val="fr-BE"/>
              </w:rPr>
              <w:t>related</w:t>
            </w:r>
            <w:proofErr w:type="spellEnd"/>
            <w:r w:rsidRPr="008F50C4">
              <w:rPr>
                <w:lang w:val="fr-BE"/>
              </w:rPr>
              <w:t xml:space="preserve"> skin adverse </w:t>
            </w:r>
            <w:proofErr w:type="spellStart"/>
            <w:r w:rsidRPr="008F50C4">
              <w:rPr>
                <w:lang w:val="fr-BE"/>
              </w:rPr>
              <w:t>reactions</w:t>
            </w:r>
            <w:proofErr w:type="spellEnd"/>
            <w:r w:rsidRPr="008F50C4">
              <w:rPr>
                <w:color w:val="3333CC"/>
                <w:u w:val="double"/>
                <w:lang w:val="fr-BE"/>
              </w:rPr>
              <w:t xml:space="preserve"> </w:t>
            </w:r>
          </w:p>
        </w:tc>
        <w:tc>
          <w:tcPr>
            <w:tcW w:w="3190" w:type="dxa"/>
            <w:tcBorders>
              <w:top w:val="single" w:sz="4" w:space="0" w:color="auto"/>
            </w:tcBorders>
            <w:shd w:val="clear" w:color="auto" w:fill="auto"/>
          </w:tcPr>
          <w:p w14:paraId="654849AB" w14:textId="77777777" w:rsidR="007663C6" w:rsidRPr="008F50C4" w:rsidRDefault="007663C6" w:rsidP="00834A84">
            <w:pPr>
              <w:pStyle w:val="BMSTableText"/>
              <w:keepNext/>
              <w:keepLines/>
              <w:spacing w:before="0" w:after="0"/>
              <w:jc w:val="left"/>
              <w:rPr>
                <w:lang w:val="fr-BE"/>
              </w:rPr>
            </w:pPr>
            <w:r w:rsidRPr="008F50C4">
              <w:rPr>
                <w:lang w:val="fr-BE"/>
              </w:rPr>
              <w:t>Grade 3 rash</w:t>
            </w:r>
          </w:p>
          <w:p w14:paraId="213F0FBF" w14:textId="77777777" w:rsidR="007663C6" w:rsidRPr="008F50C4" w:rsidRDefault="007663C6" w:rsidP="00834A84">
            <w:pPr>
              <w:pStyle w:val="BMSTableText"/>
              <w:keepNext/>
              <w:keepLines/>
              <w:spacing w:before="0" w:after="0"/>
              <w:jc w:val="left"/>
              <w:rPr>
                <w:lang w:val="fr-BE"/>
              </w:rPr>
            </w:pPr>
          </w:p>
          <w:p w14:paraId="0B4BD813" w14:textId="77777777" w:rsidR="007663C6" w:rsidRPr="008F50C4" w:rsidRDefault="007663C6" w:rsidP="00834A84">
            <w:pPr>
              <w:pStyle w:val="BMSTableText"/>
              <w:keepNext/>
              <w:keepLines/>
              <w:spacing w:before="0" w:after="0"/>
              <w:jc w:val="left"/>
              <w:rPr>
                <w:lang w:val="fr-BE"/>
              </w:rPr>
            </w:pPr>
          </w:p>
          <w:p w14:paraId="77AD0187" w14:textId="77777777" w:rsidR="007663C6" w:rsidRPr="008F50C4" w:rsidRDefault="007663C6" w:rsidP="00834A84">
            <w:pPr>
              <w:pStyle w:val="BMSTableText"/>
              <w:keepNext/>
              <w:keepLines/>
              <w:spacing w:before="0" w:after="0"/>
              <w:jc w:val="left"/>
              <w:rPr>
                <w:lang w:val="fr-BE"/>
              </w:rPr>
            </w:pPr>
          </w:p>
          <w:p w14:paraId="432093D3" w14:textId="77777777" w:rsidR="007663C6" w:rsidRPr="008F50C4" w:rsidRDefault="007663C6" w:rsidP="00834A84">
            <w:pPr>
              <w:pStyle w:val="BMSTableText"/>
              <w:keepNext/>
              <w:keepLines/>
              <w:spacing w:before="0" w:after="0"/>
              <w:jc w:val="left"/>
              <w:rPr>
                <w:lang w:val="fr-BE"/>
              </w:rPr>
            </w:pPr>
            <w:proofErr w:type="spellStart"/>
            <w:r w:rsidRPr="008F50C4">
              <w:rPr>
                <w:lang w:val="fr-BE"/>
              </w:rPr>
              <w:t>Suspected</w:t>
            </w:r>
            <w:proofErr w:type="spellEnd"/>
            <w:r w:rsidRPr="008F50C4">
              <w:rPr>
                <w:lang w:val="fr-BE"/>
              </w:rPr>
              <w:t xml:space="preserve"> SJS or TEN</w:t>
            </w:r>
          </w:p>
        </w:tc>
        <w:tc>
          <w:tcPr>
            <w:tcW w:w="3781" w:type="dxa"/>
            <w:tcBorders>
              <w:top w:val="single" w:sz="4" w:space="0" w:color="auto"/>
            </w:tcBorders>
            <w:shd w:val="clear" w:color="auto" w:fill="auto"/>
          </w:tcPr>
          <w:p w14:paraId="53D3E230" w14:textId="77777777" w:rsidR="007663C6" w:rsidRPr="008F50C4" w:rsidRDefault="007663C6" w:rsidP="00834A84">
            <w:pPr>
              <w:pStyle w:val="BMSTableText"/>
              <w:keepNext/>
              <w:keepLines/>
              <w:spacing w:before="0" w:after="0"/>
              <w:jc w:val="left"/>
            </w:pPr>
            <w:r w:rsidRPr="008F50C4">
              <w:t xml:space="preserve">Withhold </w:t>
            </w:r>
            <w:r w:rsidRPr="008F50C4">
              <w:rPr>
                <w:noProof/>
                <w:lang w:val="en-GB"/>
              </w:rPr>
              <w:t>dose(s)</w:t>
            </w:r>
            <w:r w:rsidRPr="008F50C4">
              <w:rPr>
                <w:lang w:val="en-GB"/>
              </w:rPr>
              <w:t xml:space="preserve"> </w:t>
            </w:r>
            <w:r w:rsidRPr="008F50C4">
              <w:t>until symptoms resolve and management with corticosteroids is complete.</w:t>
            </w:r>
          </w:p>
          <w:p w14:paraId="029931CB" w14:textId="77777777" w:rsidR="007663C6" w:rsidRPr="008F50C4" w:rsidRDefault="007663C6" w:rsidP="00834A84">
            <w:pPr>
              <w:pStyle w:val="BMSTableText"/>
              <w:keepNext/>
              <w:keepLines/>
              <w:spacing w:before="0" w:after="0"/>
              <w:jc w:val="left"/>
            </w:pPr>
          </w:p>
          <w:p w14:paraId="4A17F0DE" w14:textId="77777777" w:rsidR="007663C6" w:rsidRPr="008F50C4" w:rsidRDefault="007663C6" w:rsidP="00834A84">
            <w:pPr>
              <w:pStyle w:val="BMSTableText"/>
              <w:keepNext/>
              <w:keepLines/>
              <w:spacing w:before="0" w:after="0"/>
              <w:jc w:val="left"/>
            </w:pPr>
            <w:r w:rsidRPr="008F50C4">
              <w:t>Withhold dose(s)</w:t>
            </w:r>
          </w:p>
          <w:p w14:paraId="1380505E" w14:textId="77777777" w:rsidR="007663C6" w:rsidRPr="008F50C4" w:rsidRDefault="007663C6" w:rsidP="00834A84">
            <w:pPr>
              <w:pStyle w:val="BMSTableText"/>
              <w:keepNext/>
              <w:keepLines/>
              <w:spacing w:before="0" w:after="0"/>
              <w:jc w:val="left"/>
            </w:pPr>
          </w:p>
        </w:tc>
      </w:tr>
      <w:tr w:rsidR="007663C6" w:rsidRPr="00B521F1" w14:paraId="70960A35" w14:textId="77777777" w:rsidTr="00CB6ABF">
        <w:trPr>
          <w:tblHeader/>
        </w:trPr>
        <w:tc>
          <w:tcPr>
            <w:tcW w:w="2055" w:type="dxa"/>
            <w:tcBorders>
              <w:bottom w:val="single" w:sz="4" w:space="0" w:color="auto"/>
            </w:tcBorders>
            <w:shd w:val="clear" w:color="auto" w:fill="auto"/>
            <w:vAlign w:val="center"/>
          </w:tcPr>
          <w:p w14:paraId="281A4595" w14:textId="77777777" w:rsidR="007663C6" w:rsidRPr="008F50C4" w:rsidRDefault="007663C6" w:rsidP="00834A84">
            <w:pPr>
              <w:pStyle w:val="BMSTableText"/>
              <w:keepNext/>
              <w:keepLines/>
              <w:spacing w:before="0" w:after="0"/>
              <w:jc w:val="left"/>
            </w:pPr>
          </w:p>
        </w:tc>
        <w:tc>
          <w:tcPr>
            <w:tcW w:w="3190" w:type="dxa"/>
            <w:tcBorders>
              <w:bottom w:val="single" w:sz="4" w:space="0" w:color="auto"/>
            </w:tcBorders>
            <w:shd w:val="clear" w:color="auto" w:fill="auto"/>
          </w:tcPr>
          <w:p w14:paraId="12EC3D8C" w14:textId="77777777" w:rsidR="007663C6" w:rsidRPr="008F50C4" w:rsidRDefault="007663C6" w:rsidP="00834A84">
            <w:pPr>
              <w:pStyle w:val="BMSTableText"/>
              <w:keepNext/>
              <w:keepLines/>
              <w:spacing w:before="0" w:after="0"/>
              <w:jc w:val="left"/>
              <w:rPr>
                <w:lang w:val="fr-BE"/>
              </w:rPr>
            </w:pPr>
          </w:p>
          <w:p w14:paraId="0C01E43A" w14:textId="77777777" w:rsidR="007663C6" w:rsidRPr="008F50C4" w:rsidRDefault="007663C6" w:rsidP="00834A84">
            <w:pPr>
              <w:pStyle w:val="BMSTableText"/>
              <w:keepNext/>
              <w:keepLines/>
              <w:spacing w:before="0" w:after="0"/>
              <w:jc w:val="left"/>
              <w:rPr>
                <w:lang w:val="fr-BE"/>
              </w:rPr>
            </w:pPr>
            <w:r w:rsidRPr="008F50C4">
              <w:rPr>
                <w:lang w:val="fr-BE"/>
              </w:rPr>
              <w:t>Grade 4 rash</w:t>
            </w:r>
          </w:p>
          <w:p w14:paraId="3F9D39AC" w14:textId="77777777" w:rsidR="007663C6" w:rsidRPr="008F50C4" w:rsidRDefault="007663C6" w:rsidP="00834A84">
            <w:pPr>
              <w:pStyle w:val="BMSTableText"/>
              <w:keepNext/>
              <w:keepLines/>
              <w:spacing w:before="0" w:after="0"/>
              <w:jc w:val="left"/>
              <w:rPr>
                <w:lang w:val="fr-BE"/>
              </w:rPr>
            </w:pPr>
            <w:proofErr w:type="spellStart"/>
            <w:r w:rsidRPr="008F50C4">
              <w:rPr>
                <w:lang w:val="fr-BE"/>
              </w:rPr>
              <w:t>Confirmed</w:t>
            </w:r>
            <w:proofErr w:type="spellEnd"/>
            <w:r w:rsidRPr="008F50C4">
              <w:rPr>
                <w:lang w:val="fr-BE"/>
              </w:rPr>
              <w:t xml:space="preserve"> SJS/TEN</w:t>
            </w:r>
          </w:p>
        </w:tc>
        <w:tc>
          <w:tcPr>
            <w:tcW w:w="3781" w:type="dxa"/>
            <w:tcBorders>
              <w:bottom w:val="single" w:sz="4" w:space="0" w:color="auto"/>
            </w:tcBorders>
            <w:shd w:val="clear" w:color="auto" w:fill="auto"/>
          </w:tcPr>
          <w:p w14:paraId="0DBA4298" w14:textId="77777777" w:rsidR="007663C6" w:rsidRPr="008F50C4" w:rsidRDefault="007663C6" w:rsidP="00834A84">
            <w:pPr>
              <w:pStyle w:val="BMSTableText"/>
              <w:keepNext/>
              <w:keepLines/>
              <w:spacing w:before="0" w:after="0"/>
              <w:jc w:val="left"/>
              <w:rPr>
                <w:lang w:val="fr-BE"/>
              </w:rPr>
            </w:pPr>
          </w:p>
          <w:p w14:paraId="3D998328" w14:textId="77777777" w:rsidR="007663C6" w:rsidRPr="008F50C4" w:rsidRDefault="007663C6" w:rsidP="00834A84">
            <w:pPr>
              <w:pStyle w:val="BMSTableText"/>
              <w:keepNext/>
              <w:keepLines/>
              <w:spacing w:before="0" w:after="0"/>
              <w:jc w:val="left"/>
              <w:rPr>
                <w:noProof/>
                <w:lang w:val="fr-BE"/>
              </w:rPr>
            </w:pPr>
            <w:proofErr w:type="spellStart"/>
            <w:r w:rsidRPr="008F50C4">
              <w:rPr>
                <w:lang w:val="fr-BE"/>
              </w:rPr>
              <w:t>Permanently</w:t>
            </w:r>
            <w:proofErr w:type="spellEnd"/>
            <w:r w:rsidRPr="008F50C4">
              <w:rPr>
                <w:lang w:val="fr-BE"/>
              </w:rPr>
              <w:t xml:space="preserve"> discontinue </w:t>
            </w:r>
            <w:r w:rsidRPr="008F50C4">
              <w:rPr>
                <w:noProof/>
                <w:lang w:val="fr-BE"/>
              </w:rPr>
              <w:t>treatment.</w:t>
            </w:r>
          </w:p>
          <w:p w14:paraId="45496960" w14:textId="77777777" w:rsidR="007663C6" w:rsidRPr="008F50C4" w:rsidRDefault="007663C6" w:rsidP="00834A84">
            <w:pPr>
              <w:pStyle w:val="BMSTableText"/>
              <w:keepNext/>
              <w:keepLines/>
              <w:spacing w:before="0" w:after="0"/>
              <w:jc w:val="left"/>
              <w:rPr>
                <w:noProof/>
                <w:lang w:val="fr-BE"/>
              </w:rPr>
            </w:pPr>
          </w:p>
          <w:p w14:paraId="2C5C6B88" w14:textId="77777777" w:rsidR="007663C6" w:rsidRPr="008F50C4" w:rsidRDefault="007663C6" w:rsidP="00834A84">
            <w:pPr>
              <w:pStyle w:val="BMSTableText"/>
              <w:keepNext/>
              <w:keepLines/>
              <w:spacing w:before="0" w:after="0"/>
              <w:jc w:val="left"/>
              <w:rPr>
                <w:lang w:val="fr-BE"/>
              </w:rPr>
            </w:pPr>
          </w:p>
        </w:tc>
      </w:tr>
      <w:tr w:rsidR="00EE22DA" w:rsidRPr="004B4087" w14:paraId="53832599" w14:textId="77777777" w:rsidTr="00EE22DA">
        <w:trPr>
          <w:tblHeader/>
        </w:trPr>
        <w:tc>
          <w:tcPr>
            <w:tcW w:w="9026" w:type="dxa"/>
            <w:gridSpan w:val="3"/>
            <w:tcBorders>
              <w:bottom w:val="double" w:sz="4" w:space="0" w:color="auto"/>
            </w:tcBorders>
            <w:shd w:val="clear" w:color="auto" w:fill="auto"/>
          </w:tcPr>
          <w:p w14:paraId="7CB554CD" w14:textId="77777777" w:rsidR="00EE22DA" w:rsidRPr="00E43E88" w:rsidRDefault="00EE22DA" w:rsidP="00EE22DA">
            <w:pPr>
              <w:pStyle w:val="BMSTableTitle"/>
              <w:keepNext w:val="0"/>
              <w:keepLines w:val="0"/>
              <w:rPr>
                <w:color w:val="000000"/>
                <w:sz w:val="22"/>
                <w:szCs w:val="22"/>
              </w:rPr>
            </w:pPr>
            <w:r w:rsidRPr="00E43E88">
              <w:rPr>
                <w:sz w:val="22"/>
                <w:szCs w:val="22"/>
              </w:rPr>
              <w:t>Table 1:</w:t>
            </w:r>
            <w:r w:rsidRPr="00E43E88">
              <w:rPr>
                <w:sz w:val="22"/>
                <w:szCs w:val="22"/>
              </w:rPr>
              <w:tab/>
              <w:t>Recommended Treatment Modifications for OPDIVO as monotherapy or OPDIVO in combination with YERVOY (</w:t>
            </w:r>
            <w:proofErr w:type="spellStart"/>
            <w:r w:rsidRPr="00E43E88">
              <w:rPr>
                <w:sz w:val="22"/>
                <w:szCs w:val="22"/>
              </w:rPr>
              <w:t>ipilimumab</w:t>
            </w:r>
            <w:proofErr w:type="spellEnd"/>
            <w:r w:rsidRPr="00E43E88">
              <w:rPr>
                <w:sz w:val="22"/>
                <w:szCs w:val="22"/>
              </w:rPr>
              <w:t>)</w:t>
            </w:r>
          </w:p>
        </w:tc>
      </w:tr>
      <w:tr w:rsidR="00EE22DA" w:rsidRPr="00B521F1" w14:paraId="49CBA57D" w14:textId="77777777" w:rsidTr="00CB6ABF">
        <w:trPr>
          <w:tblHeader/>
        </w:trPr>
        <w:tc>
          <w:tcPr>
            <w:tcW w:w="2055" w:type="dxa"/>
            <w:tcBorders>
              <w:top w:val="double" w:sz="4" w:space="0" w:color="auto"/>
              <w:bottom w:val="single" w:sz="4" w:space="0" w:color="auto"/>
            </w:tcBorders>
            <w:shd w:val="clear" w:color="auto" w:fill="auto"/>
          </w:tcPr>
          <w:p w14:paraId="6946326D" w14:textId="77777777" w:rsidR="00EE22DA" w:rsidRPr="00A85FED" w:rsidRDefault="00EE22DA" w:rsidP="00EE22DA">
            <w:pPr>
              <w:pStyle w:val="BMSTableHeader"/>
              <w:spacing w:before="0" w:after="0"/>
              <w:rPr>
                <w:lang w:val="en-GB"/>
              </w:rPr>
            </w:pPr>
            <w:r w:rsidRPr="00A85FED">
              <w:rPr>
                <w:lang w:val="en-GB"/>
              </w:rPr>
              <w:t>Immune-related adverse reaction</w:t>
            </w:r>
          </w:p>
        </w:tc>
        <w:tc>
          <w:tcPr>
            <w:tcW w:w="3190" w:type="dxa"/>
            <w:tcBorders>
              <w:top w:val="double" w:sz="4" w:space="0" w:color="auto"/>
              <w:bottom w:val="single" w:sz="4" w:space="0" w:color="auto"/>
            </w:tcBorders>
            <w:shd w:val="clear" w:color="auto" w:fill="auto"/>
          </w:tcPr>
          <w:p w14:paraId="45096341" w14:textId="77777777" w:rsidR="00EE22DA" w:rsidRPr="00A85FED" w:rsidRDefault="00EE22DA" w:rsidP="00EE22DA">
            <w:pPr>
              <w:pStyle w:val="BMSTableHeader"/>
              <w:rPr>
                <w:lang w:val="en-GB"/>
              </w:rPr>
            </w:pPr>
            <w:r w:rsidRPr="00A85FED">
              <w:rPr>
                <w:lang w:val="en-GB"/>
              </w:rPr>
              <w:t xml:space="preserve">Adverse </w:t>
            </w:r>
            <w:proofErr w:type="spellStart"/>
            <w:r w:rsidRPr="00A85FED">
              <w:rPr>
                <w:lang w:val="en-GB"/>
              </w:rPr>
              <w:t>Reaction</w:t>
            </w:r>
            <w:r w:rsidRPr="00A85FED">
              <w:rPr>
                <w:vertAlign w:val="superscript"/>
                <w:lang w:val="en-GB"/>
              </w:rPr>
              <w:t>a</w:t>
            </w:r>
            <w:proofErr w:type="spellEnd"/>
          </w:p>
        </w:tc>
        <w:tc>
          <w:tcPr>
            <w:tcW w:w="3781" w:type="dxa"/>
            <w:tcBorders>
              <w:top w:val="double" w:sz="4" w:space="0" w:color="auto"/>
              <w:bottom w:val="single" w:sz="4" w:space="0" w:color="auto"/>
            </w:tcBorders>
            <w:shd w:val="clear" w:color="auto" w:fill="auto"/>
          </w:tcPr>
          <w:p w14:paraId="14317E6C" w14:textId="77777777" w:rsidR="00EE22DA" w:rsidRPr="00A85FED" w:rsidRDefault="00EE22DA" w:rsidP="00EE22DA">
            <w:pPr>
              <w:pStyle w:val="BMSTableHeader"/>
              <w:rPr>
                <w:lang w:val="en-GB"/>
              </w:rPr>
            </w:pPr>
            <w:r w:rsidRPr="00A85FED">
              <w:rPr>
                <w:lang w:val="en-GB"/>
              </w:rPr>
              <w:t>Treatment modification</w:t>
            </w:r>
          </w:p>
        </w:tc>
      </w:tr>
      <w:tr w:rsidR="007663C6" w:rsidRPr="00B521F1" w14:paraId="45D5554F" w14:textId="77777777" w:rsidTr="00CB6ABF">
        <w:trPr>
          <w:tblHeader/>
        </w:trPr>
        <w:tc>
          <w:tcPr>
            <w:tcW w:w="2055" w:type="dxa"/>
            <w:tcBorders>
              <w:bottom w:val="single" w:sz="4" w:space="0" w:color="auto"/>
            </w:tcBorders>
            <w:shd w:val="clear" w:color="auto" w:fill="auto"/>
            <w:vAlign w:val="center"/>
          </w:tcPr>
          <w:p w14:paraId="4712903C" w14:textId="77777777" w:rsidR="007663C6" w:rsidRPr="008F50C4" w:rsidRDefault="007663C6" w:rsidP="00834A84">
            <w:pPr>
              <w:pStyle w:val="BMSTableText"/>
              <w:keepNext/>
              <w:keepLines/>
              <w:spacing w:before="0" w:after="0"/>
              <w:jc w:val="left"/>
            </w:pPr>
            <w:r w:rsidRPr="008F50C4">
              <w:rPr>
                <w:lang w:val="en-GB"/>
              </w:rPr>
              <w:lastRenderedPageBreak/>
              <w:t>Immune-related neurological adverse reactions</w:t>
            </w:r>
          </w:p>
        </w:tc>
        <w:tc>
          <w:tcPr>
            <w:tcW w:w="3190" w:type="dxa"/>
            <w:tcBorders>
              <w:bottom w:val="single" w:sz="4" w:space="0" w:color="auto"/>
            </w:tcBorders>
            <w:shd w:val="clear" w:color="auto" w:fill="auto"/>
          </w:tcPr>
          <w:p w14:paraId="2E3426BD" w14:textId="77777777" w:rsidR="007663C6" w:rsidRPr="008F50C4" w:rsidRDefault="007663C6" w:rsidP="00834A84">
            <w:pPr>
              <w:pStyle w:val="BMSTableText"/>
              <w:keepNext/>
              <w:keepLines/>
              <w:jc w:val="left"/>
              <w:rPr>
                <w:color w:val="000000"/>
              </w:rPr>
            </w:pPr>
            <w:r w:rsidRPr="008F50C4">
              <w:rPr>
                <w:color w:val="000000"/>
              </w:rPr>
              <w:t>New onset moderate or severe neurologic signs or symptoms</w:t>
            </w:r>
          </w:p>
          <w:p w14:paraId="21BEEB71" w14:textId="77777777" w:rsidR="007663C6" w:rsidRPr="008F50C4" w:rsidRDefault="007663C6" w:rsidP="00834A84">
            <w:pPr>
              <w:pStyle w:val="BMSTableText"/>
              <w:keepNext/>
              <w:keepLines/>
              <w:jc w:val="left"/>
              <w:rPr>
                <w:color w:val="000000"/>
              </w:rPr>
            </w:pPr>
          </w:p>
          <w:p w14:paraId="345B0C2B" w14:textId="77777777" w:rsidR="007663C6" w:rsidRPr="008F50C4" w:rsidRDefault="007663C6" w:rsidP="00834A84">
            <w:pPr>
              <w:pStyle w:val="BMSTableText"/>
              <w:keepNext/>
              <w:keepLines/>
              <w:jc w:val="left"/>
              <w:rPr>
                <w:color w:val="000000"/>
              </w:rPr>
            </w:pPr>
            <w:r w:rsidRPr="008F50C4">
              <w:rPr>
                <w:color w:val="000000"/>
              </w:rPr>
              <w:t>Immune-related encephalitis</w:t>
            </w:r>
          </w:p>
          <w:p w14:paraId="23EE975A" w14:textId="77777777" w:rsidR="007663C6" w:rsidRPr="008F50C4" w:rsidRDefault="007663C6" w:rsidP="00834A84">
            <w:pPr>
              <w:pStyle w:val="BMSTableText"/>
              <w:keepNext/>
              <w:keepLines/>
              <w:spacing w:before="0" w:after="0"/>
              <w:jc w:val="left"/>
              <w:rPr>
                <w:lang w:val="fr-BE"/>
              </w:rPr>
            </w:pPr>
            <w:r w:rsidRPr="008F50C4">
              <w:rPr>
                <w:color w:val="000000"/>
              </w:rPr>
              <w:t xml:space="preserve">Immune-related </w:t>
            </w:r>
            <w:proofErr w:type="spellStart"/>
            <w:r w:rsidRPr="008F50C4">
              <w:rPr>
                <w:color w:val="000000"/>
              </w:rPr>
              <w:t>myasthenic</w:t>
            </w:r>
            <w:proofErr w:type="spellEnd"/>
            <w:r w:rsidRPr="008F50C4">
              <w:rPr>
                <w:color w:val="000000"/>
              </w:rPr>
              <w:t xml:space="preserve"> syndrome/myasthenia gravis</w:t>
            </w:r>
          </w:p>
        </w:tc>
        <w:tc>
          <w:tcPr>
            <w:tcW w:w="3781" w:type="dxa"/>
            <w:tcBorders>
              <w:bottom w:val="single" w:sz="4" w:space="0" w:color="auto"/>
            </w:tcBorders>
            <w:shd w:val="clear" w:color="auto" w:fill="auto"/>
          </w:tcPr>
          <w:p w14:paraId="13312759" w14:textId="77777777" w:rsidR="007663C6" w:rsidRPr="008F50C4" w:rsidRDefault="007663C6" w:rsidP="00834A84">
            <w:pPr>
              <w:pStyle w:val="BMSTableText"/>
              <w:keepNext/>
              <w:keepLines/>
              <w:jc w:val="left"/>
              <w:rPr>
                <w:lang w:val="en-GB"/>
              </w:rPr>
            </w:pPr>
            <w:r w:rsidRPr="008F50C4">
              <w:rPr>
                <w:lang w:val="en-GB"/>
              </w:rPr>
              <w:t>Withhold dose(s) until symptoms resolve and management with corticosteroids is complete</w:t>
            </w:r>
          </w:p>
          <w:p w14:paraId="5FBF3807" w14:textId="77777777" w:rsidR="007663C6" w:rsidRPr="008F50C4" w:rsidRDefault="007663C6" w:rsidP="00834A84">
            <w:pPr>
              <w:pStyle w:val="BMSTableText"/>
              <w:keepNext/>
              <w:keepLines/>
              <w:spacing w:before="0" w:after="0"/>
              <w:jc w:val="left"/>
              <w:rPr>
                <w:lang w:val="fr-BE"/>
              </w:rPr>
            </w:pPr>
            <w:r w:rsidRPr="008F50C4">
              <w:rPr>
                <w:lang w:val="en-GB"/>
              </w:rPr>
              <w:t>Permanently discontinue treatment</w:t>
            </w:r>
          </w:p>
        </w:tc>
      </w:tr>
      <w:tr w:rsidR="007663C6" w:rsidRPr="00B521F1" w14:paraId="0907199F" w14:textId="77777777" w:rsidTr="00CB6ABF">
        <w:trPr>
          <w:tblHeader/>
        </w:trPr>
        <w:tc>
          <w:tcPr>
            <w:tcW w:w="2055" w:type="dxa"/>
            <w:tcBorders>
              <w:top w:val="single" w:sz="4" w:space="0" w:color="auto"/>
            </w:tcBorders>
            <w:shd w:val="clear" w:color="auto" w:fill="auto"/>
            <w:vAlign w:val="center"/>
          </w:tcPr>
          <w:p w14:paraId="24369FB4" w14:textId="77777777" w:rsidR="007663C6" w:rsidRPr="008F50C4" w:rsidRDefault="007663C6" w:rsidP="00834A84">
            <w:pPr>
              <w:pStyle w:val="BMSTableText"/>
              <w:keepNext/>
              <w:keepLines/>
              <w:spacing w:before="0" w:after="0"/>
              <w:jc w:val="left"/>
            </w:pPr>
            <w:r w:rsidRPr="008F50C4">
              <w:t>Other immune-related adverse reactions</w:t>
            </w:r>
          </w:p>
        </w:tc>
        <w:tc>
          <w:tcPr>
            <w:tcW w:w="3190" w:type="dxa"/>
            <w:tcBorders>
              <w:top w:val="single" w:sz="4" w:space="0" w:color="auto"/>
            </w:tcBorders>
            <w:shd w:val="clear" w:color="auto" w:fill="auto"/>
          </w:tcPr>
          <w:p w14:paraId="5E99745C" w14:textId="77777777" w:rsidR="007663C6" w:rsidRPr="008F50C4" w:rsidRDefault="007663C6" w:rsidP="00834A84">
            <w:pPr>
              <w:pStyle w:val="BMSTableText"/>
              <w:keepNext/>
              <w:keepLines/>
              <w:spacing w:before="0" w:after="0"/>
              <w:jc w:val="left"/>
              <w:rPr>
                <w:lang w:val="fr-BE"/>
              </w:rPr>
            </w:pPr>
            <w:r w:rsidRPr="008F50C4">
              <w:rPr>
                <w:color w:val="000000"/>
              </w:rPr>
              <w:t>Other Grade 3 adverse reaction</w:t>
            </w:r>
          </w:p>
        </w:tc>
        <w:tc>
          <w:tcPr>
            <w:tcW w:w="3781" w:type="dxa"/>
            <w:tcBorders>
              <w:top w:val="single" w:sz="4" w:space="0" w:color="auto"/>
            </w:tcBorders>
            <w:shd w:val="clear" w:color="auto" w:fill="auto"/>
          </w:tcPr>
          <w:p w14:paraId="4011E190" w14:textId="77777777" w:rsidR="007663C6" w:rsidRPr="008F50C4" w:rsidRDefault="007663C6" w:rsidP="00834A84">
            <w:pPr>
              <w:pStyle w:val="BMSTableText"/>
              <w:keepNext/>
              <w:keepLines/>
              <w:spacing w:before="0" w:after="0"/>
              <w:jc w:val="left"/>
              <w:rPr>
                <w:lang w:val="fr-BE"/>
              </w:rPr>
            </w:pPr>
          </w:p>
        </w:tc>
      </w:tr>
      <w:tr w:rsidR="007663C6" w:rsidRPr="00B521F1" w14:paraId="78FECE0A" w14:textId="77777777" w:rsidTr="00CB6ABF">
        <w:trPr>
          <w:tblHeader/>
        </w:trPr>
        <w:tc>
          <w:tcPr>
            <w:tcW w:w="2055" w:type="dxa"/>
            <w:shd w:val="clear" w:color="auto" w:fill="auto"/>
            <w:vAlign w:val="center"/>
          </w:tcPr>
          <w:p w14:paraId="706EA719" w14:textId="77777777" w:rsidR="007663C6" w:rsidRPr="008F50C4" w:rsidRDefault="007663C6" w:rsidP="00834A84">
            <w:pPr>
              <w:pStyle w:val="BMSTableText"/>
              <w:keepNext/>
              <w:keepLines/>
              <w:spacing w:before="0" w:after="0"/>
              <w:jc w:val="left"/>
            </w:pPr>
          </w:p>
        </w:tc>
        <w:tc>
          <w:tcPr>
            <w:tcW w:w="3190" w:type="dxa"/>
            <w:shd w:val="clear" w:color="auto" w:fill="auto"/>
          </w:tcPr>
          <w:p w14:paraId="600D6F14" w14:textId="77777777" w:rsidR="007663C6" w:rsidRPr="008F50C4" w:rsidRDefault="007663C6" w:rsidP="00834A84">
            <w:pPr>
              <w:pStyle w:val="BMSTableText"/>
              <w:keepNext/>
              <w:keepLines/>
              <w:spacing w:before="0" w:after="0"/>
              <w:jc w:val="left"/>
              <w:rPr>
                <w:color w:val="000000"/>
              </w:rPr>
            </w:pPr>
          </w:p>
          <w:p w14:paraId="7E6B3BFC" w14:textId="77777777" w:rsidR="007663C6" w:rsidRPr="008F50C4" w:rsidRDefault="007663C6" w:rsidP="00834A84">
            <w:pPr>
              <w:pStyle w:val="BMSTableText"/>
              <w:keepNext/>
              <w:keepLines/>
              <w:spacing w:before="0" w:after="0"/>
              <w:jc w:val="left"/>
              <w:rPr>
                <w:lang w:val="fr-BE"/>
              </w:rPr>
            </w:pPr>
            <w:r w:rsidRPr="008F50C4">
              <w:rPr>
                <w:color w:val="000000"/>
              </w:rPr>
              <w:tab/>
              <w:t>First occurrence</w:t>
            </w:r>
          </w:p>
        </w:tc>
        <w:tc>
          <w:tcPr>
            <w:tcW w:w="3781" w:type="dxa"/>
            <w:shd w:val="clear" w:color="auto" w:fill="auto"/>
          </w:tcPr>
          <w:p w14:paraId="72E93E10" w14:textId="77777777" w:rsidR="007663C6" w:rsidRPr="008F50C4" w:rsidRDefault="007663C6" w:rsidP="00834A84">
            <w:pPr>
              <w:pStyle w:val="BMSTableText"/>
              <w:keepNext/>
              <w:keepLines/>
              <w:spacing w:before="0" w:after="0"/>
              <w:jc w:val="left"/>
              <w:rPr>
                <w:lang w:val="fr-BE"/>
              </w:rPr>
            </w:pPr>
            <w:proofErr w:type="spellStart"/>
            <w:r w:rsidRPr="008F50C4">
              <w:rPr>
                <w:lang w:val="fr-BE"/>
              </w:rPr>
              <w:t>Withhold</w:t>
            </w:r>
            <w:proofErr w:type="spellEnd"/>
            <w:r w:rsidRPr="008F50C4">
              <w:rPr>
                <w:lang w:val="fr-BE"/>
              </w:rPr>
              <w:t xml:space="preserve"> dose(s) </w:t>
            </w:r>
            <w:proofErr w:type="spellStart"/>
            <w:r w:rsidRPr="008F50C4">
              <w:rPr>
                <w:lang w:val="fr-BE"/>
              </w:rPr>
              <w:t>until</w:t>
            </w:r>
            <w:proofErr w:type="spellEnd"/>
            <w:r w:rsidRPr="008F50C4">
              <w:rPr>
                <w:lang w:val="fr-BE"/>
              </w:rPr>
              <w:t xml:space="preserve"> </w:t>
            </w:r>
            <w:proofErr w:type="spellStart"/>
            <w:r w:rsidRPr="008F50C4">
              <w:rPr>
                <w:lang w:val="fr-BE"/>
              </w:rPr>
              <w:t>symptoms</w:t>
            </w:r>
            <w:proofErr w:type="spellEnd"/>
            <w:r w:rsidRPr="008F50C4">
              <w:rPr>
                <w:lang w:val="fr-BE"/>
              </w:rPr>
              <w:t xml:space="preserve"> </w:t>
            </w:r>
            <w:proofErr w:type="spellStart"/>
            <w:r w:rsidRPr="008F50C4">
              <w:rPr>
                <w:lang w:val="fr-BE"/>
              </w:rPr>
              <w:t>resolve</w:t>
            </w:r>
            <w:proofErr w:type="spellEnd"/>
            <w:r w:rsidRPr="008F50C4">
              <w:rPr>
                <w:lang w:val="fr-BE"/>
              </w:rPr>
              <w:t xml:space="preserve"> and management </w:t>
            </w:r>
            <w:proofErr w:type="spellStart"/>
            <w:r w:rsidRPr="008F50C4">
              <w:rPr>
                <w:lang w:val="fr-BE"/>
              </w:rPr>
              <w:t>with</w:t>
            </w:r>
            <w:proofErr w:type="spellEnd"/>
            <w:r w:rsidRPr="008F50C4">
              <w:rPr>
                <w:lang w:val="fr-BE"/>
              </w:rPr>
              <w:t xml:space="preserve"> </w:t>
            </w:r>
            <w:proofErr w:type="spellStart"/>
            <w:r w:rsidRPr="008F50C4">
              <w:rPr>
                <w:lang w:val="fr-BE"/>
              </w:rPr>
              <w:t>corticosteroids</w:t>
            </w:r>
            <w:proofErr w:type="spellEnd"/>
            <w:r w:rsidRPr="008F50C4">
              <w:rPr>
                <w:lang w:val="fr-BE"/>
              </w:rPr>
              <w:t xml:space="preserve"> </w:t>
            </w:r>
            <w:proofErr w:type="spellStart"/>
            <w:r w:rsidRPr="008F50C4">
              <w:rPr>
                <w:lang w:val="fr-BE"/>
              </w:rPr>
              <w:t>is</w:t>
            </w:r>
            <w:proofErr w:type="spellEnd"/>
            <w:r w:rsidRPr="008F50C4">
              <w:rPr>
                <w:lang w:val="fr-BE"/>
              </w:rPr>
              <w:t xml:space="preserve"> </w:t>
            </w:r>
            <w:proofErr w:type="spellStart"/>
            <w:r w:rsidRPr="008F50C4">
              <w:rPr>
                <w:lang w:val="fr-BE"/>
              </w:rPr>
              <w:t>complete</w:t>
            </w:r>
            <w:proofErr w:type="spellEnd"/>
            <w:r w:rsidRPr="008F50C4">
              <w:rPr>
                <w:lang w:val="fr-BE"/>
              </w:rPr>
              <w:t>.</w:t>
            </w:r>
          </w:p>
        </w:tc>
      </w:tr>
      <w:tr w:rsidR="007663C6" w:rsidRPr="00B521F1" w14:paraId="722AD075" w14:textId="77777777" w:rsidTr="00CB6ABF">
        <w:trPr>
          <w:tblHeader/>
        </w:trPr>
        <w:tc>
          <w:tcPr>
            <w:tcW w:w="2055" w:type="dxa"/>
            <w:shd w:val="clear" w:color="auto" w:fill="auto"/>
            <w:vAlign w:val="center"/>
          </w:tcPr>
          <w:p w14:paraId="62335AEE" w14:textId="77777777" w:rsidR="007663C6" w:rsidRPr="008F50C4" w:rsidRDefault="007663C6" w:rsidP="00834A84">
            <w:pPr>
              <w:pStyle w:val="BMSTableText"/>
              <w:keepNext/>
              <w:keepLines/>
              <w:spacing w:before="0" w:after="0"/>
              <w:jc w:val="left"/>
            </w:pPr>
          </w:p>
        </w:tc>
        <w:tc>
          <w:tcPr>
            <w:tcW w:w="3190" w:type="dxa"/>
            <w:shd w:val="clear" w:color="auto" w:fill="auto"/>
          </w:tcPr>
          <w:p w14:paraId="67343BB1" w14:textId="4940FF5F" w:rsidR="007663C6" w:rsidRPr="008F50C4" w:rsidRDefault="007663C6" w:rsidP="00CB6ABF">
            <w:pPr>
              <w:pStyle w:val="BMSTableText"/>
              <w:keepNext/>
              <w:keepLines/>
              <w:spacing w:before="0" w:after="0"/>
              <w:ind w:left="392"/>
              <w:jc w:val="left"/>
              <w:rPr>
                <w:color w:val="000000"/>
              </w:rPr>
            </w:pPr>
            <w:r w:rsidRPr="008F50C4">
              <w:rPr>
                <w:color w:val="000000"/>
              </w:rPr>
              <w:t>Recurrence of same Grade 3 adverse</w:t>
            </w:r>
            <w:r w:rsidRPr="008F50C4">
              <w:rPr>
                <w:color w:val="000000"/>
              </w:rPr>
              <w:tab/>
              <w:t>reaction</w:t>
            </w:r>
          </w:p>
        </w:tc>
        <w:tc>
          <w:tcPr>
            <w:tcW w:w="3781" w:type="dxa"/>
            <w:shd w:val="clear" w:color="auto" w:fill="auto"/>
          </w:tcPr>
          <w:p w14:paraId="59E2F055" w14:textId="77777777" w:rsidR="007663C6" w:rsidRPr="008F50C4" w:rsidRDefault="007663C6" w:rsidP="00834A84">
            <w:pPr>
              <w:pStyle w:val="BMSTableText"/>
              <w:keepNext/>
              <w:keepLines/>
              <w:spacing w:before="0" w:after="0"/>
              <w:jc w:val="left"/>
              <w:rPr>
                <w:lang w:val="fr-BE"/>
              </w:rPr>
            </w:pPr>
            <w:r w:rsidRPr="008F50C4">
              <w:rPr>
                <w:lang w:val="en-GB"/>
              </w:rPr>
              <w:t>Permanently discontinue</w:t>
            </w:r>
          </w:p>
        </w:tc>
      </w:tr>
      <w:tr w:rsidR="007663C6" w:rsidRPr="00B521F1" w14:paraId="5BE4D0C1" w14:textId="77777777" w:rsidTr="00CB6ABF">
        <w:trPr>
          <w:tblHeader/>
        </w:trPr>
        <w:tc>
          <w:tcPr>
            <w:tcW w:w="2055" w:type="dxa"/>
            <w:shd w:val="clear" w:color="auto" w:fill="auto"/>
            <w:vAlign w:val="center"/>
          </w:tcPr>
          <w:p w14:paraId="6F8C01B3" w14:textId="77777777" w:rsidR="007663C6" w:rsidRPr="008F50C4" w:rsidRDefault="007663C6" w:rsidP="00834A84">
            <w:pPr>
              <w:pStyle w:val="BMSTableText"/>
              <w:keepNext/>
              <w:keepLines/>
              <w:spacing w:before="0" w:after="0"/>
              <w:jc w:val="left"/>
            </w:pPr>
          </w:p>
        </w:tc>
        <w:tc>
          <w:tcPr>
            <w:tcW w:w="3190" w:type="dxa"/>
            <w:shd w:val="clear" w:color="auto" w:fill="auto"/>
          </w:tcPr>
          <w:p w14:paraId="692A3120" w14:textId="77777777" w:rsidR="007663C6" w:rsidRPr="008F50C4" w:rsidRDefault="007663C6" w:rsidP="00834A84">
            <w:pPr>
              <w:pStyle w:val="BMSTableText"/>
              <w:keepNext/>
              <w:keepLines/>
              <w:spacing w:before="0" w:after="0"/>
              <w:jc w:val="left"/>
              <w:rPr>
                <w:lang w:val="fr-BE"/>
              </w:rPr>
            </w:pPr>
            <w:r w:rsidRPr="008F50C4">
              <w:rPr>
                <w:color w:val="000000"/>
              </w:rPr>
              <w:t>Grade 3 myotoxicity</w:t>
            </w:r>
          </w:p>
        </w:tc>
        <w:tc>
          <w:tcPr>
            <w:tcW w:w="3781" w:type="dxa"/>
            <w:shd w:val="clear" w:color="auto" w:fill="auto"/>
            <w:vAlign w:val="center"/>
          </w:tcPr>
          <w:p w14:paraId="12AB97A2" w14:textId="77777777" w:rsidR="007663C6" w:rsidRPr="008F50C4" w:rsidRDefault="007663C6" w:rsidP="00834A84">
            <w:pPr>
              <w:pStyle w:val="BMSTableText"/>
              <w:keepNext/>
              <w:keepLines/>
              <w:spacing w:before="0" w:after="0"/>
              <w:jc w:val="left"/>
              <w:rPr>
                <w:color w:val="000000"/>
                <w:lang w:val="fr-BE"/>
              </w:rPr>
            </w:pPr>
            <w:r w:rsidRPr="008F50C4">
              <w:rPr>
                <w:lang w:val="en-GB"/>
              </w:rPr>
              <w:t>Permanently discontinue</w:t>
            </w:r>
          </w:p>
        </w:tc>
      </w:tr>
      <w:tr w:rsidR="007663C6" w:rsidRPr="00B521F1" w14:paraId="5827F2D7" w14:textId="77777777" w:rsidTr="00CB6ABF">
        <w:trPr>
          <w:tblHeader/>
        </w:trPr>
        <w:tc>
          <w:tcPr>
            <w:tcW w:w="2055" w:type="dxa"/>
            <w:shd w:val="clear" w:color="auto" w:fill="auto"/>
            <w:vAlign w:val="center"/>
          </w:tcPr>
          <w:p w14:paraId="74297113" w14:textId="77777777" w:rsidR="007663C6" w:rsidRPr="008F50C4" w:rsidRDefault="007663C6" w:rsidP="00834A84">
            <w:pPr>
              <w:pStyle w:val="BMSTableText"/>
              <w:keepNext/>
              <w:keepLines/>
              <w:spacing w:before="0" w:after="0"/>
              <w:jc w:val="left"/>
            </w:pPr>
          </w:p>
        </w:tc>
        <w:tc>
          <w:tcPr>
            <w:tcW w:w="3190" w:type="dxa"/>
            <w:shd w:val="clear" w:color="auto" w:fill="auto"/>
          </w:tcPr>
          <w:p w14:paraId="74E3D47E" w14:textId="77777777" w:rsidR="007663C6" w:rsidRPr="008F50C4" w:rsidRDefault="007663C6" w:rsidP="00834A84">
            <w:pPr>
              <w:pStyle w:val="BMSTableText"/>
              <w:keepNext/>
              <w:keepLines/>
              <w:spacing w:before="0" w:after="0"/>
              <w:jc w:val="left"/>
              <w:rPr>
                <w:color w:val="000000"/>
              </w:rPr>
            </w:pPr>
            <w:r w:rsidRPr="008F50C4">
              <w:rPr>
                <w:color w:val="000000"/>
              </w:rPr>
              <w:t>Life-threatening or Grade 4 adverse reaction</w:t>
            </w:r>
          </w:p>
        </w:tc>
        <w:tc>
          <w:tcPr>
            <w:tcW w:w="3781" w:type="dxa"/>
            <w:shd w:val="clear" w:color="auto" w:fill="auto"/>
            <w:vAlign w:val="center"/>
          </w:tcPr>
          <w:p w14:paraId="635BE9DF" w14:textId="77777777" w:rsidR="007663C6" w:rsidRPr="008F50C4" w:rsidRDefault="007663C6" w:rsidP="00834A84">
            <w:pPr>
              <w:pStyle w:val="BMSTableText"/>
              <w:keepNext/>
              <w:keepLines/>
              <w:spacing w:before="0" w:after="0"/>
              <w:jc w:val="left"/>
              <w:rPr>
                <w:lang w:val="en-GB"/>
              </w:rPr>
            </w:pPr>
          </w:p>
        </w:tc>
      </w:tr>
      <w:tr w:rsidR="007663C6" w:rsidRPr="00B521F1" w14:paraId="5BA5E3F4" w14:textId="77777777" w:rsidTr="00CB6ABF">
        <w:trPr>
          <w:tblHeader/>
        </w:trPr>
        <w:tc>
          <w:tcPr>
            <w:tcW w:w="2055" w:type="dxa"/>
            <w:shd w:val="clear" w:color="auto" w:fill="auto"/>
            <w:vAlign w:val="center"/>
          </w:tcPr>
          <w:p w14:paraId="0F9C125A" w14:textId="77777777" w:rsidR="007663C6" w:rsidRPr="008F50C4" w:rsidRDefault="007663C6" w:rsidP="00834A84">
            <w:pPr>
              <w:pStyle w:val="BMSTableText"/>
              <w:keepNext/>
              <w:keepLines/>
              <w:spacing w:before="0" w:after="0"/>
              <w:jc w:val="left"/>
            </w:pPr>
          </w:p>
        </w:tc>
        <w:tc>
          <w:tcPr>
            <w:tcW w:w="3190" w:type="dxa"/>
            <w:shd w:val="clear" w:color="auto" w:fill="auto"/>
          </w:tcPr>
          <w:p w14:paraId="7178BDEA" w14:textId="77777777" w:rsidR="007663C6" w:rsidRPr="008F50C4" w:rsidRDefault="007663C6" w:rsidP="00834A84">
            <w:pPr>
              <w:pStyle w:val="BMSTableText"/>
              <w:keepNext/>
              <w:keepLines/>
              <w:spacing w:before="0" w:after="0"/>
              <w:jc w:val="left"/>
              <w:rPr>
                <w:color w:val="000000"/>
              </w:rPr>
            </w:pPr>
            <w:r w:rsidRPr="008F50C4">
              <w:rPr>
                <w:color w:val="000000"/>
                <w:lang w:val="en-AU"/>
              </w:rPr>
              <w:t>Inability to reduce corticosteroid dose to 10 mg prednisone or equivalent per day</w:t>
            </w:r>
          </w:p>
        </w:tc>
        <w:tc>
          <w:tcPr>
            <w:tcW w:w="3781" w:type="dxa"/>
            <w:shd w:val="clear" w:color="auto" w:fill="auto"/>
            <w:vAlign w:val="center"/>
          </w:tcPr>
          <w:p w14:paraId="401AB531" w14:textId="77777777" w:rsidR="007663C6" w:rsidRPr="008F50C4" w:rsidRDefault="007663C6" w:rsidP="00834A84">
            <w:pPr>
              <w:pStyle w:val="BMSTableText"/>
              <w:keepNext/>
              <w:keepLines/>
              <w:spacing w:before="0" w:after="0"/>
              <w:jc w:val="left"/>
              <w:rPr>
                <w:lang w:val="en-GB"/>
              </w:rPr>
            </w:pPr>
            <w:proofErr w:type="spellStart"/>
            <w:r w:rsidRPr="008F50C4">
              <w:rPr>
                <w:lang w:val="fr-BE"/>
              </w:rPr>
              <w:t>Permanently</w:t>
            </w:r>
            <w:proofErr w:type="spellEnd"/>
            <w:r w:rsidRPr="008F50C4">
              <w:rPr>
                <w:lang w:val="fr-BE"/>
              </w:rPr>
              <w:t xml:space="preserve"> discontinue </w:t>
            </w:r>
            <w:r w:rsidRPr="008F50C4">
              <w:rPr>
                <w:noProof/>
                <w:lang w:val="fr-BE"/>
              </w:rPr>
              <w:t>treatment.</w:t>
            </w:r>
          </w:p>
        </w:tc>
      </w:tr>
      <w:tr w:rsidR="007663C6" w:rsidRPr="00B521F1" w14:paraId="2ACA7E44" w14:textId="77777777" w:rsidTr="00CB6ABF">
        <w:trPr>
          <w:tblHeader/>
        </w:trPr>
        <w:tc>
          <w:tcPr>
            <w:tcW w:w="2055" w:type="dxa"/>
            <w:tcBorders>
              <w:bottom w:val="double" w:sz="4" w:space="0" w:color="auto"/>
            </w:tcBorders>
            <w:shd w:val="clear" w:color="auto" w:fill="auto"/>
            <w:vAlign w:val="center"/>
          </w:tcPr>
          <w:p w14:paraId="0626E89A" w14:textId="77777777" w:rsidR="007663C6" w:rsidRPr="008F50C4" w:rsidRDefault="007663C6" w:rsidP="00834A84">
            <w:pPr>
              <w:pStyle w:val="BMSTableText"/>
              <w:keepNext/>
              <w:keepLines/>
              <w:spacing w:before="0" w:after="0"/>
              <w:jc w:val="left"/>
            </w:pPr>
          </w:p>
        </w:tc>
        <w:tc>
          <w:tcPr>
            <w:tcW w:w="3190" w:type="dxa"/>
            <w:tcBorders>
              <w:bottom w:val="double" w:sz="4" w:space="0" w:color="auto"/>
            </w:tcBorders>
            <w:shd w:val="clear" w:color="auto" w:fill="auto"/>
          </w:tcPr>
          <w:p w14:paraId="1DB61112" w14:textId="77777777" w:rsidR="007663C6" w:rsidRPr="008F50C4" w:rsidRDefault="007663C6" w:rsidP="00834A84">
            <w:pPr>
              <w:pStyle w:val="BMSTableText"/>
              <w:keepNext/>
              <w:keepLines/>
              <w:spacing w:before="0" w:after="0"/>
              <w:jc w:val="left"/>
              <w:rPr>
                <w:lang w:val="fr-BE"/>
              </w:rPr>
            </w:pPr>
            <w:r w:rsidRPr="008F50C4">
              <w:rPr>
                <w:color w:val="000000"/>
              </w:rPr>
              <w:t>Persistent Grade 2 or 3 adverse reactions despite treatment modification</w:t>
            </w:r>
          </w:p>
        </w:tc>
        <w:tc>
          <w:tcPr>
            <w:tcW w:w="3781" w:type="dxa"/>
            <w:tcBorders>
              <w:bottom w:val="double" w:sz="4" w:space="0" w:color="auto"/>
            </w:tcBorders>
            <w:shd w:val="clear" w:color="auto" w:fill="auto"/>
            <w:vAlign w:val="center"/>
          </w:tcPr>
          <w:p w14:paraId="6CB9B10F" w14:textId="77777777" w:rsidR="007663C6" w:rsidRPr="008F50C4" w:rsidRDefault="007663C6" w:rsidP="00834A84">
            <w:pPr>
              <w:pStyle w:val="BMSTableText"/>
              <w:keepNext/>
              <w:keepLines/>
              <w:spacing w:before="0" w:after="0"/>
              <w:jc w:val="left"/>
              <w:rPr>
                <w:lang w:val="fr-BE"/>
              </w:rPr>
            </w:pPr>
          </w:p>
        </w:tc>
      </w:tr>
    </w:tbl>
    <w:p w14:paraId="6512E8BB" w14:textId="77777777" w:rsidR="00EE5D4D" w:rsidRPr="00714903" w:rsidRDefault="00EE5D4D" w:rsidP="00EE5D4D">
      <w:pPr>
        <w:pStyle w:val="BMSBodyText"/>
        <w:spacing w:after="0" w:line="240" w:lineRule="auto"/>
        <w:jc w:val="left"/>
        <w:rPr>
          <w:sz w:val="18"/>
          <w:szCs w:val="18"/>
        </w:rPr>
      </w:pPr>
      <w:r w:rsidRPr="00714903">
        <w:rPr>
          <w:noProof/>
          <w:sz w:val="18"/>
          <w:szCs w:val="18"/>
          <w:vertAlign w:val="superscript"/>
        </w:rPr>
        <w:t xml:space="preserve">a </w:t>
      </w:r>
      <w:r w:rsidRPr="00714903">
        <w:rPr>
          <w:noProof/>
          <w:sz w:val="18"/>
          <w:szCs w:val="18"/>
        </w:rPr>
        <w:t>Note: Toxicity grades are in accordance with National Cancer Institute Common Terminology Criteria for Adverse Events Version 4.0 (NCI</w:t>
      </w:r>
      <w:r w:rsidRPr="00714903">
        <w:rPr>
          <w:noProof/>
          <w:sz w:val="18"/>
          <w:szCs w:val="18"/>
        </w:rPr>
        <w:noBreakHyphen/>
        <w:t>CTCAE v4).</w:t>
      </w:r>
    </w:p>
    <w:p w14:paraId="21772B26" w14:textId="64481FE1" w:rsidR="00EE5D4D" w:rsidRPr="00714903" w:rsidRDefault="00EE5D4D" w:rsidP="00AD2CAD">
      <w:pPr>
        <w:pStyle w:val="BMSBodyText"/>
        <w:spacing w:before="0" w:after="240" w:line="240" w:lineRule="auto"/>
        <w:jc w:val="left"/>
        <w:rPr>
          <w:rStyle w:val="EMEASuperscript"/>
          <w:sz w:val="18"/>
          <w:szCs w:val="18"/>
        </w:rPr>
      </w:pPr>
      <w:proofErr w:type="gramStart"/>
      <w:r w:rsidRPr="00714903">
        <w:rPr>
          <w:rStyle w:val="EMEASuperscript"/>
          <w:sz w:val="18"/>
          <w:szCs w:val="18"/>
        </w:rPr>
        <w:t>b</w:t>
      </w:r>
      <w:proofErr w:type="gramEnd"/>
      <w:r w:rsidRPr="00714903">
        <w:rPr>
          <w:noProof/>
          <w:sz w:val="18"/>
          <w:szCs w:val="18"/>
        </w:rPr>
        <w:t xml:space="preserve"> Recommendation for the use of hormone replacement therapy is provided in </w:t>
      </w:r>
      <w:r w:rsidR="000D3434" w:rsidRPr="00714903">
        <w:rPr>
          <w:noProof/>
          <w:sz w:val="18"/>
          <w:szCs w:val="18"/>
        </w:rPr>
        <w:t>Section 4.4</w:t>
      </w:r>
      <w:r w:rsidR="004E3701" w:rsidRPr="00714903">
        <w:rPr>
          <w:noProof/>
          <w:sz w:val="18"/>
          <w:szCs w:val="18"/>
        </w:rPr>
        <w:t xml:space="preserve"> Precuations. </w:t>
      </w:r>
      <w:r w:rsidRPr="00714903">
        <w:rPr>
          <w:noProof/>
          <w:sz w:val="18"/>
          <w:szCs w:val="18"/>
        </w:rPr>
        <w:t>.</w:t>
      </w:r>
    </w:p>
    <w:p w14:paraId="56937211" w14:textId="77777777" w:rsidR="00EE5D4D" w:rsidRPr="000D1179" w:rsidRDefault="00EE5D4D" w:rsidP="003E47FA">
      <w:pPr>
        <w:pStyle w:val="Heading3"/>
      </w:pPr>
      <w:r w:rsidRPr="000D1179">
        <w:t>SPECIAL POPULATIONS</w:t>
      </w:r>
    </w:p>
    <w:p w14:paraId="1E921A47" w14:textId="77777777" w:rsidR="00EE5D4D" w:rsidRPr="003B5186" w:rsidRDefault="00EE5D4D" w:rsidP="00BA0123">
      <w:pPr>
        <w:pStyle w:val="Heading4"/>
        <w:rPr>
          <w:lang w:val="en-US"/>
        </w:rPr>
      </w:pPr>
      <w:proofErr w:type="spellStart"/>
      <w:r w:rsidRPr="000D1179">
        <w:rPr>
          <w:lang w:val="en-US"/>
        </w:rPr>
        <w:t>Paediatric</w:t>
      </w:r>
      <w:proofErr w:type="spellEnd"/>
      <w:r w:rsidRPr="000D1179">
        <w:rPr>
          <w:lang w:val="en-US"/>
        </w:rPr>
        <w:t xml:space="preserve"> patients</w:t>
      </w:r>
    </w:p>
    <w:p w14:paraId="6606E43E" w14:textId="77777777" w:rsidR="00EE5D4D" w:rsidRPr="000D1179" w:rsidRDefault="00EE5D4D" w:rsidP="007E79E8">
      <w:r w:rsidRPr="000D1179">
        <w:t>The safety and efficacy of OPDIVO in children below 18 years of age have not been established. No data are available. OPDIVO should not be used in children below 18 years of age.</w:t>
      </w:r>
    </w:p>
    <w:p w14:paraId="0A406DB1" w14:textId="77777777" w:rsidR="00EE5D4D" w:rsidRPr="003B5186" w:rsidRDefault="00EE5D4D" w:rsidP="00BA0123">
      <w:pPr>
        <w:pStyle w:val="Heading4"/>
      </w:pPr>
      <w:r w:rsidRPr="000D1179">
        <w:t xml:space="preserve">Elderly patients </w:t>
      </w:r>
    </w:p>
    <w:p w14:paraId="64BCDAF1" w14:textId="497A15A2" w:rsidR="00EE5D4D" w:rsidRPr="00F576DC" w:rsidRDefault="00EE5D4D" w:rsidP="007E79E8">
      <w:r w:rsidRPr="00F576DC">
        <w:t>No overall differences in safety or efficacy were reported between elderly (≥ 65 years) and younger</w:t>
      </w:r>
      <w:r w:rsidRPr="00F576DC">
        <w:rPr>
          <w:noProof/>
        </w:rPr>
        <w:t xml:space="preserve"> patients </w:t>
      </w:r>
      <w:r w:rsidRPr="00F576DC">
        <w:t>(&lt; 65 years).</w:t>
      </w:r>
      <w:r w:rsidRPr="00F576DC" w:rsidDel="00722A50">
        <w:t xml:space="preserve"> </w:t>
      </w:r>
      <w:r w:rsidRPr="00F576DC">
        <w:t>No dose adjustment is required for elderly patients (≥ 65 years) (see</w:t>
      </w:r>
      <w:r>
        <w:t xml:space="preserve"> </w:t>
      </w:r>
      <w:r w:rsidR="00E03130">
        <w:t>Section 5.2</w:t>
      </w:r>
      <w:r w:rsidR="004E3701">
        <w:t xml:space="preserve"> Pharmacokinetics</w:t>
      </w:r>
      <w:r w:rsidR="00E03130">
        <w:t>)</w:t>
      </w:r>
      <w:r w:rsidRPr="00F576DC">
        <w:t xml:space="preserve">. </w:t>
      </w:r>
    </w:p>
    <w:p w14:paraId="6F270C33" w14:textId="77777777" w:rsidR="00EE5D4D" w:rsidRPr="003B5186" w:rsidRDefault="00EE5D4D" w:rsidP="00BA0123">
      <w:pPr>
        <w:pStyle w:val="Heading4"/>
      </w:pPr>
      <w:r>
        <w:t>Patients with renal impairment</w:t>
      </w:r>
      <w:r w:rsidRPr="00F576DC">
        <w:t xml:space="preserve"> </w:t>
      </w:r>
    </w:p>
    <w:p w14:paraId="480BF797" w14:textId="4689382E" w:rsidR="00EE5D4D" w:rsidRPr="00CF203A" w:rsidRDefault="00EE5D4D" w:rsidP="007E79E8">
      <w:r w:rsidRPr="006D4B4C">
        <w:t xml:space="preserve">The safety and efficacy of OPDIVO have not been studied in patients with severe renal impairment. Based on the population pharmacokinetic (PK) results, no dose adjustment is required in patients with mild or moderate renal impairment (see </w:t>
      </w:r>
      <w:r w:rsidR="00E03130">
        <w:t>Section 5.2</w:t>
      </w:r>
      <w:r w:rsidR="004E3701">
        <w:t xml:space="preserve"> Pharmacokinetics</w:t>
      </w:r>
      <w:r w:rsidR="00E03130">
        <w:t>)</w:t>
      </w:r>
      <w:r w:rsidRPr="006D4B4C">
        <w:t>.</w:t>
      </w:r>
      <w:r w:rsidRPr="006D4B4C">
        <w:rPr>
          <w:noProof/>
        </w:rPr>
        <w:t xml:space="preserve"> </w:t>
      </w:r>
      <w:r>
        <w:rPr>
          <w:noProof/>
        </w:rPr>
        <w:t>Data from patients with severe renal impairment are too limited to drawn conclusions from this population.</w:t>
      </w:r>
    </w:p>
    <w:p w14:paraId="68C497E8" w14:textId="77777777" w:rsidR="00EE5D4D" w:rsidRPr="003B5186" w:rsidRDefault="00EE5D4D" w:rsidP="00BA0123">
      <w:pPr>
        <w:pStyle w:val="Heading4"/>
      </w:pPr>
      <w:r w:rsidRPr="006D4B4C">
        <w:t>Patients with hepatic impairment</w:t>
      </w:r>
    </w:p>
    <w:p w14:paraId="59048868" w14:textId="426A86C0" w:rsidR="00EE5D4D" w:rsidRPr="001F1978" w:rsidRDefault="00EE5D4D" w:rsidP="007E79E8">
      <w:r w:rsidRPr="006D4B4C">
        <w:t>The safety and efficacy of OPDIVO have not been studied in patients with moderate or severe hepatic impairment. Based on the population PK results, no dose adjustment is required in patients</w:t>
      </w:r>
      <w:r>
        <w:t xml:space="preserve"> with mild hepatic impairment (see </w:t>
      </w:r>
      <w:r w:rsidR="00E03130">
        <w:t>Section 5.2</w:t>
      </w:r>
      <w:r w:rsidR="004E3701">
        <w:t xml:space="preserve"> Pharmacokinetics</w:t>
      </w:r>
      <w:r w:rsidR="00E03130">
        <w:t>)</w:t>
      </w:r>
      <w:r>
        <w:t>.</w:t>
      </w:r>
      <w:r>
        <w:rPr>
          <w:noProof/>
        </w:rPr>
        <w:t xml:space="preserve"> </w:t>
      </w:r>
      <w:r w:rsidRPr="00F576DC">
        <w:rPr>
          <w:noProof/>
        </w:rPr>
        <w:t xml:space="preserve">Data from patients with moderate or severe hepatic impairment are too limited to draw conclusions on these populations. </w:t>
      </w:r>
      <w:r w:rsidRPr="00F576DC">
        <w:t xml:space="preserve"> OPDIVO must be administered with caution in patients with moderate (total bilirubin &gt; 1.5 × to 3 × the upper limit of normal [ULN] and any AST) or severe (total bilirubin &gt; 3 × ULN </w:t>
      </w:r>
      <w:r>
        <w:t>and any AST) hepatic impairment</w:t>
      </w:r>
      <w:r w:rsidRPr="001F1978">
        <w:t>.</w:t>
      </w:r>
    </w:p>
    <w:p w14:paraId="46ACC57E" w14:textId="5E3A80CC" w:rsidR="00147E17" w:rsidRPr="002D5929" w:rsidRDefault="00147E17" w:rsidP="003E47FA">
      <w:pPr>
        <w:pStyle w:val="Heading3"/>
      </w:pPr>
      <w:r>
        <w:t xml:space="preserve">METHOD OF </w:t>
      </w:r>
      <w:r w:rsidRPr="002D5929">
        <w:t>ADMINISTRATION</w:t>
      </w:r>
    </w:p>
    <w:p w14:paraId="76B35B78" w14:textId="77777777" w:rsidR="00147E17" w:rsidRPr="002D5929" w:rsidRDefault="00147E17" w:rsidP="007E79E8">
      <w:r w:rsidRPr="002D5929">
        <w:t>OPDIVO infusion must not be administered as an intravenous push or bolus injection.</w:t>
      </w:r>
    </w:p>
    <w:p w14:paraId="11E677E4" w14:textId="77777777" w:rsidR="00147E17" w:rsidRPr="001F1978" w:rsidRDefault="00147E17" w:rsidP="007E79E8">
      <w:r w:rsidRPr="002D5929">
        <w:lastRenderedPageBreak/>
        <w:t>Administer the OPDIVO infusion intravenously over a period of 60 minutes.</w:t>
      </w:r>
    </w:p>
    <w:p w14:paraId="7026115F" w14:textId="77777777" w:rsidR="00147E17" w:rsidRPr="001F1978" w:rsidRDefault="00147E17" w:rsidP="007E79E8">
      <w:r w:rsidRPr="001F1978">
        <w:t>OPDIVO infusion should not be infused at the same time in the same intravenous line with other agents. Use a separate infusion line for the infusion.</w:t>
      </w:r>
    </w:p>
    <w:p w14:paraId="54D5D521" w14:textId="687F6AB0" w:rsidR="00147E17" w:rsidRDefault="00147E17" w:rsidP="007E79E8">
      <w:r>
        <w:t>When OPDIVO is administered in combination with YERVOY (</w:t>
      </w:r>
      <w:proofErr w:type="spellStart"/>
      <w:r>
        <w:t>ipilimumab</w:t>
      </w:r>
      <w:proofErr w:type="spellEnd"/>
      <w:r>
        <w:t xml:space="preserve">), administer </w:t>
      </w:r>
      <w:proofErr w:type="gramStart"/>
      <w:r>
        <w:t>both therapeutics</w:t>
      </w:r>
      <w:proofErr w:type="gramEnd"/>
      <w:r>
        <w:t xml:space="preserve"> on the same day. U</w:t>
      </w:r>
      <w:r w:rsidRPr="001F1978">
        <w:t>se separate infusion bags and filters for each infusion. Administer OPDIVO first</w:t>
      </w:r>
      <w:r>
        <w:t xml:space="preserve"> followed by YERVOY (</w:t>
      </w:r>
      <w:proofErr w:type="spellStart"/>
      <w:r>
        <w:t>ipilimumab</w:t>
      </w:r>
      <w:proofErr w:type="spellEnd"/>
      <w:r>
        <w:t>), no earlier than 30 minutes after completion of the OPDIVO infusion</w:t>
      </w:r>
      <w:r w:rsidRPr="001F1978">
        <w:t>.</w:t>
      </w:r>
    </w:p>
    <w:p w14:paraId="797797DB" w14:textId="77777777" w:rsidR="00147E17" w:rsidRPr="001F1978" w:rsidRDefault="00147E17" w:rsidP="007E79E8">
      <w:r w:rsidRPr="001F1978">
        <w:t xml:space="preserve">Use an infusion set and an in-line, sterile, non-pyrogenic, low protein binding filter (pore size of 0.2 </w:t>
      </w:r>
      <w:proofErr w:type="spellStart"/>
      <w:r w:rsidRPr="001F1978">
        <w:t>μm</w:t>
      </w:r>
      <w:proofErr w:type="spellEnd"/>
      <w:r w:rsidRPr="001F1978">
        <w:t xml:space="preserve"> to 1.2 </w:t>
      </w:r>
      <w:proofErr w:type="spellStart"/>
      <w:r w:rsidRPr="001F1978">
        <w:t>μm</w:t>
      </w:r>
      <w:proofErr w:type="spellEnd"/>
      <w:r w:rsidRPr="001F1978">
        <w:t>).</w:t>
      </w:r>
    </w:p>
    <w:p w14:paraId="1BD933B5" w14:textId="77777777" w:rsidR="00147E17" w:rsidRPr="001F1978" w:rsidRDefault="00147E17" w:rsidP="007E79E8">
      <w:r w:rsidRPr="001F1978">
        <w:t>OPDIVO infusion is compatible with:</w:t>
      </w:r>
    </w:p>
    <w:p w14:paraId="76A16CF5" w14:textId="77777777" w:rsidR="00147E17" w:rsidRPr="00F2159C" w:rsidRDefault="00147E17" w:rsidP="00BA6CC3">
      <w:pPr>
        <w:pStyle w:val="NoSpacing"/>
      </w:pPr>
      <w:r w:rsidRPr="00F2159C">
        <w:t>PVC or non-PVC containers</w:t>
      </w:r>
    </w:p>
    <w:p w14:paraId="29DDFAC7" w14:textId="77777777" w:rsidR="00147E17" w:rsidRPr="001F1978" w:rsidRDefault="00147E17" w:rsidP="00BA6CC3">
      <w:pPr>
        <w:pStyle w:val="NoSpacing"/>
      </w:pPr>
      <w:r w:rsidRPr="001F1978">
        <w:t>Polyolefin containers</w:t>
      </w:r>
    </w:p>
    <w:p w14:paraId="43EA5CDD" w14:textId="77777777" w:rsidR="00147E17" w:rsidRPr="001F1978" w:rsidRDefault="00147E17" w:rsidP="00BA6CC3">
      <w:pPr>
        <w:pStyle w:val="NoSpacing"/>
      </w:pPr>
      <w:r w:rsidRPr="001F1978">
        <w:t>Glass bottles</w:t>
      </w:r>
    </w:p>
    <w:p w14:paraId="10F96973" w14:textId="77777777" w:rsidR="00147E17" w:rsidRPr="001F1978" w:rsidRDefault="00147E17" w:rsidP="00BA6CC3">
      <w:pPr>
        <w:pStyle w:val="NoSpacing"/>
      </w:pPr>
      <w:r w:rsidRPr="001F1978">
        <w:t>PVC infusion sets</w:t>
      </w:r>
    </w:p>
    <w:p w14:paraId="4B4F081D" w14:textId="77777777" w:rsidR="00147E17" w:rsidRPr="001F1978" w:rsidRDefault="00147E17" w:rsidP="00BA6CC3">
      <w:pPr>
        <w:pStyle w:val="NoSpacing"/>
        <w:spacing w:after="240"/>
      </w:pPr>
      <w:r w:rsidRPr="001F1978">
        <w:t xml:space="preserve">In-line filters with </w:t>
      </w:r>
      <w:proofErr w:type="spellStart"/>
      <w:r w:rsidRPr="001F1978">
        <w:t>polyethersulfone</w:t>
      </w:r>
      <w:proofErr w:type="spellEnd"/>
      <w:r w:rsidRPr="001F1978">
        <w:t xml:space="preserve"> membranes with pore sizes of 0.2 </w:t>
      </w:r>
      <w:proofErr w:type="spellStart"/>
      <w:r w:rsidRPr="001F1978">
        <w:t>μm</w:t>
      </w:r>
      <w:proofErr w:type="spellEnd"/>
      <w:r w:rsidRPr="001F1978">
        <w:t xml:space="preserve"> to 1.2 </w:t>
      </w:r>
      <w:proofErr w:type="spellStart"/>
      <w:r w:rsidRPr="001F1978">
        <w:t>μm</w:t>
      </w:r>
      <w:proofErr w:type="spellEnd"/>
      <w:r w:rsidRPr="001F1978">
        <w:t>.</w:t>
      </w:r>
    </w:p>
    <w:p w14:paraId="71CF6E9E" w14:textId="799A5A11" w:rsidR="00147E17" w:rsidRPr="00147E17" w:rsidRDefault="00147E17" w:rsidP="007E79E8">
      <w:r w:rsidRPr="00147E17">
        <w:t>After administration of dose, flush the line with sodium chloride 9 mg/mL (0.9%) solution for injection or 50 mg/mL (5%) glucose solution for injection.</w:t>
      </w:r>
    </w:p>
    <w:p w14:paraId="6BF2C992" w14:textId="77777777" w:rsidR="00BA04BC" w:rsidRPr="001F1978" w:rsidRDefault="00BA04BC" w:rsidP="00BA0123">
      <w:pPr>
        <w:pStyle w:val="Heading4"/>
      </w:pPr>
      <w:r w:rsidRPr="001F1978">
        <w:t>Calculating the dose</w:t>
      </w:r>
    </w:p>
    <w:p w14:paraId="5C2BDFF2" w14:textId="77777777" w:rsidR="00BA04BC" w:rsidRPr="001F1978" w:rsidRDefault="00BA04BC" w:rsidP="00BA6CC3">
      <w:r w:rsidRPr="001F1978">
        <w:t>The prescribed dose for the patient is given in mg/kg. Based on this prescribed dose, calculate the total dose to be given. More than one vial of OPDIVO concentrate may be needed to give the total dose for the patient.</w:t>
      </w:r>
    </w:p>
    <w:p w14:paraId="6C723A9B" w14:textId="77777777" w:rsidR="00BA04BC" w:rsidRPr="001F1978" w:rsidRDefault="00BA04BC" w:rsidP="00BA6CC3">
      <w:pPr>
        <w:pStyle w:val="NoSpacing"/>
      </w:pPr>
      <w:r w:rsidRPr="001F1978">
        <w:t xml:space="preserve">Each 4 mL vial of OPDIVO concentrate contains 40 mg of </w:t>
      </w:r>
      <w:proofErr w:type="spellStart"/>
      <w:r>
        <w:t>nivolumab</w:t>
      </w:r>
      <w:proofErr w:type="spellEnd"/>
      <w:r w:rsidRPr="001F1978">
        <w:t xml:space="preserve">; each 10 mL vial of OPDIVO contains 100 mg of </w:t>
      </w:r>
      <w:proofErr w:type="spellStart"/>
      <w:r>
        <w:t>nivolumab</w:t>
      </w:r>
      <w:proofErr w:type="spellEnd"/>
      <w:r w:rsidRPr="001F1978">
        <w:t>.</w:t>
      </w:r>
    </w:p>
    <w:p w14:paraId="753F43AB" w14:textId="77777777" w:rsidR="00BA04BC" w:rsidRPr="001F1978" w:rsidRDefault="00BA04BC" w:rsidP="00BA6CC3">
      <w:pPr>
        <w:pStyle w:val="NoSpacing"/>
      </w:pPr>
      <w:r w:rsidRPr="001F1978">
        <w:t xml:space="preserve">The total </w:t>
      </w:r>
      <w:proofErr w:type="spellStart"/>
      <w:r>
        <w:t>nivolumab</w:t>
      </w:r>
      <w:proofErr w:type="spellEnd"/>
      <w:r w:rsidRPr="001F1978">
        <w:t xml:space="preserve"> dose in mg = the patient’s weight in kg × the prescribed dose in mg/kg.</w:t>
      </w:r>
    </w:p>
    <w:p w14:paraId="1713DE9A" w14:textId="77777777" w:rsidR="00BA04BC" w:rsidRPr="005A3572" w:rsidRDefault="00BA04BC" w:rsidP="00BA6CC3">
      <w:pPr>
        <w:pStyle w:val="NoSpacing"/>
      </w:pPr>
      <w:r w:rsidRPr="001F1978">
        <w:t>The volume of OPDIVO concentrate to prepare the dose (mL) = the total dose in mg, divided by 10</w:t>
      </w:r>
      <w:r>
        <w:t xml:space="preserve"> </w:t>
      </w:r>
      <w:r w:rsidRPr="005A3572">
        <w:t>(the OPDIVO concentrate strength is 10 mg/mL).</w:t>
      </w:r>
    </w:p>
    <w:p w14:paraId="314563FF" w14:textId="77777777" w:rsidR="00BA04BC" w:rsidRPr="005A3572" w:rsidRDefault="00BA04BC" w:rsidP="00BA0123">
      <w:pPr>
        <w:pStyle w:val="Heading4"/>
      </w:pPr>
      <w:r w:rsidRPr="005A3572">
        <w:t>Preparing the infusion</w:t>
      </w:r>
    </w:p>
    <w:p w14:paraId="4E19EF33" w14:textId="77777777" w:rsidR="00BA04BC" w:rsidRDefault="00BA04BC" w:rsidP="00BA6CC3">
      <w:r>
        <w:t xml:space="preserve">Preparation should be performed by trained personnel in accordance with good practices rules, especially with respect to asepsis. </w:t>
      </w:r>
    </w:p>
    <w:p w14:paraId="1F791A27" w14:textId="77777777" w:rsidR="00CB6ABF" w:rsidRDefault="00CB6ABF" w:rsidP="00BA6CC3">
      <w:pPr>
        <w:sectPr w:rsidR="00CB6ABF" w:rsidSect="009015F8">
          <w:headerReference w:type="default" r:id="rId8"/>
          <w:footerReference w:type="default" r:id="rId9"/>
          <w:pgSz w:w="11906" w:h="16838"/>
          <w:pgMar w:top="1440" w:right="1440" w:bottom="1440" w:left="1440" w:header="708" w:footer="708" w:gutter="0"/>
          <w:cols w:space="708"/>
          <w:docGrid w:linePitch="360"/>
        </w:sectPr>
      </w:pPr>
    </w:p>
    <w:p w14:paraId="44B17917" w14:textId="0AC4157D" w:rsidR="00BA04BC" w:rsidRPr="001F1978" w:rsidRDefault="00BA04BC" w:rsidP="00BA6CC3">
      <w:r w:rsidRPr="001F1978">
        <w:lastRenderedPageBreak/>
        <w:t>OPDIVO can be used for intravenous administration either:</w:t>
      </w:r>
    </w:p>
    <w:p w14:paraId="677F2F49" w14:textId="77777777" w:rsidR="00BA04BC" w:rsidRPr="001F1978" w:rsidRDefault="00BA04BC" w:rsidP="00BA6CC3">
      <w:pPr>
        <w:pStyle w:val="NoSpacing"/>
      </w:pPr>
      <w:r w:rsidRPr="001F1978">
        <w:t>without dilution, after transfer to an infusion container using an appropriate sterile syringe; or</w:t>
      </w:r>
    </w:p>
    <w:p w14:paraId="1545EBBF" w14:textId="717CC796" w:rsidR="00927F62" w:rsidRDefault="00BA04BC" w:rsidP="00BA6CC3">
      <w:pPr>
        <w:pStyle w:val="NoSpacing"/>
      </w:pPr>
      <w:proofErr w:type="gramStart"/>
      <w:r w:rsidRPr="001F1978">
        <w:t>after</w:t>
      </w:r>
      <w:proofErr w:type="gramEnd"/>
      <w:r w:rsidRPr="001F1978">
        <w:t xml:space="preserve"> diluting to concentrations as low as 1 mg/</w:t>
      </w:r>
      <w:proofErr w:type="spellStart"/>
      <w:r w:rsidRPr="001F1978">
        <w:t>mL.</w:t>
      </w:r>
      <w:proofErr w:type="spellEnd"/>
      <w:r w:rsidRPr="001F1978">
        <w:t xml:space="preserve"> The final infusion concentration should range between 1 and 10 mg/</w:t>
      </w:r>
      <w:proofErr w:type="spellStart"/>
      <w:r w:rsidRPr="001F1978">
        <w:t>mL.</w:t>
      </w:r>
      <w:proofErr w:type="spellEnd"/>
      <w:r w:rsidRPr="001F1978">
        <w:t xml:space="preserve"> OPDIVO concentrate may be diluted with either sodium chloride 9 mg/mL (0.9%) solution for injection or 50 mg/mL (5%) glucose solution for injection.</w:t>
      </w:r>
    </w:p>
    <w:p w14:paraId="468FB11E" w14:textId="77777777" w:rsidR="00BA04BC" w:rsidRPr="00583761" w:rsidRDefault="00BA04BC" w:rsidP="00583761">
      <w:pPr>
        <w:rPr>
          <w:b/>
        </w:rPr>
      </w:pPr>
      <w:r w:rsidRPr="00583761">
        <w:rPr>
          <w:b/>
        </w:rPr>
        <w:t>STEP 1</w:t>
      </w:r>
    </w:p>
    <w:p w14:paraId="118A9555" w14:textId="77777777" w:rsidR="00BA04BC" w:rsidRPr="001F1978" w:rsidRDefault="00BA04BC" w:rsidP="00BA6CC3">
      <w:pPr>
        <w:pStyle w:val="NoSpacing"/>
      </w:pPr>
      <w:r w:rsidRPr="001F1978">
        <w:t>Inspect the OPDIVO concentrate for particulate matter or discoloration. Do not shake. OPDIVO concentrate is a clear to opalescent, colourless to pale yellow liquid that may contain a few light particles.</w:t>
      </w:r>
    </w:p>
    <w:p w14:paraId="0C8F91A8" w14:textId="77777777" w:rsidR="00BA04BC" w:rsidRPr="001F1978" w:rsidRDefault="00BA04BC" w:rsidP="00BA6CC3">
      <w:pPr>
        <w:pStyle w:val="NoSpacing"/>
      </w:pPr>
      <w:r w:rsidRPr="001F1978">
        <w:t>Withdraw the required volume of OPDIVO concentrate using an appropriate sterile syringe.</w:t>
      </w:r>
    </w:p>
    <w:p w14:paraId="23DC83E3" w14:textId="77777777" w:rsidR="00BA04BC" w:rsidRPr="00583761" w:rsidRDefault="00BA04BC" w:rsidP="00583761">
      <w:pPr>
        <w:rPr>
          <w:b/>
        </w:rPr>
      </w:pPr>
      <w:r w:rsidRPr="00583761">
        <w:rPr>
          <w:b/>
        </w:rPr>
        <w:t>STEP 2</w:t>
      </w:r>
    </w:p>
    <w:p w14:paraId="5DBC6B43" w14:textId="77777777" w:rsidR="00BA04BC" w:rsidRPr="002D5929" w:rsidRDefault="00BA04BC" w:rsidP="00BA6CC3">
      <w:pPr>
        <w:pStyle w:val="NoSpacing"/>
      </w:pPr>
      <w:r w:rsidRPr="002D5929">
        <w:t>Transfer the concentrate into a sterile, evacuated glass bottle or IV container (PVC, non-PVC or polyolefin).</w:t>
      </w:r>
    </w:p>
    <w:p w14:paraId="206BD457" w14:textId="77777777" w:rsidR="00BA04BC" w:rsidRPr="002D5929" w:rsidRDefault="00BA04BC" w:rsidP="00BA6CC3">
      <w:pPr>
        <w:pStyle w:val="NoSpacing"/>
      </w:pPr>
      <w:r w:rsidRPr="002D5929">
        <w:t xml:space="preserve">If applicable, dilute with the required volume of sodium chloride 9 mg/mL (0.9%) solution for injection or 50 mg/mL (5%) glucose solution for injection. </w:t>
      </w:r>
      <w:r w:rsidRPr="006A6D4B">
        <w:t>For ease of preparation, the concentrate can also be transferred directly into a pre-filled bag containing the appropriate volume of sodium chloride 9 mg/mL (0.9%) solution for injection or 50 mg/mL (5%) glucose solution for injection.</w:t>
      </w:r>
    </w:p>
    <w:p w14:paraId="63BDCFC4" w14:textId="77777777" w:rsidR="00BA04BC" w:rsidRPr="002D5929" w:rsidRDefault="00BA04BC" w:rsidP="00BA6CC3">
      <w:pPr>
        <w:pStyle w:val="NoSpacing"/>
      </w:pPr>
      <w:r w:rsidRPr="002D5929">
        <w:t>Gently mix the infusion by manual rotation. Do not shake.</w:t>
      </w:r>
    </w:p>
    <w:p w14:paraId="6126740B" w14:textId="61965437" w:rsidR="001A3992" w:rsidRDefault="001A3992" w:rsidP="003C2DE8">
      <w:pPr>
        <w:pStyle w:val="Heading2"/>
      </w:pPr>
      <w:r w:rsidRPr="003B14A8">
        <w:t>Contraindications</w:t>
      </w:r>
    </w:p>
    <w:p w14:paraId="52B3D91B" w14:textId="2E098B81" w:rsidR="00147E17" w:rsidRDefault="00147E17" w:rsidP="006D73A6">
      <w:pPr>
        <w:rPr>
          <w:noProof/>
        </w:rPr>
      </w:pPr>
      <w:r w:rsidRPr="000D1179">
        <w:t xml:space="preserve">Hypersensitivity </w:t>
      </w:r>
      <w:r w:rsidRPr="000D1179">
        <w:rPr>
          <w:noProof/>
        </w:rPr>
        <w:t>to the active substance or to any of the excipients</w:t>
      </w:r>
      <w:r w:rsidR="00390BBE">
        <w:rPr>
          <w:noProof/>
        </w:rPr>
        <w:t xml:space="preserve"> listed in section 6.1</w:t>
      </w:r>
      <w:r w:rsidRPr="000D1179">
        <w:rPr>
          <w:noProof/>
        </w:rPr>
        <w:t>.</w:t>
      </w:r>
    </w:p>
    <w:p w14:paraId="5BAFDE01" w14:textId="0B8D5789" w:rsidR="001A3992" w:rsidRDefault="00E74A56" w:rsidP="003C2DE8">
      <w:pPr>
        <w:pStyle w:val="Heading2"/>
      </w:pPr>
      <w:r w:rsidRPr="003B14A8">
        <w:t>Special warnings and p</w:t>
      </w:r>
      <w:r w:rsidR="001A3992" w:rsidRPr="003B14A8">
        <w:t xml:space="preserve">recautions </w:t>
      </w:r>
      <w:r w:rsidRPr="003B14A8">
        <w:t>for use</w:t>
      </w:r>
    </w:p>
    <w:p w14:paraId="265489D8" w14:textId="77777777" w:rsidR="00147E17" w:rsidRDefault="00147E17" w:rsidP="006D73A6">
      <w:r w:rsidRPr="00B55F0E">
        <w:t xml:space="preserve">Early identification of adverse reactions and intervention are an important part of the safe use of OPDIVO with or without </w:t>
      </w:r>
      <w:proofErr w:type="spellStart"/>
      <w:r w:rsidRPr="00B55F0E">
        <w:t>ipilimumab</w:t>
      </w:r>
      <w:proofErr w:type="spellEnd"/>
      <w:r w:rsidRPr="00B55F0E">
        <w:t>.</w:t>
      </w:r>
      <w:r>
        <w:t xml:space="preserve"> </w:t>
      </w:r>
    </w:p>
    <w:p w14:paraId="63E87018" w14:textId="77777777" w:rsidR="00147E17" w:rsidRDefault="00147E17" w:rsidP="006D73A6">
      <w:r>
        <w:t>OPDIVO</w:t>
      </w:r>
      <w:r w:rsidRPr="00B55F0E">
        <w:t xml:space="preserve"> </w:t>
      </w:r>
      <w:r>
        <w:t xml:space="preserve">monotherapy </w:t>
      </w:r>
      <w:r w:rsidRPr="00B55F0E">
        <w:t xml:space="preserve">is </w:t>
      </w:r>
      <w:r w:rsidRPr="006D4B4C">
        <w:t>associated with</w:t>
      </w:r>
      <w:r>
        <w:t xml:space="preserve"> </w:t>
      </w:r>
      <w:r w:rsidRPr="006D4B4C">
        <w:t>immune</w:t>
      </w:r>
      <w:r w:rsidRPr="006D4B4C">
        <w:noBreakHyphen/>
        <w:t xml:space="preserve">related adverse reactions. </w:t>
      </w:r>
      <w:r w:rsidRPr="0077190B">
        <w:t xml:space="preserve">In clinical trials, </w:t>
      </w:r>
      <w:r>
        <w:t xml:space="preserve">almost all </w:t>
      </w:r>
      <w:r w:rsidRPr="0077190B">
        <w:t xml:space="preserve">immune-related adverse reactions have occurred at higher frequencies when </w:t>
      </w:r>
      <w:r>
        <w:t>OPDIVO</w:t>
      </w:r>
      <w:r w:rsidRPr="0077190B">
        <w:t xml:space="preserve"> was administered in combination with </w:t>
      </w:r>
      <w:proofErr w:type="spellStart"/>
      <w:r w:rsidRPr="0077190B">
        <w:t>ipilimumab</w:t>
      </w:r>
      <w:proofErr w:type="spellEnd"/>
      <w:r w:rsidRPr="0077190B">
        <w:t xml:space="preserve"> compared with </w:t>
      </w:r>
      <w:r>
        <w:t>OPDIVO</w:t>
      </w:r>
      <w:r w:rsidRPr="0077190B">
        <w:t xml:space="preserve"> as </w:t>
      </w:r>
      <w:r>
        <w:t xml:space="preserve">a </w:t>
      </w:r>
      <w:r w:rsidRPr="0077190B">
        <w:t>monotherapy.</w:t>
      </w:r>
      <w:r>
        <w:t xml:space="preserve"> </w:t>
      </w:r>
      <w:r w:rsidRPr="006D4B4C" w:rsidDel="002252BC">
        <w:t>Most immune-related adverse reactions improved or resolved with appropriate</w:t>
      </w:r>
      <w:r w:rsidRPr="00A4438D" w:rsidDel="002252BC">
        <w:t xml:space="preserve"> management, including initiation of corticosteroids and dose modifications.</w:t>
      </w:r>
    </w:p>
    <w:p w14:paraId="7DB8F3CC" w14:textId="6C9EBEB3" w:rsidR="00147E17" w:rsidRDefault="00147E17" w:rsidP="006D73A6">
      <w:r w:rsidRPr="007F1F1B" w:rsidDel="002252BC">
        <w:t xml:space="preserve">Patients should be monitored continuously as an adverse reaction with OPDIVO monotherapy or OPDIVO in combination with </w:t>
      </w:r>
      <w:proofErr w:type="spellStart"/>
      <w:r w:rsidRPr="007F1F1B" w:rsidDel="002252BC">
        <w:t>ipilimumab</w:t>
      </w:r>
      <w:proofErr w:type="spellEnd"/>
      <w:r w:rsidRPr="007F1F1B" w:rsidDel="002252BC">
        <w:t xml:space="preserve"> may occur at any time during or after discontinuation of therapy.</w:t>
      </w:r>
    </w:p>
    <w:p w14:paraId="4F19DB8C" w14:textId="446C0833" w:rsidR="00147E17" w:rsidRDefault="00147E17" w:rsidP="006D73A6">
      <w:r w:rsidRPr="007F1F1B">
        <w:t xml:space="preserve">Clinicians should consider immune-related adverse reactions for all unexplained illnesses. Adequate evaluation should be performed to confirm aetiology or exclude other causes. </w:t>
      </w:r>
      <w:r w:rsidRPr="007F1F1B" w:rsidDel="00F348F5">
        <w:t xml:space="preserve"> </w:t>
      </w:r>
    </w:p>
    <w:p w14:paraId="12AC1E4A" w14:textId="220A8CE8" w:rsidR="00147E17" w:rsidRDefault="00147E17" w:rsidP="006D73A6">
      <w:pPr>
        <w:rPr>
          <w:lang w:eastAsia="en-AU"/>
        </w:rPr>
      </w:pPr>
      <w:r>
        <w:t xml:space="preserve">Based on the severity of the adverse reaction, OPDIVO monotherapy or OPDIVO in combination with </w:t>
      </w:r>
      <w:proofErr w:type="spellStart"/>
      <w:r>
        <w:t>ipilimumab</w:t>
      </w:r>
      <w:proofErr w:type="spellEnd"/>
      <w:r>
        <w:t xml:space="preserve"> should be withheld (see </w:t>
      </w:r>
      <w:r w:rsidR="00E03130">
        <w:t>Section 4.2</w:t>
      </w:r>
      <w:r w:rsidR="00CF5818" w:rsidRPr="00CF5818">
        <w:t xml:space="preserve"> </w:t>
      </w:r>
      <w:r w:rsidR="00CF5818">
        <w:t>Dose and method of administration</w:t>
      </w:r>
      <w:r w:rsidR="00E03130">
        <w:t>)</w:t>
      </w:r>
      <w:r>
        <w:t xml:space="preserve"> and corticosteroids administered.</w:t>
      </w:r>
    </w:p>
    <w:p w14:paraId="18CDC20B" w14:textId="77777777" w:rsidR="00147E17" w:rsidRDefault="00147E17" w:rsidP="006D73A6">
      <w:r w:rsidRPr="00B55F0E">
        <w:t xml:space="preserve">If immunosuppression with corticosteroids is used to treat an adverse reaction, a taper of at least one month duration should be initiated upon improvement. Rapid tapering may lead to worsening </w:t>
      </w:r>
      <w:r>
        <w:t xml:space="preserve">or recurrence </w:t>
      </w:r>
      <w:r w:rsidRPr="00B55F0E">
        <w:t xml:space="preserve">of the adverse reaction. </w:t>
      </w:r>
    </w:p>
    <w:p w14:paraId="33047B97" w14:textId="77777777" w:rsidR="00147E17" w:rsidRPr="00B55F0E" w:rsidRDefault="00147E17" w:rsidP="006D73A6">
      <w:r w:rsidRPr="00B55F0E">
        <w:lastRenderedPageBreak/>
        <w:t xml:space="preserve">Non-corticosteroid immunosuppressive therapy should be added if there is worsening or no improvement despite corticosteroid use. </w:t>
      </w:r>
    </w:p>
    <w:p w14:paraId="5EAB15A0" w14:textId="77777777" w:rsidR="00147E17" w:rsidRPr="00B55F0E" w:rsidRDefault="00147E17" w:rsidP="006D73A6">
      <w:r w:rsidRPr="00B55F0E">
        <w:t xml:space="preserve">OPDIVO monotherapy or OPDIVO </w:t>
      </w:r>
      <w:r>
        <w:t xml:space="preserve">in combination with </w:t>
      </w:r>
      <w:proofErr w:type="spellStart"/>
      <w:r w:rsidRPr="00B55F0E">
        <w:t>ipilimumab</w:t>
      </w:r>
      <w:proofErr w:type="spellEnd"/>
      <w:r w:rsidRPr="00B55F0E">
        <w:t xml:space="preserve"> </w:t>
      </w:r>
      <w:r w:rsidRPr="006D4B4C">
        <w:t>should not be resumed while the patient is receiving immunosuppressive doses of corticosteroids or other immunosuppressive therapy.</w:t>
      </w:r>
      <w:r w:rsidRPr="00B55F0E">
        <w:t xml:space="preserve"> </w:t>
      </w:r>
    </w:p>
    <w:p w14:paraId="402E5192" w14:textId="77777777" w:rsidR="00147E17" w:rsidRDefault="00147E17" w:rsidP="006D73A6">
      <w:r w:rsidRPr="00B55F0E">
        <w:t xml:space="preserve">Prophylactic antibiotics should be used to prevent opportunistic infections in patients receiving immunosuppressive therapy. </w:t>
      </w:r>
    </w:p>
    <w:p w14:paraId="2302FAE1" w14:textId="779CA876" w:rsidR="00147E17" w:rsidRDefault="00147E17" w:rsidP="006D73A6">
      <w:r w:rsidRPr="00B55F0E">
        <w:t xml:space="preserve">OPDIVO monotherapy or OPDIVO </w:t>
      </w:r>
      <w:r>
        <w:t xml:space="preserve">in combination with </w:t>
      </w:r>
      <w:proofErr w:type="spellStart"/>
      <w:r w:rsidRPr="00B55F0E">
        <w:t>ipilimumab</w:t>
      </w:r>
      <w:proofErr w:type="spellEnd"/>
      <w:r w:rsidRPr="00B55F0E">
        <w:t xml:space="preserve"> </w:t>
      </w:r>
      <w:r>
        <w:t xml:space="preserve">must be permanently discontinued for any severe immune related adverse reaction that recurs and for any life threatening immune related adverse reaction (see </w:t>
      </w:r>
      <w:r w:rsidR="00E03130">
        <w:t>Section 4.2</w:t>
      </w:r>
      <w:r w:rsidR="00493B85">
        <w:t xml:space="preserve"> Dose and method of administration</w:t>
      </w:r>
      <w:r w:rsidR="00E03130">
        <w:t>)</w:t>
      </w:r>
      <w:r w:rsidRPr="006D4B4C">
        <w:t>.</w:t>
      </w:r>
    </w:p>
    <w:p w14:paraId="284363B9" w14:textId="77777777" w:rsidR="007F1F1B" w:rsidRPr="003E24B4" w:rsidRDefault="007F1F1B" w:rsidP="003E47FA">
      <w:pPr>
        <w:pStyle w:val="Heading3"/>
      </w:pPr>
      <w:r w:rsidRPr="003E24B4">
        <w:t>Immune</w:t>
      </w:r>
      <w:r w:rsidRPr="003E24B4">
        <w:noBreakHyphen/>
        <w:t>related pneumonitis</w:t>
      </w:r>
    </w:p>
    <w:p w14:paraId="37926C0F" w14:textId="77777777" w:rsidR="007F1F1B" w:rsidRPr="00B55F0E" w:rsidRDefault="007F1F1B" w:rsidP="00CF5818">
      <w:r w:rsidRPr="00B55F0E">
        <w:t xml:space="preserve">Severe pneumonitis or interstitial lung disease, including fatal cases, has been observed with OPDIVO </w:t>
      </w:r>
      <w:r>
        <w:t xml:space="preserve">monotherapy or OPDIVO in combination with </w:t>
      </w:r>
      <w:proofErr w:type="spellStart"/>
      <w:r>
        <w:t>ipilimumab</w:t>
      </w:r>
      <w:proofErr w:type="spellEnd"/>
      <w:r w:rsidRPr="00B55F0E">
        <w:t xml:space="preserve">. </w:t>
      </w:r>
    </w:p>
    <w:p w14:paraId="7CDD2AF9" w14:textId="77777777" w:rsidR="007F1F1B" w:rsidRPr="006D4B4C" w:rsidRDefault="007F1F1B" w:rsidP="00C66A9C">
      <w:r w:rsidRPr="006D4B4C">
        <w:t>Patients should be monitored for signs and symptoms of pneumonitis such</w:t>
      </w:r>
      <w:r>
        <w:t xml:space="preserve"> as radiographic changes (e.g., </w:t>
      </w:r>
      <w:r w:rsidRPr="006D4B4C">
        <w:t xml:space="preserve">focal ground glass opacities, patchy filtrates), dyspnoea, and hypoxia. Infectious and disease-related </w:t>
      </w:r>
      <w:r w:rsidRPr="00B55F0E">
        <w:t>aetiologies</w:t>
      </w:r>
      <w:r>
        <w:t xml:space="preserve"> should be ruled out.</w:t>
      </w:r>
    </w:p>
    <w:p w14:paraId="1CEF43F8" w14:textId="77777777" w:rsidR="007F1F1B" w:rsidRPr="00B55F0E" w:rsidRDefault="007F1F1B" w:rsidP="00310419">
      <w:r w:rsidRPr="006D4B4C">
        <w:t xml:space="preserve">For Grade 3 or </w:t>
      </w:r>
      <w:proofErr w:type="gramStart"/>
      <w:r w:rsidRPr="006D4B4C">
        <w:t>4 pneumonitis,</w:t>
      </w:r>
      <w:proofErr w:type="gramEnd"/>
      <w:r w:rsidRPr="006D4B4C">
        <w:t xml:space="preserve"> OPDIVO</w:t>
      </w:r>
      <w:r w:rsidRPr="00B55F0E">
        <w:t xml:space="preserve"> monotherapy or OPDIVO </w:t>
      </w:r>
      <w:r>
        <w:t xml:space="preserve">in combination with </w:t>
      </w:r>
      <w:proofErr w:type="spellStart"/>
      <w:r w:rsidRPr="00B55F0E">
        <w:t>ipilimumab</w:t>
      </w:r>
      <w:proofErr w:type="spellEnd"/>
      <w:r w:rsidRPr="00B55F0E">
        <w:t xml:space="preserve">, must be permanently discontinued and corticosteroids should be initiated at a dose of 2 to 4 mg/kg/day methylprednisolone equivalents. </w:t>
      </w:r>
    </w:p>
    <w:p w14:paraId="3C693653" w14:textId="7FBF520F" w:rsidR="007F1F1B" w:rsidRPr="00B55F0E" w:rsidRDefault="007F1F1B" w:rsidP="001D53CF">
      <w:r w:rsidRPr="00B55F0E">
        <w:t xml:space="preserve">For Grade 2 (symptomatic) pneumonitis, OPDIVO monotherapy or OPDIVO </w:t>
      </w:r>
      <w:r>
        <w:t xml:space="preserve">in combination with </w:t>
      </w:r>
      <w:proofErr w:type="spellStart"/>
      <w:proofErr w:type="gramStart"/>
      <w:r w:rsidRPr="00B55F0E">
        <w:t>ipilimumab</w:t>
      </w:r>
      <w:proofErr w:type="spellEnd"/>
      <w:r w:rsidRPr="00B55F0E">
        <w:t>,</w:t>
      </w:r>
      <w:proofErr w:type="gramEnd"/>
      <w:r w:rsidRPr="00B55F0E">
        <w:t xml:space="preserve"> should be withheld and corticosteroids initiated at a dose of 1 mg/kg/day methylprednisolone equivalents. Upon improvement, OPDIVO monotherapy or OPDIVO </w:t>
      </w:r>
      <w:r>
        <w:t xml:space="preserve">in combination with </w:t>
      </w:r>
      <w:proofErr w:type="spellStart"/>
      <w:proofErr w:type="gramStart"/>
      <w:r w:rsidRPr="00B55F0E">
        <w:t>ipilimumab</w:t>
      </w:r>
      <w:proofErr w:type="spellEnd"/>
      <w:r w:rsidRPr="00B55F0E">
        <w:t>,</w:t>
      </w:r>
      <w:proofErr w:type="gramEnd"/>
      <w:r w:rsidRPr="00B55F0E">
        <w:t xml:space="preserve"> may</w:t>
      </w:r>
      <w:r w:rsidR="00E23211">
        <w:t xml:space="preserve"> </w:t>
      </w:r>
      <w:r w:rsidRPr="00B55F0E">
        <w:t xml:space="preserve">be resumed after corticosteroid taper. If worsening or no improvement occurs despite initiation of corticosteroids, corticosteroid dose should be increased to 2 to 4 mg/kg/day methylprednisolone equivalents and OPDIVO monotherapy or OPDIVO </w:t>
      </w:r>
      <w:r>
        <w:t>in combination with</w:t>
      </w:r>
      <w:r w:rsidRPr="00B55F0E">
        <w:t xml:space="preserve"> </w:t>
      </w:r>
      <w:proofErr w:type="spellStart"/>
      <w:r w:rsidRPr="00B55F0E">
        <w:t>ipilimumab</w:t>
      </w:r>
      <w:proofErr w:type="spellEnd"/>
      <w:r w:rsidRPr="00B55F0E">
        <w:t>, must be permanently discontinued.</w:t>
      </w:r>
    </w:p>
    <w:p w14:paraId="6A3E7551" w14:textId="77777777" w:rsidR="003E24B4" w:rsidRDefault="003E24B4" w:rsidP="003E47FA">
      <w:pPr>
        <w:pStyle w:val="Heading3"/>
      </w:pPr>
      <w:r w:rsidRPr="006B5769">
        <w:t>Immune</w:t>
      </w:r>
      <w:r w:rsidRPr="006B5769">
        <w:noBreakHyphen/>
        <w:t>related colitis</w:t>
      </w:r>
    </w:p>
    <w:p w14:paraId="7F68173A" w14:textId="77777777" w:rsidR="003E24B4" w:rsidRPr="00B55F0E" w:rsidRDefault="003E24B4" w:rsidP="006D73A6">
      <w:r w:rsidRPr="00B55F0E">
        <w:t xml:space="preserve">Severe diarrhoea or colitis has been observed with OPDIVO </w:t>
      </w:r>
      <w:r>
        <w:t xml:space="preserve">monotherapy or OPDIVO in combination with </w:t>
      </w:r>
      <w:proofErr w:type="spellStart"/>
      <w:r>
        <w:t>ipilimumab</w:t>
      </w:r>
      <w:proofErr w:type="spellEnd"/>
      <w:r w:rsidRPr="00B55F0E">
        <w:t xml:space="preserve">. Patients should be monitored for diarrhoea and additional symptoms of colitis, such as abdominal pain and mucus or blood in stool. Infectious and disease-related aetiologies should be ruled out. </w:t>
      </w:r>
    </w:p>
    <w:p w14:paraId="35F09FCC" w14:textId="77777777" w:rsidR="003E24B4" w:rsidRPr="00B55F0E" w:rsidRDefault="003E24B4" w:rsidP="006D73A6">
      <w:r w:rsidRPr="00B55F0E">
        <w:t>For Grade 4 diarrhoea or colitis, OPDIVO monotherapy or OPDIVO</w:t>
      </w:r>
      <w:r>
        <w:t xml:space="preserve"> in combination with </w:t>
      </w:r>
      <w:proofErr w:type="spellStart"/>
      <w:r>
        <w:t>ipilimumab</w:t>
      </w:r>
      <w:proofErr w:type="spellEnd"/>
      <w:r w:rsidRPr="00B55F0E">
        <w:t xml:space="preserve">, must be permanently discontinued and corticosteroids should be initiated at a dose of 1 to 2 mg/kg/day methylprednisolone equivalents. </w:t>
      </w:r>
    </w:p>
    <w:p w14:paraId="0A8824B4" w14:textId="77777777" w:rsidR="003E24B4" w:rsidRPr="00B55F0E" w:rsidRDefault="003E24B4" w:rsidP="006D73A6">
      <w:r w:rsidRPr="00B55F0E">
        <w:t xml:space="preserve">For Grade 3 diarrhoea or colitis observed with OPDIVO in combination with </w:t>
      </w:r>
      <w:proofErr w:type="spellStart"/>
      <w:r w:rsidRPr="00B55F0E">
        <w:t>ipilimumab</w:t>
      </w:r>
      <w:proofErr w:type="spellEnd"/>
      <w:r w:rsidRPr="00B55F0E">
        <w:t>, permanently discontinue both agents and follow the management guideline for Grade 4 diarrhoea or colitis above.</w:t>
      </w:r>
    </w:p>
    <w:p w14:paraId="02D970D2" w14:textId="77777777" w:rsidR="003E24B4" w:rsidRPr="00B55F0E" w:rsidRDefault="003E24B4" w:rsidP="006D73A6">
      <w:r>
        <w:t>OPDIVO monotherapy should be withheld f</w:t>
      </w:r>
      <w:r w:rsidRPr="00B55F0E">
        <w:t xml:space="preserve">or Grade 3 diarrhoea or colitis and corticosteroids initiated at a dose of 1 to 2 mg/kg/day methylprednisolone equivalents. Upon improvement, OPDIVO </w:t>
      </w:r>
      <w:r>
        <w:t xml:space="preserve">monotherapy </w:t>
      </w:r>
      <w:r w:rsidRPr="00B55F0E">
        <w:t>may</w:t>
      </w:r>
      <w:r>
        <w:t xml:space="preserve"> </w:t>
      </w:r>
      <w:r w:rsidRPr="00B55F0E">
        <w:t xml:space="preserve">be resumed after corticosteroid taper. If worsening or no improvement occurs despite initiation of corticosteroids, OPDIVO </w:t>
      </w:r>
      <w:r>
        <w:t xml:space="preserve">monotherapy </w:t>
      </w:r>
      <w:r w:rsidRPr="00B55F0E">
        <w:t>must be permanently discontinued.</w:t>
      </w:r>
    </w:p>
    <w:p w14:paraId="5C0F4ABD" w14:textId="77777777" w:rsidR="003E24B4" w:rsidRDefault="003E24B4" w:rsidP="006D73A6">
      <w:r w:rsidRPr="00B55F0E">
        <w:t>For Grade 2 diarrhoea or colitis, OPDIVO monotherapy or OPDIVO</w:t>
      </w:r>
      <w:r>
        <w:t xml:space="preserve"> in combination with </w:t>
      </w:r>
      <w:proofErr w:type="spellStart"/>
      <w:r>
        <w:t>ipilimumab</w:t>
      </w:r>
      <w:proofErr w:type="spellEnd"/>
      <w:r w:rsidRPr="00B55F0E">
        <w:t>, should be withheld. Persistent diarrhoea or colitis should be managed with corticosteroids at a dose of 0.5 to 1 mg/kg/day methylprednisolone equivalents. Upon improvement, OPDIVO monotherapy or OPDIVO</w:t>
      </w:r>
      <w:r>
        <w:t xml:space="preserve"> in combination with </w:t>
      </w:r>
      <w:proofErr w:type="spellStart"/>
      <w:proofErr w:type="gramStart"/>
      <w:r>
        <w:t>ipilimumab</w:t>
      </w:r>
      <w:proofErr w:type="spellEnd"/>
      <w:r w:rsidRPr="00B55F0E">
        <w:t>,</w:t>
      </w:r>
      <w:proofErr w:type="gramEnd"/>
      <w:r w:rsidRPr="00B55F0E">
        <w:t xml:space="preserve"> may</w:t>
      </w:r>
      <w:r>
        <w:t xml:space="preserve"> </w:t>
      </w:r>
      <w:r w:rsidRPr="00B55F0E">
        <w:t xml:space="preserve">be resumed after corticosteroid taper, if needed. If </w:t>
      </w:r>
      <w:r w:rsidRPr="00B55F0E">
        <w:lastRenderedPageBreak/>
        <w:t xml:space="preserve">worsening or no improvement occurs despite initiation of corticosteroids, corticosteroid dose should be increased to 1 to 2 mg/kg/day methylprednisolone equivalents and OPDIVO monotherapy or OPDIVO </w:t>
      </w:r>
      <w:r>
        <w:t xml:space="preserve">in combination with </w:t>
      </w:r>
      <w:proofErr w:type="spellStart"/>
      <w:r w:rsidRPr="00B55F0E">
        <w:t>ipilimumab</w:t>
      </w:r>
      <w:proofErr w:type="spellEnd"/>
      <w:r w:rsidRPr="00B55F0E">
        <w:t>, must be permanently discontinued.</w:t>
      </w:r>
    </w:p>
    <w:p w14:paraId="60C6AD90" w14:textId="77777777" w:rsidR="003E24B4" w:rsidRPr="00974B1F" w:rsidRDefault="003E24B4" w:rsidP="006D73A6">
      <w:bookmarkStart w:id="1" w:name="OLE_LINK6"/>
      <w:bookmarkStart w:id="2" w:name="OLE_LINK7"/>
      <w:r w:rsidRPr="00974B1F">
        <w:t>Based on limited data from clinical trials on the management of corticosteroid</w:t>
      </w:r>
      <w:r w:rsidRPr="00974B1F">
        <w:noBreakHyphen/>
        <w:t>refractory diarrhoea or colitis</w:t>
      </w:r>
      <w:r>
        <w:t>,</w:t>
      </w:r>
      <w:r w:rsidRPr="00974B1F">
        <w:t xml:space="preserve"> administration of other systemic </w:t>
      </w:r>
      <w:proofErr w:type="spellStart"/>
      <w:r w:rsidRPr="00974B1F">
        <w:t>immunosuppressants</w:t>
      </w:r>
      <w:proofErr w:type="spellEnd"/>
      <w:r>
        <w:t xml:space="preserve"> (e.g., anti-TNF-</w:t>
      </w:r>
      <w:r>
        <w:sym w:font="Symbol" w:char="F061"/>
      </w:r>
      <w:r>
        <w:t xml:space="preserve"> agents)</w:t>
      </w:r>
      <w:r w:rsidRPr="00974B1F">
        <w:t xml:space="preserve"> can be considered.</w:t>
      </w:r>
    </w:p>
    <w:bookmarkEnd w:id="1"/>
    <w:bookmarkEnd w:id="2"/>
    <w:p w14:paraId="3CA9F8A6" w14:textId="77777777" w:rsidR="003E24B4" w:rsidRDefault="003E24B4" w:rsidP="003E47FA">
      <w:pPr>
        <w:pStyle w:val="Heading3"/>
      </w:pPr>
      <w:r w:rsidRPr="006B5769">
        <w:t>Immune</w:t>
      </w:r>
      <w:r w:rsidRPr="006B5769">
        <w:noBreakHyphen/>
        <w:t>related hepatitis</w:t>
      </w:r>
    </w:p>
    <w:p w14:paraId="36816C07" w14:textId="77777777" w:rsidR="003E24B4" w:rsidRPr="00B55F0E" w:rsidRDefault="003E24B4" w:rsidP="006D73A6">
      <w:r w:rsidRPr="00B55F0E">
        <w:t xml:space="preserve">Severe hepatitis has been observed with OPDIVO </w:t>
      </w:r>
      <w:r>
        <w:t xml:space="preserve">monotherapy or OPDIVO in combination with </w:t>
      </w:r>
      <w:proofErr w:type="spellStart"/>
      <w:r>
        <w:t>ipilimumab</w:t>
      </w:r>
      <w:proofErr w:type="spellEnd"/>
      <w:r w:rsidRPr="00B55F0E">
        <w:t xml:space="preserve">. </w:t>
      </w:r>
      <w:r w:rsidRPr="00974B1F">
        <w:t>Infectious and disease</w:t>
      </w:r>
      <w:r w:rsidRPr="00974B1F">
        <w:noBreakHyphen/>
        <w:t>related aetiologies should be ruled out.</w:t>
      </w:r>
      <w:r>
        <w:t xml:space="preserve"> </w:t>
      </w:r>
    </w:p>
    <w:p w14:paraId="6C0D569E" w14:textId="77777777" w:rsidR="003E24B4" w:rsidRPr="00B55F0E" w:rsidRDefault="003E24B4" w:rsidP="006D73A6">
      <w:r w:rsidRPr="00C55043">
        <w:t>Elevations in liver function tests may develop in the absence of clinical symptoms.</w:t>
      </w:r>
      <w:r w:rsidRPr="00C55043" w:rsidDel="007B4AA5">
        <w:t xml:space="preserve"> </w:t>
      </w:r>
      <w:r>
        <w:t xml:space="preserve">Monitor patients for abnormal liver tests prior to and periodically during treatment as indicated based on clinical evaluation. </w:t>
      </w:r>
    </w:p>
    <w:p w14:paraId="3D0DBEE4" w14:textId="77777777" w:rsidR="003E24B4" w:rsidRPr="00B55F0E" w:rsidRDefault="003E24B4" w:rsidP="006D73A6">
      <w:r w:rsidRPr="00B55F0E">
        <w:t xml:space="preserve">For Grade 3 or </w:t>
      </w:r>
      <w:proofErr w:type="gramStart"/>
      <w:r w:rsidRPr="00B55F0E">
        <w:t>4 transaminase</w:t>
      </w:r>
      <w:proofErr w:type="gramEnd"/>
      <w:r w:rsidRPr="00B55F0E">
        <w:t xml:space="preserve"> or total bilirubin elevation, OPDIVO monotherapy or OPDIVO </w:t>
      </w:r>
      <w:r>
        <w:t xml:space="preserve">in combination with </w:t>
      </w:r>
      <w:proofErr w:type="spellStart"/>
      <w:r w:rsidRPr="00B55F0E">
        <w:t>ipilimumab</w:t>
      </w:r>
      <w:proofErr w:type="spellEnd"/>
      <w:r w:rsidRPr="00B55F0E">
        <w:t xml:space="preserve">, must be permanently discontinued and corticosteroids should be initiated at a dose of 1 to 2 mg/kg/day methylprednisolone equivalents. </w:t>
      </w:r>
    </w:p>
    <w:p w14:paraId="4A119441" w14:textId="77777777" w:rsidR="003E24B4" w:rsidRPr="00B55F0E" w:rsidRDefault="003E24B4" w:rsidP="006D73A6">
      <w:r w:rsidRPr="00B55F0E">
        <w:t xml:space="preserve">For Grade 2 transaminase or total bilirubin elevation, OPDIVO monotherapy or OPDIVO </w:t>
      </w:r>
      <w:r>
        <w:t xml:space="preserve">in combination with </w:t>
      </w:r>
      <w:proofErr w:type="spellStart"/>
      <w:r w:rsidRPr="00B55F0E">
        <w:t>ipilimumab</w:t>
      </w:r>
      <w:proofErr w:type="spellEnd"/>
      <w:r w:rsidRPr="00B55F0E">
        <w:t xml:space="preserve"> should be withheld. Persistent elevations in these laboratory values should be managed with corticosteroids at a dose of 0.5 to 1 mg/kg/day methylprednisolone equivalents. Upon improvement OPDIVO monotherapy or OPDIVO </w:t>
      </w:r>
      <w:r>
        <w:t xml:space="preserve">in combination with </w:t>
      </w:r>
      <w:proofErr w:type="spellStart"/>
      <w:r w:rsidRPr="00B55F0E">
        <w:t>ipilimumab</w:t>
      </w:r>
      <w:proofErr w:type="spellEnd"/>
      <w:r w:rsidRPr="00B55F0E">
        <w:t xml:space="preserve">, may be resumed after corticosteroid taper, if needed. </w:t>
      </w:r>
    </w:p>
    <w:p w14:paraId="5A86660B" w14:textId="77777777" w:rsidR="003E24B4" w:rsidRPr="00345E35" w:rsidRDefault="003E24B4" w:rsidP="006D73A6">
      <w:r w:rsidRPr="00345E35">
        <w:t xml:space="preserve">If worsening or no improvement occurs despite initiation of corticosteroids, </w:t>
      </w:r>
      <w:r w:rsidRPr="0067671F">
        <w:t>corticosteroid dose should be increased</w:t>
      </w:r>
      <w:r w:rsidRPr="00345E35">
        <w:t xml:space="preserve"> to 1 to 2 mg/kg/day methylprednisolone equivalents and OPDIVO monotherapy or OPDIVO in combination with </w:t>
      </w:r>
      <w:proofErr w:type="spellStart"/>
      <w:r w:rsidRPr="00345E35">
        <w:t>ipilimumab</w:t>
      </w:r>
      <w:proofErr w:type="spellEnd"/>
      <w:r w:rsidRPr="00345E35">
        <w:t xml:space="preserve"> must be permanently discontinued.</w:t>
      </w:r>
    </w:p>
    <w:p w14:paraId="21EE7938" w14:textId="77777777" w:rsidR="003E24B4" w:rsidRPr="00CB4354" w:rsidRDefault="003E24B4" w:rsidP="003E47FA">
      <w:pPr>
        <w:pStyle w:val="Heading3"/>
      </w:pPr>
      <w:r w:rsidRPr="00CB4354">
        <w:t>Immune</w:t>
      </w:r>
      <w:r w:rsidRPr="00CB4354">
        <w:noBreakHyphen/>
        <w:t>related nephritis and renal dysfunction</w:t>
      </w:r>
    </w:p>
    <w:p w14:paraId="1D2D427F" w14:textId="584C47E7" w:rsidR="003E24B4" w:rsidRDefault="003E24B4" w:rsidP="006D73A6">
      <w:r w:rsidRPr="006D3CB9">
        <w:t xml:space="preserve">Severe nephritis and renal dysfunction have been observed with </w:t>
      </w:r>
      <w:r w:rsidRPr="003E24B4">
        <w:t xml:space="preserve">OPDIVO monotherapy or OPDIVO in combination with </w:t>
      </w:r>
      <w:proofErr w:type="spellStart"/>
      <w:r w:rsidRPr="003E24B4">
        <w:t>ipilimumab</w:t>
      </w:r>
      <w:proofErr w:type="spellEnd"/>
      <w:r w:rsidRPr="003E24B4">
        <w:t xml:space="preserve">. </w:t>
      </w:r>
      <w:r w:rsidRPr="006D3CB9">
        <w:t>Disease</w:t>
      </w:r>
      <w:r w:rsidRPr="006D3CB9">
        <w:noBreakHyphen/>
        <w:t>related aetiologies should be ruled out.</w:t>
      </w:r>
    </w:p>
    <w:p w14:paraId="3FBAEB26" w14:textId="06090257" w:rsidR="003E24B4" w:rsidRDefault="003E24B4" w:rsidP="006D73A6">
      <w:r w:rsidRPr="003E24B4">
        <w:t xml:space="preserve">Creatinine elevations may develop in the absence of clinical symptoms. Monitor patients for elevated serum creatinine prior to and periodically during treatment as indicated based on clinical evaluation.  </w:t>
      </w:r>
    </w:p>
    <w:p w14:paraId="119CF868" w14:textId="2C093BC6" w:rsidR="003E24B4" w:rsidRDefault="003E24B4" w:rsidP="006D73A6">
      <w:r w:rsidRPr="003E24B4">
        <w:t xml:space="preserve">For Grade 4 serum creatinine elevation, OPDIVO monotherapy or OPDIVO in combination with </w:t>
      </w:r>
      <w:proofErr w:type="spellStart"/>
      <w:r w:rsidRPr="003E24B4">
        <w:t>ipilimumab</w:t>
      </w:r>
      <w:proofErr w:type="spellEnd"/>
      <w:r w:rsidRPr="003E24B4">
        <w:t xml:space="preserve"> </w:t>
      </w:r>
      <w:r w:rsidRPr="006D3CB9">
        <w:t>must be permanently discontinued</w:t>
      </w:r>
      <w:r w:rsidRPr="003E24B4">
        <w:t xml:space="preserve"> and corticosteroids should be initiated at a dose of 1 to 2 mg/kg/day methylprednisolone equivalents. </w:t>
      </w:r>
    </w:p>
    <w:p w14:paraId="4DF26F7E" w14:textId="4AE92C2C" w:rsidR="003E24B4" w:rsidRDefault="003E24B4" w:rsidP="006D73A6">
      <w:r w:rsidRPr="003E24B4">
        <w:t xml:space="preserve">For Grade 2 or 3 serum creatinine elevation, OPDIVO monotherapy or OPDIVO in combination with </w:t>
      </w:r>
      <w:proofErr w:type="spellStart"/>
      <w:r w:rsidRPr="003E24B4">
        <w:t>ipilimumab</w:t>
      </w:r>
      <w:proofErr w:type="spellEnd"/>
      <w:r w:rsidRPr="003E24B4">
        <w:t xml:space="preserve">, should be withheld and corticosteroids should be initiated at a dose of 0.5 to 1 mg/kg/day methylprednisolone equivalents. Upon improvement, OPDIVO monotherapy or OPDIVO in combination with </w:t>
      </w:r>
      <w:proofErr w:type="spellStart"/>
      <w:proofErr w:type="gramStart"/>
      <w:r w:rsidRPr="003E24B4">
        <w:t>ipilimumab</w:t>
      </w:r>
      <w:proofErr w:type="spellEnd"/>
      <w:r w:rsidRPr="003E24B4">
        <w:t>,</w:t>
      </w:r>
      <w:proofErr w:type="gramEnd"/>
      <w:r w:rsidRPr="003E24B4">
        <w:t xml:space="preserve"> </w:t>
      </w:r>
      <w:r w:rsidRPr="006D3CB9">
        <w:t>may be resumed</w:t>
      </w:r>
      <w:r w:rsidRPr="003E24B4">
        <w:t xml:space="preserve"> after corticosteroid taper. If worsening or no improvement occurs despite initiation of corticosteroids, </w:t>
      </w:r>
      <w:r w:rsidRPr="006D3CB9">
        <w:t xml:space="preserve">corticosteroid </w:t>
      </w:r>
      <w:r w:rsidRPr="003E24B4">
        <w:t xml:space="preserve">dose should be increased to 1 to 2 mg/kg/day methylprednisolone equivalents and OPDIVO monotherapy or OPDIVO in combination with </w:t>
      </w:r>
      <w:proofErr w:type="spellStart"/>
      <w:r w:rsidRPr="003E24B4">
        <w:t>ipilimumab</w:t>
      </w:r>
      <w:proofErr w:type="spellEnd"/>
      <w:r w:rsidRPr="003E24B4">
        <w:t>, must be permanently discontinued.</w:t>
      </w:r>
    </w:p>
    <w:p w14:paraId="16B92A27" w14:textId="77777777" w:rsidR="003E24B4" w:rsidRDefault="003E24B4" w:rsidP="003E47FA">
      <w:pPr>
        <w:pStyle w:val="Heading3"/>
      </w:pPr>
      <w:r w:rsidRPr="00210F9A">
        <w:t>Immu</w:t>
      </w:r>
      <w:r>
        <w:t>n</w:t>
      </w:r>
      <w:r w:rsidRPr="00210F9A">
        <w:t>e</w:t>
      </w:r>
      <w:r w:rsidRPr="00210F9A">
        <w:noBreakHyphen/>
        <w:t>related endocrinopathies</w:t>
      </w:r>
    </w:p>
    <w:p w14:paraId="1582E69D" w14:textId="77777777" w:rsidR="003E24B4" w:rsidRDefault="003E24B4" w:rsidP="0059631E">
      <w:r w:rsidRPr="00B55F0E">
        <w:t xml:space="preserve">Severe </w:t>
      </w:r>
      <w:proofErr w:type="spellStart"/>
      <w:r w:rsidRPr="00B55F0E">
        <w:t>endocrinopathies</w:t>
      </w:r>
      <w:proofErr w:type="spellEnd"/>
      <w:r w:rsidRPr="00B55F0E">
        <w:t>, including hypothyroidism, hyperthyroidism, adrenal insufficiency</w:t>
      </w:r>
      <w:r>
        <w:t xml:space="preserve"> (including secondary adrenocortical insufficiency)</w:t>
      </w:r>
      <w:r w:rsidRPr="00B55F0E">
        <w:t xml:space="preserve">, </w:t>
      </w:r>
      <w:proofErr w:type="spellStart"/>
      <w:r w:rsidRPr="00B55F0E">
        <w:t>hypophysitis</w:t>
      </w:r>
      <w:proofErr w:type="spellEnd"/>
      <w:r>
        <w:t xml:space="preserve"> (including hypopituitarism)</w:t>
      </w:r>
      <w:r w:rsidRPr="00B55F0E">
        <w:t xml:space="preserve">, diabetes mellitus, and diabetes ketoacidosis have been observed with </w:t>
      </w:r>
      <w:r>
        <w:t xml:space="preserve">OPDIVO monotherapy or OPDIVO in combination with </w:t>
      </w:r>
      <w:proofErr w:type="spellStart"/>
      <w:r>
        <w:t>ipilimumab</w:t>
      </w:r>
      <w:proofErr w:type="spellEnd"/>
      <w:r w:rsidRPr="00B55F0E">
        <w:t xml:space="preserve">. </w:t>
      </w:r>
    </w:p>
    <w:p w14:paraId="79DBD6DD" w14:textId="77777777" w:rsidR="003E24B4" w:rsidRDefault="003E24B4" w:rsidP="0059631E">
      <w:r w:rsidRPr="00DB2E69">
        <w:lastRenderedPageBreak/>
        <w:t xml:space="preserve">Patients should be monitored for clinical signs and symptoms of </w:t>
      </w:r>
      <w:proofErr w:type="spellStart"/>
      <w:r w:rsidRPr="00DB2E69">
        <w:t>endocrinopathies</w:t>
      </w:r>
      <w:proofErr w:type="spellEnd"/>
      <w:r w:rsidRPr="00DB2E69">
        <w:t xml:space="preserve"> and for changes in thyroid function (at the start of treatment, periodically during treatment, and as indicated based on clinical evaluation). </w:t>
      </w:r>
    </w:p>
    <w:p w14:paraId="741C2520" w14:textId="77777777" w:rsidR="003E24B4" w:rsidRPr="00DB2E69" w:rsidRDefault="003E24B4" w:rsidP="0059631E">
      <w:r w:rsidRPr="00DB2E69">
        <w:t xml:space="preserve">Patients may present with fatigue, headache, mental status changes, abdominal pain, unusual bowel habits, and hypotension, or nonspecific symptoms which may resemble other causes such as brain metastasis or underlying disease. </w:t>
      </w:r>
    </w:p>
    <w:p w14:paraId="1F6C2E12" w14:textId="77777777" w:rsidR="003E24B4" w:rsidRPr="00DB2E69" w:rsidRDefault="003E24B4" w:rsidP="0059631E">
      <w:r w:rsidRPr="00DB2E69">
        <w:t xml:space="preserve">Unless an alternate aetiology has been identified, signs or symptoms of </w:t>
      </w:r>
      <w:proofErr w:type="spellStart"/>
      <w:r w:rsidRPr="00DB2E69">
        <w:t>endocrinopathies</w:t>
      </w:r>
      <w:proofErr w:type="spellEnd"/>
      <w:r w:rsidRPr="00DB2E69">
        <w:t xml:space="preserve"> should be considered immune-related.</w:t>
      </w:r>
    </w:p>
    <w:p w14:paraId="194A221B" w14:textId="77777777" w:rsidR="003E24B4" w:rsidRPr="00B55F0E" w:rsidRDefault="003E24B4" w:rsidP="0059631E">
      <w:r w:rsidRPr="00B55F0E">
        <w:t>For symptomatic hypothyroidism</w:t>
      </w:r>
      <w:r>
        <w:t>,</w:t>
      </w:r>
      <w:r w:rsidRPr="00B55F0E">
        <w:t xml:space="preserve"> OPDIVO monotherapy or OPDIVO</w:t>
      </w:r>
      <w:r>
        <w:t xml:space="preserve"> in combination with </w:t>
      </w:r>
      <w:proofErr w:type="spellStart"/>
      <w:proofErr w:type="gramStart"/>
      <w:r>
        <w:t>ipilimumab</w:t>
      </w:r>
      <w:proofErr w:type="spellEnd"/>
      <w:r w:rsidRPr="00B55F0E">
        <w:t>,</w:t>
      </w:r>
      <w:proofErr w:type="gramEnd"/>
      <w:r w:rsidRPr="00B55F0E">
        <w:t xml:space="preserve"> should be withheld, and thyroid hormone replacement should be initiated as needed. For symptomatic hyperthyroidism, OPDIVO monotherapy or OPDIVO</w:t>
      </w:r>
      <w:r>
        <w:t xml:space="preserve"> in combination with</w:t>
      </w:r>
      <w:r w:rsidRPr="00B55F0E">
        <w:t xml:space="preserve"> </w:t>
      </w:r>
      <w:proofErr w:type="spellStart"/>
      <w:proofErr w:type="gramStart"/>
      <w:r w:rsidRPr="00B55F0E">
        <w:t>ipilimumab</w:t>
      </w:r>
      <w:proofErr w:type="spellEnd"/>
      <w:r w:rsidRPr="00B55F0E">
        <w:t>,</w:t>
      </w:r>
      <w:proofErr w:type="gramEnd"/>
      <w:r w:rsidRPr="00B55F0E">
        <w:t xml:space="preserve"> should </w:t>
      </w:r>
      <w:r w:rsidRPr="00705267">
        <w:t xml:space="preserve">be withheld and an </w:t>
      </w:r>
      <w:proofErr w:type="spellStart"/>
      <w:r w:rsidRPr="00705267">
        <w:t>antithyroid</w:t>
      </w:r>
      <w:proofErr w:type="spellEnd"/>
      <w:r w:rsidRPr="00705267">
        <w:t xml:space="preserve"> medicine </w:t>
      </w:r>
      <w:r w:rsidRPr="00705267">
        <w:rPr>
          <w:color w:val="000000" w:themeColor="text1"/>
        </w:rPr>
        <w:t>should be initiated as needed</w:t>
      </w:r>
      <w:r w:rsidRPr="00705267">
        <w:t>.</w:t>
      </w:r>
      <w:r w:rsidRPr="00B55F0E">
        <w:t xml:space="preserve"> Corticosteroids at a dose of 1 to 2 mg/kg/day methylprednisolone equivalents should also be considered if acute inflammation of the thyroid is suspected. Upon improvement</w:t>
      </w:r>
      <w:r>
        <w:t>,</w:t>
      </w:r>
      <w:r w:rsidRPr="00B55F0E">
        <w:t xml:space="preserve"> OPDIVO monotherapy or OPDIVO </w:t>
      </w:r>
      <w:r>
        <w:t xml:space="preserve">in combination with </w:t>
      </w:r>
      <w:proofErr w:type="spellStart"/>
      <w:proofErr w:type="gramStart"/>
      <w:r>
        <w:t>ipilimumab</w:t>
      </w:r>
      <w:proofErr w:type="spellEnd"/>
      <w:r w:rsidRPr="00B55F0E">
        <w:t>,</w:t>
      </w:r>
      <w:proofErr w:type="gramEnd"/>
      <w:r w:rsidRPr="00B55F0E">
        <w:t xml:space="preserve"> may be resumed after corticosteroid taper, if needed. Monitoring of thyroid function should continue to ensure appropriate hormone replacement is utili</w:t>
      </w:r>
      <w:r>
        <w:t>s</w:t>
      </w:r>
      <w:r w:rsidRPr="00B55F0E">
        <w:t>ed.</w:t>
      </w:r>
      <w:r>
        <w:t xml:space="preserve"> </w:t>
      </w:r>
      <w:r w:rsidRPr="00586C9C">
        <w:t xml:space="preserve">OPDIVO monotherapy or OPDIVO in combination with </w:t>
      </w:r>
      <w:proofErr w:type="spellStart"/>
      <w:r w:rsidRPr="00586C9C">
        <w:t>ipilimumab</w:t>
      </w:r>
      <w:proofErr w:type="spellEnd"/>
      <w:r w:rsidRPr="00586C9C">
        <w:t xml:space="preserve"> should be permanently discontinued for life-threatening </w:t>
      </w:r>
      <w:r>
        <w:t xml:space="preserve">(Grade 4) </w:t>
      </w:r>
      <w:r w:rsidRPr="00586C9C">
        <w:t>hypothyroidism or hyperthyroidism.</w:t>
      </w:r>
      <w:r>
        <w:t xml:space="preserve"> </w:t>
      </w:r>
    </w:p>
    <w:p w14:paraId="60855AD0" w14:textId="77777777" w:rsidR="003E24B4" w:rsidRPr="00B55F0E" w:rsidRDefault="003E24B4" w:rsidP="0059631E">
      <w:r w:rsidRPr="00B55F0E">
        <w:t xml:space="preserve">For symptomatic </w:t>
      </w:r>
      <w:r>
        <w:t xml:space="preserve">Grade 2 adrenal insufficiency, </w:t>
      </w:r>
      <w:r w:rsidRPr="00B55F0E">
        <w:t>OPDIVO monotherapy or OPDIVO</w:t>
      </w:r>
      <w:r>
        <w:t xml:space="preserve"> in combination with </w:t>
      </w:r>
      <w:proofErr w:type="spellStart"/>
      <w:proofErr w:type="gramStart"/>
      <w:r>
        <w:t>ipilimumab</w:t>
      </w:r>
      <w:proofErr w:type="spellEnd"/>
      <w:r w:rsidRPr="00B55F0E">
        <w:t>,</w:t>
      </w:r>
      <w:proofErr w:type="gramEnd"/>
      <w:r w:rsidRPr="00B55F0E">
        <w:t xml:space="preserve"> should be withheld, and physiologic corticosteroid replacement should be initiated as needed. </w:t>
      </w:r>
      <w:r>
        <w:t xml:space="preserve">OPDIVO monotherapy or OPDIVO in combination with </w:t>
      </w:r>
      <w:proofErr w:type="spellStart"/>
      <w:r>
        <w:t>ipilimumab</w:t>
      </w:r>
      <w:proofErr w:type="spellEnd"/>
      <w:r>
        <w:t xml:space="preserve"> must be permanently discontinued for </w:t>
      </w:r>
      <w:r w:rsidRPr="00586C9C">
        <w:t>severe (Grade 3) or</w:t>
      </w:r>
      <w:r>
        <w:t xml:space="preserve"> life-threatening (Grade 4) adrenal insufficiency. </w:t>
      </w:r>
      <w:r w:rsidRPr="00B55F0E">
        <w:t>Monitoring of adrenal function and hormone levels should continue to ensure appropriate corticosteroid replacement is utili</w:t>
      </w:r>
      <w:r>
        <w:t>s</w:t>
      </w:r>
      <w:r w:rsidRPr="00B55F0E">
        <w:t>ed.</w:t>
      </w:r>
    </w:p>
    <w:p w14:paraId="64F7FC59" w14:textId="77777777" w:rsidR="003E24B4" w:rsidRPr="00987956" w:rsidRDefault="003E24B4" w:rsidP="0059631E">
      <w:r w:rsidRPr="00B55F0E">
        <w:t xml:space="preserve">For symptomatic </w:t>
      </w:r>
      <w:r>
        <w:t xml:space="preserve">Grade 2 or 3 </w:t>
      </w:r>
      <w:proofErr w:type="spellStart"/>
      <w:r w:rsidRPr="00B55F0E">
        <w:t>hypophysitis</w:t>
      </w:r>
      <w:proofErr w:type="spellEnd"/>
      <w:r w:rsidRPr="00B55F0E">
        <w:t xml:space="preserve">, </w:t>
      </w:r>
      <w:r>
        <w:t xml:space="preserve">OPDIVO monotherapy or OPDIVO in combination with </w:t>
      </w:r>
      <w:proofErr w:type="spellStart"/>
      <w:r>
        <w:t>ipilimumab</w:t>
      </w:r>
      <w:proofErr w:type="spellEnd"/>
      <w:r w:rsidRPr="00B55F0E">
        <w:t xml:space="preserve"> should be withheld, and hormone replacement should be initiated as needed. Corticosteroids at a dose of 1 to 2 mg/kg/day methylprednisolone equivalents should also be considered if acute inflammation of the pituitary gland is suspected. Upon improvement, OPDIVO monotherapy or OPDIVO</w:t>
      </w:r>
      <w:r>
        <w:t xml:space="preserve"> in combination with </w:t>
      </w:r>
      <w:proofErr w:type="spellStart"/>
      <w:r>
        <w:t>ipilimumab</w:t>
      </w:r>
      <w:proofErr w:type="spellEnd"/>
      <w:r w:rsidRPr="00B55F0E">
        <w:t xml:space="preserve"> may be resumed after corticosteroid taper, if needed. </w:t>
      </w:r>
      <w:r>
        <w:t xml:space="preserve">OPDIVO monotherapy or OPDIVO in combination with </w:t>
      </w:r>
      <w:proofErr w:type="spellStart"/>
      <w:r>
        <w:t>ipilimumab</w:t>
      </w:r>
      <w:proofErr w:type="spellEnd"/>
      <w:r>
        <w:t xml:space="preserve"> must be permanently discontinued for life-threatening (Grade 4) </w:t>
      </w:r>
      <w:proofErr w:type="spellStart"/>
      <w:r>
        <w:t>hypophysitis</w:t>
      </w:r>
      <w:proofErr w:type="spellEnd"/>
      <w:r>
        <w:t xml:space="preserve">. </w:t>
      </w:r>
      <w:r w:rsidRPr="00B55F0E">
        <w:t>Monitoring of pituitary function and hormone levels should continue to ensure appropriate hormone replacement is utili</w:t>
      </w:r>
      <w:r>
        <w:t>s</w:t>
      </w:r>
      <w:r w:rsidRPr="00B55F0E">
        <w:t>ed.</w:t>
      </w:r>
    </w:p>
    <w:p w14:paraId="761BCC0C" w14:textId="39D90EEB" w:rsidR="003E24B4" w:rsidRDefault="003E24B4" w:rsidP="0059631E">
      <w:r w:rsidRPr="006D4B4C">
        <w:t xml:space="preserve">For symptomatic diabetes, </w:t>
      </w:r>
      <w:r>
        <w:t xml:space="preserve">OPDIVO monotherapy or OPDIVO in combination with </w:t>
      </w:r>
      <w:proofErr w:type="spellStart"/>
      <w:r>
        <w:t>ipilimumab</w:t>
      </w:r>
      <w:proofErr w:type="spellEnd"/>
      <w:r w:rsidRPr="006D4B4C">
        <w:t xml:space="preserve"> should be withheld, and insulin replacement should be initiated as needed. Monitoring of blood sugar should continue to ensure appropriate insulin replacement is utili</w:t>
      </w:r>
      <w:r>
        <w:t>s</w:t>
      </w:r>
      <w:r w:rsidRPr="006D4B4C">
        <w:t>ed.</w:t>
      </w:r>
      <w:r>
        <w:t xml:space="preserve"> </w:t>
      </w:r>
      <w:r w:rsidRPr="00586C9C">
        <w:t xml:space="preserve">OPDIVO monotherapy or OPDIVO in combination with </w:t>
      </w:r>
      <w:proofErr w:type="spellStart"/>
      <w:r w:rsidRPr="00586C9C">
        <w:t>ipilimumab</w:t>
      </w:r>
      <w:proofErr w:type="spellEnd"/>
      <w:r w:rsidRPr="00586C9C">
        <w:t xml:space="preserve"> should be permanently discontinued for life-threatening </w:t>
      </w:r>
      <w:r>
        <w:t xml:space="preserve">(Grade 4) </w:t>
      </w:r>
      <w:r w:rsidRPr="00586C9C">
        <w:t>diabetes.</w:t>
      </w:r>
    </w:p>
    <w:p w14:paraId="5E6E8875" w14:textId="77777777" w:rsidR="006D3CB9" w:rsidRDefault="006D3CB9" w:rsidP="003E47FA">
      <w:pPr>
        <w:pStyle w:val="Heading3"/>
      </w:pPr>
      <w:r w:rsidRPr="00210F9A">
        <w:t xml:space="preserve">Immune-related </w:t>
      </w:r>
      <w:r>
        <w:t>skin adverse reactions</w:t>
      </w:r>
    </w:p>
    <w:p w14:paraId="2ED7C408" w14:textId="77777777" w:rsidR="006D3CB9" w:rsidRDefault="006D3CB9" w:rsidP="0059631E">
      <w:r w:rsidRPr="00DB2E69">
        <w:t xml:space="preserve">Patients should be monitored for rash. Severe rash has been observed with OPDIVO in combination with </w:t>
      </w:r>
      <w:proofErr w:type="spellStart"/>
      <w:r w:rsidRPr="00DB2E69">
        <w:t>ipilimumab</w:t>
      </w:r>
      <w:proofErr w:type="spellEnd"/>
      <w:r w:rsidRPr="00DB2E69">
        <w:t xml:space="preserve"> and less commonly with OPDIVO monotherapy.</w:t>
      </w:r>
      <w:r>
        <w:t xml:space="preserve"> </w:t>
      </w:r>
      <w:r w:rsidRPr="006D4B4C">
        <w:t xml:space="preserve">OPDIVO monotherapy or OPDIVO </w:t>
      </w:r>
      <w:r>
        <w:t>in combination with</w:t>
      </w:r>
      <w:r w:rsidRPr="006D4B4C">
        <w:t xml:space="preserve"> </w:t>
      </w:r>
      <w:proofErr w:type="spellStart"/>
      <w:r w:rsidRPr="006D4B4C">
        <w:t>ipilimumab</w:t>
      </w:r>
      <w:proofErr w:type="spellEnd"/>
      <w:r w:rsidRPr="006D4B4C">
        <w:t xml:space="preserve"> should be withheld for Grade 3 rash and permanently discontinued for Grade 4 rash.</w:t>
      </w:r>
      <w:r>
        <w:t xml:space="preserve"> Severe rash should be managed with high-dose c</w:t>
      </w:r>
      <w:r w:rsidRPr="006D4B4C">
        <w:t xml:space="preserve">orticosteroids at a dose of 1 to 2 mg/kg/day </w:t>
      </w:r>
      <w:r w:rsidRPr="00B55F0E">
        <w:t>methylprednisolone</w:t>
      </w:r>
      <w:r w:rsidRPr="006D4B4C" w:rsidDel="00F923FD">
        <w:t xml:space="preserve"> </w:t>
      </w:r>
      <w:r w:rsidRPr="006D4B4C">
        <w:t>equivalents</w:t>
      </w:r>
      <w:r>
        <w:t>.</w:t>
      </w:r>
    </w:p>
    <w:p w14:paraId="5031FEB6" w14:textId="77777777" w:rsidR="006D3CB9" w:rsidRPr="00C55043" w:rsidRDefault="006D3CB9" w:rsidP="0059631E">
      <w:r w:rsidRPr="00C55043">
        <w:t xml:space="preserve">Rare cases of Stevens-Johnson syndrome (SJS) and toxic epidermal necrolysis (TEN), some with fatal outcome, have been observed. If symptoms or signs of SJS or TEN appear, </w:t>
      </w:r>
      <w:proofErr w:type="spellStart"/>
      <w:r w:rsidRPr="00C55043">
        <w:t>nivolumab</w:t>
      </w:r>
      <w:proofErr w:type="spellEnd"/>
      <w:r w:rsidRPr="00C55043">
        <w:t xml:space="preserve"> or </w:t>
      </w:r>
      <w:proofErr w:type="spellStart"/>
      <w:r w:rsidRPr="00C55043">
        <w:t>nivolumab</w:t>
      </w:r>
      <w:proofErr w:type="spellEnd"/>
      <w:r w:rsidRPr="00C55043">
        <w:t xml:space="preserve"> in combination with </w:t>
      </w:r>
      <w:proofErr w:type="spellStart"/>
      <w:r w:rsidRPr="00C55043">
        <w:t>ipilimumab</w:t>
      </w:r>
      <w:proofErr w:type="spellEnd"/>
      <w:r w:rsidRPr="00C55043">
        <w:t xml:space="preserve"> should be withheld and the patient referred for specialist assessment and treatment. If the patient has confirmed SJS or TEN, permanent discontinuation of </w:t>
      </w:r>
      <w:proofErr w:type="spellStart"/>
      <w:r w:rsidRPr="00C55043">
        <w:t>nivolumab</w:t>
      </w:r>
      <w:proofErr w:type="spellEnd"/>
      <w:r w:rsidRPr="00C55043">
        <w:t xml:space="preserve"> or </w:t>
      </w:r>
      <w:proofErr w:type="spellStart"/>
      <w:r w:rsidRPr="00C55043">
        <w:t>nivolumab</w:t>
      </w:r>
      <w:proofErr w:type="spellEnd"/>
      <w:r w:rsidRPr="00C55043">
        <w:t xml:space="preserve"> in combination with </w:t>
      </w:r>
      <w:proofErr w:type="spellStart"/>
      <w:r w:rsidRPr="00C55043">
        <w:t>ipilimumab</w:t>
      </w:r>
      <w:proofErr w:type="spellEnd"/>
      <w:r w:rsidRPr="00C55043">
        <w:t xml:space="preserve"> is recommended.</w:t>
      </w:r>
    </w:p>
    <w:p w14:paraId="4E9E1FC1" w14:textId="77777777" w:rsidR="006D3CB9" w:rsidRDefault="006D3CB9" w:rsidP="0059631E">
      <w:pPr>
        <w:rPr>
          <w:noProof/>
        </w:rPr>
      </w:pPr>
      <w:r w:rsidRPr="00416AE2">
        <w:rPr>
          <w:noProof/>
        </w:rPr>
        <w:lastRenderedPageBreak/>
        <w:t>Caution should be used when considering the use of nivolumab in a patient who has previously experienced a severe or life-threatening skin adverse reaction on prior treatment with other immunostimulatory anticancer agents.</w:t>
      </w:r>
    </w:p>
    <w:p w14:paraId="6D0FCFB6" w14:textId="77777777" w:rsidR="006D3CB9" w:rsidRDefault="006D3CB9" w:rsidP="003E47FA">
      <w:pPr>
        <w:pStyle w:val="Heading3"/>
      </w:pPr>
      <w:r w:rsidRPr="00CB4354">
        <w:t>Immune</w:t>
      </w:r>
      <w:r w:rsidRPr="00CB4354">
        <w:noBreakHyphen/>
        <w:t xml:space="preserve">related </w:t>
      </w:r>
      <w:r>
        <w:t>neurological adverse reactions</w:t>
      </w:r>
    </w:p>
    <w:p w14:paraId="2FDFA19C" w14:textId="77777777" w:rsidR="006D3CB9" w:rsidRPr="00D259B9" w:rsidRDefault="006D3CB9" w:rsidP="0059631E">
      <w:r w:rsidRPr="006D3CB9">
        <w:t xml:space="preserve">The following adverse events have been observed across clinical trials of </w:t>
      </w:r>
      <w:proofErr w:type="spellStart"/>
      <w:r w:rsidRPr="006D3CB9">
        <w:t>nivolumab</w:t>
      </w:r>
      <w:proofErr w:type="spellEnd"/>
      <w:r w:rsidRPr="006D3CB9">
        <w:t xml:space="preserve"> or </w:t>
      </w:r>
      <w:proofErr w:type="spellStart"/>
      <w:r w:rsidRPr="006D3CB9">
        <w:t>nivolumab</w:t>
      </w:r>
      <w:proofErr w:type="spellEnd"/>
      <w:r w:rsidRPr="006D3CB9">
        <w:t xml:space="preserve"> in combination with </w:t>
      </w:r>
      <w:proofErr w:type="spellStart"/>
      <w:r w:rsidRPr="006D3CB9">
        <w:t>ipilimumab</w:t>
      </w:r>
      <w:proofErr w:type="spellEnd"/>
      <w:r w:rsidRPr="006D3CB9">
        <w:t xml:space="preserve">: </w:t>
      </w:r>
      <w:r w:rsidRPr="00D259B9">
        <w:t xml:space="preserve">demyelination, autoimmune neuropathy (including facial and </w:t>
      </w:r>
      <w:proofErr w:type="spellStart"/>
      <w:r w:rsidRPr="00D259B9">
        <w:t>abducens</w:t>
      </w:r>
      <w:proofErr w:type="spellEnd"/>
      <w:r w:rsidRPr="00D259B9">
        <w:t xml:space="preserve"> nerve paresis), </w:t>
      </w:r>
      <w:proofErr w:type="spellStart"/>
      <w:r w:rsidRPr="00D259B9">
        <w:t>Guillain</w:t>
      </w:r>
      <w:r w:rsidRPr="00D259B9">
        <w:noBreakHyphen/>
        <w:t>Barré</w:t>
      </w:r>
      <w:proofErr w:type="spellEnd"/>
      <w:r w:rsidRPr="00D259B9">
        <w:t xml:space="preserve"> syndrome, </w:t>
      </w:r>
      <w:proofErr w:type="spellStart"/>
      <w:r w:rsidRPr="00D259B9">
        <w:t>myasthenic</w:t>
      </w:r>
      <w:proofErr w:type="spellEnd"/>
      <w:r w:rsidRPr="00D259B9">
        <w:t xml:space="preserve"> syndrome</w:t>
      </w:r>
      <w:r>
        <w:t>/myasthenia gravis</w:t>
      </w:r>
      <w:r w:rsidRPr="00D259B9">
        <w:t>,</w:t>
      </w:r>
      <w:r>
        <w:t xml:space="preserve"> and</w:t>
      </w:r>
      <w:r w:rsidRPr="00D259B9">
        <w:t xml:space="preserve"> encephalitis.</w:t>
      </w:r>
    </w:p>
    <w:p w14:paraId="239AB954" w14:textId="77777777" w:rsidR="006D3CB9" w:rsidRPr="006D3CB9" w:rsidRDefault="006D3CB9" w:rsidP="0059631E">
      <w:r w:rsidRPr="006D3CB9">
        <w:t>Withhold OPDIVO in patients with new-onset moderate to severe neurologic signs or symptoms and evaluate to rule out infectious or other causes of moderate to serve neurologic deterioration. Evaluation may include, but not be limited to, consultation with a neurologist, brain MRI, and lumbar puncture.</w:t>
      </w:r>
    </w:p>
    <w:p w14:paraId="6EA6D5A3" w14:textId="3EC5146C" w:rsidR="006D3CB9" w:rsidRDefault="006D3CB9" w:rsidP="0059631E">
      <w:r w:rsidRPr="006D3CB9">
        <w:t xml:space="preserve">While other aetiologies are being ruled out, administer corticosteroids at a dose of 1 to 2 mg/kg/day methylprednisolone equivalents for patients with immune-related neurological adverse reactions, followed by corticosteroid taper. </w:t>
      </w:r>
    </w:p>
    <w:p w14:paraId="3BEF9294" w14:textId="77777777" w:rsidR="006D3CB9" w:rsidRPr="00D259B9" w:rsidRDefault="006D3CB9" w:rsidP="0059631E">
      <w:pPr>
        <w:rPr>
          <w:rFonts w:eastAsia="TimesNewRoman"/>
        </w:rPr>
      </w:pPr>
      <w:r w:rsidRPr="00D259B9">
        <w:rPr>
          <w:rFonts w:eastAsia="TimesNewRoman"/>
        </w:rPr>
        <w:t>Permanently discontinue OPDIVO for immune-related encephalitis</w:t>
      </w:r>
      <w:r>
        <w:rPr>
          <w:rFonts w:eastAsia="TimesNewRoman"/>
        </w:rPr>
        <w:t xml:space="preserve"> and </w:t>
      </w:r>
      <w:proofErr w:type="spellStart"/>
      <w:r>
        <w:rPr>
          <w:rFonts w:eastAsia="TimesNewRoman"/>
        </w:rPr>
        <w:t>myasthenic</w:t>
      </w:r>
      <w:proofErr w:type="spellEnd"/>
      <w:r>
        <w:rPr>
          <w:rFonts w:eastAsia="TimesNewRoman"/>
        </w:rPr>
        <w:t xml:space="preserve"> syndrome/myasthenia gravis</w:t>
      </w:r>
      <w:r w:rsidRPr="00D259B9">
        <w:rPr>
          <w:rFonts w:eastAsia="TimesNewRoman"/>
        </w:rPr>
        <w:t>.</w:t>
      </w:r>
    </w:p>
    <w:p w14:paraId="232881AB" w14:textId="77777777" w:rsidR="006D3CB9" w:rsidRPr="000B23C3" w:rsidRDefault="006D3CB9" w:rsidP="003E47FA">
      <w:pPr>
        <w:pStyle w:val="Heading3"/>
      </w:pPr>
      <w:r>
        <w:t xml:space="preserve">Complications of allogeneic </w:t>
      </w:r>
      <w:r w:rsidRPr="000B23C3">
        <w:t>Haematopoietic Stem Cell Transplant (HSCT) in classical Hodgkin Lymphoma</w:t>
      </w:r>
    </w:p>
    <w:p w14:paraId="58C221DB" w14:textId="117E9503" w:rsidR="00C207B3" w:rsidRDefault="00FA3DC0" w:rsidP="00C207B3">
      <w:r w:rsidRPr="002027B0">
        <w:t>PD-1</w:t>
      </w:r>
      <w:r>
        <w:t>/PD-L1</w:t>
      </w:r>
      <w:r w:rsidRPr="002027B0">
        <w:t xml:space="preserve"> inhibitors including </w:t>
      </w:r>
      <w:proofErr w:type="spellStart"/>
      <w:r w:rsidRPr="002027B0">
        <w:t>nivolumab</w:t>
      </w:r>
      <w:proofErr w:type="spellEnd"/>
      <w:r w:rsidRPr="002027B0">
        <w:t xml:space="preserve">, administered before allogeneic </w:t>
      </w:r>
      <w:r>
        <w:t>hematopoietic stem cell transplant (</w:t>
      </w:r>
      <w:r w:rsidRPr="002027B0">
        <w:t>HSCT</w:t>
      </w:r>
      <w:r>
        <w:t>)</w:t>
      </w:r>
      <w:r w:rsidRPr="002027B0">
        <w:t>, may be associated with an increased risk of transplant-related complications, including GVHD. Fatal cases have been reported in clinical studies.</w:t>
      </w:r>
      <w:r>
        <w:t xml:space="preserve"> </w:t>
      </w:r>
    </w:p>
    <w:p w14:paraId="058F06A9" w14:textId="135D9AC1" w:rsidR="00C207B3" w:rsidRDefault="006D3CB9" w:rsidP="00C207B3">
      <w:r w:rsidRPr="000B23C3">
        <w:t xml:space="preserve">Until further data become available, careful consideration to the potential benefits of HSCT and the possible increased risk of transplant related complications should be made case by case (see </w:t>
      </w:r>
      <w:r w:rsidR="00E03130">
        <w:t xml:space="preserve">Section 4.8 </w:t>
      </w:r>
      <w:r w:rsidR="00493B85">
        <w:t>Adverse effects</w:t>
      </w:r>
      <w:r w:rsidR="00310419">
        <w:t xml:space="preserve"> -</w:t>
      </w:r>
      <w:r w:rsidR="00493B85">
        <w:t xml:space="preserve"> </w:t>
      </w:r>
      <w:r w:rsidR="00E03130">
        <w:t>Selected immune-related adverse reactions</w:t>
      </w:r>
      <w:r w:rsidRPr="000B23C3">
        <w:t>).</w:t>
      </w:r>
      <w:r w:rsidR="009D0000">
        <w:t xml:space="preserve"> </w:t>
      </w:r>
      <w:r w:rsidR="00C207B3" w:rsidRPr="002027B0">
        <w:t>Patients should be monitored closely for early evidence of transplant-related complications</w:t>
      </w:r>
      <w:r w:rsidR="00C207B3">
        <w:t>.</w:t>
      </w:r>
    </w:p>
    <w:p w14:paraId="2B82E863" w14:textId="77777777" w:rsidR="006D3CB9" w:rsidRPr="00214BF9" w:rsidRDefault="006D3CB9" w:rsidP="00214BF9">
      <w:pPr>
        <w:pStyle w:val="Heading3"/>
      </w:pPr>
      <w:r w:rsidRPr="00214BF9">
        <w:t>Other immune</w:t>
      </w:r>
      <w:r w:rsidRPr="00214BF9">
        <w:noBreakHyphen/>
        <w:t>related adverse reactions</w:t>
      </w:r>
    </w:p>
    <w:p w14:paraId="77A0675E" w14:textId="1FEA5691" w:rsidR="006D3CB9" w:rsidRPr="006D3CB9" w:rsidRDefault="006D3CB9" w:rsidP="0059631E">
      <w:r w:rsidRPr="006D3CB9">
        <w:t xml:space="preserve">Other clinically significant immune-related adverse reactions, including some with fatal outcome, have been observed across clinical trials of OPDIVO or OPDIVO in combination with </w:t>
      </w:r>
      <w:proofErr w:type="spellStart"/>
      <w:r w:rsidRPr="006D3CB9">
        <w:t>ipilimumab</w:t>
      </w:r>
      <w:proofErr w:type="spellEnd"/>
      <w:r w:rsidRPr="006D3CB9">
        <w:t xml:space="preserve"> investigating various doses across tumour types (see </w:t>
      </w:r>
      <w:r w:rsidR="00E03130">
        <w:t>Section 4.8</w:t>
      </w:r>
      <w:r w:rsidR="00493B85">
        <w:t xml:space="preserve"> Adverse effects</w:t>
      </w:r>
      <w:r w:rsidR="00E03130">
        <w:t>)</w:t>
      </w:r>
      <w:r w:rsidRPr="006D3CB9">
        <w:t xml:space="preserve">. </w:t>
      </w:r>
    </w:p>
    <w:p w14:paraId="5FAA701E" w14:textId="349B87CC" w:rsidR="006D3CB9" w:rsidRDefault="006D3CB9" w:rsidP="0059631E">
      <w:r w:rsidRPr="006D3CB9">
        <w:t xml:space="preserve">For suspected immune-related adverse reactions, adequate evaluation should be performed to confirm aetiology or exclude other causes. Based on the severity of the adverse reaction, OPDIVO monotherapy or OPDIVO in combination with </w:t>
      </w:r>
      <w:proofErr w:type="spellStart"/>
      <w:proofErr w:type="gramStart"/>
      <w:r w:rsidRPr="006D3CB9">
        <w:t>ipilimumab</w:t>
      </w:r>
      <w:proofErr w:type="spellEnd"/>
      <w:r w:rsidRPr="006D3CB9">
        <w:t>,</w:t>
      </w:r>
      <w:proofErr w:type="gramEnd"/>
      <w:r w:rsidRPr="006D3CB9">
        <w:t xml:space="preserve"> should be withheld and corticosteroids administered. Upon improvement, OPDIVO monotherapy or OPDIVO in combination with </w:t>
      </w:r>
      <w:proofErr w:type="spellStart"/>
      <w:proofErr w:type="gramStart"/>
      <w:r w:rsidRPr="006D3CB9">
        <w:t>ipilimumab</w:t>
      </w:r>
      <w:proofErr w:type="spellEnd"/>
      <w:r w:rsidRPr="006D3CB9">
        <w:t>,</w:t>
      </w:r>
      <w:proofErr w:type="gramEnd"/>
      <w:r w:rsidRPr="006D3CB9">
        <w:t xml:space="preserve"> may</w:t>
      </w:r>
      <w:r w:rsidR="00323A96">
        <w:t xml:space="preserve"> </w:t>
      </w:r>
      <w:r w:rsidRPr="006D3CB9">
        <w:t xml:space="preserve">be resumed after corticosteroid taper. OPDIVO monotherapy or OPDIVO in combination with </w:t>
      </w:r>
      <w:proofErr w:type="spellStart"/>
      <w:proofErr w:type="gramStart"/>
      <w:r w:rsidRPr="006D3CB9">
        <w:t>ipilimumab</w:t>
      </w:r>
      <w:proofErr w:type="spellEnd"/>
      <w:r w:rsidRPr="006D3CB9">
        <w:t>,</w:t>
      </w:r>
      <w:proofErr w:type="gramEnd"/>
      <w:r w:rsidRPr="006D3CB9">
        <w:t xml:space="preserve"> must be permanently discontinued for any severe immune-related adverse reaction that recurs and for any life-threatening immune-related adverse reaction.</w:t>
      </w:r>
    </w:p>
    <w:p w14:paraId="289C0930" w14:textId="66EFFEF8" w:rsidR="006D3CB9" w:rsidRPr="006D3CB9" w:rsidRDefault="006D3CB9" w:rsidP="0059631E">
      <w:r w:rsidRPr="006D3CB9">
        <w:t xml:space="preserve">Rare cases of myotoxicity (myositis, myocarditis, and rhabdomyolysis) have been reported with </w:t>
      </w:r>
      <w:proofErr w:type="spellStart"/>
      <w:r w:rsidRPr="006D3CB9">
        <w:t>nivolumab</w:t>
      </w:r>
      <w:proofErr w:type="spellEnd"/>
      <w:r w:rsidRPr="006D3CB9">
        <w:t xml:space="preserve"> or </w:t>
      </w:r>
      <w:proofErr w:type="spellStart"/>
      <w:r w:rsidRPr="006D3CB9">
        <w:t>nivolumab</w:t>
      </w:r>
      <w:proofErr w:type="spellEnd"/>
      <w:r w:rsidRPr="006D3CB9">
        <w:t xml:space="preserve"> in combination with </w:t>
      </w:r>
      <w:proofErr w:type="spellStart"/>
      <w:r w:rsidRPr="006D3CB9">
        <w:t>ipilimumab</w:t>
      </w:r>
      <w:proofErr w:type="spellEnd"/>
      <w:r w:rsidRPr="006D3CB9">
        <w:t xml:space="preserve">. If a patient develops signs and symptoms of myotoxicity, close monitoring should be implemented, and the patient referred to a specialist for assessment and treatment without delay. Based on the severity of myotoxicity, </w:t>
      </w:r>
      <w:proofErr w:type="spellStart"/>
      <w:r w:rsidRPr="006D3CB9">
        <w:t>nivolumab</w:t>
      </w:r>
      <w:proofErr w:type="spellEnd"/>
      <w:r w:rsidRPr="006D3CB9">
        <w:t xml:space="preserve"> or </w:t>
      </w:r>
      <w:proofErr w:type="spellStart"/>
      <w:r w:rsidRPr="006D3CB9">
        <w:t>nivolumab</w:t>
      </w:r>
      <w:proofErr w:type="spellEnd"/>
      <w:r w:rsidRPr="006D3CB9">
        <w:t xml:space="preserve"> in combination with </w:t>
      </w:r>
      <w:proofErr w:type="spellStart"/>
      <w:r w:rsidRPr="006D3CB9">
        <w:t>ipilimumab</w:t>
      </w:r>
      <w:proofErr w:type="spellEnd"/>
      <w:r w:rsidRPr="006D3CB9">
        <w:t xml:space="preserve"> should be withheld or discontinued (see </w:t>
      </w:r>
      <w:r w:rsidR="00E03130">
        <w:t>Section 4.2</w:t>
      </w:r>
      <w:r w:rsidR="00493B85">
        <w:t xml:space="preserve"> Dose and method of administration)</w:t>
      </w:r>
      <w:r w:rsidRPr="006D3CB9">
        <w:t>, and appropriate treatment instituted.</w:t>
      </w:r>
    </w:p>
    <w:p w14:paraId="36746D9D" w14:textId="7A8AA5B3" w:rsidR="006D3CB9" w:rsidRPr="006D3CB9" w:rsidRDefault="006D3CB9" w:rsidP="0059631E">
      <w:r w:rsidRPr="006D3CB9">
        <w:t>Cases of Vogt-</w:t>
      </w:r>
      <w:proofErr w:type="spellStart"/>
      <w:r w:rsidRPr="006D3CB9">
        <w:t>Koyanagi</w:t>
      </w:r>
      <w:proofErr w:type="spellEnd"/>
      <w:r w:rsidRPr="006D3CB9">
        <w:t xml:space="preserve">-Harada syndrome have been reported during post approval use of </w:t>
      </w:r>
      <w:proofErr w:type="spellStart"/>
      <w:r w:rsidRPr="006D3CB9">
        <w:t>nivolumab</w:t>
      </w:r>
      <w:proofErr w:type="spellEnd"/>
      <w:r w:rsidRPr="006D3CB9">
        <w:t xml:space="preserve"> or </w:t>
      </w:r>
      <w:proofErr w:type="spellStart"/>
      <w:r w:rsidRPr="006D3CB9">
        <w:t>nivolumab</w:t>
      </w:r>
      <w:proofErr w:type="spellEnd"/>
      <w:r w:rsidRPr="006D3CB9">
        <w:t xml:space="preserve"> in combination with </w:t>
      </w:r>
      <w:proofErr w:type="spellStart"/>
      <w:r w:rsidRPr="006D3CB9">
        <w:t>ipilimumab</w:t>
      </w:r>
      <w:proofErr w:type="spellEnd"/>
      <w:r w:rsidRPr="006D3CB9">
        <w:t xml:space="preserve"> (see </w:t>
      </w:r>
      <w:r w:rsidR="00E03130">
        <w:t>Section 4.8</w:t>
      </w:r>
      <w:r w:rsidR="00493B85">
        <w:t xml:space="preserve"> Adverse effects</w:t>
      </w:r>
      <w:proofErr w:type="gramStart"/>
      <w:r w:rsidR="00493B85">
        <w:t>.</w:t>
      </w:r>
      <w:r w:rsidRPr="006D3CB9">
        <w:t>.</w:t>
      </w:r>
      <w:proofErr w:type="gramEnd"/>
      <w:r w:rsidRPr="006D3CB9">
        <w:t xml:space="preserve"> </w:t>
      </w:r>
      <w:proofErr w:type="spellStart"/>
      <w:proofErr w:type="gramStart"/>
      <w:r w:rsidRPr="006D3CB9">
        <w:t>Postmarketing</w:t>
      </w:r>
      <w:proofErr w:type="spellEnd"/>
      <w:r w:rsidRPr="006D3CB9">
        <w:t xml:space="preserve"> Experience).</w:t>
      </w:r>
      <w:proofErr w:type="gramEnd"/>
    </w:p>
    <w:p w14:paraId="65208836" w14:textId="41B7AC02" w:rsidR="006D3CB9" w:rsidRDefault="006D3CB9" w:rsidP="0059631E">
      <w:r w:rsidRPr="006D3CB9">
        <w:lastRenderedPageBreak/>
        <w:t>Solid organ transplant rejection has been reported in the post</w:t>
      </w:r>
      <w:r w:rsidRPr="006D3CB9">
        <w:rPr>
          <w:rFonts w:ascii="Cambria Math" w:hAnsi="Cambria Math" w:cs="Cambria Math"/>
        </w:rPr>
        <w:t>‐</w:t>
      </w:r>
      <w:r w:rsidRPr="006D3CB9">
        <w:t>marketing setting in patients treated with PD</w:t>
      </w:r>
      <w:r w:rsidRPr="006D3CB9">
        <w:rPr>
          <w:rFonts w:ascii="Cambria Math" w:hAnsi="Cambria Math" w:cs="Cambria Math"/>
        </w:rPr>
        <w:t>‐</w:t>
      </w:r>
      <w:r w:rsidRPr="006D3CB9">
        <w:t>1</w:t>
      </w:r>
      <w:r w:rsidR="00FA3DC0">
        <w:t>/PD-L1</w:t>
      </w:r>
      <w:r w:rsidRPr="006D3CB9">
        <w:t xml:space="preserve"> inhibitors. Treatment with </w:t>
      </w:r>
      <w:proofErr w:type="spellStart"/>
      <w:r w:rsidRPr="006D3CB9">
        <w:t>nivolumab</w:t>
      </w:r>
      <w:proofErr w:type="spellEnd"/>
      <w:r w:rsidRPr="006D3CB9">
        <w:t xml:space="preserve"> may increase the risk of rejection in solid organ transplant recipients. Consider the benefit of treatment with </w:t>
      </w:r>
      <w:proofErr w:type="spellStart"/>
      <w:r w:rsidRPr="006D3CB9">
        <w:t>nivolumab</w:t>
      </w:r>
      <w:proofErr w:type="spellEnd"/>
      <w:r w:rsidRPr="006D3CB9">
        <w:t xml:space="preserve"> versus the risk of possible organ rejection in these patients.</w:t>
      </w:r>
    </w:p>
    <w:p w14:paraId="3E4E95AE" w14:textId="6B65D239" w:rsidR="00FA3DC0" w:rsidRDefault="00FA3DC0" w:rsidP="00FA3DC0">
      <w:r w:rsidRPr="009D23AD">
        <w:t xml:space="preserve">Rapid-onset and severe </w:t>
      </w:r>
      <w:r>
        <w:t>graft-versus-host disease (</w:t>
      </w:r>
      <w:r w:rsidRPr="009D23AD">
        <w:rPr>
          <w:lang w:val="en-GB"/>
        </w:rPr>
        <w:t>GVHD</w:t>
      </w:r>
      <w:r>
        <w:rPr>
          <w:lang w:val="en-GB"/>
        </w:rPr>
        <w:t>)</w:t>
      </w:r>
      <w:r w:rsidRPr="009D23AD">
        <w:rPr>
          <w:lang w:val="en-GB"/>
        </w:rPr>
        <w:t>, some with fatal outcome, has been reported in the post</w:t>
      </w:r>
      <w:r>
        <w:rPr>
          <w:lang w:val="en-GB"/>
        </w:rPr>
        <w:noBreakHyphen/>
      </w:r>
      <w:r w:rsidRPr="009D23AD">
        <w:rPr>
          <w:lang w:val="en-GB"/>
        </w:rPr>
        <w:t xml:space="preserve">marketing setting in patients who had undergone prior allogeneic stem cell transplant and subsequently received </w:t>
      </w:r>
      <w:r w:rsidRPr="009D23AD">
        <w:t>PD-1</w:t>
      </w:r>
      <w:r>
        <w:t>/PD-L1</w:t>
      </w:r>
      <w:r w:rsidRPr="009D23AD">
        <w:t xml:space="preserve"> inhibitors</w:t>
      </w:r>
      <w:r w:rsidRPr="009D23AD">
        <w:rPr>
          <w:lang w:val="en-GB"/>
        </w:rPr>
        <w:t>.</w:t>
      </w:r>
    </w:p>
    <w:p w14:paraId="3A710DE0" w14:textId="77777777" w:rsidR="006D3CB9" w:rsidRPr="006D3CB9" w:rsidRDefault="006D3CB9" w:rsidP="003E47FA">
      <w:pPr>
        <w:pStyle w:val="Heading3"/>
      </w:pPr>
      <w:r w:rsidRPr="006D3CB9">
        <w:t>Infusion reaction</w:t>
      </w:r>
    </w:p>
    <w:p w14:paraId="69F9B19E" w14:textId="1051D641" w:rsidR="006D3CB9" w:rsidRDefault="006D3CB9" w:rsidP="0059631E">
      <w:r w:rsidRPr="00287853">
        <w:t xml:space="preserve">Severe infusion reactions </w:t>
      </w:r>
      <w:r w:rsidRPr="005F5DA9">
        <w:t>have been reported in clinical trials of OPDIVO</w:t>
      </w:r>
      <w:r>
        <w:t xml:space="preserve"> monotherapy or OPDIVO in combination with </w:t>
      </w:r>
      <w:proofErr w:type="spellStart"/>
      <w:r>
        <w:t>ipilimumab</w:t>
      </w:r>
      <w:proofErr w:type="spellEnd"/>
      <w:r>
        <w:t xml:space="preserve"> (see </w:t>
      </w:r>
      <w:r w:rsidR="00E03130">
        <w:t>Section 4.8</w:t>
      </w:r>
      <w:r w:rsidR="00493B85">
        <w:t xml:space="preserve"> Adverse effects)</w:t>
      </w:r>
      <w:r>
        <w:t xml:space="preserve">). </w:t>
      </w:r>
      <w:r w:rsidRPr="00287853">
        <w:t xml:space="preserve">In case of a severe </w:t>
      </w:r>
      <w:r w:rsidRPr="009D1E67">
        <w:t>or life-threatening</w:t>
      </w:r>
      <w:r>
        <w:t xml:space="preserve"> </w:t>
      </w:r>
      <w:r w:rsidRPr="00287853">
        <w:t xml:space="preserve">infusion reaction, </w:t>
      </w:r>
      <w:r>
        <w:t xml:space="preserve">the </w:t>
      </w:r>
      <w:r w:rsidRPr="00287853">
        <w:t xml:space="preserve">OPDIVO </w:t>
      </w:r>
      <w:r>
        <w:t xml:space="preserve">monotherapy or OPDIVO in combination with </w:t>
      </w:r>
      <w:proofErr w:type="spellStart"/>
      <w:r>
        <w:t>ipilimumab</w:t>
      </w:r>
      <w:proofErr w:type="spellEnd"/>
      <w:r>
        <w:t xml:space="preserve"> </w:t>
      </w:r>
      <w:r w:rsidRPr="00287853">
        <w:t xml:space="preserve">infusion must be discontinued and appropriate medical therapy administered. Patients with mild or moderate infusion reaction may receive OPDIVO </w:t>
      </w:r>
      <w:r>
        <w:t xml:space="preserve">monotherapy or OPDIVO in combination with </w:t>
      </w:r>
      <w:proofErr w:type="spellStart"/>
      <w:r>
        <w:t>ipilimumab</w:t>
      </w:r>
      <w:proofErr w:type="spellEnd"/>
      <w:r>
        <w:t xml:space="preserve"> </w:t>
      </w:r>
      <w:r w:rsidRPr="00287853">
        <w:t>with close monitoring</w:t>
      </w:r>
      <w:r>
        <w:t xml:space="preserve"> and use of premedication according to local treatment guidelines for prophylaxis of infusion reactions</w:t>
      </w:r>
      <w:r w:rsidRPr="00287853">
        <w:t>.</w:t>
      </w:r>
    </w:p>
    <w:p w14:paraId="2A251364" w14:textId="0BD38DC5" w:rsidR="006D3CB9" w:rsidRPr="00714903" w:rsidRDefault="00A810B9" w:rsidP="003E47FA">
      <w:pPr>
        <w:pStyle w:val="Heading3"/>
        <w:rPr>
          <w:rFonts w:ascii="TimesNewRomanPSMT" w:hAnsi="TimesNewRomanPSMT" w:cs="TimesNewRomanPSMT"/>
          <w:lang w:eastAsia="fr-FR"/>
        </w:rPr>
      </w:pPr>
      <w:r w:rsidRPr="00714903">
        <w:rPr>
          <w:rStyle w:val="Heading3Char"/>
          <w:b/>
        </w:rPr>
        <w:t>Opdivo in combination with Yervoy (ipilimumab)</w:t>
      </w:r>
      <w:r w:rsidRPr="00714903">
        <w:rPr>
          <w:rFonts w:ascii="TimesNewRomanPSMT" w:hAnsi="TimesNewRomanPSMT" w:cs="TimesNewRomanPSMT"/>
          <w:lang w:eastAsia="fr-FR"/>
        </w:rPr>
        <w:t xml:space="preserve"> </w:t>
      </w:r>
    </w:p>
    <w:p w14:paraId="34EF5C25" w14:textId="77777777" w:rsidR="006D3CB9" w:rsidRDefault="006D3CB9" w:rsidP="0059631E">
      <w:r w:rsidRPr="00686F90">
        <w:t>Review the full prescribing information for YERVOY (</w:t>
      </w:r>
      <w:proofErr w:type="spellStart"/>
      <w:r w:rsidRPr="00686F90">
        <w:t>ipilimumab</w:t>
      </w:r>
      <w:proofErr w:type="spellEnd"/>
      <w:r w:rsidRPr="00686F90">
        <w:t>) prior to initiation of the OPDIVO in combination with YERVOY (</w:t>
      </w:r>
      <w:proofErr w:type="spellStart"/>
      <w:r w:rsidRPr="00686F90">
        <w:t>ipilimumab</w:t>
      </w:r>
      <w:proofErr w:type="spellEnd"/>
      <w:r w:rsidRPr="00686F90">
        <w:t>).</w:t>
      </w:r>
      <w:r w:rsidRPr="0094339C">
        <w:t xml:space="preserve"> </w:t>
      </w:r>
      <w:r>
        <w:t xml:space="preserve">Both agents are associated with immune-related adverse </w:t>
      </w:r>
      <w:r w:rsidRPr="005A60F1">
        <w:t>reactions</w:t>
      </w:r>
      <w:r>
        <w:t xml:space="preserve"> and may require immunosuppression. </w:t>
      </w:r>
      <w:r w:rsidRPr="0094339C">
        <w:t xml:space="preserve">In clinical trials, </w:t>
      </w:r>
      <w:r>
        <w:t xml:space="preserve">immune-related </w:t>
      </w:r>
      <w:r w:rsidRPr="0094339C">
        <w:t xml:space="preserve">adverse reactions described in the </w:t>
      </w:r>
      <w:r>
        <w:t xml:space="preserve">PRECAUTIONS </w:t>
      </w:r>
      <w:proofErr w:type="gramStart"/>
      <w:r w:rsidRPr="0094339C">
        <w:t>section have</w:t>
      </w:r>
      <w:proofErr w:type="gramEnd"/>
      <w:r w:rsidRPr="0094339C">
        <w:t xml:space="preserve"> occurred at higher frequencies when OPDIVO was administered in combination with </w:t>
      </w:r>
      <w:r>
        <w:t>YERVOY (</w:t>
      </w:r>
      <w:proofErr w:type="spellStart"/>
      <w:r w:rsidRPr="0094339C">
        <w:t>ipilimumab</w:t>
      </w:r>
      <w:proofErr w:type="spellEnd"/>
      <w:r>
        <w:t>)</w:t>
      </w:r>
      <w:r w:rsidRPr="0094339C">
        <w:t xml:space="preserve"> compared with OPDIVO as a </w:t>
      </w:r>
      <w:r>
        <w:t>monotherapy</w:t>
      </w:r>
      <w:r w:rsidRPr="0094339C">
        <w:t>.</w:t>
      </w:r>
      <w:r>
        <w:t xml:space="preserve"> </w:t>
      </w:r>
      <w:r w:rsidRPr="008E305B">
        <w:t>Most immune-related adverse reactions</w:t>
      </w:r>
      <w:r>
        <w:t xml:space="preserve"> </w:t>
      </w:r>
      <w:r w:rsidRPr="000779BF">
        <w:t xml:space="preserve">(except for </w:t>
      </w:r>
      <w:proofErr w:type="spellStart"/>
      <w:r w:rsidRPr="000779BF">
        <w:t>endocrinopathies</w:t>
      </w:r>
      <w:proofErr w:type="spellEnd"/>
      <w:r w:rsidRPr="000779BF">
        <w:t>)</w:t>
      </w:r>
      <w:r w:rsidRPr="008E305B">
        <w:t xml:space="preserve"> improved or resolved with appropriate management, including initiation of corticosteroids and </w:t>
      </w:r>
      <w:r>
        <w:t>treatment</w:t>
      </w:r>
      <w:r w:rsidRPr="008E305B">
        <w:t xml:space="preserve"> modifications</w:t>
      </w:r>
      <w:r>
        <w:t>.</w:t>
      </w:r>
    </w:p>
    <w:p w14:paraId="5DAEC717" w14:textId="77777777" w:rsidR="006D3CB9" w:rsidRDefault="006D3CB9" w:rsidP="0059631E">
      <w:pPr>
        <w:rPr>
          <w:iCs/>
        </w:rPr>
      </w:pPr>
      <w:r w:rsidRPr="00C402B8">
        <w:rPr>
          <w:iCs/>
        </w:rPr>
        <w:t xml:space="preserve">Patients receiving OPDIVO in combination with YERVOY should be monitored for serum creatinine, thyroid function, and liver function prior to each dose during the combination phase. </w:t>
      </w:r>
    </w:p>
    <w:p w14:paraId="5EB371C7" w14:textId="6C8259E2" w:rsidR="006D3CB9" w:rsidRPr="00714903" w:rsidRDefault="00A810B9" w:rsidP="003E47FA">
      <w:pPr>
        <w:pStyle w:val="Heading3"/>
      </w:pPr>
      <w:r w:rsidRPr="00714903">
        <w:t xml:space="preserve">Opdivo in NSCLC </w:t>
      </w:r>
    </w:p>
    <w:p w14:paraId="74E3AE14" w14:textId="517FC240" w:rsidR="006D3CB9" w:rsidRDefault="006D3CB9" w:rsidP="0059631E">
      <w:pPr>
        <w:rPr>
          <w:lang w:eastAsia="en-SG"/>
        </w:rPr>
      </w:pPr>
      <w:r w:rsidRPr="00F80465">
        <w:rPr>
          <w:lang w:eastAsia="en-SG"/>
        </w:rPr>
        <w:t xml:space="preserve">OPDIVO is not approved for combination with EGFR TKI use in NSCLC. Serious adverse events, including deaths (one case of pneumonitis and one case of toxic epidermal necrolysis), have been reported in a Phase II non- randomised trial of </w:t>
      </w:r>
      <w:proofErr w:type="spellStart"/>
      <w:r w:rsidRPr="00F80465">
        <w:rPr>
          <w:lang w:eastAsia="en-SG"/>
        </w:rPr>
        <w:t>nivolumab</w:t>
      </w:r>
      <w:proofErr w:type="spellEnd"/>
      <w:r w:rsidRPr="00F80465">
        <w:rPr>
          <w:lang w:eastAsia="en-SG"/>
        </w:rPr>
        <w:t xml:space="preserve"> in combination with an investigational 3rd generation TKI. </w:t>
      </w:r>
    </w:p>
    <w:p w14:paraId="7F8673D3" w14:textId="77777777" w:rsidR="006D3CB9" w:rsidRPr="00630C1C" w:rsidRDefault="006D3CB9" w:rsidP="0059631E">
      <w:r w:rsidRPr="00D868AF">
        <w:rPr>
          <w:lang w:eastAsia="en-SG"/>
        </w:rPr>
        <w:t>In patients transitioning from an EGFR TKI to OPDIVO monotherapy, a sufficient wash-out period should be observed to minimi</w:t>
      </w:r>
      <w:r>
        <w:rPr>
          <w:lang w:eastAsia="en-SG"/>
        </w:rPr>
        <w:t>s</w:t>
      </w:r>
      <w:r w:rsidRPr="00D868AF">
        <w:rPr>
          <w:lang w:eastAsia="en-SG"/>
        </w:rPr>
        <w:t>e the risk of adverse events occurring from the combination. Clinical judgement should be used to determine if any serious or clinically relevant adverse events occurring from an EGFR TKI are resolved prior to initiation of OPDIVO.</w:t>
      </w:r>
    </w:p>
    <w:p w14:paraId="39EEB62F" w14:textId="3BFFD322" w:rsidR="0092589D" w:rsidRDefault="00A810B9" w:rsidP="003E47FA">
      <w:pPr>
        <w:pStyle w:val="Heading3"/>
      </w:pPr>
      <w:r w:rsidRPr="00714903">
        <w:t>Patient Counselling Information</w:t>
      </w:r>
      <w:r>
        <w:t xml:space="preserve"> </w:t>
      </w:r>
    </w:p>
    <w:p w14:paraId="15D0028B" w14:textId="60538F26" w:rsidR="0092589D" w:rsidRDefault="0092589D" w:rsidP="0059631E">
      <w:r>
        <w:t xml:space="preserve">Patients should be advised to report immediately any signs or symptoms suggestive of adverse reactions as described in </w:t>
      </w:r>
      <w:r w:rsidR="00F80465">
        <w:t>Section 4.4</w:t>
      </w:r>
      <w:r w:rsidR="00493B85">
        <w:t xml:space="preserve"> Special warnings and precautions for use)</w:t>
      </w:r>
      <w:r>
        <w:t>. The importance of reporting any worsening of symptoms or severity should be emphasised. Patients should be strongly advised not to treat any of these symptoms with over-the-counter medications without consultation with a health care provider.</w:t>
      </w:r>
    </w:p>
    <w:p w14:paraId="67FE3D53" w14:textId="77777777" w:rsidR="0092589D" w:rsidRPr="0059631E" w:rsidRDefault="0092589D" w:rsidP="003E47FA">
      <w:pPr>
        <w:pStyle w:val="Heading3"/>
      </w:pPr>
      <w:r w:rsidRPr="0059631E">
        <w:t>Patient Alert Card</w:t>
      </w:r>
    </w:p>
    <w:p w14:paraId="1F838726" w14:textId="77777777" w:rsidR="0092589D" w:rsidRDefault="0092589D" w:rsidP="0059631E">
      <w:r>
        <w:t>All prescribers of OPDIVO must be familiar with the immune-related adverse reactions Management Guide. The prescriber must discuss the risks of OPDIVO therapy with the patient. Each patient must be provided with the OPDIVO patient alert card.</w:t>
      </w:r>
    </w:p>
    <w:p w14:paraId="06E1CD5B" w14:textId="0D0B92A4" w:rsidR="006D3CB9" w:rsidRPr="007659AE" w:rsidRDefault="00A810B9" w:rsidP="003E47FA">
      <w:pPr>
        <w:pStyle w:val="Heading3"/>
        <w:rPr>
          <w:lang w:eastAsia="ja-JP"/>
        </w:rPr>
      </w:pPr>
      <w:r w:rsidRPr="00714903">
        <w:rPr>
          <w:lang w:eastAsia="ja-JP"/>
        </w:rPr>
        <w:lastRenderedPageBreak/>
        <w:t>Special Populations</w:t>
      </w:r>
      <w:r>
        <w:rPr>
          <w:lang w:eastAsia="ja-JP"/>
        </w:rPr>
        <w:t xml:space="preserve"> </w:t>
      </w:r>
    </w:p>
    <w:p w14:paraId="6CBD398F" w14:textId="77777777" w:rsidR="006D3CB9" w:rsidRDefault="006D3CB9" w:rsidP="0059631E">
      <w:r>
        <w:t xml:space="preserve">In all </w:t>
      </w:r>
      <w:proofErr w:type="spellStart"/>
      <w:r>
        <w:t>registrational</w:t>
      </w:r>
      <w:proofErr w:type="spellEnd"/>
      <w:r>
        <w:t xml:space="preserve"> studies p</w:t>
      </w:r>
      <w:r w:rsidRPr="00F85405">
        <w:t xml:space="preserve">atients with </w:t>
      </w:r>
      <w:r>
        <w:t xml:space="preserve">autoimmune disease, </w:t>
      </w:r>
      <w:r w:rsidRPr="00F85405">
        <w:t xml:space="preserve">active brain metastases, and patients receiving systemic </w:t>
      </w:r>
      <w:proofErr w:type="spellStart"/>
      <w:r w:rsidRPr="00F85405">
        <w:t>immunosuppressants</w:t>
      </w:r>
      <w:proofErr w:type="spellEnd"/>
      <w:r w:rsidRPr="00F85405">
        <w:t xml:space="preserve"> prior to study entry were excluded</w:t>
      </w:r>
      <w:r>
        <w:t>.</w:t>
      </w:r>
    </w:p>
    <w:p w14:paraId="29900EF5" w14:textId="10055434" w:rsidR="006D3CB9" w:rsidRDefault="006D3CB9" w:rsidP="0059631E">
      <w:r>
        <w:t xml:space="preserve">Specific populations excluded from clinical studies of </w:t>
      </w:r>
      <w:proofErr w:type="spellStart"/>
      <w:r>
        <w:t>nivolumab</w:t>
      </w:r>
      <w:proofErr w:type="spellEnd"/>
      <w:r>
        <w:t xml:space="preserve"> or </w:t>
      </w:r>
      <w:proofErr w:type="spellStart"/>
      <w:r>
        <w:t>nivolumab</w:t>
      </w:r>
      <w:proofErr w:type="spellEnd"/>
      <w:r>
        <w:t xml:space="preserve"> in combination with </w:t>
      </w:r>
      <w:proofErr w:type="spellStart"/>
      <w:r>
        <w:t>ipilimumab</w:t>
      </w:r>
      <w:proofErr w:type="spellEnd"/>
      <w:r>
        <w:t xml:space="preserve"> by tumour type are listed below (see </w:t>
      </w:r>
      <w:r w:rsidR="00F80465">
        <w:t>Section 5.1</w:t>
      </w:r>
      <w:r w:rsidR="00493B85">
        <w:t xml:space="preserve"> </w:t>
      </w:r>
      <w:proofErr w:type="spellStart"/>
      <w:r w:rsidR="00493B85">
        <w:t>Pharmacodynamic</w:t>
      </w:r>
      <w:proofErr w:type="spellEnd"/>
      <w:r w:rsidR="00493B85">
        <w:t xml:space="preserve"> properties</w:t>
      </w:r>
      <w:r w:rsidR="00310419">
        <w:t xml:space="preserve"> -</w:t>
      </w:r>
      <w:r w:rsidR="00493B85">
        <w:t xml:space="preserve"> </w:t>
      </w:r>
      <w:r w:rsidR="00F80465">
        <w:t>Clinical Trials)</w:t>
      </w:r>
      <w:r>
        <w:t>.</w:t>
      </w:r>
    </w:p>
    <w:p w14:paraId="09609C6B" w14:textId="72DABDE8" w:rsidR="00353D2E" w:rsidRDefault="00353D2E" w:rsidP="00353D2E">
      <w:r w:rsidRPr="00353D2E">
        <w:rPr>
          <w:i/>
        </w:rPr>
        <w:t>Adjuvant Melanoma:</w:t>
      </w:r>
      <w:r w:rsidRPr="00353D2E">
        <w:t xml:space="preserve"> patients with prior therapy for melanoma</w:t>
      </w:r>
      <w:r w:rsidR="001353CB">
        <w:t xml:space="preserve"> </w:t>
      </w:r>
      <w:r w:rsidRPr="00353D2E">
        <w:t xml:space="preserve">except </w:t>
      </w:r>
      <w:r w:rsidRPr="001353CB">
        <w:t>surgery,</w:t>
      </w:r>
      <w:r w:rsidRPr="00353D2E">
        <w:t xml:space="preserve"> adjuvant radiotherapy after neurosurgical resection for lesions of the central nervous system, and prior adjuvant interferon completed ≥ 6 months prior to randomization were excluded.</w:t>
      </w:r>
    </w:p>
    <w:p w14:paraId="429E4511" w14:textId="393C9B79" w:rsidR="006D3CB9" w:rsidRPr="009070A8" w:rsidRDefault="006D3CB9" w:rsidP="0059631E">
      <w:pPr>
        <w:rPr>
          <w:strike/>
        </w:rPr>
      </w:pPr>
      <w:r w:rsidRPr="006A6D4B">
        <w:rPr>
          <w:i/>
        </w:rPr>
        <w:t>Melanoma</w:t>
      </w:r>
      <w:r w:rsidRPr="006A6D4B">
        <w:t>:</w:t>
      </w:r>
      <w:r>
        <w:t xml:space="preserve"> patients with ocular/uveal melanoma and a baseline performance score </w:t>
      </w:r>
      <w:r w:rsidR="00BF2F27" w:rsidRPr="00BF2F27">
        <w:rPr>
          <w:sz w:val="24"/>
        </w:rPr>
        <w:t>≥</w:t>
      </w:r>
      <w:r>
        <w:t xml:space="preserve">2. </w:t>
      </w:r>
      <w:r w:rsidRPr="00F85405">
        <w:t xml:space="preserve">In addition, CA209037 excluded patients </w:t>
      </w:r>
      <w:r w:rsidRPr="00F85405">
        <w:rPr>
          <w:noProof/>
        </w:rPr>
        <w:t>who have had a Grade 4 adverse reaction that was related to anti</w:t>
      </w:r>
      <w:r w:rsidRPr="00F85405">
        <w:rPr>
          <w:noProof/>
        </w:rPr>
        <w:noBreakHyphen/>
        <w:t>CTLA</w:t>
      </w:r>
      <w:r w:rsidRPr="00F85405">
        <w:rPr>
          <w:noProof/>
        </w:rPr>
        <w:noBreakHyphen/>
        <w:t>4 therapy (except for resolved nausea, fatigue, infusion reaction or an endocrinopathy controlled by hormone replacement therapy)</w:t>
      </w:r>
      <w:r w:rsidRPr="00F85405">
        <w:t>.</w:t>
      </w:r>
      <w:r>
        <w:t xml:space="preserve"> </w:t>
      </w:r>
    </w:p>
    <w:p w14:paraId="5CD8F0C9" w14:textId="77777777" w:rsidR="006D3CB9" w:rsidRDefault="006D3CB9" w:rsidP="0059631E">
      <w:r w:rsidRPr="006A6D4B">
        <w:rPr>
          <w:i/>
        </w:rPr>
        <w:t>NSCLC</w:t>
      </w:r>
      <w:r w:rsidRPr="006A6D4B">
        <w:t>:</w:t>
      </w:r>
      <w:r>
        <w:t xml:space="preserve"> patients with symptomatic interstitial lung disease and a baseline performance score ≥2.</w:t>
      </w:r>
    </w:p>
    <w:p w14:paraId="7BA26022" w14:textId="77777777" w:rsidR="006D3CB9" w:rsidRDefault="006D3CB9" w:rsidP="0059631E">
      <w:pPr>
        <w:rPr>
          <w:noProof/>
        </w:rPr>
      </w:pPr>
      <w:r w:rsidRPr="006A6D4B">
        <w:rPr>
          <w:i/>
          <w:noProof/>
        </w:rPr>
        <w:t>RCC</w:t>
      </w:r>
      <w:r w:rsidRPr="006A6D4B">
        <w:rPr>
          <w:noProof/>
        </w:rPr>
        <w:t>:</w:t>
      </w:r>
      <w:r>
        <w:rPr>
          <w:noProof/>
        </w:rPr>
        <w:t xml:space="preserve"> patients with a history of concurrent brain metastases.</w:t>
      </w:r>
    </w:p>
    <w:p w14:paraId="30AE3346" w14:textId="77777777" w:rsidR="006D3CB9" w:rsidRDefault="006D3CB9" w:rsidP="0059631E">
      <w:pPr>
        <w:rPr>
          <w:noProof/>
        </w:rPr>
      </w:pPr>
      <w:r w:rsidRPr="006A6D4B">
        <w:rPr>
          <w:i/>
          <w:noProof/>
        </w:rPr>
        <w:t>cHL</w:t>
      </w:r>
      <w:r w:rsidRPr="00715AC8">
        <w:rPr>
          <w:i/>
          <w:noProof/>
        </w:rPr>
        <w:t>:</w:t>
      </w:r>
      <w:r>
        <w:rPr>
          <w:rFonts w:ascii="TimesNewRoman" w:eastAsia="TimesNewRoman" w:cs="TimesNewRoman"/>
          <w:color w:val="0000FF"/>
        </w:rPr>
        <w:t xml:space="preserve"> </w:t>
      </w:r>
      <w:r w:rsidRPr="00715AC8">
        <w:rPr>
          <w:noProof/>
        </w:rPr>
        <w:t>patients with symptomatic interstitial lung disease</w:t>
      </w:r>
    </w:p>
    <w:p w14:paraId="468AA10C" w14:textId="62038C8B" w:rsidR="006D3CB9" w:rsidRDefault="006D3CB9" w:rsidP="0059631E">
      <w:pPr>
        <w:rPr>
          <w:lang w:val="en-US"/>
        </w:rPr>
      </w:pPr>
      <w:r w:rsidRPr="00D15533">
        <w:rPr>
          <w:i/>
          <w:noProof/>
        </w:rPr>
        <w:t>SCCHN:</w:t>
      </w:r>
      <w:r w:rsidRPr="00D15533">
        <w:rPr>
          <w:noProof/>
        </w:rPr>
        <w:t xml:space="preserve"> </w:t>
      </w:r>
      <w:r w:rsidRPr="00D15533">
        <w:rPr>
          <w:lang w:val="en-US"/>
        </w:rPr>
        <w:t xml:space="preserve">Patients with a baseline performance score ≥ 2 and patients with carcinoma of the nasopharynx or salivary gland as the primary </w:t>
      </w:r>
      <w:proofErr w:type="spellStart"/>
      <w:r w:rsidRPr="00D15533">
        <w:rPr>
          <w:lang w:val="en-US"/>
        </w:rPr>
        <w:t>tumour</w:t>
      </w:r>
      <w:proofErr w:type="spellEnd"/>
      <w:r w:rsidRPr="00D15533">
        <w:rPr>
          <w:lang w:val="en-US"/>
        </w:rPr>
        <w:t xml:space="preserve"> site.</w:t>
      </w:r>
      <w:r>
        <w:rPr>
          <w:lang w:val="en-US"/>
        </w:rPr>
        <w:t xml:space="preserve"> </w:t>
      </w:r>
    </w:p>
    <w:p w14:paraId="36FE80C0" w14:textId="77777777" w:rsidR="00B80CB5" w:rsidRPr="00D92A6B" w:rsidRDefault="00B80CB5" w:rsidP="00B80CB5">
      <w:pPr>
        <w:rPr>
          <w:strike/>
          <w:lang w:val="en-US"/>
        </w:rPr>
      </w:pPr>
      <w:r w:rsidRPr="00B80CB5">
        <w:rPr>
          <w:i/>
          <w:noProof/>
        </w:rPr>
        <w:t>UC</w:t>
      </w:r>
      <w:r w:rsidRPr="00715EC4">
        <w:rPr>
          <w:b/>
          <w:noProof/>
        </w:rPr>
        <w:t>:</w:t>
      </w:r>
      <w:r w:rsidRPr="006023B4">
        <w:rPr>
          <w:noProof/>
        </w:rPr>
        <w:t xml:space="preserve"> patients with leptomeningeal metastases</w:t>
      </w:r>
    </w:p>
    <w:p w14:paraId="75759C12" w14:textId="77777777" w:rsidR="006D3CB9" w:rsidRPr="00CF203A" w:rsidRDefault="006D3CB9" w:rsidP="0059631E">
      <w:pPr>
        <w:rPr>
          <w:noProof/>
        </w:rPr>
      </w:pPr>
      <w:r>
        <w:t>In the absence of data, OPDIVO should be used with caution in these populations after careful consideration of the potential benefit-risk on an individual basis.</w:t>
      </w:r>
    </w:p>
    <w:p w14:paraId="387CD3DD" w14:textId="4EB9A2E7" w:rsidR="006D3CB9" w:rsidRPr="00D62FF7" w:rsidRDefault="000346E4" w:rsidP="003E47FA">
      <w:pPr>
        <w:pStyle w:val="Heading3"/>
        <w:rPr>
          <w:lang w:eastAsia="ja-JP"/>
        </w:rPr>
      </w:pPr>
      <w:r>
        <w:rPr>
          <w:rStyle w:val="Heading3Char"/>
          <w:b/>
        </w:rPr>
        <w:t xml:space="preserve">Use in </w:t>
      </w:r>
      <w:r w:rsidR="001D53CF" w:rsidRPr="00D62FF7">
        <w:rPr>
          <w:rStyle w:val="Heading3Char"/>
          <w:b/>
        </w:rPr>
        <w:t>Renal Impairment</w:t>
      </w:r>
      <w:r w:rsidR="001D53CF" w:rsidRPr="00D62FF7">
        <w:rPr>
          <w:lang w:eastAsia="ja-JP"/>
        </w:rPr>
        <w:t xml:space="preserve"> </w:t>
      </w:r>
    </w:p>
    <w:p w14:paraId="657871F6" w14:textId="21FBC9CB" w:rsidR="00DF5190" w:rsidRDefault="006D3CB9" w:rsidP="00DF5190">
      <w:r w:rsidRPr="00D62FF7">
        <w:t xml:space="preserve">The safety and efficacy of </w:t>
      </w:r>
      <w:proofErr w:type="spellStart"/>
      <w:r w:rsidRPr="00D62FF7">
        <w:t>nivolumab</w:t>
      </w:r>
      <w:proofErr w:type="spellEnd"/>
      <w:r w:rsidRPr="00D62FF7">
        <w:t xml:space="preserve"> have not been studied in patients with severe renal impairment. Based on the population pharmacokinetic (PK) results, no dose adjustment is required in patients with mild or moderate renal impairment (see </w:t>
      </w:r>
      <w:r w:rsidR="00F80465" w:rsidRPr="00D62FF7">
        <w:t xml:space="preserve">Section 5.2 </w:t>
      </w:r>
      <w:r w:rsidR="00310419" w:rsidRPr="00D62FF7">
        <w:t xml:space="preserve">Pharmacokinetic properties </w:t>
      </w:r>
      <w:r w:rsidR="00F80465" w:rsidRPr="00D62FF7">
        <w:t>and 4.2</w:t>
      </w:r>
      <w:r w:rsidR="00310419" w:rsidRPr="00D62FF7">
        <w:t xml:space="preserve"> Dose and method of administration</w:t>
      </w:r>
      <w:r w:rsidR="000346E4">
        <w:t xml:space="preserve"> - renal impairment</w:t>
      </w:r>
      <w:r w:rsidR="00F80465" w:rsidRPr="00D62FF7">
        <w:t>)</w:t>
      </w:r>
      <w:r w:rsidRPr="00D62FF7">
        <w:t>.</w:t>
      </w:r>
      <w:bookmarkStart w:id="3" w:name="Paediatric_Use"/>
      <w:bookmarkStart w:id="4" w:name="Use_in_Elderly"/>
      <w:bookmarkStart w:id="5" w:name="Patients_on_controlled_sodium_diet"/>
      <w:bookmarkStart w:id="6" w:name="Use_in_Renal_Impairment"/>
      <w:bookmarkStart w:id="7" w:name="The_safety_and_efficacy_of_nivolumab_hav"/>
      <w:bookmarkEnd w:id="3"/>
      <w:bookmarkEnd w:id="4"/>
      <w:bookmarkEnd w:id="5"/>
      <w:bookmarkEnd w:id="6"/>
      <w:bookmarkEnd w:id="7"/>
    </w:p>
    <w:p w14:paraId="524CBC7A" w14:textId="4C622322" w:rsidR="006D3CB9" w:rsidRPr="00D62FF7" w:rsidRDefault="000346E4" w:rsidP="003E47FA">
      <w:pPr>
        <w:pStyle w:val="Heading3"/>
        <w:rPr>
          <w:lang w:eastAsia="ja-JP"/>
        </w:rPr>
      </w:pPr>
      <w:r>
        <w:rPr>
          <w:rStyle w:val="Heading3Char"/>
          <w:b/>
        </w:rPr>
        <w:t xml:space="preserve">Use in </w:t>
      </w:r>
      <w:r w:rsidR="00484F15" w:rsidRPr="00D62FF7">
        <w:rPr>
          <w:rStyle w:val="Heading3Char"/>
          <w:b/>
        </w:rPr>
        <w:t>Hepatic Impairment</w:t>
      </w:r>
      <w:r w:rsidR="00484F15" w:rsidRPr="00D62FF7">
        <w:rPr>
          <w:lang w:eastAsia="ja-JP"/>
        </w:rPr>
        <w:t xml:space="preserve"> </w:t>
      </w:r>
    </w:p>
    <w:p w14:paraId="2056EB97" w14:textId="66BB3632" w:rsidR="006D3CB9" w:rsidRPr="00D62FF7" w:rsidRDefault="006D3CB9" w:rsidP="0059631E">
      <w:r w:rsidRPr="00D62FF7">
        <w:t xml:space="preserve">The safety and efficacy of OPDIVO have not been studied in patients with moderate or severe hepatic impairment. Based on the population PK results, no dose adjustment is required in patients with mild hepatic impairment (see </w:t>
      </w:r>
      <w:r w:rsidR="00F80465" w:rsidRPr="00D62FF7">
        <w:t>Section 5.2</w:t>
      </w:r>
      <w:r w:rsidR="00493B85" w:rsidRPr="00D62FF7">
        <w:t xml:space="preserve"> Pharmacokinetic properties</w:t>
      </w:r>
      <w:r w:rsidR="00F80465" w:rsidRPr="00D62FF7">
        <w:t xml:space="preserve"> and 4.2</w:t>
      </w:r>
      <w:r w:rsidR="00493B85" w:rsidRPr="00D62FF7">
        <w:t xml:space="preserve"> Dose and method of administration</w:t>
      </w:r>
      <w:r w:rsidR="000346E4">
        <w:t xml:space="preserve"> - hepatic impairment</w:t>
      </w:r>
      <w:r w:rsidR="00F80465" w:rsidRPr="00D62FF7">
        <w:t>)</w:t>
      </w:r>
      <w:r w:rsidRPr="00D62FF7">
        <w:t xml:space="preserve">. </w:t>
      </w:r>
    </w:p>
    <w:p w14:paraId="1D914E1C" w14:textId="1CA9C128" w:rsidR="006D3CB9" w:rsidRDefault="006D3CB9" w:rsidP="0059631E">
      <w:r w:rsidRPr="00D62FF7">
        <w:t>OPDIVO must be administered with caution in patients with moderate (total bilirubin &gt; 1.5 × to 3 × the upper limit of normal [ULN] and any AST elevation) or severe (total bilirubin &gt; 3 × ULN and any AST elevation) hepatic impairment</w:t>
      </w:r>
      <w:r w:rsidRPr="009C5D42">
        <w:t>.</w:t>
      </w:r>
    </w:p>
    <w:p w14:paraId="233DB21B" w14:textId="6DD951DA" w:rsidR="006D3CB9" w:rsidRPr="00AE66E6" w:rsidRDefault="00484F15" w:rsidP="003E47FA">
      <w:pPr>
        <w:pStyle w:val="Heading3"/>
        <w:rPr>
          <w:lang w:eastAsia="ja-JP"/>
        </w:rPr>
      </w:pPr>
      <w:r w:rsidRPr="001D53CF">
        <w:rPr>
          <w:rStyle w:val="Heading3Char"/>
          <w:b/>
        </w:rPr>
        <w:t>Patients on controlled sodium diet</w:t>
      </w:r>
      <w:r>
        <w:rPr>
          <w:lang w:eastAsia="ja-JP"/>
        </w:rPr>
        <w:t xml:space="preserve"> </w:t>
      </w:r>
    </w:p>
    <w:p w14:paraId="10E681A4" w14:textId="77777777" w:rsidR="006D3CB9" w:rsidRPr="00D0601E" w:rsidRDefault="006D3CB9" w:rsidP="0059631E">
      <w:pPr>
        <w:rPr>
          <w:lang w:eastAsia="fr-FR"/>
        </w:rPr>
      </w:pPr>
      <w:r w:rsidRPr="0094339C">
        <w:rPr>
          <w:lang w:eastAsia="fr-FR"/>
        </w:rPr>
        <w:t xml:space="preserve">Each mL of this medicinal product contains 0.1 </w:t>
      </w:r>
      <w:proofErr w:type="spellStart"/>
      <w:r w:rsidRPr="0094339C">
        <w:rPr>
          <w:lang w:eastAsia="fr-FR"/>
        </w:rPr>
        <w:t>mmol</w:t>
      </w:r>
      <w:proofErr w:type="spellEnd"/>
      <w:r w:rsidRPr="0094339C">
        <w:rPr>
          <w:lang w:eastAsia="fr-FR"/>
        </w:rPr>
        <w:t xml:space="preserve"> (or 2.5 mg) sodium. To be taken into consideration when treating patients on a controlled sodium diet.</w:t>
      </w:r>
    </w:p>
    <w:p w14:paraId="4909F915" w14:textId="0FE0A547" w:rsidR="00C054B7" w:rsidRPr="0065751E" w:rsidRDefault="0065751E" w:rsidP="00C054B7">
      <w:pPr>
        <w:pStyle w:val="Heading3"/>
        <w:rPr>
          <w:rStyle w:val="Heading3Char"/>
          <w:b/>
        </w:rPr>
      </w:pPr>
      <w:r w:rsidRPr="0065751E">
        <w:rPr>
          <w:rStyle w:val="Heading3Char"/>
          <w:b/>
        </w:rPr>
        <w:t xml:space="preserve">Use in </w:t>
      </w:r>
      <w:r w:rsidR="00655F9F" w:rsidRPr="0065751E">
        <w:rPr>
          <w:rStyle w:val="Heading3Char"/>
          <w:b/>
        </w:rPr>
        <w:t>Elderly</w:t>
      </w:r>
    </w:p>
    <w:p w14:paraId="1EA577EB" w14:textId="1FE0F772" w:rsidR="00C054B7" w:rsidRPr="000D1179" w:rsidRDefault="00655F9F" w:rsidP="00C054B7">
      <w:r>
        <w:t>See Section 4.2 Dose and method of administration</w:t>
      </w:r>
      <w:r w:rsidR="00C054B7">
        <w:t xml:space="preserve"> </w:t>
      </w:r>
    </w:p>
    <w:p w14:paraId="3C1D5BD0" w14:textId="1F55266E" w:rsidR="0092589D" w:rsidRPr="007659AE" w:rsidRDefault="00484F15" w:rsidP="003E47FA">
      <w:pPr>
        <w:pStyle w:val="Heading3"/>
        <w:rPr>
          <w:lang w:eastAsia="ja-JP"/>
        </w:rPr>
      </w:pPr>
      <w:r w:rsidRPr="001D53CF">
        <w:rPr>
          <w:rStyle w:val="Heading3Char"/>
          <w:b/>
        </w:rPr>
        <w:lastRenderedPageBreak/>
        <w:t>Paediatric Use</w:t>
      </w:r>
      <w:r>
        <w:rPr>
          <w:lang w:eastAsia="ja-JP"/>
        </w:rPr>
        <w:t xml:space="preserve"> </w:t>
      </w:r>
    </w:p>
    <w:p w14:paraId="523BCAF3" w14:textId="1214E7EA" w:rsidR="0092589D" w:rsidRDefault="0092589D" w:rsidP="0059631E">
      <w:r w:rsidRPr="007659AE">
        <w:t>The safety and efficacy of OPDIVO in children below 18 years have not been established. The use of OPDIVO in children or adolescents is not recommended.</w:t>
      </w:r>
    </w:p>
    <w:p w14:paraId="37896E24" w14:textId="6084D440" w:rsidR="001A3992" w:rsidRDefault="001A3992" w:rsidP="00493B85">
      <w:pPr>
        <w:pStyle w:val="Heading2"/>
      </w:pPr>
      <w:r w:rsidRPr="003B14A8">
        <w:t>Interactions with other medicines and other forms of interactions</w:t>
      </w:r>
    </w:p>
    <w:p w14:paraId="34E65125" w14:textId="77777777" w:rsidR="006D3CB9" w:rsidRPr="006D3CB9" w:rsidRDefault="006D3CB9" w:rsidP="005E7F77">
      <w:r w:rsidRPr="006D3CB9">
        <w:t xml:space="preserve">Pharmacokinetic interaction studies have not been conducted. </w:t>
      </w:r>
      <w:proofErr w:type="spellStart"/>
      <w:r w:rsidRPr="006D3CB9">
        <w:t>Nivolumab</w:t>
      </w:r>
      <w:proofErr w:type="spellEnd"/>
      <w:r w:rsidRPr="006D3CB9">
        <w:t xml:space="preserve"> is a human monoclonal antibody. As monoclonal antibodies are not metabolised by cytochrome P450 (CYP) enzymes or other drug metabolizing enzymes, inhibition or induction of these enzymes by co-administered medicinal products is not anticipated to affect the pharmacokinetics of </w:t>
      </w:r>
      <w:proofErr w:type="spellStart"/>
      <w:r w:rsidRPr="006D3CB9">
        <w:t>nivolumab</w:t>
      </w:r>
      <w:proofErr w:type="spellEnd"/>
      <w:r w:rsidRPr="006D3CB9">
        <w:t xml:space="preserve">. </w:t>
      </w:r>
      <w:proofErr w:type="spellStart"/>
      <w:r w:rsidRPr="006D3CB9">
        <w:t>Nivolumab</w:t>
      </w:r>
      <w:proofErr w:type="spellEnd"/>
      <w:r w:rsidRPr="006D3CB9">
        <w:t xml:space="preserve"> is not expected to have an effect on CYP or other drug metabolizing enzymes in terms of inhibition or induction. </w:t>
      </w:r>
    </w:p>
    <w:p w14:paraId="02C3D91A" w14:textId="77777777" w:rsidR="006D3CB9" w:rsidRPr="00FF5204" w:rsidRDefault="006D3CB9" w:rsidP="003E47FA">
      <w:pPr>
        <w:pStyle w:val="Heading3"/>
      </w:pPr>
      <w:r w:rsidRPr="00FF5204">
        <w:t xml:space="preserve">Other forms of interaction </w:t>
      </w:r>
    </w:p>
    <w:p w14:paraId="12937376" w14:textId="77777777" w:rsidR="006D3CB9" w:rsidRPr="005E7F77" w:rsidRDefault="006D3CB9" w:rsidP="00BA0123">
      <w:pPr>
        <w:pStyle w:val="Heading4"/>
      </w:pPr>
      <w:r w:rsidRPr="005E7F77">
        <w:t>Systemic immunosuppression</w:t>
      </w:r>
    </w:p>
    <w:p w14:paraId="3DC13076" w14:textId="4A5FF765" w:rsidR="00493B85" w:rsidRDefault="006D3CB9" w:rsidP="005E7F77">
      <w:r w:rsidRPr="00BA5EB4">
        <w:t xml:space="preserve">The use of systemic corticosteroids and other </w:t>
      </w:r>
      <w:proofErr w:type="spellStart"/>
      <w:r w:rsidRPr="00BA5EB4">
        <w:t>immunosuppressants</w:t>
      </w:r>
      <w:proofErr w:type="spellEnd"/>
      <w:r w:rsidRPr="00BA5EB4">
        <w:t xml:space="preserve"> at baseline, before starting </w:t>
      </w:r>
      <w:proofErr w:type="spellStart"/>
      <w:r w:rsidRPr="00BA5EB4">
        <w:t>nivolumab</w:t>
      </w:r>
      <w:proofErr w:type="spellEnd"/>
      <w:r w:rsidRPr="00BA5EB4">
        <w:t xml:space="preserve">, should be avoided because of their potential interference with the </w:t>
      </w:r>
      <w:proofErr w:type="spellStart"/>
      <w:r w:rsidRPr="00BA5EB4">
        <w:t>pharmacodynamic</w:t>
      </w:r>
      <w:proofErr w:type="spellEnd"/>
      <w:r w:rsidRPr="00BA5EB4">
        <w:t xml:space="preserve"> activity. However, systemic corticosteroids and other </w:t>
      </w:r>
      <w:proofErr w:type="spellStart"/>
      <w:r w:rsidRPr="00BA5EB4">
        <w:t>immunosuppressants</w:t>
      </w:r>
      <w:proofErr w:type="spellEnd"/>
      <w:r w:rsidRPr="00BA5EB4">
        <w:t xml:space="preserve"> can be used after starting </w:t>
      </w:r>
      <w:proofErr w:type="spellStart"/>
      <w:r w:rsidRPr="00BA5EB4">
        <w:t>nivolumab</w:t>
      </w:r>
      <w:proofErr w:type="spellEnd"/>
      <w:r w:rsidRPr="00BA5EB4">
        <w:t xml:space="preserve"> to treat immune</w:t>
      </w:r>
      <w:r w:rsidRPr="00BA5EB4">
        <w:noBreakHyphen/>
        <w:t xml:space="preserve">related adverse reactions. The use of systemic immunosuppression after starting </w:t>
      </w:r>
      <w:proofErr w:type="spellStart"/>
      <w:r w:rsidRPr="00BA5EB4">
        <w:t>nivolumab</w:t>
      </w:r>
      <w:proofErr w:type="spellEnd"/>
      <w:r w:rsidRPr="00BA5EB4">
        <w:t xml:space="preserve"> treatment does not appear to impair the efficacy of </w:t>
      </w:r>
      <w:proofErr w:type="spellStart"/>
      <w:r w:rsidRPr="00BA5EB4">
        <w:t>nivolumab</w:t>
      </w:r>
      <w:proofErr w:type="spellEnd"/>
      <w:r w:rsidRPr="00BA5EB4">
        <w:t>.</w:t>
      </w:r>
    </w:p>
    <w:p w14:paraId="47C33CD2" w14:textId="60783C3D" w:rsidR="001A3992" w:rsidRPr="003B14A8" w:rsidRDefault="001A3992" w:rsidP="00493B85">
      <w:pPr>
        <w:pStyle w:val="Heading2"/>
      </w:pPr>
      <w:r w:rsidRPr="003B14A8">
        <w:t xml:space="preserve">Fertility, pregnancy and lactation </w:t>
      </w:r>
    </w:p>
    <w:p w14:paraId="280121BA" w14:textId="25530AD7" w:rsidR="001A3992" w:rsidRDefault="001A3992" w:rsidP="003E47FA">
      <w:pPr>
        <w:pStyle w:val="Heading3"/>
      </w:pPr>
      <w:r w:rsidRPr="003B14A8">
        <w:t>Effects on fertility</w:t>
      </w:r>
    </w:p>
    <w:p w14:paraId="46D4407A" w14:textId="4A6C822A" w:rsidR="006D3CB9" w:rsidRDefault="006D3CB9" w:rsidP="00294364">
      <w:pPr>
        <w:rPr>
          <w:noProof/>
        </w:rPr>
      </w:pPr>
      <w:r w:rsidRPr="0094339C">
        <w:t xml:space="preserve">Studies to evaluate the effect of </w:t>
      </w:r>
      <w:r>
        <w:t>OPDIVO</w:t>
      </w:r>
      <w:r w:rsidRPr="0094339C">
        <w:t xml:space="preserve"> on fertility have not been performed. Thus, </w:t>
      </w:r>
      <w:r w:rsidRPr="0094339C">
        <w:rPr>
          <w:noProof/>
        </w:rPr>
        <w:t xml:space="preserve">the effect of </w:t>
      </w:r>
      <w:r>
        <w:rPr>
          <w:noProof/>
        </w:rPr>
        <w:t>OPDIVO</w:t>
      </w:r>
      <w:r w:rsidRPr="0094339C">
        <w:t xml:space="preserve"> </w:t>
      </w:r>
      <w:r w:rsidRPr="0094339C">
        <w:rPr>
          <w:noProof/>
        </w:rPr>
        <w:t>on male and female fertility is unknown.</w:t>
      </w:r>
    </w:p>
    <w:p w14:paraId="4E77A374" w14:textId="527893F6" w:rsidR="001A3992" w:rsidRDefault="003C741E" w:rsidP="003E47FA">
      <w:pPr>
        <w:pStyle w:val="Heading3"/>
      </w:pPr>
      <w:r>
        <w:t>Use in pregnancy</w:t>
      </w:r>
      <w:r w:rsidR="006D3CB9">
        <w:t xml:space="preserve"> </w:t>
      </w:r>
      <w:r w:rsidR="006D3CB9" w:rsidRPr="006D3CB9">
        <w:t>(Category D)</w:t>
      </w:r>
    </w:p>
    <w:p w14:paraId="6A65EB6E" w14:textId="77777777" w:rsidR="006D3CB9" w:rsidRPr="0094339C" w:rsidRDefault="006D3CB9" w:rsidP="00294364">
      <w:pPr>
        <w:rPr>
          <w:b/>
        </w:rPr>
      </w:pPr>
      <w:r w:rsidRPr="0094339C">
        <w:t>OPDIVO is not recommended during pregnancy or in women of childbearing potential not using effective contraception, unless the clinical benefit outweighs the potential risk.</w:t>
      </w:r>
      <w:r>
        <w:t xml:space="preserve"> Advise females of reproductive potential to use effective contraception during treatment with OPDIVO for at least 5 months following the last dose of OPDIVO.</w:t>
      </w:r>
    </w:p>
    <w:p w14:paraId="6D68E8F8" w14:textId="2A5F8D9B" w:rsidR="006D3CB9" w:rsidRPr="0094339C" w:rsidRDefault="006D3CB9" w:rsidP="00294364">
      <w:pPr>
        <w:rPr>
          <w:sz w:val="24"/>
        </w:rPr>
      </w:pPr>
      <w:r w:rsidRPr="0094339C">
        <w:rPr>
          <w:sz w:val="24"/>
        </w:rPr>
        <w:t xml:space="preserve">There are no data on the use of </w:t>
      </w:r>
      <w:r>
        <w:rPr>
          <w:sz w:val="24"/>
        </w:rPr>
        <w:t>OPDIVO</w:t>
      </w:r>
      <w:r w:rsidRPr="0094339C">
        <w:rPr>
          <w:sz w:val="24"/>
        </w:rPr>
        <w:t xml:space="preserve"> in pregnant women. Human IgG4 is known to cross the placental barrier and </w:t>
      </w:r>
      <w:r>
        <w:rPr>
          <w:sz w:val="24"/>
        </w:rPr>
        <w:t>OPDIVO</w:t>
      </w:r>
      <w:r w:rsidRPr="0094339C">
        <w:rPr>
          <w:sz w:val="24"/>
        </w:rPr>
        <w:t xml:space="preserve"> is an IgG4; therefore </w:t>
      </w:r>
      <w:r>
        <w:rPr>
          <w:sz w:val="24"/>
        </w:rPr>
        <w:t>OPDIVO</w:t>
      </w:r>
      <w:r w:rsidRPr="0094339C">
        <w:rPr>
          <w:sz w:val="24"/>
        </w:rPr>
        <w:t xml:space="preserve"> has the potential to be transmitted from the mother to the developing </w:t>
      </w:r>
      <w:proofErr w:type="spellStart"/>
      <w:r w:rsidRPr="0094339C">
        <w:rPr>
          <w:sz w:val="24"/>
        </w:rPr>
        <w:t>fetus</w:t>
      </w:r>
      <w:proofErr w:type="spellEnd"/>
      <w:r w:rsidRPr="0094339C">
        <w:rPr>
          <w:sz w:val="24"/>
        </w:rPr>
        <w:t xml:space="preserve">. It is not known whether </w:t>
      </w:r>
      <w:proofErr w:type="spellStart"/>
      <w:r>
        <w:rPr>
          <w:sz w:val="24"/>
        </w:rPr>
        <w:t>nivolumab</w:t>
      </w:r>
      <w:proofErr w:type="spellEnd"/>
      <w:r w:rsidRPr="0094339C">
        <w:rPr>
          <w:sz w:val="24"/>
        </w:rPr>
        <w:t xml:space="preserve"> can cause </w:t>
      </w:r>
      <w:r>
        <w:rPr>
          <w:sz w:val="24"/>
        </w:rPr>
        <w:t>f</w:t>
      </w:r>
      <w:r w:rsidR="00F80465">
        <w:rPr>
          <w:sz w:val="24"/>
        </w:rPr>
        <w:t>o</w:t>
      </w:r>
      <w:r>
        <w:rPr>
          <w:sz w:val="24"/>
        </w:rPr>
        <w:t xml:space="preserve">etal </w:t>
      </w:r>
      <w:r w:rsidRPr="0094339C">
        <w:rPr>
          <w:sz w:val="24"/>
        </w:rPr>
        <w:t xml:space="preserve">harm when administered to a pregnant woman. </w:t>
      </w:r>
    </w:p>
    <w:p w14:paraId="5EC66C89" w14:textId="77777777" w:rsidR="001A3992" w:rsidRDefault="003C741E" w:rsidP="003E47FA">
      <w:pPr>
        <w:pStyle w:val="Heading3"/>
      </w:pPr>
      <w:r>
        <w:t>Use in lactation.</w:t>
      </w:r>
    </w:p>
    <w:p w14:paraId="4F9575AD" w14:textId="777A9408" w:rsidR="006D3CB9" w:rsidRDefault="006D3CB9" w:rsidP="00294364">
      <w:r w:rsidRPr="003F052E">
        <w:t xml:space="preserve">It is not known whether OPDIVO is secreted in human breast milk. </w:t>
      </w:r>
      <w:r w:rsidRPr="003F052E">
        <w:rPr>
          <w:color w:val="000000"/>
        </w:rPr>
        <w:t>Because many drugs, including antibodies, can be secreted in human milk, a</w:t>
      </w:r>
      <w:r w:rsidRPr="003F052E">
        <w:t xml:space="preserve"> risk to newborns/infants cannot be excluded. Clinical judgement is required to determine whether to discontinue breast-feeding or to discontinue OPDIVO therapy, taking into account the benefit of breast-feeding for the child and the benefit of therapy for the mother.</w:t>
      </w:r>
    </w:p>
    <w:p w14:paraId="0375B0C2" w14:textId="085DED6C" w:rsidR="001A3992" w:rsidRDefault="001A3992" w:rsidP="00DB5FE1">
      <w:pPr>
        <w:pStyle w:val="Heading2"/>
      </w:pPr>
      <w:r w:rsidRPr="003B14A8">
        <w:t>Effects on ab</w:t>
      </w:r>
      <w:r w:rsidR="003C741E">
        <w:t>ility to drive and use machines</w:t>
      </w:r>
    </w:p>
    <w:p w14:paraId="40F5382B" w14:textId="614C00CA" w:rsidR="00060386" w:rsidRDefault="00060386" w:rsidP="00294364">
      <w:r w:rsidRPr="000D1179">
        <w:t xml:space="preserve">No studies on the effects on the ability to drive and use machines have been performed. Based on its </w:t>
      </w:r>
      <w:proofErr w:type="spellStart"/>
      <w:r w:rsidRPr="000D1179">
        <w:t>pharmacodynamic</w:t>
      </w:r>
      <w:proofErr w:type="spellEnd"/>
      <w:r w:rsidRPr="000D1179">
        <w:t xml:space="preserve"> properties, </w:t>
      </w:r>
      <w:r>
        <w:t>OPDIVO</w:t>
      </w:r>
      <w:r w:rsidRPr="000D1179">
        <w:t xml:space="preserve"> is unlikely to affect this ability. Because of potential adverse </w:t>
      </w:r>
      <w:r w:rsidRPr="006D4B4C">
        <w:t>reactions such as fatigue (see</w:t>
      </w:r>
      <w:r>
        <w:t xml:space="preserve"> </w:t>
      </w:r>
      <w:r w:rsidR="00F80465">
        <w:t>Section 4.8</w:t>
      </w:r>
      <w:r w:rsidR="00DB5FE1">
        <w:t xml:space="preserve"> Adverse effects</w:t>
      </w:r>
      <w:r w:rsidR="00F80465">
        <w:t>)</w:t>
      </w:r>
      <w:r w:rsidRPr="006D4B4C">
        <w:t xml:space="preserve">, patients should be advised to use caution </w:t>
      </w:r>
      <w:r w:rsidRPr="006D4B4C">
        <w:lastRenderedPageBreak/>
        <w:t>when driving or operating machinery until</w:t>
      </w:r>
      <w:r w:rsidRPr="000D1179">
        <w:t xml:space="preserve"> they are certain that </w:t>
      </w:r>
      <w:r>
        <w:t>OPDIVO</w:t>
      </w:r>
      <w:r w:rsidRPr="000D1179">
        <w:t xml:space="preserve"> does not adversely affect them.</w:t>
      </w:r>
    </w:p>
    <w:p w14:paraId="7150EC92" w14:textId="6DCB1C96" w:rsidR="001A3992" w:rsidRDefault="001A3992" w:rsidP="00DB5FE1">
      <w:pPr>
        <w:pStyle w:val="Heading2"/>
      </w:pPr>
      <w:r w:rsidRPr="003B14A8">
        <w:t>Adverse effects (Undesirable effects)</w:t>
      </w:r>
    </w:p>
    <w:p w14:paraId="60D6C9F9" w14:textId="77777777" w:rsidR="00060386" w:rsidRPr="00CB4B99" w:rsidRDefault="00060386" w:rsidP="003E47FA">
      <w:pPr>
        <w:pStyle w:val="Heading3"/>
      </w:pPr>
      <w:r w:rsidRPr="00CB4B99">
        <w:t>Summary of the safety profile</w:t>
      </w:r>
    </w:p>
    <w:p w14:paraId="048FDA81" w14:textId="77777777" w:rsidR="00060386" w:rsidRPr="00CB4B99" w:rsidRDefault="00060386" w:rsidP="00BA0123">
      <w:pPr>
        <w:pStyle w:val="Heading4"/>
      </w:pPr>
      <w:proofErr w:type="spellStart"/>
      <w:r w:rsidRPr="00CB4B99">
        <w:t>Nivolumab</w:t>
      </w:r>
      <w:proofErr w:type="spellEnd"/>
      <w:r w:rsidRPr="00CB4B99">
        <w:t xml:space="preserve"> Monotherapy</w:t>
      </w:r>
    </w:p>
    <w:p w14:paraId="25976FDE" w14:textId="1E9CB07C" w:rsidR="00060386" w:rsidRDefault="00060386" w:rsidP="00294364">
      <w:proofErr w:type="spellStart"/>
      <w:r w:rsidRPr="00CB4B99">
        <w:t>Nivolumab</w:t>
      </w:r>
      <w:proofErr w:type="spellEnd"/>
      <w:r w:rsidRPr="00CB4B99">
        <w:t xml:space="preserve"> is </w:t>
      </w:r>
      <w:r w:rsidRPr="00655F9F">
        <w:t>most</w:t>
      </w:r>
      <w:r w:rsidRPr="00CB4B99">
        <w:t xml:space="preserve"> commonly associated with immune-related adverse reactions. Most of these, including severe reactions, resolved following initiation of appropriate medical therapy or withdrawal of </w:t>
      </w:r>
      <w:proofErr w:type="spellStart"/>
      <w:r w:rsidRPr="00CB4B99">
        <w:t>nivolumab</w:t>
      </w:r>
      <w:proofErr w:type="spellEnd"/>
      <w:r w:rsidRPr="00CB4B99">
        <w:t xml:space="preserve"> (see </w:t>
      </w:r>
      <w:r w:rsidR="00F80465">
        <w:rPr>
          <w:rFonts w:eastAsia="TimesNewRoman"/>
        </w:rPr>
        <w:t xml:space="preserve">Section 4.8 </w:t>
      </w:r>
      <w:r w:rsidR="00DB5FE1">
        <w:rPr>
          <w:rFonts w:eastAsia="TimesNewRoman"/>
        </w:rPr>
        <w:t>Adverse effects</w:t>
      </w:r>
      <w:r w:rsidR="00310419">
        <w:rPr>
          <w:rFonts w:eastAsia="TimesNewRoman"/>
        </w:rPr>
        <w:t xml:space="preserve"> -</w:t>
      </w:r>
      <w:r w:rsidR="00DB5FE1">
        <w:rPr>
          <w:rFonts w:eastAsia="TimesNewRoman"/>
        </w:rPr>
        <w:t xml:space="preserve"> </w:t>
      </w:r>
      <w:r w:rsidR="00F80465">
        <w:rPr>
          <w:rFonts w:eastAsia="TimesNewRoman"/>
        </w:rPr>
        <w:t>Selected immune-related adverse reactions)</w:t>
      </w:r>
      <w:r w:rsidRPr="00CB4B99">
        <w:t>.</w:t>
      </w:r>
    </w:p>
    <w:p w14:paraId="7037133E" w14:textId="5CB446A5" w:rsidR="00060386" w:rsidRDefault="00060386" w:rsidP="00294364">
      <w:r w:rsidRPr="00CB4B99">
        <w:t xml:space="preserve">In the pooled dataset of </w:t>
      </w:r>
      <w:proofErr w:type="spellStart"/>
      <w:r w:rsidRPr="00CB4B99">
        <w:t>nivolumab</w:t>
      </w:r>
      <w:proofErr w:type="spellEnd"/>
      <w:r w:rsidRPr="00CB4B99">
        <w:t xml:space="preserve"> 3 mg/kg as monotherapy across tumour types (</w:t>
      </w:r>
      <w:r>
        <w:t xml:space="preserve">Melanoma: </w:t>
      </w:r>
      <w:r w:rsidRPr="00CB4B99">
        <w:t xml:space="preserve">CA209066, CA209037, CA209067 </w:t>
      </w:r>
      <w:r>
        <w:t>[</w:t>
      </w:r>
      <w:r w:rsidRPr="00CB4B99">
        <w:t>monotherapy group only</w:t>
      </w:r>
      <w:r>
        <w:t>]</w:t>
      </w:r>
      <w:r w:rsidRPr="00CB4B99">
        <w:t xml:space="preserve">, </w:t>
      </w:r>
      <w:r>
        <w:t xml:space="preserve">SQ NSCLC: </w:t>
      </w:r>
      <w:r w:rsidRPr="00CB4B99">
        <w:t>CA209017, CA209063</w:t>
      </w:r>
      <w:r>
        <w:t>,</w:t>
      </w:r>
      <w:r w:rsidRPr="00CB4B99">
        <w:t xml:space="preserve"> </w:t>
      </w:r>
      <w:r>
        <w:t>NS</w:t>
      </w:r>
      <w:r w:rsidR="00A85FED">
        <w:t>Q</w:t>
      </w:r>
      <w:r>
        <w:t xml:space="preserve"> NSCLC: </w:t>
      </w:r>
      <w:r w:rsidRPr="00CB4B99">
        <w:t xml:space="preserve">CA209057, </w:t>
      </w:r>
      <w:r>
        <w:t xml:space="preserve">RCC: </w:t>
      </w:r>
      <w:r w:rsidRPr="00CB4B99">
        <w:t>CA209025</w:t>
      </w:r>
      <w:r>
        <w:t>,cHL: CA209205 and</w:t>
      </w:r>
      <w:r w:rsidR="00C76523">
        <w:t xml:space="preserve"> </w:t>
      </w:r>
      <w:r>
        <w:t>CA209039</w:t>
      </w:r>
      <w:r w:rsidR="00C76523">
        <w:t>,</w:t>
      </w:r>
      <w:r>
        <w:t xml:space="preserve"> SCCHN: CA209141</w:t>
      </w:r>
      <w:r w:rsidR="00C76523">
        <w:t xml:space="preserve"> and UC: CA209275 and CA209032</w:t>
      </w:r>
      <w:r w:rsidRPr="00CB4B99">
        <w:t>), the most frequent adverse reactions (≥ 10%) were fatigue (</w:t>
      </w:r>
      <w:r>
        <w:t>30%</w:t>
      </w:r>
      <w:r w:rsidRPr="00CB4B99">
        <w:t>), rash (</w:t>
      </w:r>
      <w:r>
        <w:t>17%</w:t>
      </w:r>
      <w:r w:rsidRPr="00CB4B99">
        <w:t>), pruritus (</w:t>
      </w:r>
      <w:r w:rsidR="00C76523">
        <w:t>13%</w:t>
      </w:r>
      <w:r w:rsidRPr="00CB4B99">
        <w:t>), diarrhoea (</w:t>
      </w:r>
      <w:r w:rsidR="00C76523">
        <w:t>13%</w:t>
      </w:r>
      <w:r w:rsidRPr="00CB4B99">
        <w:t>)</w:t>
      </w:r>
      <w:r>
        <w:t xml:space="preserve"> and </w:t>
      </w:r>
      <w:r w:rsidRPr="00CB4B99">
        <w:t>nausea (</w:t>
      </w:r>
      <w:r>
        <w:t>12%</w:t>
      </w:r>
      <w:r w:rsidRPr="00CB4B99">
        <w:t>). The majority of adverse reactions were mild to moderate (Grade 1 or 2).</w:t>
      </w:r>
    </w:p>
    <w:p w14:paraId="49D4E021" w14:textId="77777777" w:rsidR="00353D2E" w:rsidRPr="00353D2E" w:rsidRDefault="00353D2E" w:rsidP="00353D2E">
      <w:pPr>
        <w:pStyle w:val="Heading4"/>
      </w:pPr>
      <w:proofErr w:type="spellStart"/>
      <w:r w:rsidRPr="00353D2E">
        <w:t>Nivolumab</w:t>
      </w:r>
      <w:proofErr w:type="spellEnd"/>
      <w:r w:rsidRPr="00353D2E">
        <w:t xml:space="preserve"> monotherapy in adjuvant melanoma </w:t>
      </w:r>
    </w:p>
    <w:p w14:paraId="5440ED18" w14:textId="77777777" w:rsidR="00353D2E" w:rsidRPr="00353D2E" w:rsidRDefault="00353D2E" w:rsidP="00353D2E">
      <w:r w:rsidRPr="00353D2E">
        <w:t xml:space="preserve">In the dataset of </w:t>
      </w:r>
      <w:proofErr w:type="spellStart"/>
      <w:r w:rsidRPr="00353D2E">
        <w:t>nivolumab</w:t>
      </w:r>
      <w:proofErr w:type="spellEnd"/>
      <w:r w:rsidRPr="00353D2E">
        <w:t xml:space="preserve"> 3 mg/kg as monotherapy for the adjuvant treatment of melanoma (n = 452), the most frequent adverse reactions (≥ 10%) were fatigue (46%), rash (29%), diarrhoea (24%), pruritus (23%), nausea (15%), arthralgia (13%), musculoskeletal pain (11%), and  hypothyroidism (11%). The majority of adverse reactions were mild to moderate (Grade 1 or 2).</w:t>
      </w:r>
    </w:p>
    <w:p w14:paraId="59D49C1E" w14:textId="77777777" w:rsidR="00353D2E" w:rsidRPr="00E81178" w:rsidRDefault="00353D2E" w:rsidP="00353D2E">
      <w:r w:rsidRPr="00353D2E">
        <w:t xml:space="preserve">The overall safety profile of OPDIVO 3 mg/kg for the treatment of adjuvant melanoma was consistent with that established across tumour types for </w:t>
      </w:r>
      <w:proofErr w:type="spellStart"/>
      <w:r w:rsidRPr="00353D2E">
        <w:t>nivolumab</w:t>
      </w:r>
      <w:proofErr w:type="spellEnd"/>
      <w:r w:rsidRPr="00353D2E">
        <w:t xml:space="preserve"> monotherapy.</w:t>
      </w:r>
    </w:p>
    <w:p w14:paraId="08283913" w14:textId="77777777" w:rsidR="00060386" w:rsidRPr="00AA7F53" w:rsidRDefault="00060386" w:rsidP="00BA0123">
      <w:pPr>
        <w:pStyle w:val="Heading4"/>
      </w:pPr>
      <w:proofErr w:type="spellStart"/>
      <w:r w:rsidRPr="00AA7F53">
        <w:t>Nivolumab</w:t>
      </w:r>
      <w:proofErr w:type="spellEnd"/>
      <w:r w:rsidRPr="00AA7F53">
        <w:t xml:space="preserve"> in combination with </w:t>
      </w:r>
      <w:proofErr w:type="spellStart"/>
      <w:r w:rsidRPr="00AA7F53">
        <w:t>ipilimumab</w:t>
      </w:r>
      <w:proofErr w:type="spellEnd"/>
    </w:p>
    <w:p w14:paraId="5D2D8F30" w14:textId="77777777" w:rsidR="00060386" w:rsidRDefault="00060386" w:rsidP="00294364">
      <w:r w:rsidRPr="008B0B79">
        <w:t xml:space="preserve">In the pooled dataset of </w:t>
      </w:r>
      <w:proofErr w:type="spellStart"/>
      <w:r w:rsidRPr="008B0B79">
        <w:t>nivolumab</w:t>
      </w:r>
      <w:proofErr w:type="spellEnd"/>
      <w:r w:rsidRPr="008B0B79">
        <w:t xml:space="preserve"> in combination with </w:t>
      </w:r>
      <w:proofErr w:type="spellStart"/>
      <w:r w:rsidRPr="008B0B79">
        <w:t>ipilimumab</w:t>
      </w:r>
      <w:proofErr w:type="spellEnd"/>
      <w:r w:rsidRPr="008B0B79">
        <w:t xml:space="preserve"> in melanoma (CA209067 [combination group], CA209069, and CA209004-cohort 8), the most frequent adverse reactions (≥ 10%) were rash (51%), fatigue (43%), diarrhoea (42%), pruritus (35%), nausea (25%), pyrexia (19%), decreased appetite (15%), hypothyroidism (15%), vomiting (14%), colitis (14%), abdominal pain (13%), arthralgia (11%), and headache (11%). The majority of adverse reactions were mild to moderate (Grade 1 or 2).</w:t>
      </w:r>
    </w:p>
    <w:p w14:paraId="7A224777" w14:textId="222C7065" w:rsidR="00060386" w:rsidRPr="00CB4B99" w:rsidRDefault="00060386" w:rsidP="00294364">
      <w:r w:rsidRPr="008B0B79">
        <w:t xml:space="preserve">Among the patients treated with </w:t>
      </w:r>
      <w:proofErr w:type="spellStart"/>
      <w:r w:rsidRPr="008B0B79">
        <w:t>nivolumab</w:t>
      </w:r>
      <w:proofErr w:type="spellEnd"/>
      <w:r w:rsidRPr="008B0B79">
        <w:t xml:space="preserve"> </w:t>
      </w:r>
      <w:r w:rsidR="00C76523">
        <w:t xml:space="preserve">1mg/kg </w:t>
      </w:r>
      <w:r w:rsidRPr="008B0B79">
        <w:t xml:space="preserve">in combination with </w:t>
      </w:r>
      <w:proofErr w:type="spellStart"/>
      <w:r w:rsidRPr="008B0B79">
        <w:t>ipilimumab</w:t>
      </w:r>
      <w:proofErr w:type="spellEnd"/>
      <w:r w:rsidRPr="008B0B79">
        <w:t xml:space="preserve"> </w:t>
      </w:r>
      <w:r w:rsidR="00C76523">
        <w:t xml:space="preserve">3mg/kg </w:t>
      </w:r>
      <w:r w:rsidRPr="008B0B79">
        <w:t xml:space="preserve">in CA209067, 151/313 (48%) had the first onset of Grade 3 or 4 adverse reactions during the initial combination phase. Among the 147 patients in this group who continued treatment in the single-agent phase, 37 (25%) experienced at least one Grade 3 or 4 adverse </w:t>
      </w:r>
      <w:proofErr w:type="gramStart"/>
      <w:r w:rsidRPr="008B0B79">
        <w:t>reaction</w:t>
      </w:r>
      <w:proofErr w:type="gramEnd"/>
      <w:r w:rsidRPr="008B0B79">
        <w:t xml:space="preserve"> during the single-agent phase.</w:t>
      </w:r>
    </w:p>
    <w:p w14:paraId="41D42E82" w14:textId="77777777" w:rsidR="00060386" w:rsidRPr="00CB4B99" w:rsidRDefault="00060386" w:rsidP="003E47FA">
      <w:pPr>
        <w:pStyle w:val="Heading3"/>
      </w:pPr>
      <w:r w:rsidRPr="00CB4B99">
        <w:t>Tabulated summary of adverse reactions</w:t>
      </w:r>
    </w:p>
    <w:p w14:paraId="67DDF529" w14:textId="0107F735" w:rsidR="00060386" w:rsidRDefault="00060386" w:rsidP="00571096">
      <w:r w:rsidRPr="000D3832">
        <w:t xml:space="preserve">Adverse reactions reported in the pooled dataset for patients treated with </w:t>
      </w:r>
      <w:proofErr w:type="spellStart"/>
      <w:r w:rsidRPr="000D3832">
        <w:t>nivolumab</w:t>
      </w:r>
      <w:proofErr w:type="spellEnd"/>
      <w:r w:rsidRPr="000D3832">
        <w:t xml:space="preserve"> monotherapy (n = </w:t>
      </w:r>
      <w:r w:rsidR="00746B5A">
        <w:t>2578</w:t>
      </w:r>
      <w:r w:rsidRPr="000D3832">
        <w:t xml:space="preserve">) and for patients treated with </w:t>
      </w:r>
      <w:proofErr w:type="spellStart"/>
      <w:r w:rsidRPr="000D3832">
        <w:t>nivolumab</w:t>
      </w:r>
      <w:proofErr w:type="spellEnd"/>
      <w:r w:rsidRPr="000D3832">
        <w:t xml:space="preserve"> in combination with </w:t>
      </w:r>
      <w:proofErr w:type="spellStart"/>
      <w:r w:rsidRPr="000D3832">
        <w:t>ipilimumab</w:t>
      </w:r>
      <w:proofErr w:type="spellEnd"/>
      <w:r w:rsidRPr="000D3832">
        <w:t xml:space="preserve"> (n = 448) are presented </w:t>
      </w:r>
      <w:r w:rsidRPr="007E6C80">
        <w:t>in Table </w:t>
      </w:r>
      <w:r w:rsidR="00DC742F">
        <w:t>2</w:t>
      </w:r>
      <w:r w:rsidRPr="008B0B79">
        <w:t>. These reactions are presented by system organ class and by frequency. Frequencies are defined as: very common (≥ 1/10); common (≥ 1/100 to &lt; 1/</w:t>
      </w:r>
      <w:r>
        <w:t xml:space="preserve">10); </w:t>
      </w:r>
      <w:r w:rsidRPr="008B0B79">
        <w:t xml:space="preserve">uncommon (≥ 1/1,000 to &lt; 1/100); rare (≥ 1/10,000 to &lt; 1/1,000); very rare (&lt; 1/10,000).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3"/>
        <w:gridCol w:w="3836"/>
        <w:gridCol w:w="3837"/>
      </w:tblGrid>
      <w:tr w:rsidR="00060386" w:rsidRPr="00CB4B99" w14:paraId="42972B48" w14:textId="77777777" w:rsidTr="00C659AE">
        <w:trPr>
          <w:trHeight w:val="284"/>
          <w:tblHeader/>
        </w:trPr>
        <w:tc>
          <w:tcPr>
            <w:tcW w:w="9356" w:type="dxa"/>
            <w:gridSpan w:val="3"/>
            <w:tcBorders>
              <w:top w:val="nil"/>
              <w:left w:val="nil"/>
              <w:bottom w:val="single" w:sz="4" w:space="0" w:color="auto"/>
              <w:right w:val="nil"/>
            </w:tcBorders>
          </w:tcPr>
          <w:p w14:paraId="1D0E2466" w14:textId="5699AE51" w:rsidR="00060386" w:rsidRPr="00714903" w:rsidRDefault="00060386" w:rsidP="00DC742F">
            <w:pPr>
              <w:pStyle w:val="EMEABodyText"/>
              <w:keepNext/>
              <w:rPr>
                <w:b/>
                <w:color w:val="000000" w:themeColor="text1"/>
                <w:szCs w:val="22"/>
              </w:rPr>
            </w:pPr>
            <w:r w:rsidRPr="00714903">
              <w:rPr>
                <w:b/>
                <w:bCs/>
                <w:color w:val="000000" w:themeColor="text1"/>
                <w:szCs w:val="22"/>
              </w:rPr>
              <w:lastRenderedPageBreak/>
              <w:t xml:space="preserve">Table </w:t>
            </w:r>
            <w:r w:rsidR="00DC742F" w:rsidRPr="00714903">
              <w:rPr>
                <w:b/>
                <w:bCs/>
                <w:color w:val="000000" w:themeColor="text1"/>
                <w:szCs w:val="22"/>
              </w:rPr>
              <w:t>2</w:t>
            </w:r>
            <w:r w:rsidRPr="00714903">
              <w:rPr>
                <w:b/>
                <w:bCs/>
                <w:color w:val="000000" w:themeColor="text1"/>
                <w:szCs w:val="22"/>
              </w:rPr>
              <w:t>:</w:t>
            </w:r>
            <w:r w:rsidRPr="00714903">
              <w:rPr>
                <w:color w:val="000000" w:themeColor="text1"/>
                <w:szCs w:val="22"/>
              </w:rPr>
              <w:tab/>
            </w:r>
            <w:r w:rsidRPr="00714903">
              <w:rPr>
                <w:b/>
                <w:color w:val="000000" w:themeColor="text1"/>
                <w:szCs w:val="22"/>
              </w:rPr>
              <w:t>Adverse reactions in clinical trials</w:t>
            </w:r>
          </w:p>
        </w:tc>
      </w:tr>
      <w:tr w:rsidR="00060386" w:rsidRPr="00CB4B99" w14:paraId="189BDC8A" w14:textId="77777777" w:rsidTr="00C659AE">
        <w:trPr>
          <w:trHeight w:val="588"/>
          <w:tblHeader/>
        </w:trPr>
        <w:tc>
          <w:tcPr>
            <w:tcW w:w="1683" w:type="dxa"/>
            <w:tcBorders>
              <w:top w:val="single" w:sz="4" w:space="0" w:color="auto"/>
              <w:left w:val="single" w:sz="4" w:space="0" w:color="auto"/>
              <w:bottom w:val="single" w:sz="4" w:space="0" w:color="auto"/>
              <w:right w:val="single" w:sz="4" w:space="0" w:color="auto"/>
            </w:tcBorders>
          </w:tcPr>
          <w:p w14:paraId="3C6434E9" w14:textId="77777777" w:rsidR="00060386" w:rsidRPr="00714903" w:rsidRDefault="00060386" w:rsidP="00C659AE">
            <w:pPr>
              <w:pStyle w:val="EMEABodyText"/>
              <w:keepNext/>
              <w:rPr>
                <w:b/>
                <w:bCs/>
                <w:color w:val="000000" w:themeColor="text1"/>
                <w:sz w:val="20"/>
                <w:szCs w:val="20"/>
              </w:rPr>
            </w:pPr>
          </w:p>
        </w:tc>
        <w:tc>
          <w:tcPr>
            <w:tcW w:w="3836" w:type="dxa"/>
            <w:tcBorders>
              <w:top w:val="single" w:sz="4" w:space="0" w:color="auto"/>
              <w:left w:val="single" w:sz="4" w:space="0" w:color="auto"/>
              <w:bottom w:val="single" w:sz="4" w:space="0" w:color="auto"/>
              <w:right w:val="single" w:sz="4" w:space="0" w:color="auto"/>
            </w:tcBorders>
          </w:tcPr>
          <w:p w14:paraId="6B4E9A9F" w14:textId="77777777" w:rsidR="00060386" w:rsidRPr="00714903" w:rsidRDefault="00060386" w:rsidP="00C659AE">
            <w:pPr>
              <w:pStyle w:val="EMEABodyText"/>
              <w:keepNext/>
              <w:rPr>
                <w:b/>
                <w:bCs/>
                <w:color w:val="000000" w:themeColor="text1"/>
                <w:sz w:val="20"/>
                <w:szCs w:val="20"/>
              </w:rPr>
            </w:pPr>
            <w:proofErr w:type="spellStart"/>
            <w:r w:rsidRPr="00714903">
              <w:rPr>
                <w:b/>
                <w:color w:val="000000" w:themeColor="text1"/>
                <w:sz w:val="20"/>
                <w:szCs w:val="20"/>
              </w:rPr>
              <w:t>Nivolumab</w:t>
            </w:r>
            <w:proofErr w:type="spellEnd"/>
            <w:r w:rsidRPr="00714903">
              <w:rPr>
                <w:b/>
                <w:color w:val="000000" w:themeColor="text1"/>
                <w:sz w:val="20"/>
                <w:szCs w:val="20"/>
              </w:rPr>
              <w:t xml:space="preserve"> monotherapy </w:t>
            </w:r>
          </w:p>
        </w:tc>
        <w:tc>
          <w:tcPr>
            <w:tcW w:w="3837" w:type="dxa"/>
            <w:tcBorders>
              <w:top w:val="single" w:sz="4" w:space="0" w:color="auto"/>
              <w:left w:val="single" w:sz="4" w:space="0" w:color="auto"/>
              <w:bottom w:val="single" w:sz="4" w:space="0" w:color="auto"/>
              <w:right w:val="single" w:sz="4" w:space="0" w:color="auto"/>
            </w:tcBorders>
          </w:tcPr>
          <w:p w14:paraId="418EA6A5" w14:textId="77777777" w:rsidR="00060386" w:rsidRPr="00714903" w:rsidRDefault="00060386" w:rsidP="00C659AE">
            <w:pPr>
              <w:pStyle w:val="EMEABodyText"/>
              <w:keepNext/>
              <w:rPr>
                <w:b/>
                <w:bCs/>
                <w:color w:val="000000" w:themeColor="text1"/>
                <w:sz w:val="20"/>
                <w:szCs w:val="20"/>
              </w:rPr>
            </w:pPr>
            <w:proofErr w:type="spellStart"/>
            <w:r w:rsidRPr="00714903">
              <w:rPr>
                <w:b/>
                <w:color w:val="000000" w:themeColor="text1"/>
                <w:sz w:val="20"/>
                <w:szCs w:val="20"/>
              </w:rPr>
              <w:t>Nivolumab</w:t>
            </w:r>
            <w:proofErr w:type="spellEnd"/>
            <w:r w:rsidRPr="00714903">
              <w:rPr>
                <w:b/>
                <w:color w:val="000000" w:themeColor="text1"/>
                <w:sz w:val="20"/>
                <w:szCs w:val="20"/>
              </w:rPr>
              <w:t xml:space="preserve"> in combination with </w:t>
            </w:r>
            <w:proofErr w:type="spellStart"/>
            <w:r w:rsidRPr="00714903">
              <w:rPr>
                <w:b/>
                <w:color w:val="000000" w:themeColor="text1"/>
                <w:sz w:val="20"/>
                <w:szCs w:val="20"/>
              </w:rPr>
              <w:t>ipilimumab</w:t>
            </w:r>
            <w:proofErr w:type="spellEnd"/>
            <w:r w:rsidRPr="00714903">
              <w:rPr>
                <w:b/>
                <w:color w:val="000000" w:themeColor="text1"/>
                <w:sz w:val="20"/>
                <w:szCs w:val="20"/>
              </w:rPr>
              <w:t xml:space="preserve"> </w:t>
            </w:r>
          </w:p>
        </w:tc>
      </w:tr>
      <w:tr w:rsidR="00060386" w:rsidRPr="00CB4B99" w14:paraId="72E0868E" w14:textId="77777777" w:rsidTr="00FB13AC">
        <w:trPr>
          <w:trHeight w:val="283"/>
        </w:trPr>
        <w:tc>
          <w:tcPr>
            <w:tcW w:w="9356" w:type="dxa"/>
            <w:gridSpan w:val="3"/>
            <w:tcBorders>
              <w:top w:val="single" w:sz="4" w:space="0" w:color="auto"/>
            </w:tcBorders>
            <w:shd w:val="clear" w:color="auto" w:fill="FFFFFF"/>
          </w:tcPr>
          <w:p w14:paraId="2E685062" w14:textId="77777777" w:rsidR="00060386" w:rsidRPr="00714903" w:rsidRDefault="00060386" w:rsidP="00C659AE">
            <w:pPr>
              <w:pStyle w:val="EMEABodyText"/>
              <w:keepNext/>
              <w:rPr>
                <w:b/>
                <w:color w:val="000000" w:themeColor="text1"/>
                <w:sz w:val="20"/>
                <w:szCs w:val="20"/>
              </w:rPr>
            </w:pPr>
            <w:r w:rsidRPr="00714903">
              <w:rPr>
                <w:b/>
                <w:color w:val="000000" w:themeColor="text1"/>
                <w:sz w:val="20"/>
                <w:szCs w:val="20"/>
              </w:rPr>
              <w:t>Infections and infestations</w:t>
            </w:r>
          </w:p>
        </w:tc>
      </w:tr>
      <w:tr w:rsidR="00060386" w:rsidRPr="00CB4B99" w14:paraId="1C46DDE6" w14:textId="77777777" w:rsidTr="00FB13AC">
        <w:trPr>
          <w:trHeight w:val="269"/>
        </w:trPr>
        <w:tc>
          <w:tcPr>
            <w:tcW w:w="1683" w:type="dxa"/>
          </w:tcPr>
          <w:p w14:paraId="2A96F650"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tcPr>
          <w:p w14:paraId="7C74374C"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upper respiratory tract infection</w:t>
            </w:r>
          </w:p>
        </w:tc>
        <w:tc>
          <w:tcPr>
            <w:tcW w:w="3837" w:type="dxa"/>
          </w:tcPr>
          <w:p w14:paraId="117A4F7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pneumonia, upper respiratory tract infection</w:t>
            </w:r>
          </w:p>
        </w:tc>
      </w:tr>
      <w:tr w:rsidR="00060386" w:rsidRPr="00CB4B99" w14:paraId="3E04967C" w14:textId="77777777" w:rsidTr="00FB13AC">
        <w:trPr>
          <w:trHeight w:val="269"/>
        </w:trPr>
        <w:tc>
          <w:tcPr>
            <w:tcW w:w="1683" w:type="dxa"/>
          </w:tcPr>
          <w:p w14:paraId="65BB8257"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tcPr>
          <w:p w14:paraId="65842FE0"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pneumonia</w:t>
            </w:r>
            <w:r w:rsidRPr="00714903">
              <w:rPr>
                <w:color w:val="000000" w:themeColor="text1"/>
                <w:spacing w:val="3"/>
                <w:sz w:val="20"/>
                <w:szCs w:val="20"/>
                <w:vertAlign w:val="superscript"/>
              </w:rPr>
              <w:t>a</w:t>
            </w:r>
            <w:proofErr w:type="spellEnd"/>
            <w:r w:rsidRPr="00714903">
              <w:rPr>
                <w:color w:val="000000" w:themeColor="text1"/>
                <w:spacing w:val="3"/>
                <w:sz w:val="20"/>
                <w:szCs w:val="20"/>
              </w:rPr>
              <w:t>, bronchitis</w:t>
            </w:r>
          </w:p>
        </w:tc>
        <w:tc>
          <w:tcPr>
            <w:tcW w:w="3837" w:type="dxa"/>
          </w:tcPr>
          <w:p w14:paraId="1B2D9046"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bronchitis</w:t>
            </w:r>
          </w:p>
        </w:tc>
      </w:tr>
      <w:tr w:rsidR="00060386" w:rsidRPr="00CB4B99" w14:paraId="1ED82B8B"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
        </w:trPr>
        <w:tc>
          <w:tcPr>
            <w:tcW w:w="9356" w:type="dxa"/>
            <w:gridSpan w:val="3"/>
            <w:tcBorders>
              <w:top w:val="single" w:sz="4" w:space="0" w:color="auto"/>
              <w:left w:val="single" w:sz="4" w:space="0" w:color="auto"/>
              <w:bottom w:val="single" w:sz="4" w:space="0" w:color="auto"/>
              <w:right w:val="single" w:sz="4" w:space="0" w:color="auto"/>
            </w:tcBorders>
            <w:shd w:val="clear" w:color="auto" w:fill="FFFFFF"/>
          </w:tcPr>
          <w:p w14:paraId="510DF0B5" w14:textId="77777777" w:rsidR="00060386" w:rsidRPr="00714903" w:rsidRDefault="00060386" w:rsidP="00C659AE">
            <w:pPr>
              <w:pStyle w:val="EMEABodyText"/>
              <w:keepNext/>
              <w:rPr>
                <w:b/>
                <w:color w:val="000000" w:themeColor="text1"/>
                <w:sz w:val="20"/>
                <w:szCs w:val="20"/>
              </w:rPr>
            </w:pPr>
            <w:r w:rsidRPr="00714903">
              <w:rPr>
                <w:b/>
                <w:bCs/>
                <w:iCs/>
                <w:color w:val="000000" w:themeColor="text1"/>
                <w:sz w:val="20"/>
                <w:szCs w:val="20"/>
              </w:rPr>
              <w:t>Neoplasms benign, malignant and unspecified (including cysts and polyps)</w:t>
            </w:r>
          </w:p>
        </w:tc>
      </w:tr>
      <w:tr w:rsidR="00060386" w:rsidRPr="00CB4B99" w14:paraId="32E04B63"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660B3A87" w14:textId="77777777" w:rsidR="00060386" w:rsidRPr="00714903" w:rsidRDefault="00060386" w:rsidP="00C659AE">
            <w:pPr>
              <w:pStyle w:val="EMEABodyText"/>
              <w:keepNext/>
              <w:rPr>
                <w:color w:val="000000" w:themeColor="text1"/>
                <w:sz w:val="20"/>
                <w:szCs w:val="20"/>
              </w:rPr>
            </w:pPr>
            <w:r w:rsidRPr="00714903">
              <w:rPr>
                <w:color w:val="000000" w:themeColor="text1"/>
                <w:spacing w:val="3"/>
                <w:sz w:val="20"/>
                <w:szCs w:val="20"/>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D12E60" w14:textId="77777777" w:rsidR="00060386" w:rsidRPr="00714903" w:rsidRDefault="00060386" w:rsidP="00C659AE">
            <w:pPr>
              <w:pStyle w:val="EMEABodyText"/>
              <w:keepNext/>
              <w:rPr>
                <w:strike/>
                <w:color w:val="000000" w:themeColor="text1"/>
                <w:spacing w:val="3"/>
                <w:sz w:val="20"/>
                <w:szCs w:val="20"/>
              </w:rPr>
            </w:pPr>
            <w:r w:rsidRPr="00714903">
              <w:rPr>
                <w:color w:val="000000" w:themeColor="text1"/>
                <w:sz w:val="20"/>
                <w:szCs w:val="20"/>
              </w:rPr>
              <w:t>histiocytic necrotising lymphadenitis (Kikuchi lymphadenitis)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0EECF0D8" w14:textId="77777777" w:rsidR="00060386" w:rsidRPr="00714903" w:rsidRDefault="00060386" w:rsidP="00C659AE">
            <w:pPr>
              <w:pStyle w:val="EMEABodyText"/>
              <w:keepNext/>
              <w:rPr>
                <w:strike/>
                <w:color w:val="000000" w:themeColor="text1"/>
                <w:spacing w:val="3"/>
                <w:sz w:val="20"/>
                <w:szCs w:val="20"/>
              </w:rPr>
            </w:pPr>
          </w:p>
        </w:tc>
      </w:tr>
      <w:tr w:rsidR="00060386" w:rsidRPr="00CB4B99" w14:paraId="0CCE1C1C" w14:textId="77777777" w:rsidTr="00FB13AC">
        <w:trPr>
          <w:trHeight w:val="269"/>
        </w:trPr>
        <w:tc>
          <w:tcPr>
            <w:tcW w:w="9356" w:type="dxa"/>
            <w:gridSpan w:val="3"/>
            <w:tcBorders>
              <w:bottom w:val="single" w:sz="4" w:space="0" w:color="auto"/>
            </w:tcBorders>
            <w:shd w:val="clear" w:color="auto" w:fill="FFFFFF"/>
          </w:tcPr>
          <w:p w14:paraId="61B8E24A" w14:textId="77777777" w:rsidR="00060386" w:rsidRPr="00714903" w:rsidRDefault="00060386" w:rsidP="00C659AE">
            <w:pPr>
              <w:pStyle w:val="EMEABodyText"/>
              <w:keepNext/>
              <w:rPr>
                <w:b/>
                <w:color w:val="000000" w:themeColor="text1"/>
                <w:spacing w:val="3"/>
                <w:sz w:val="20"/>
                <w:szCs w:val="20"/>
              </w:rPr>
            </w:pPr>
            <w:r w:rsidRPr="00714903">
              <w:rPr>
                <w:b/>
                <w:color w:val="000000" w:themeColor="text1"/>
                <w:spacing w:val="3"/>
                <w:sz w:val="20"/>
                <w:szCs w:val="20"/>
              </w:rPr>
              <w:t>Blood and lymphatic system disorders</w:t>
            </w:r>
          </w:p>
        </w:tc>
      </w:tr>
      <w:tr w:rsidR="00060386" w:rsidRPr="00CB4B99" w14:paraId="083EAC58" w14:textId="77777777" w:rsidTr="00FB13AC">
        <w:trPr>
          <w:trHeight w:val="269"/>
        </w:trPr>
        <w:tc>
          <w:tcPr>
            <w:tcW w:w="1683" w:type="dxa"/>
            <w:tcBorders>
              <w:bottom w:val="single" w:sz="4" w:space="0" w:color="auto"/>
            </w:tcBorders>
            <w:shd w:val="clear" w:color="auto" w:fill="FFFFFF"/>
          </w:tcPr>
          <w:p w14:paraId="5A190EE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Very Common</w:t>
            </w:r>
          </w:p>
        </w:tc>
        <w:tc>
          <w:tcPr>
            <w:tcW w:w="3836" w:type="dxa"/>
            <w:tcBorders>
              <w:bottom w:val="single" w:sz="4" w:space="0" w:color="auto"/>
            </w:tcBorders>
            <w:shd w:val="clear" w:color="auto" w:fill="FFFFFF"/>
          </w:tcPr>
          <w:p w14:paraId="0E5C83C4" w14:textId="51B44E1D" w:rsidR="00060386" w:rsidRPr="00714903" w:rsidRDefault="00060386" w:rsidP="00BF2F27">
            <w:pPr>
              <w:pStyle w:val="EMEABodyText"/>
              <w:keepNext/>
              <w:rPr>
                <w:color w:val="000000" w:themeColor="text1"/>
                <w:spacing w:val="3"/>
                <w:sz w:val="20"/>
                <w:szCs w:val="20"/>
              </w:rPr>
            </w:pPr>
            <w:proofErr w:type="spellStart"/>
            <w:r w:rsidRPr="00714903">
              <w:rPr>
                <w:color w:val="000000" w:themeColor="text1"/>
                <w:spacing w:val="3"/>
                <w:sz w:val="20"/>
                <w:szCs w:val="20"/>
              </w:rPr>
              <w:t>neutropenia</w:t>
            </w:r>
            <w:r w:rsidRPr="00714903">
              <w:rPr>
                <w:color w:val="000000" w:themeColor="text1"/>
                <w:spacing w:val="3"/>
                <w:sz w:val="20"/>
                <w:szCs w:val="20"/>
                <w:vertAlign w:val="superscript"/>
              </w:rPr>
              <w:t>a,</w:t>
            </w:r>
            <w:r w:rsidR="00BF2F27">
              <w:rPr>
                <w:color w:val="000000" w:themeColor="text1"/>
                <w:spacing w:val="3"/>
                <w:sz w:val="20"/>
                <w:szCs w:val="20"/>
                <w:vertAlign w:val="superscript"/>
              </w:rPr>
              <w:t>f</w:t>
            </w:r>
            <w:proofErr w:type="spellEnd"/>
          </w:p>
        </w:tc>
        <w:tc>
          <w:tcPr>
            <w:tcW w:w="3837" w:type="dxa"/>
            <w:tcBorders>
              <w:bottom w:val="single" w:sz="4" w:space="0" w:color="auto"/>
            </w:tcBorders>
            <w:shd w:val="clear" w:color="auto" w:fill="FFFFFF"/>
          </w:tcPr>
          <w:p w14:paraId="0E37A842" w14:textId="77777777" w:rsidR="00060386" w:rsidRPr="00714903" w:rsidRDefault="00060386" w:rsidP="00C659AE">
            <w:pPr>
              <w:pStyle w:val="EMEABodyText"/>
              <w:keepNext/>
              <w:rPr>
                <w:color w:val="000000" w:themeColor="text1"/>
                <w:spacing w:val="3"/>
                <w:sz w:val="20"/>
                <w:szCs w:val="20"/>
              </w:rPr>
            </w:pPr>
          </w:p>
        </w:tc>
      </w:tr>
      <w:tr w:rsidR="00060386" w:rsidRPr="00CB4B99" w14:paraId="0A2CDBDF" w14:textId="77777777" w:rsidTr="00FB13AC">
        <w:trPr>
          <w:trHeight w:val="269"/>
        </w:trPr>
        <w:tc>
          <w:tcPr>
            <w:tcW w:w="1683" w:type="dxa"/>
            <w:tcBorders>
              <w:bottom w:val="single" w:sz="4" w:space="0" w:color="auto"/>
            </w:tcBorders>
            <w:shd w:val="clear" w:color="auto" w:fill="FFFFFF"/>
          </w:tcPr>
          <w:p w14:paraId="67666091" w14:textId="77777777" w:rsidR="00060386" w:rsidRPr="00714903" w:rsidRDefault="00060386" w:rsidP="00C659AE">
            <w:pPr>
              <w:pStyle w:val="EMEABodyText"/>
              <w:keepNext/>
              <w:rPr>
                <w:b/>
                <w:color w:val="000000" w:themeColor="text1"/>
                <w:spacing w:val="3"/>
                <w:sz w:val="20"/>
                <w:szCs w:val="20"/>
              </w:rPr>
            </w:pPr>
            <w:r w:rsidRPr="00714903">
              <w:rPr>
                <w:color w:val="000000" w:themeColor="text1"/>
                <w:spacing w:val="3"/>
                <w:sz w:val="20"/>
                <w:szCs w:val="20"/>
              </w:rPr>
              <w:t>Common</w:t>
            </w:r>
          </w:p>
        </w:tc>
        <w:tc>
          <w:tcPr>
            <w:tcW w:w="3836" w:type="dxa"/>
            <w:tcBorders>
              <w:bottom w:val="single" w:sz="4" w:space="0" w:color="auto"/>
            </w:tcBorders>
            <w:shd w:val="clear" w:color="auto" w:fill="FFFFFF"/>
          </w:tcPr>
          <w:p w14:paraId="5D938825" w14:textId="77777777" w:rsidR="00060386" w:rsidRPr="00714903" w:rsidRDefault="00060386" w:rsidP="00C659AE">
            <w:pPr>
              <w:pStyle w:val="EMEABodyText"/>
              <w:keepNext/>
              <w:rPr>
                <w:b/>
                <w:color w:val="000000" w:themeColor="text1"/>
                <w:spacing w:val="3"/>
                <w:sz w:val="20"/>
                <w:szCs w:val="20"/>
              </w:rPr>
            </w:pPr>
          </w:p>
        </w:tc>
        <w:tc>
          <w:tcPr>
            <w:tcW w:w="3837" w:type="dxa"/>
            <w:tcBorders>
              <w:bottom w:val="single" w:sz="4" w:space="0" w:color="auto"/>
            </w:tcBorders>
            <w:shd w:val="clear" w:color="auto" w:fill="FFFFFF"/>
          </w:tcPr>
          <w:p w14:paraId="7FDADBBD" w14:textId="77777777" w:rsidR="00060386" w:rsidRPr="00714903" w:rsidRDefault="00060386" w:rsidP="00C659AE">
            <w:pPr>
              <w:pStyle w:val="EMEABodyText"/>
              <w:keepNext/>
              <w:rPr>
                <w:b/>
                <w:color w:val="000000" w:themeColor="text1"/>
                <w:spacing w:val="3"/>
                <w:sz w:val="20"/>
                <w:szCs w:val="20"/>
              </w:rPr>
            </w:pPr>
            <w:r w:rsidRPr="00714903">
              <w:rPr>
                <w:color w:val="000000" w:themeColor="text1"/>
                <w:spacing w:val="3"/>
                <w:sz w:val="20"/>
                <w:szCs w:val="20"/>
              </w:rPr>
              <w:t>eosinophilia</w:t>
            </w:r>
          </w:p>
        </w:tc>
      </w:tr>
      <w:tr w:rsidR="00060386" w:rsidRPr="00CB4B99" w14:paraId="5107618C" w14:textId="77777777" w:rsidTr="00FB13AC">
        <w:trPr>
          <w:trHeight w:val="269"/>
        </w:trPr>
        <w:tc>
          <w:tcPr>
            <w:tcW w:w="1683" w:type="dxa"/>
            <w:tcBorders>
              <w:bottom w:val="single" w:sz="4" w:space="0" w:color="auto"/>
            </w:tcBorders>
            <w:shd w:val="clear" w:color="auto" w:fill="FFFFFF"/>
          </w:tcPr>
          <w:p w14:paraId="75FBB76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Uncommon</w:t>
            </w:r>
          </w:p>
        </w:tc>
        <w:tc>
          <w:tcPr>
            <w:tcW w:w="3836" w:type="dxa"/>
            <w:tcBorders>
              <w:bottom w:val="single" w:sz="4" w:space="0" w:color="auto"/>
            </w:tcBorders>
            <w:shd w:val="clear" w:color="auto" w:fill="FFFFFF"/>
          </w:tcPr>
          <w:p w14:paraId="54B6D503"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eosinophilia</w:t>
            </w:r>
          </w:p>
        </w:tc>
        <w:tc>
          <w:tcPr>
            <w:tcW w:w="3837" w:type="dxa"/>
            <w:tcBorders>
              <w:bottom w:val="single" w:sz="4" w:space="0" w:color="auto"/>
            </w:tcBorders>
            <w:shd w:val="clear" w:color="auto" w:fill="FFFFFF"/>
          </w:tcPr>
          <w:p w14:paraId="0516A6BD" w14:textId="77777777" w:rsidR="00060386" w:rsidRPr="00714903" w:rsidRDefault="00060386" w:rsidP="00C659AE">
            <w:pPr>
              <w:pStyle w:val="EMEABodyText"/>
              <w:keepNext/>
              <w:rPr>
                <w:color w:val="000000" w:themeColor="text1"/>
                <w:spacing w:val="3"/>
                <w:sz w:val="20"/>
                <w:szCs w:val="20"/>
              </w:rPr>
            </w:pPr>
          </w:p>
        </w:tc>
      </w:tr>
      <w:tr w:rsidR="00060386" w:rsidRPr="00CB4B99" w14:paraId="6E0C7DC8" w14:textId="77777777" w:rsidTr="00FB13AC">
        <w:trPr>
          <w:trHeight w:val="269"/>
        </w:trPr>
        <w:tc>
          <w:tcPr>
            <w:tcW w:w="9356" w:type="dxa"/>
            <w:gridSpan w:val="3"/>
            <w:tcBorders>
              <w:bottom w:val="single" w:sz="4" w:space="0" w:color="auto"/>
            </w:tcBorders>
            <w:shd w:val="clear" w:color="auto" w:fill="FFFFFF"/>
          </w:tcPr>
          <w:p w14:paraId="23361D3D" w14:textId="77777777" w:rsidR="00060386" w:rsidRPr="00714903" w:rsidRDefault="00060386" w:rsidP="00C659AE">
            <w:pPr>
              <w:pStyle w:val="EMEABodyText"/>
              <w:keepNext/>
              <w:rPr>
                <w:b/>
                <w:color w:val="000000" w:themeColor="text1"/>
                <w:spacing w:val="3"/>
                <w:sz w:val="20"/>
                <w:szCs w:val="20"/>
              </w:rPr>
            </w:pPr>
            <w:r w:rsidRPr="00714903">
              <w:rPr>
                <w:b/>
                <w:color w:val="000000" w:themeColor="text1"/>
                <w:spacing w:val="3"/>
                <w:sz w:val="20"/>
                <w:szCs w:val="20"/>
              </w:rPr>
              <w:t>Immune system disorders</w:t>
            </w:r>
          </w:p>
        </w:tc>
      </w:tr>
      <w:tr w:rsidR="00060386" w:rsidRPr="00CB4B99" w14:paraId="21E15513" w14:textId="77777777" w:rsidTr="00FB13AC">
        <w:trPr>
          <w:trHeight w:val="269"/>
        </w:trPr>
        <w:tc>
          <w:tcPr>
            <w:tcW w:w="1683" w:type="dxa"/>
            <w:tcBorders>
              <w:bottom w:val="single" w:sz="4" w:space="0" w:color="auto"/>
            </w:tcBorders>
            <w:shd w:val="clear" w:color="auto" w:fill="FFFFFF"/>
          </w:tcPr>
          <w:p w14:paraId="70424C94"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tcBorders>
              <w:bottom w:val="single" w:sz="4" w:space="0" w:color="auto"/>
            </w:tcBorders>
            <w:shd w:val="clear" w:color="auto" w:fill="FFFFFF"/>
          </w:tcPr>
          <w:p w14:paraId="3A80AB66"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infusion related </w:t>
            </w:r>
            <w:proofErr w:type="spellStart"/>
            <w:r w:rsidRPr="00714903">
              <w:rPr>
                <w:color w:val="000000" w:themeColor="text1"/>
                <w:spacing w:val="3"/>
                <w:sz w:val="20"/>
                <w:szCs w:val="20"/>
              </w:rPr>
              <w:t>reaction</w:t>
            </w:r>
            <w:r w:rsidRPr="00714903">
              <w:rPr>
                <w:color w:val="000000" w:themeColor="text1"/>
                <w:spacing w:val="3"/>
                <w:sz w:val="20"/>
                <w:szCs w:val="20"/>
                <w:vertAlign w:val="superscript"/>
              </w:rPr>
              <w:t>b</w:t>
            </w:r>
            <w:proofErr w:type="spellEnd"/>
            <w:r w:rsidRPr="00714903">
              <w:rPr>
                <w:color w:val="000000" w:themeColor="text1"/>
                <w:spacing w:val="3"/>
                <w:sz w:val="20"/>
                <w:szCs w:val="20"/>
              </w:rPr>
              <w:t xml:space="preserve">, </w:t>
            </w:r>
            <w:proofErr w:type="spellStart"/>
            <w:r w:rsidRPr="00714903">
              <w:rPr>
                <w:color w:val="000000" w:themeColor="text1"/>
                <w:spacing w:val="3"/>
                <w:sz w:val="20"/>
                <w:szCs w:val="20"/>
              </w:rPr>
              <w:t>hypersensitivity</w:t>
            </w:r>
            <w:r w:rsidRPr="00714903">
              <w:rPr>
                <w:color w:val="000000" w:themeColor="text1"/>
                <w:spacing w:val="3"/>
                <w:sz w:val="20"/>
                <w:szCs w:val="20"/>
                <w:vertAlign w:val="superscript"/>
              </w:rPr>
              <w:t>b</w:t>
            </w:r>
            <w:proofErr w:type="spellEnd"/>
          </w:p>
        </w:tc>
        <w:tc>
          <w:tcPr>
            <w:tcW w:w="3837" w:type="dxa"/>
            <w:tcBorders>
              <w:bottom w:val="single" w:sz="4" w:space="0" w:color="auto"/>
            </w:tcBorders>
            <w:shd w:val="clear" w:color="auto" w:fill="FFFFFF"/>
          </w:tcPr>
          <w:p w14:paraId="753C359A"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infusion related reaction, hypersensitivity</w:t>
            </w:r>
          </w:p>
        </w:tc>
      </w:tr>
      <w:tr w:rsidR="00060386" w:rsidRPr="00CB4B99" w14:paraId="3A44E5C2" w14:textId="77777777" w:rsidTr="00FB13AC">
        <w:trPr>
          <w:trHeight w:val="269"/>
        </w:trPr>
        <w:tc>
          <w:tcPr>
            <w:tcW w:w="1683" w:type="dxa"/>
            <w:tcBorders>
              <w:bottom w:val="single" w:sz="4" w:space="0" w:color="auto"/>
            </w:tcBorders>
            <w:shd w:val="clear" w:color="auto" w:fill="FFFFFF"/>
          </w:tcPr>
          <w:p w14:paraId="5C8984C1"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tcBorders>
              <w:bottom w:val="single" w:sz="4" w:space="0" w:color="auto"/>
            </w:tcBorders>
            <w:shd w:val="clear" w:color="auto" w:fill="FFFFFF"/>
          </w:tcPr>
          <w:p w14:paraId="22B6CB90" w14:textId="77777777" w:rsidR="00060386" w:rsidRPr="00714903" w:rsidRDefault="00060386" w:rsidP="00C659AE">
            <w:pPr>
              <w:pStyle w:val="EMEABodyText"/>
              <w:keepNext/>
              <w:rPr>
                <w:color w:val="000000" w:themeColor="text1"/>
                <w:spacing w:val="3"/>
                <w:sz w:val="20"/>
                <w:szCs w:val="20"/>
              </w:rPr>
            </w:pPr>
          </w:p>
        </w:tc>
        <w:tc>
          <w:tcPr>
            <w:tcW w:w="3837" w:type="dxa"/>
            <w:tcBorders>
              <w:bottom w:val="single" w:sz="4" w:space="0" w:color="auto"/>
            </w:tcBorders>
            <w:shd w:val="clear" w:color="auto" w:fill="FFFFFF"/>
          </w:tcPr>
          <w:p w14:paraId="59AC18EB"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sarcoidosis</w:t>
            </w:r>
          </w:p>
        </w:tc>
      </w:tr>
      <w:tr w:rsidR="00060386" w:rsidRPr="00CB4B99" w14:paraId="0E91E3C3" w14:textId="77777777" w:rsidTr="00FB13AC">
        <w:trPr>
          <w:trHeight w:val="269"/>
        </w:trPr>
        <w:tc>
          <w:tcPr>
            <w:tcW w:w="1683" w:type="dxa"/>
            <w:tcBorders>
              <w:bottom w:val="single" w:sz="4" w:space="0" w:color="auto"/>
            </w:tcBorders>
            <w:shd w:val="clear" w:color="auto" w:fill="FFFFFF"/>
          </w:tcPr>
          <w:p w14:paraId="002F1D05"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tcBorders>
              <w:bottom w:val="single" w:sz="4" w:space="0" w:color="auto"/>
            </w:tcBorders>
            <w:shd w:val="clear" w:color="auto" w:fill="FFFFFF"/>
          </w:tcPr>
          <w:p w14:paraId="2A78FE9E"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anaphylactic </w:t>
            </w:r>
            <w:proofErr w:type="spellStart"/>
            <w:r w:rsidRPr="00714903">
              <w:rPr>
                <w:color w:val="000000" w:themeColor="text1"/>
                <w:spacing w:val="3"/>
                <w:sz w:val="20"/>
                <w:szCs w:val="20"/>
              </w:rPr>
              <w:t>reaction</w:t>
            </w:r>
            <w:r w:rsidRPr="00714903">
              <w:rPr>
                <w:color w:val="000000" w:themeColor="text1"/>
                <w:spacing w:val="3"/>
                <w:sz w:val="20"/>
                <w:szCs w:val="20"/>
                <w:vertAlign w:val="superscript"/>
              </w:rPr>
              <w:t>b</w:t>
            </w:r>
            <w:proofErr w:type="spellEnd"/>
          </w:p>
        </w:tc>
        <w:tc>
          <w:tcPr>
            <w:tcW w:w="3837" w:type="dxa"/>
            <w:tcBorders>
              <w:bottom w:val="single" w:sz="4" w:space="0" w:color="auto"/>
            </w:tcBorders>
            <w:shd w:val="clear" w:color="auto" w:fill="FFFFFF"/>
          </w:tcPr>
          <w:p w14:paraId="7ECCB6E8" w14:textId="77777777" w:rsidR="00060386" w:rsidRPr="00714903" w:rsidRDefault="00060386" w:rsidP="00C659AE">
            <w:pPr>
              <w:pStyle w:val="EMEABodyText"/>
              <w:keepNext/>
              <w:rPr>
                <w:color w:val="000000" w:themeColor="text1"/>
                <w:spacing w:val="3"/>
                <w:sz w:val="20"/>
                <w:szCs w:val="20"/>
              </w:rPr>
            </w:pPr>
          </w:p>
        </w:tc>
      </w:tr>
      <w:tr w:rsidR="00060386" w:rsidRPr="00CB4B99" w14:paraId="33C5F460" w14:textId="77777777" w:rsidTr="00FB13AC">
        <w:trPr>
          <w:trHeight w:val="269"/>
        </w:trPr>
        <w:tc>
          <w:tcPr>
            <w:tcW w:w="9356" w:type="dxa"/>
            <w:gridSpan w:val="3"/>
            <w:shd w:val="clear" w:color="auto" w:fill="FFFFFF"/>
          </w:tcPr>
          <w:p w14:paraId="0DDB5E86"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Endocrine disorders</w:t>
            </w:r>
          </w:p>
        </w:tc>
      </w:tr>
      <w:tr w:rsidR="00060386" w:rsidRPr="00CB4B99" w14:paraId="46E3A8FB" w14:textId="77777777" w:rsidTr="00FB13AC">
        <w:trPr>
          <w:trHeight w:val="269"/>
        </w:trPr>
        <w:tc>
          <w:tcPr>
            <w:tcW w:w="1683" w:type="dxa"/>
            <w:shd w:val="clear" w:color="auto" w:fill="FFFFFF"/>
          </w:tcPr>
          <w:p w14:paraId="4C3CDB78"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Very common</w:t>
            </w:r>
          </w:p>
        </w:tc>
        <w:tc>
          <w:tcPr>
            <w:tcW w:w="3836" w:type="dxa"/>
            <w:shd w:val="clear" w:color="auto" w:fill="FFFFFF"/>
          </w:tcPr>
          <w:p w14:paraId="55BC6734"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37D02336" w14:textId="1F3B1E48" w:rsidR="00060386" w:rsidRPr="00714903" w:rsidRDefault="00D16B7E" w:rsidP="00C659AE">
            <w:pPr>
              <w:pStyle w:val="EMEABodyText"/>
              <w:keepNext/>
              <w:rPr>
                <w:b/>
                <w:bCs/>
                <w:iCs/>
                <w:color w:val="000000" w:themeColor="text1"/>
                <w:sz w:val="20"/>
                <w:szCs w:val="20"/>
              </w:rPr>
            </w:pPr>
            <w:r w:rsidRPr="00714903">
              <w:rPr>
                <w:color w:val="000000" w:themeColor="text1"/>
                <w:spacing w:val="3"/>
                <w:sz w:val="20"/>
                <w:szCs w:val="20"/>
              </w:rPr>
              <w:t>H</w:t>
            </w:r>
            <w:r w:rsidR="00060386" w:rsidRPr="00714903">
              <w:rPr>
                <w:color w:val="000000" w:themeColor="text1"/>
                <w:spacing w:val="3"/>
                <w:sz w:val="20"/>
                <w:szCs w:val="20"/>
              </w:rPr>
              <w:t>ypothyroidism</w:t>
            </w:r>
          </w:p>
        </w:tc>
      </w:tr>
      <w:tr w:rsidR="00060386" w:rsidRPr="00CB4B99" w14:paraId="087DCCCE" w14:textId="77777777" w:rsidTr="00FB13AC">
        <w:trPr>
          <w:trHeight w:val="269"/>
        </w:trPr>
        <w:tc>
          <w:tcPr>
            <w:tcW w:w="1683" w:type="dxa"/>
            <w:shd w:val="clear" w:color="auto" w:fill="FFFFFF"/>
          </w:tcPr>
          <w:p w14:paraId="26D68146"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0E2A16FA" w14:textId="78732F02" w:rsidR="00060386" w:rsidRPr="00714903" w:rsidRDefault="00060386" w:rsidP="00810147">
            <w:pPr>
              <w:pStyle w:val="EMEABodyText"/>
              <w:keepNext/>
              <w:rPr>
                <w:color w:val="000000" w:themeColor="text1"/>
                <w:spacing w:val="3"/>
                <w:sz w:val="20"/>
                <w:szCs w:val="20"/>
                <w:vertAlign w:val="superscript"/>
              </w:rPr>
            </w:pPr>
            <w:r w:rsidRPr="00714903">
              <w:rPr>
                <w:color w:val="000000" w:themeColor="text1"/>
                <w:spacing w:val="3"/>
                <w:sz w:val="20"/>
                <w:szCs w:val="20"/>
              </w:rPr>
              <w:t>hypothyroidism, hyperthyroidism</w:t>
            </w:r>
          </w:p>
        </w:tc>
        <w:tc>
          <w:tcPr>
            <w:tcW w:w="3837" w:type="dxa"/>
            <w:shd w:val="clear" w:color="auto" w:fill="FFFFFF"/>
          </w:tcPr>
          <w:p w14:paraId="7FC01F4D" w14:textId="15983D66" w:rsidR="00060386" w:rsidRPr="00714903" w:rsidRDefault="00060386" w:rsidP="00810147">
            <w:pPr>
              <w:pStyle w:val="EMEABodyText"/>
              <w:keepNext/>
              <w:rPr>
                <w:color w:val="000000" w:themeColor="text1"/>
                <w:spacing w:val="3"/>
                <w:sz w:val="20"/>
                <w:szCs w:val="20"/>
                <w:vertAlign w:val="superscript"/>
              </w:rPr>
            </w:pPr>
            <w:r w:rsidRPr="00714903">
              <w:rPr>
                <w:color w:val="000000" w:themeColor="text1"/>
                <w:spacing w:val="3"/>
                <w:sz w:val="20"/>
                <w:szCs w:val="20"/>
              </w:rPr>
              <w:t xml:space="preserve">adrenal insufficiency, hypopituitarism, </w:t>
            </w:r>
            <w:proofErr w:type="spellStart"/>
            <w:r w:rsidRPr="00714903">
              <w:rPr>
                <w:color w:val="000000" w:themeColor="text1"/>
                <w:spacing w:val="3"/>
                <w:sz w:val="20"/>
                <w:szCs w:val="20"/>
              </w:rPr>
              <w:t>hypophysitis</w:t>
            </w:r>
            <w:proofErr w:type="spellEnd"/>
            <w:r w:rsidRPr="00714903">
              <w:rPr>
                <w:color w:val="000000" w:themeColor="text1"/>
                <w:spacing w:val="3"/>
                <w:sz w:val="20"/>
                <w:szCs w:val="20"/>
              </w:rPr>
              <w:t>, hyperthyroidism, thyroiditis</w:t>
            </w:r>
          </w:p>
        </w:tc>
      </w:tr>
      <w:tr w:rsidR="00060386" w:rsidRPr="00CB4B99" w14:paraId="062A5700" w14:textId="77777777" w:rsidTr="00FB13AC">
        <w:trPr>
          <w:trHeight w:val="269"/>
        </w:trPr>
        <w:tc>
          <w:tcPr>
            <w:tcW w:w="1683" w:type="dxa"/>
            <w:shd w:val="clear" w:color="auto" w:fill="FFFFFF"/>
          </w:tcPr>
          <w:p w14:paraId="5D26A9D1"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2F4D8C7F" w14:textId="40D9998F"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adrenal insufficiency, hypopituitarism, </w:t>
            </w:r>
            <w:proofErr w:type="spellStart"/>
            <w:r w:rsidRPr="00714903">
              <w:rPr>
                <w:color w:val="000000" w:themeColor="text1"/>
                <w:spacing w:val="3"/>
                <w:sz w:val="20"/>
                <w:szCs w:val="20"/>
              </w:rPr>
              <w:t>hypophysitis</w:t>
            </w:r>
            <w:proofErr w:type="spellEnd"/>
            <w:r w:rsidRPr="00714903">
              <w:rPr>
                <w:color w:val="000000" w:themeColor="text1"/>
                <w:spacing w:val="3"/>
                <w:sz w:val="20"/>
                <w:szCs w:val="20"/>
              </w:rPr>
              <w:t xml:space="preserve">, </w:t>
            </w:r>
            <w:r w:rsidR="00810147">
              <w:rPr>
                <w:color w:val="000000" w:themeColor="text1"/>
                <w:spacing w:val="3"/>
                <w:sz w:val="20"/>
                <w:szCs w:val="20"/>
              </w:rPr>
              <w:t xml:space="preserve">diabetes mellitus, </w:t>
            </w:r>
            <w:r w:rsidRPr="00714903">
              <w:rPr>
                <w:color w:val="000000" w:themeColor="text1"/>
                <w:spacing w:val="3"/>
                <w:sz w:val="20"/>
                <w:szCs w:val="20"/>
              </w:rPr>
              <w:t>thyroiditis</w:t>
            </w:r>
          </w:p>
        </w:tc>
        <w:tc>
          <w:tcPr>
            <w:tcW w:w="3837" w:type="dxa"/>
            <w:shd w:val="clear" w:color="auto" w:fill="FFFFFF"/>
          </w:tcPr>
          <w:p w14:paraId="4D13A83F"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diabetic </w:t>
            </w:r>
            <w:proofErr w:type="spellStart"/>
            <w:r w:rsidRPr="00714903">
              <w:rPr>
                <w:color w:val="000000" w:themeColor="text1"/>
                <w:spacing w:val="3"/>
                <w:sz w:val="20"/>
                <w:szCs w:val="20"/>
              </w:rPr>
              <w:t>ketoacidosis</w:t>
            </w:r>
            <w:r w:rsidRPr="00714903">
              <w:rPr>
                <w:color w:val="000000" w:themeColor="text1"/>
                <w:spacing w:val="3"/>
                <w:sz w:val="20"/>
                <w:szCs w:val="20"/>
                <w:vertAlign w:val="superscript"/>
              </w:rPr>
              <w:t>b</w:t>
            </w:r>
            <w:proofErr w:type="spellEnd"/>
            <w:r w:rsidRPr="00714903">
              <w:rPr>
                <w:color w:val="000000" w:themeColor="text1"/>
                <w:spacing w:val="3"/>
                <w:sz w:val="20"/>
                <w:szCs w:val="20"/>
              </w:rPr>
              <w:t xml:space="preserve">, diabetes </w:t>
            </w:r>
            <w:proofErr w:type="spellStart"/>
            <w:r w:rsidRPr="00714903">
              <w:rPr>
                <w:color w:val="000000" w:themeColor="text1"/>
                <w:spacing w:val="3"/>
                <w:sz w:val="20"/>
                <w:szCs w:val="20"/>
              </w:rPr>
              <w:t>mellitus</w:t>
            </w:r>
            <w:r w:rsidRPr="00714903">
              <w:rPr>
                <w:color w:val="000000" w:themeColor="text1"/>
                <w:spacing w:val="3"/>
                <w:sz w:val="20"/>
                <w:szCs w:val="20"/>
                <w:vertAlign w:val="superscript"/>
              </w:rPr>
              <w:t>b</w:t>
            </w:r>
            <w:proofErr w:type="spellEnd"/>
          </w:p>
        </w:tc>
      </w:tr>
      <w:tr w:rsidR="00060386" w:rsidRPr="00CB4B99" w14:paraId="4E3AA295" w14:textId="77777777" w:rsidTr="00FB13AC">
        <w:trPr>
          <w:trHeight w:val="269"/>
        </w:trPr>
        <w:tc>
          <w:tcPr>
            <w:tcW w:w="1683" w:type="dxa"/>
            <w:shd w:val="clear" w:color="auto" w:fill="FFFFFF"/>
          </w:tcPr>
          <w:p w14:paraId="215853DF"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549666AE" w14:textId="0C783F29"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diabetic ketoacidosis </w:t>
            </w:r>
          </w:p>
        </w:tc>
        <w:tc>
          <w:tcPr>
            <w:tcW w:w="3837" w:type="dxa"/>
            <w:shd w:val="clear" w:color="auto" w:fill="FFFFFF"/>
          </w:tcPr>
          <w:p w14:paraId="28EE04CB" w14:textId="77777777" w:rsidR="00060386" w:rsidRPr="00714903" w:rsidRDefault="00060386" w:rsidP="00C659AE">
            <w:pPr>
              <w:pStyle w:val="EMEABodyText"/>
              <w:keepNext/>
              <w:rPr>
                <w:color w:val="000000" w:themeColor="text1"/>
                <w:spacing w:val="3"/>
                <w:sz w:val="20"/>
                <w:szCs w:val="20"/>
              </w:rPr>
            </w:pPr>
          </w:p>
        </w:tc>
      </w:tr>
      <w:tr w:rsidR="00060386" w:rsidRPr="00CB4B99" w14:paraId="436D0537" w14:textId="77777777" w:rsidTr="00FB13AC">
        <w:trPr>
          <w:trHeight w:val="283"/>
        </w:trPr>
        <w:tc>
          <w:tcPr>
            <w:tcW w:w="9356" w:type="dxa"/>
            <w:gridSpan w:val="3"/>
            <w:shd w:val="clear" w:color="auto" w:fill="FFFFFF"/>
          </w:tcPr>
          <w:p w14:paraId="3A7C08DE"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Metabolism and nutrition disorders</w:t>
            </w:r>
          </w:p>
        </w:tc>
      </w:tr>
      <w:tr w:rsidR="00060386" w:rsidRPr="00CB4B99" w14:paraId="5F649879"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486DDD48"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Very 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9CEE5E1" w14:textId="77777777" w:rsidR="00060386" w:rsidRPr="00714903" w:rsidRDefault="00060386" w:rsidP="00C659AE">
            <w:pPr>
              <w:pStyle w:val="EMEABodyText"/>
              <w:keepNext/>
              <w:rPr>
                <w:strike/>
                <w:color w:val="000000" w:themeColor="text1"/>
                <w:spacing w:val="3"/>
                <w:sz w:val="20"/>
                <w:szCs w:val="20"/>
              </w:rPr>
            </w:pP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5155B098" w14:textId="77777777" w:rsidR="00060386" w:rsidRPr="00714903" w:rsidRDefault="00060386" w:rsidP="00C659AE">
            <w:pPr>
              <w:pStyle w:val="EMEABodyText"/>
              <w:keepNext/>
              <w:rPr>
                <w:strike/>
                <w:color w:val="000000" w:themeColor="text1"/>
                <w:spacing w:val="3"/>
                <w:sz w:val="20"/>
                <w:szCs w:val="20"/>
              </w:rPr>
            </w:pPr>
            <w:r w:rsidRPr="00714903">
              <w:rPr>
                <w:color w:val="000000" w:themeColor="text1"/>
                <w:spacing w:val="3"/>
                <w:sz w:val="20"/>
                <w:szCs w:val="20"/>
              </w:rPr>
              <w:t>decreased appetite</w:t>
            </w:r>
          </w:p>
        </w:tc>
      </w:tr>
      <w:tr w:rsidR="00060386" w:rsidRPr="00CB4B99" w14:paraId="195F0E7A"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13A5152"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54E77D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decreased appetite</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4E57CCF7" w14:textId="31B6D8F9" w:rsidR="00060386" w:rsidRPr="00714903" w:rsidRDefault="00D16B7E" w:rsidP="00C659AE">
            <w:pPr>
              <w:pStyle w:val="EMEABodyText"/>
              <w:keepNext/>
              <w:rPr>
                <w:color w:val="000000" w:themeColor="text1"/>
                <w:spacing w:val="3"/>
                <w:sz w:val="20"/>
                <w:szCs w:val="20"/>
              </w:rPr>
            </w:pPr>
            <w:r w:rsidRPr="00714903">
              <w:rPr>
                <w:color w:val="000000" w:themeColor="text1"/>
                <w:spacing w:val="3"/>
                <w:sz w:val="20"/>
                <w:szCs w:val="20"/>
              </w:rPr>
              <w:t>D</w:t>
            </w:r>
            <w:r w:rsidR="00060386" w:rsidRPr="00714903">
              <w:rPr>
                <w:color w:val="000000" w:themeColor="text1"/>
                <w:spacing w:val="3"/>
                <w:sz w:val="20"/>
                <w:szCs w:val="20"/>
              </w:rPr>
              <w:t>ehydration</w:t>
            </w:r>
          </w:p>
        </w:tc>
      </w:tr>
      <w:tr w:rsidR="00060386" w:rsidRPr="00CB4B99" w14:paraId="71D284D7" w14:textId="77777777" w:rsidTr="00FB13AC">
        <w:trPr>
          <w:trHeight w:val="288"/>
        </w:trPr>
        <w:tc>
          <w:tcPr>
            <w:tcW w:w="1683" w:type="dxa"/>
            <w:shd w:val="clear" w:color="auto" w:fill="FFFFFF"/>
          </w:tcPr>
          <w:p w14:paraId="6EBB23A0" w14:textId="77777777" w:rsidR="00060386" w:rsidRPr="00714903" w:rsidDel="00CA4DFD"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1C52B201" w14:textId="77777777" w:rsidR="00060386" w:rsidRPr="00714903" w:rsidDel="00CA4DFD" w:rsidRDefault="00060386" w:rsidP="00C659AE">
            <w:pPr>
              <w:pStyle w:val="EMEABodyText"/>
              <w:keepNext/>
              <w:rPr>
                <w:color w:val="000000" w:themeColor="text1"/>
                <w:spacing w:val="3"/>
                <w:sz w:val="20"/>
                <w:szCs w:val="20"/>
              </w:rPr>
            </w:pPr>
            <w:r w:rsidRPr="00714903">
              <w:rPr>
                <w:color w:val="000000" w:themeColor="text1"/>
                <w:spacing w:val="3"/>
                <w:sz w:val="20"/>
                <w:szCs w:val="20"/>
              </w:rPr>
              <w:t>dehydration, metabolic acidosis</w:t>
            </w:r>
          </w:p>
        </w:tc>
        <w:tc>
          <w:tcPr>
            <w:tcW w:w="3837" w:type="dxa"/>
            <w:shd w:val="clear" w:color="auto" w:fill="FFFFFF"/>
          </w:tcPr>
          <w:p w14:paraId="2B839406" w14:textId="77777777" w:rsidR="00060386" w:rsidRPr="00714903" w:rsidDel="00CA4DFD" w:rsidRDefault="00060386" w:rsidP="00C659AE">
            <w:pPr>
              <w:pStyle w:val="EMEABodyText"/>
              <w:keepNext/>
              <w:rPr>
                <w:color w:val="000000" w:themeColor="text1"/>
                <w:spacing w:val="3"/>
                <w:sz w:val="20"/>
                <w:szCs w:val="20"/>
              </w:rPr>
            </w:pPr>
          </w:p>
        </w:tc>
      </w:tr>
      <w:tr w:rsidR="00060386" w:rsidRPr="00CB4B99" w14:paraId="755772AB" w14:textId="77777777" w:rsidTr="00FB13AC">
        <w:trPr>
          <w:trHeight w:val="283"/>
        </w:trPr>
        <w:tc>
          <w:tcPr>
            <w:tcW w:w="9356" w:type="dxa"/>
            <w:gridSpan w:val="3"/>
            <w:shd w:val="clear" w:color="auto" w:fill="FFFFFF"/>
          </w:tcPr>
          <w:p w14:paraId="343F2411" w14:textId="77777777" w:rsidR="00060386" w:rsidRPr="00714903" w:rsidRDefault="00060386" w:rsidP="00C659AE">
            <w:pPr>
              <w:pStyle w:val="EMEABodyText"/>
              <w:keepNext/>
              <w:rPr>
                <w:b/>
                <w:bCs/>
                <w:iCs/>
                <w:color w:val="000000" w:themeColor="text1"/>
                <w:sz w:val="20"/>
                <w:szCs w:val="20"/>
              </w:rPr>
            </w:pPr>
            <w:r w:rsidRPr="00714903">
              <w:rPr>
                <w:b/>
                <w:bCs/>
                <w:iCs/>
                <w:color w:val="000000" w:themeColor="text1"/>
                <w:sz w:val="20"/>
                <w:szCs w:val="20"/>
              </w:rPr>
              <w:t>Hepatobiliary disorders</w:t>
            </w:r>
          </w:p>
        </w:tc>
      </w:tr>
      <w:tr w:rsidR="00060386" w:rsidRPr="00CB4B99" w14:paraId="37C415F4" w14:textId="77777777" w:rsidTr="00FB13AC">
        <w:trPr>
          <w:trHeight w:val="283"/>
        </w:trPr>
        <w:tc>
          <w:tcPr>
            <w:tcW w:w="1683" w:type="dxa"/>
            <w:shd w:val="clear" w:color="auto" w:fill="FFFFFF"/>
          </w:tcPr>
          <w:p w14:paraId="36D709CD"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Common</w:t>
            </w:r>
          </w:p>
        </w:tc>
        <w:tc>
          <w:tcPr>
            <w:tcW w:w="3836" w:type="dxa"/>
            <w:shd w:val="clear" w:color="auto" w:fill="FFFFFF"/>
          </w:tcPr>
          <w:p w14:paraId="729FC4BA"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764B09CE" w14:textId="77777777" w:rsidR="00060386" w:rsidRPr="00714903" w:rsidRDefault="00060386" w:rsidP="00C659AE">
            <w:pPr>
              <w:pStyle w:val="EMEABodyText"/>
              <w:keepNext/>
              <w:rPr>
                <w:b/>
                <w:bCs/>
                <w:iCs/>
                <w:color w:val="000000" w:themeColor="text1"/>
                <w:sz w:val="20"/>
                <w:szCs w:val="20"/>
              </w:rPr>
            </w:pPr>
            <w:proofErr w:type="spellStart"/>
            <w:r w:rsidRPr="00714903">
              <w:rPr>
                <w:color w:val="000000" w:themeColor="text1"/>
                <w:spacing w:val="3"/>
                <w:sz w:val="20"/>
                <w:szCs w:val="20"/>
              </w:rPr>
              <w:t>hepatitis</w:t>
            </w:r>
            <w:r w:rsidRPr="00714903">
              <w:rPr>
                <w:rStyle w:val="EMEASuperscript"/>
                <w:color w:val="000000" w:themeColor="text1"/>
                <w:sz w:val="20"/>
                <w:szCs w:val="20"/>
              </w:rPr>
              <w:t>b</w:t>
            </w:r>
            <w:proofErr w:type="spellEnd"/>
          </w:p>
        </w:tc>
      </w:tr>
      <w:tr w:rsidR="00060386" w:rsidRPr="00CB4B99" w14:paraId="49493300" w14:textId="77777777" w:rsidTr="00FB13AC">
        <w:trPr>
          <w:trHeight w:val="283"/>
        </w:trPr>
        <w:tc>
          <w:tcPr>
            <w:tcW w:w="1683" w:type="dxa"/>
            <w:shd w:val="clear" w:color="auto" w:fill="FFFFFF"/>
          </w:tcPr>
          <w:p w14:paraId="788AFDB1"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07335728" w14:textId="77777777" w:rsidR="00060386" w:rsidRPr="00714903" w:rsidRDefault="00060386" w:rsidP="00C659AE">
            <w:pPr>
              <w:pStyle w:val="EMEABodyText"/>
              <w:keepNext/>
              <w:rPr>
                <w:bCs/>
                <w:iCs/>
                <w:color w:val="000000" w:themeColor="text1"/>
                <w:sz w:val="20"/>
                <w:szCs w:val="20"/>
                <w:vertAlign w:val="superscript"/>
              </w:rPr>
            </w:pPr>
            <w:proofErr w:type="spellStart"/>
            <w:r w:rsidRPr="00714903">
              <w:rPr>
                <w:bCs/>
                <w:iCs/>
                <w:color w:val="000000" w:themeColor="text1"/>
                <w:sz w:val="20"/>
                <w:szCs w:val="20"/>
              </w:rPr>
              <w:t>hepatitis</w:t>
            </w:r>
            <w:r w:rsidRPr="00714903">
              <w:rPr>
                <w:bCs/>
                <w:iCs/>
                <w:color w:val="000000" w:themeColor="text1"/>
                <w:sz w:val="20"/>
                <w:szCs w:val="20"/>
                <w:vertAlign w:val="superscript"/>
              </w:rPr>
              <w:t>b</w:t>
            </w:r>
            <w:proofErr w:type="spellEnd"/>
            <w:r w:rsidRPr="00714903">
              <w:rPr>
                <w:bCs/>
                <w:iCs/>
                <w:color w:val="000000" w:themeColor="text1"/>
                <w:sz w:val="20"/>
                <w:szCs w:val="20"/>
                <w:vertAlign w:val="superscript"/>
              </w:rPr>
              <w:t xml:space="preserve"> </w:t>
            </w:r>
          </w:p>
          <w:p w14:paraId="57A343B7" w14:textId="77777777" w:rsidR="00060386" w:rsidRPr="00714903" w:rsidRDefault="00060386" w:rsidP="00C659AE">
            <w:pPr>
              <w:pStyle w:val="EMEABodyText"/>
              <w:keepNext/>
              <w:rPr>
                <w:bCs/>
                <w:iCs/>
                <w:color w:val="000000" w:themeColor="text1"/>
                <w:sz w:val="20"/>
                <w:szCs w:val="20"/>
              </w:rPr>
            </w:pPr>
          </w:p>
        </w:tc>
        <w:tc>
          <w:tcPr>
            <w:tcW w:w="3837" w:type="dxa"/>
            <w:shd w:val="clear" w:color="auto" w:fill="FFFFFF"/>
          </w:tcPr>
          <w:p w14:paraId="2D69A770" w14:textId="77777777" w:rsidR="00060386" w:rsidRPr="00714903" w:rsidRDefault="00060386" w:rsidP="00C659AE">
            <w:pPr>
              <w:pStyle w:val="EMEABodyText"/>
              <w:keepNext/>
              <w:rPr>
                <w:bCs/>
                <w:iCs/>
                <w:color w:val="000000" w:themeColor="text1"/>
                <w:sz w:val="20"/>
                <w:szCs w:val="20"/>
              </w:rPr>
            </w:pPr>
          </w:p>
        </w:tc>
      </w:tr>
      <w:tr w:rsidR="00060386" w:rsidRPr="00CB4B99" w14:paraId="65541A70" w14:textId="77777777" w:rsidTr="00FB13AC">
        <w:trPr>
          <w:trHeight w:val="283"/>
        </w:trPr>
        <w:tc>
          <w:tcPr>
            <w:tcW w:w="1683" w:type="dxa"/>
            <w:shd w:val="clear" w:color="auto" w:fill="FFFFFF"/>
          </w:tcPr>
          <w:p w14:paraId="18367380"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7BF9A992" w14:textId="77777777" w:rsidR="00060386" w:rsidRPr="00714903" w:rsidRDefault="00060386" w:rsidP="00C659AE">
            <w:pPr>
              <w:pStyle w:val="EMEABodyText"/>
              <w:keepNext/>
              <w:rPr>
                <w:bCs/>
                <w:iCs/>
                <w:color w:val="000000" w:themeColor="text1"/>
                <w:sz w:val="20"/>
                <w:szCs w:val="20"/>
              </w:rPr>
            </w:pPr>
            <w:r w:rsidRPr="00714903">
              <w:rPr>
                <w:bCs/>
                <w:iCs/>
                <w:color w:val="000000" w:themeColor="text1"/>
                <w:sz w:val="20"/>
                <w:szCs w:val="20"/>
              </w:rPr>
              <w:t>cholestasis</w:t>
            </w:r>
          </w:p>
        </w:tc>
        <w:tc>
          <w:tcPr>
            <w:tcW w:w="3837" w:type="dxa"/>
            <w:shd w:val="clear" w:color="auto" w:fill="FFFFFF"/>
          </w:tcPr>
          <w:p w14:paraId="33EB4F75" w14:textId="77777777" w:rsidR="00060386" w:rsidRPr="00714903" w:rsidRDefault="00060386" w:rsidP="00C659AE">
            <w:pPr>
              <w:pStyle w:val="EMEABodyText"/>
              <w:keepNext/>
              <w:rPr>
                <w:bCs/>
                <w:iCs/>
                <w:color w:val="000000" w:themeColor="text1"/>
                <w:sz w:val="20"/>
                <w:szCs w:val="20"/>
              </w:rPr>
            </w:pPr>
          </w:p>
        </w:tc>
      </w:tr>
      <w:tr w:rsidR="00060386" w:rsidRPr="00CB4B99" w14:paraId="67F76788" w14:textId="77777777" w:rsidTr="00FB13AC">
        <w:trPr>
          <w:trHeight w:val="283"/>
        </w:trPr>
        <w:tc>
          <w:tcPr>
            <w:tcW w:w="9356" w:type="dxa"/>
            <w:gridSpan w:val="3"/>
            <w:shd w:val="clear" w:color="auto" w:fill="FFFFFF"/>
          </w:tcPr>
          <w:p w14:paraId="668719D8"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Nervous system disorders</w:t>
            </w:r>
          </w:p>
        </w:tc>
      </w:tr>
      <w:tr w:rsidR="00060386" w:rsidRPr="00CB4B99" w14:paraId="4A9BA858" w14:textId="77777777" w:rsidTr="00FB13AC">
        <w:trPr>
          <w:trHeight w:val="283"/>
        </w:trPr>
        <w:tc>
          <w:tcPr>
            <w:tcW w:w="1683" w:type="dxa"/>
            <w:shd w:val="clear" w:color="auto" w:fill="FFFFFF"/>
          </w:tcPr>
          <w:p w14:paraId="194BB41C"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Very common</w:t>
            </w:r>
          </w:p>
        </w:tc>
        <w:tc>
          <w:tcPr>
            <w:tcW w:w="3836" w:type="dxa"/>
            <w:shd w:val="clear" w:color="auto" w:fill="FFFFFF"/>
          </w:tcPr>
          <w:p w14:paraId="084958A3"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00DA1D1E" w14:textId="53554B19" w:rsidR="00060386" w:rsidRPr="00714903" w:rsidRDefault="00D16B7E" w:rsidP="00C659AE">
            <w:pPr>
              <w:pStyle w:val="EMEABodyText"/>
              <w:keepNext/>
              <w:rPr>
                <w:b/>
                <w:bCs/>
                <w:iCs/>
                <w:color w:val="000000" w:themeColor="text1"/>
                <w:sz w:val="20"/>
                <w:szCs w:val="20"/>
              </w:rPr>
            </w:pPr>
            <w:r w:rsidRPr="00714903">
              <w:rPr>
                <w:color w:val="000000" w:themeColor="text1"/>
                <w:spacing w:val="3"/>
                <w:sz w:val="20"/>
                <w:szCs w:val="20"/>
              </w:rPr>
              <w:t>H</w:t>
            </w:r>
            <w:r w:rsidR="00060386" w:rsidRPr="00714903">
              <w:rPr>
                <w:color w:val="000000" w:themeColor="text1"/>
                <w:spacing w:val="3"/>
                <w:sz w:val="20"/>
                <w:szCs w:val="20"/>
              </w:rPr>
              <w:t>eadache</w:t>
            </w:r>
          </w:p>
        </w:tc>
      </w:tr>
      <w:tr w:rsidR="00060386" w:rsidRPr="00CB4B99" w14:paraId="225B819F" w14:textId="77777777" w:rsidTr="00FB13AC">
        <w:trPr>
          <w:trHeight w:val="269"/>
        </w:trPr>
        <w:tc>
          <w:tcPr>
            <w:tcW w:w="1683" w:type="dxa"/>
            <w:shd w:val="clear" w:color="auto" w:fill="FFFFFF"/>
          </w:tcPr>
          <w:p w14:paraId="50960465"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2633867C"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peripheral neuropathy, headache, dizziness</w:t>
            </w:r>
          </w:p>
        </w:tc>
        <w:tc>
          <w:tcPr>
            <w:tcW w:w="3837" w:type="dxa"/>
            <w:shd w:val="clear" w:color="auto" w:fill="FFFFFF"/>
          </w:tcPr>
          <w:p w14:paraId="21BB1D3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peripheral neuropathy, dizziness</w:t>
            </w:r>
          </w:p>
        </w:tc>
      </w:tr>
      <w:tr w:rsidR="00060386" w:rsidRPr="00CB4B99" w14:paraId="67AF72C8" w14:textId="77777777" w:rsidTr="00FB13AC">
        <w:trPr>
          <w:trHeight w:val="269"/>
        </w:trPr>
        <w:tc>
          <w:tcPr>
            <w:tcW w:w="1683" w:type="dxa"/>
            <w:shd w:val="clear" w:color="auto" w:fill="FFFFFF"/>
          </w:tcPr>
          <w:p w14:paraId="2B8879AB"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2DB064D9" w14:textId="7C1BB7D8" w:rsidR="00060386" w:rsidRPr="00714903" w:rsidRDefault="00810147" w:rsidP="00C659AE">
            <w:pPr>
              <w:pStyle w:val="EMEABodyText"/>
              <w:keepNext/>
              <w:rPr>
                <w:color w:val="000000" w:themeColor="text1"/>
                <w:spacing w:val="3"/>
                <w:sz w:val="20"/>
                <w:szCs w:val="20"/>
              </w:rPr>
            </w:pPr>
            <w:r>
              <w:rPr>
                <w:color w:val="000000" w:themeColor="text1"/>
                <w:sz w:val="20"/>
                <w:szCs w:val="20"/>
              </w:rPr>
              <w:t>p</w:t>
            </w:r>
            <w:r w:rsidR="00060386" w:rsidRPr="00714903">
              <w:rPr>
                <w:color w:val="000000" w:themeColor="text1"/>
                <w:sz w:val="20"/>
                <w:szCs w:val="20"/>
              </w:rPr>
              <w:t>olyneuropat</w:t>
            </w:r>
            <w:r w:rsidR="00060386" w:rsidRPr="005621A7">
              <w:rPr>
                <w:color w:val="000000" w:themeColor="text1"/>
                <w:sz w:val="20"/>
                <w:szCs w:val="20"/>
              </w:rPr>
              <w:t>hy,</w:t>
            </w:r>
            <w:r w:rsidRPr="005621A7">
              <w:rPr>
                <w:color w:val="000000" w:themeColor="text1"/>
                <w:sz w:val="20"/>
                <w:szCs w:val="20"/>
              </w:rPr>
              <w:t xml:space="preserve"> autoimmune neuropathy (including facial and </w:t>
            </w:r>
            <w:proofErr w:type="spellStart"/>
            <w:r w:rsidRPr="005621A7">
              <w:rPr>
                <w:color w:val="000000" w:themeColor="text1"/>
                <w:sz w:val="20"/>
                <w:szCs w:val="20"/>
              </w:rPr>
              <w:t>abducens</w:t>
            </w:r>
            <w:proofErr w:type="spellEnd"/>
            <w:r w:rsidRPr="005621A7">
              <w:rPr>
                <w:color w:val="000000" w:themeColor="text1"/>
                <w:sz w:val="20"/>
                <w:szCs w:val="20"/>
              </w:rPr>
              <w:t xml:space="preserve"> nerve paresis)</w:t>
            </w:r>
          </w:p>
        </w:tc>
        <w:tc>
          <w:tcPr>
            <w:tcW w:w="3837" w:type="dxa"/>
            <w:shd w:val="clear" w:color="auto" w:fill="FFFFFF"/>
          </w:tcPr>
          <w:p w14:paraId="6319967F" w14:textId="77777777" w:rsidR="00060386" w:rsidRPr="00714903" w:rsidRDefault="00060386" w:rsidP="00C659AE">
            <w:pPr>
              <w:pStyle w:val="EMEABodyText"/>
              <w:keepNext/>
              <w:tabs>
                <w:tab w:val="left" w:pos="765"/>
              </w:tabs>
              <w:rPr>
                <w:color w:val="000000" w:themeColor="text1"/>
                <w:spacing w:val="3"/>
                <w:sz w:val="20"/>
                <w:szCs w:val="20"/>
              </w:rPr>
            </w:pPr>
            <w:proofErr w:type="spellStart"/>
            <w:r w:rsidRPr="00714903">
              <w:rPr>
                <w:color w:val="000000" w:themeColor="text1"/>
                <w:spacing w:val="3"/>
                <w:sz w:val="20"/>
                <w:szCs w:val="20"/>
              </w:rPr>
              <w:t>Guillain-Barré</w:t>
            </w:r>
            <w:proofErr w:type="spellEnd"/>
            <w:r w:rsidRPr="00714903">
              <w:rPr>
                <w:color w:val="000000" w:themeColor="text1"/>
                <w:spacing w:val="3"/>
                <w:sz w:val="20"/>
                <w:szCs w:val="20"/>
              </w:rPr>
              <w:t xml:space="preserve"> syndrome, </w:t>
            </w:r>
            <w:r w:rsidRPr="00714903">
              <w:rPr>
                <w:color w:val="000000" w:themeColor="text1"/>
                <w:sz w:val="20"/>
                <w:szCs w:val="20"/>
              </w:rPr>
              <w:t xml:space="preserve">polyneuropathy, neuritis, peroneal nerve palsy, </w:t>
            </w:r>
            <w:r w:rsidRPr="00714903">
              <w:rPr>
                <w:color w:val="000000" w:themeColor="text1"/>
                <w:spacing w:val="3"/>
                <w:sz w:val="20"/>
                <w:szCs w:val="20"/>
              </w:rPr>
              <w:t xml:space="preserve">autoimmune neuropathy (including </w:t>
            </w:r>
            <w:r w:rsidRPr="00714903">
              <w:rPr>
                <w:color w:val="000000" w:themeColor="text1"/>
                <w:sz w:val="20"/>
                <w:szCs w:val="20"/>
              </w:rPr>
              <w:t xml:space="preserve">facial and </w:t>
            </w:r>
            <w:proofErr w:type="spellStart"/>
            <w:r w:rsidRPr="00714903">
              <w:rPr>
                <w:color w:val="000000" w:themeColor="text1"/>
                <w:sz w:val="20"/>
                <w:szCs w:val="20"/>
              </w:rPr>
              <w:t>abducens</w:t>
            </w:r>
            <w:proofErr w:type="spellEnd"/>
            <w:r w:rsidRPr="00714903">
              <w:rPr>
                <w:color w:val="000000" w:themeColor="text1"/>
                <w:sz w:val="20"/>
                <w:szCs w:val="20"/>
              </w:rPr>
              <w:t xml:space="preserve"> nerve paresis), </w:t>
            </w:r>
            <w:proofErr w:type="spellStart"/>
            <w:r w:rsidRPr="00714903">
              <w:rPr>
                <w:color w:val="000000" w:themeColor="text1"/>
                <w:sz w:val="20"/>
                <w:szCs w:val="20"/>
              </w:rPr>
              <w:t>encephalitis</w:t>
            </w:r>
            <w:r w:rsidRPr="00714903">
              <w:rPr>
                <w:color w:val="000000" w:themeColor="text1"/>
                <w:sz w:val="20"/>
                <w:szCs w:val="20"/>
                <w:vertAlign w:val="superscript"/>
              </w:rPr>
              <w:t>b</w:t>
            </w:r>
            <w:proofErr w:type="spellEnd"/>
          </w:p>
        </w:tc>
      </w:tr>
      <w:tr w:rsidR="00060386" w:rsidRPr="00CB4B99" w14:paraId="4212696B" w14:textId="77777777" w:rsidTr="00FB13AC">
        <w:trPr>
          <w:trHeight w:val="269"/>
        </w:trPr>
        <w:tc>
          <w:tcPr>
            <w:tcW w:w="1683" w:type="dxa"/>
            <w:shd w:val="clear" w:color="auto" w:fill="FFFFFF"/>
          </w:tcPr>
          <w:p w14:paraId="50D34B08"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54F24CB8" w14:textId="28E35CAE" w:rsidR="00060386" w:rsidRPr="00714903" w:rsidRDefault="00060386" w:rsidP="00810147">
            <w:pPr>
              <w:pStyle w:val="EMEABodyText"/>
              <w:keepNext/>
              <w:rPr>
                <w:color w:val="000000" w:themeColor="text1"/>
                <w:spacing w:val="3"/>
                <w:sz w:val="20"/>
                <w:szCs w:val="20"/>
              </w:rPr>
            </w:pPr>
            <w:proofErr w:type="spellStart"/>
            <w:r w:rsidRPr="00714903">
              <w:rPr>
                <w:color w:val="000000" w:themeColor="text1"/>
                <w:spacing w:val="3"/>
                <w:sz w:val="20"/>
                <w:szCs w:val="20"/>
              </w:rPr>
              <w:t>Guillain-Barré</w:t>
            </w:r>
            <w:proofErr w:type="spellEnd"/>
            <w:r w:rsidRPr="00714903">
              <w:rPr>
                <w:color w:val="000000" w:themeColor="text1"/>
                <w:spacing w:val="3"/>
                <w:sz w:val="20"/>
                <w:szCs w:val="20"/>
              </w:rPr>
              <w:t xml:space="preserve"> syndrome, demyelination, </w:t>
            </w:r>
            <w:proofErr w:type="spellStart"/>
            <w:r w:rsidRPr="00714903">
              <w:rPr>
                <w:color w:val="000000" w:themeColor="text1"/>
                <w:spacing w:val="3"/>
                <w:sz w:val="20"/>
                <w:szCs w:val="20"/>
              </w:rPr>
              <w:t>myasthenic</w:t>
            </w:r>
            <w:proofErr w:type="spellEnd"/>
            <w:r w:rsidRPr="00714903">
              <w:rPr>
                <w:color w:val="000000" w:themeColor="text1"/>
                <w:spacing w:val="3"/>
                <w:sz w:val="20"/>
                <w:szCs w:val="20"/>
              </w:rPr>
              <w:t xml:space="preserve"> syndrome, encephalitis </w:t>
            </w:r>
            <w:proofErr w:type="spellStart"/>
            <w:r w:rsidRPr="00714903">
              <w:rPr>
                <w:color w:val="000000" w:themeColor="text1"/>
                <w:spacing w:val="3"/>
                <w:sz w:val="20"/>
                <w:szCs w:val="20"/>
                <w:vertAlign w:val="superscript"/>
              </w:rPr>
              <w:t>a,b</w:t>
            </w:r>
            <w:proofErr w:type="spellEnd"/>
            <w:r w:rsidRPr="00714903">
              <w:rPr>
                <w:color w:val="000000" w:themeColor="text1"/>
                <w:spacing w:val="3"/>
                <w:sz w:val="20"/>
                <w:szCs w:val="20"/>
              </w:rPr>
              <w:t xml:space="preserve"> </w:t>
            </w:r>
          </w:p>
        </w:tc>
        <w:tc>
          <w:tcPr>
            <w:tcW w:w="3837" w:type="dxa"/>
            <w:shd w:val="clear" w:color="auto" w:fill="FFFFFF"/>
          </w:tcPr>
          <w:p w14:paraId="6E760E60" w14:textId="77777777" w:rsidR="00060386" w:rsidRPr="00714903" w:rsidRDefault="00060386" w:rsidP="00C659AE">
            <w:pPr>
              <w:pStyle w:val="EMEABodyText"/>
              <w:keepNext/>
              <w:rPr>
                <w:color w:val="000000" w:themeColor="text1"/>
                <w:spacing w:val="3"/>
                <w:sz w:val="20"/>
                <w:szCs w:val="20"/>
              </w:rPr>
            </w:pPr>
          </w:p>
        </w:tc>
      </w:tr>
      <w:tr w:rsidR="00060386" w:rsidRPr="00CB4B99" w14:paraId="0C2EAE2C" w14:textId="77777777" w:rsidTr="00FB13AC">
        <w:trPr>
          <w:trHeight w:val="283"/>
        </w:trPr>
        <w:tc>
          <w:tcPr>
            <w:tcW w:w="9356" w:type="dxa"/>
            <w:gridSpan w:val="3"/>
            <w:shd w:val="clear" w:color="auto" w:fill="FFFFFF"/>
          </w:tcPr>
          <w:p w14:paraId="5763011E"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Eye disorders</w:t>
            </w:r>
          </w:p>
        </w:tc>
      </w:tr>
      <w:tr w:rsidR="00060386" w:rsidRPr="00CB4B99" w14:paraId="0E40C0BC" w14:textId="77777777" w:rsidTr="00FB13AC">
        <w:trPr>
          <w:trHeight w:val="269"/>
        </w:trPr>
        <w:tc>
          <w:tcPr>
            <w:tcW w:w="1683" w:type="dxa"/>
            <w:shd w:val="clear" w:color="auto" w:fill="FFFFFF"/>
          </w:tcPr>
          <w:p w14:paraId="75DC9264"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29E90050" w14:textId="77777777" w:rsidR="00060386" w:rsidRPr="00714903" w:rsidRDefault="00060386" w:rsidP="00C659AE">
            <w:pPr>
              <w:pStyle w:val="EMEABodyText"/>
              <w:keepNext/>
              <w:rPr>
                <w:color w:val="000000" w:themeColor="text1"/>
                <w:spacing w:val="3"/>
                <w:sz w:val="20"/>
                <w:szCs w:val="20"/>
              </w:rPr>
            </w:pPr>
          </w:p>
        </w:tc>
        <w:tc>
          <w:tcPr>
            <w:tcW w:w="3837" w:type="dxa"/>
            <w:shd w:val="clear" w:color="auto" w:fill="FFFFFF"/>
          </w:tcPr>
          <w:p w14:paraId="6ABDCBCF"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uveitis, blurred vision</w:t>
            </w:r>
          </w:p>
        </w:tc>
      </w:tr>
      <w:tr w:rsidR="00060386" w:rsidRPr="00CB4B99" w14:paraId="75D0DEB4" w14:textId="77777777" w:rsidTr="00FB13AC">
        <w:trPr>
          <w:trHeight w:val="269"/>
        </w:trPr>
        <w:tc>
          <w:tcPr>
            <w:tcW w:w="1683" w:type="dxa"/>
            <w:shd w:val="clear" w:color="auto" w:fill="FFFFFF"/>
          </w:tcPr>
          <w:p w14:paraId="652E9B6D"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480D881A"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uveitis, blurred vision, dry eye </w:t>
            </w:r>
          </w:p>
        </w:tc>
        <w:tc>
          <w:tcPr>
            <w:tcW w:w="3837" w:type="dxa"/>
            <w:shd w:val="clear" w:color="auto" w:fill="FFFFFF"/>
          </w:tcPr>
          <w:p w14:paraId="4A2B2FAD" w14:textId="77777777" w:rsidR="00060386" w:rsidRPr="00714903" w:rsidRDefault="00060386" w:rsidP="00C659AE">
            <w:pPr>
              <w:pStyle w:val="EMEABodyText"/>
              <w:keepNext/>
              <w:rPr>
                <w:color w:val="000000" w:themeColor="text1"/>
                <w:spacing w:val="3"/>
                <w:sz w:val="20"/>
                <w:szCs w:val="20"/>
              </w:rPr>
            </w:pPr>
          </w:p>
        </w:tc>
      </w:tr>
      <w:tr w:rsidR="00060386" w:rsidRPr="00CB4B99" w14:paraId="3E441ED0" w14:textId="77777777" w:rsidTr="00FB13AC">
        <w:trPr>
          <w:trHeight w:val="283"/>
        </w:trPr>
        <w:tc>
          <w:tcPr>
            <w:tcW w:w="9356" w:type="dxa"/>
            <w:gridSpan w:val="3"/>
            <w:shd w:val="clear" w:color="auto" w:fill="FFFFFF"/>
          </w:tcPr>
          <w:p w14:paraId="68FC9DF1"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Cardiac disorders</w:t>
            </w:r>
          </w:p>
        </w:tc>
      </w:tr>
      <w:tr w:rsidR="00060386" w:rsidRPr="00CB4B99" w14:paraId="73966C26" w14:textId="77777777" w:rsidTr="00FB13AC">
        <w:trPr>
          <w:trHeight w:val="283"/>
        </w:trPr>
        <w:tc>
          <w:tcPr>
            <w:tcW w:w="1683" w:type="dxa"/>
            <w:shd w:val="clear" w:color="auto" w:fill="FFFFFF"/>
          </w:tcPr>
          <w:p w14:paraId="565ED97E"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Common</w:t>
            </w:r>
          </w:p>
        </w:tc>
        <w:tc>
          <w:tcPr>
            <w:tcW w:w="3836" w:type="dxa"/>
            <w:shd w:val="clear" w:color="auto" w:fill="FFFFFF"/>
          </w:tcPr>
          <w:p w14:paraId="0FCA9F01"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6B428FE0" w14:textId="2863FAE2" w:rsidR="00060386" w:rsidRPr="00714903" w:rsidRDefault="00D16B7E" w:rsidP="00C659AE">
            <w:pPr>
              <w:pStyle w:val="EMEABodyText"/>
              <w:keepNext/>
              <w:tabs>
                <w:tab w:val="left" w:pos="1020"/>
              </w:tabs>
              <w:rPr>
                <w:b/>
                <w:bCs/>
                <w:iCs/>
                <w:color w:val="000000" w:themeColor="text1"/>
                <w:sz w:val="20"/>
                <w:szCs w:val="20"/>
              </w:rPr>
            </w:pPr>
            <w:r w:rsidRPr="00714903">
              <w:rPr>
                <w:color w:val="000000" w:themeColor="text1"/>
                <w:spacing w:val="3"/>
                <w:sz w:val="20"/>
                <w:szCs w:val="20"/>
              </w:rPr>
              <w:t>T</w:t>
            </w:r>
            <w:r w:rsidR="00060386" w:rsidRPr="00714903">
              <w:rPr>
                <w:color w:val="000000" w:themeColor="text1"/>
                <w:spacing w:val="3"/>
                <w:sz w:val="20"/>
                <w:szCs w:val="20"/>
              </w:rPr>
              <w:t>achycardia</w:t>
            </w:r>
          </w:p>
        </w:tc>
      </w:tr>
      <w:tr w:rsidR="00060386" w:rsidRPr="00CB4B99" w14:paraId="4AD16F32" w14:textId="77777777" w:rsidTr="00FB13AC">
        <w:trPr>
          <w:trHeight w:val="269"/>
        </w:trPr>
        <w:tc>
          <w:tcPr>
            <w:tcW w:w="1683" w:type="dxa"/>
            <w:shd w:val="clear" w:color="auto" w:fill="FFFFFF"/>
          </w:tcPr>
          <w:p w14:paraId="6CBFDDAC"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17A7F0AB" w14:textId="77777777" w:rsidR="00060386" w:rsidRPr="00714903" w:rsidRDefault="00060386" w:rsidP="00C659AE">
            <w:pPr>
              <w:pStyle w:val="EMEABodyText"/>
              <w:keepNext/>
              <w:rPr>
                <w:rStyle w:val="EMEASuperscript"/>
                <w:color w:val="000000" w:themeColor="text1"/>
                <w:sz w:val="20"/>
                <w:szCs w:val="20"/>
              </w:rPr>
            </w:pPr>
            <w:r w:rsidRPr="00714903">
              <w:rPr>
                <w:color w:val="000000" w:themeColor="text1"/>
                <w:spacing w:val="3"/>
                <w:sz w:val="20"/>
                <w:szCs w:val="20"/>
              </w:rPr>
              <w:t>tachycardia</w:t>
            </w:r>
          </w:p>
        </w:tc>
        <w:tc>
          <w:tcPr>
            <w:tcW w:w="3837" w:type="dxa"/>
            <w:shd w:val="clear" w:color="auto" w:fill="FFFFFF"/>
          </w:tcPr>
          <w:p w14:paraId="20C89A3A" w14:textId="77777777" w:rsidR="00060386" w:rsidRPr="00714903" w:rsidRDefault="00060386" w:rsidP="00C659AE">
            <w:pPr>
              <w:pStyle w:val="EMEABodyText"/>
              <w:keepNext/>
              <w:rPr>
                <w:rStyle w:val="EMEASuperscript"/>
                <w:color w:val="000000" w:themeColor="text1"/>
                <w:sz w:val="20"/>
                <w:szCs w:val="20"/>
              </w:rPr>
            </w:pPr>
            <w:r w:rsidRPr="00714903">
              <w:rPr>
                <w:color w:val="000000" w:themeColor="text1"/>
                <w:spacing w:val="3"/>
                <w:sz w:val="20"/>
                <w:szCs w:val="20"/>
              </w:rPr>
              <w:t>arrhythmia (including ventricular arrhythmia)</w:t>
            </w:r>
            <w:r w:rsidRPr="00714903">
              <w:rPr>
                <w:color w:val="000000" w:themeColor="text1"/>
                <w:spacing w:val="3"/>
                <w:sz w:val="20"/>
                <w:szCs w:val="20"/>
                <w:vertAlign w:val="superscript"/>
              </w:rPr>
              <w:t>a</w:t>
            </w:r>
            <w:r w:rsidRPr="00714903">
              <w:rPr>
                <w:color w:val="000000" w:themeColor="text1"/>
                <w:spacing w:val="3"/>
                <w:sz w:val="20"/>
                <w:szCs w:val="20"/>
              </w:rPr>
              <w:t xml:space="preserve">, atrial fibrillation, </w:t>
            </w:r>
            <w:proofErr w:type="spellStart"/>
            <w:r w:rsidRPr="00714903">
              <w:rPr>
                <w:color w:val="000000" w:themeColor="text1"/>
                <w:spacing w:val="3"/>
                <w:sz w:val="20"/>
                <w:szCs w:val="20"/>
              </w:rPr>
              <w:t>myocarditis</w:t>
            </w:r>
            <w:r w:rsidRPr="00714903">
              <w:rPr>
                <w:color w:val="000000" w:themeColor="text1"/>
                <w:spacing w:val="3"/>
                <w:sz w:val="20"/>
                <w:szCs w:val="20"/>
                <w:vertAlign w:val="superscript"/>
              </w:rPr>
              <w:t>a,d</w:t>
            </w:r>
            <w:proofErr w:type="spellEnd"/>
          </w:p>
        </w:tc>
      </w:tr>
      <w:tr w:rsidR="00060386" w:rsidRPr="00CB4B99" w14:paraId="2B431365" w14:textId="77777777" w:rsidTr="00FB13AC">
        <w:trPr>
          <w:trHeight w:val="269"/>
        </w:trPr>
        <w:tc>
          <w:tcPr>
            <w:tcW w:w="1683" w:type="dxa"/>
            <w:shd w:val="clear" w:color="auto" w:fill="FFFFFF"/>
          </w:tcPr>
          <w:p w14:paraId="5FA3BFFB"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2808F2D3"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arrhythmia (including ventricular </w:t>
            </w:r>
            <w:r w:rsidRPr="00714903">
              <w:rPr>
                <w:color w:val="000000" w:themeColor="text1"/>
                <w:spacing w:val="3"/>
                <w:sz w:val="20"/>
                <w:szCs w:val="20"/>
              </w:rPr>
              <w:lastRenderedPageBreak/>
              <w:t xml:space="preserve">arrhythmia), myocarditis </w:t>
            </w:r>
            <w:proofErr w:type="spellStart"/>
            <w:r w:rsidRPr="00714903">
              <w:rPr>
                <w:color w:val="000000" w:themeColor="text1"/>
                <w:spacing w:val="3"/>
                <w:sz w:val="20"/>
                <w:szCs w:val="20"/>
                <w:vertAlign w:val="superscript"/>
              </w:rPr>
              <w:t>a,d</w:t>
            </w:r>
            <w:proofErr w:type="spellEnd"/>
            <w:r w:rsidRPr="00714903">
              <w:rPr>
                <w:color w:val="000000" w:themeColor="text1"/>
                <w:spacing w:val="3"/>
                <w:sz w:val="20"/>
                <w:szCs w:val="20"/>
              </w:rPr>
              <w:t>, atrial fibrillation</w:t>
            </w:r>
          </w:p>
        </w:tc>
        <w:tc>
          <w:tcPr>
            <w:tcW w:w="3837" w:type="dxa"/>
            <w:shd w:val="clear" w:color="auto" w:fill="FFFFFF"/>
          </w:tcPr>
          <w:p w14:paraId="7A585F0B" w14:textId="77777777" w:rsidR="00060386" w:rsidRPr="00714903" w:rsidRDefault="00060386" w:rsidP="00C659AE">
            <w:pPr>
              <w:pStyle w:val="EMEABodyText"/>
              <w:keepNext/>
              <w:rPr>
                <w:color w:val="000000" w:themeColor="text1"/>
                <w:spacing w:val="3"/>
                <w:sz w:val="20"/>
                <w:szCs w:val="20"/>
              </w:rPr>
            </w:pPr>
          </w:p>
        </w:tc>
      </w:tr>
      <w:tr w:rsidR="00060386" w:rsidRPr="00CB4B99" w14:paraId="44FD2EBC" w14:textId="77777777" w:rsidTr="00FB13AC">
        <w:trPr>
          <w:trHeight w:val="283"/>
        </w:trPr>
        <w:tc>
          <w:tcPr>
            <w:tcW w:w="9356" w:type="dxa"/>
            <w:gridSpan w:val="3"/>
            <w:shd w:val="clear" w:color="auto" w:fill="FFFFFF"/>
          </w:tcPr>
          <w:p w14:paraId="474BE0D5"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lastRenderedPageBreak/>
              <w:t>Vascular disorders</w:t>
            </w:r>
          </w:p>
        </w:tc>
      </w:tr>
      <w:tr w:rsidR="00060386" w:rsidRPr="00CB4B99" w14:paraId="19C4115B" w14:textId="77777777" w:rsidTr="00FB13AC">
        <w:trPr>
          <w:trHeight w:val="269"/>
        </w:trPr>
        <w:tc>
          <w:tcPr>
            <w:tcW w:w="1683" w:type="dxa"/>
            <w:shd w:val="clear" w:color="auto" w:fill="FFFFFF"/>
          </w:tcPr>
          <w:p w14:paraId="3FF6B697"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76C7A5F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hypertension</w:t>
            </w:r>
          </w:p>
        </w:tc>
        <w:tc>
          <w:tcPr>
            <w:tcW w:w="3837" w:type="dxa"/>
            <w:shd w:val="clear" w:color="auto" w:fill="FFFFFF"/>
          </w:tcPr>
          <w:p w14:paraId="64367F71" w14:textId="4EE3FF88" w:rsidR="00060386" w:rsidRPr="00714903" w:rsidRDefault="00D16B7E" w:rsidP="00C659AE">
            <w:pPr>
              <w:pStyle w:val="EMEABodyText"/>
              <w:keepNext/>
              <w:rPr>
                <w:color w:val="000000" w:themeColor="text1"/>
                <w:spacing w:val="3"/>
                <w:sz w:val="20"/>
                <w:szCs w:val="20"/>
              </w:rPr>
            </w:pPr>
            <w:r w:rsidRPr="00714903">
              <w:rPr>
                <w:color w:val="000000" w:themeColor="text1"/>
                <w:spacing w:val="3"/>
                <w:sz w:val="20"/>
                <w:szCs w:val="20"/>
              </w:rPr>
              <w:t>H</w:t>
            </w:r>
            <w:r w:rsidR="00060386" w:rsidRPr="00714903">
              <w:rPr>
                <w:color w:val="000000" w:themeColor="text1"/>
                <w:spacing w:val="3"/>
                <w:sz w:val="20"/>
                <w:szCs w:val="20"/>
              </w:rPr>
              <w:t>ypertension</w:t>
            </w:r>
          </w:p>
        </w:tc>
      </w:tr>
      <w:tr w:rsidR="00060386" w:rsidRPr="00CB4B99" w14:paraId="3DD54456"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1DA9AD7"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A72E83A"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vasculitis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75439C6F" w14:textId="77777777" w:rsidR="00060386" w:rsidRPr="00714903" w:rsidRDefault="00060386" w:rsidP="00C659AE">
            <w:pPr>
              <w:pStyle w:val="EMEABodyText"/>
              <w:keepNext/>
              <w:rPr>
                <w:color w:val="000000" w:themeColor="text1"/>
                <w:spacing w:val="3"/>
                <w:sz w:val="20"/>
                <w:szCs w:val="20"/>
              </w:rPr>
            </w:pPr>
          </w:p>
        </w:tc>
      </w:tr>
      <w:tr w:rsidR="00060386" w:rsidRPr="00CB4B99" w14:paraId="019C7E9D" w14:textId="77777777" w:rsidTr="00FB13AC">
        <w:trPr>
          <w:trHeight w:val="283"/>
        </w:trPr>
        <w:tc>
          <w:tcPr>
            <w:tcW w:w="9356" w:type="dxa"/>
            <w:gridSpan w:val="3"/>
            <w:shd w:val="clear" w:color="auto" w:fill="FFFFFF"/>
          </w:tcPr>
          <w:p w14:paraId="39AB7461"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Respiratory, thoracic and mediastinal disorders</w:t>
            </w:r>
          </w:p>
        </w:tc>
      </w:tr>
      <w:tr w:rsidR="00060386" w:rsidRPr="00CB4B99" w14:paraId="4CB33D6A" w14:textId="77777777" w:rsidTr="00FB13AC">
        <w:trPr>
          <w:trHeight w:val="269"/>
        </w:trPr>
        <w:tc>
          <w:tcPr>
            <w:tcW w:w="1683" w:type="dxa"/>
            <w:shd w:val="clear" w:color="auto" w:fill="FFFFFF"/>
          </w:tcPr>
          <w:p w14:paraId="6BB20A8D"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284BA1EF"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pneumonitis</w:t>
            </w:r>
            <w:r w:rsidRPr="00714903">
              <w:rPr>
                <w:color w:val="000000" w:themeColor="text1"/>
                <w:spacing w:val="3"/>
                <w:sz w:val="20"/>
                <w:szCs w:val="20"/>
                <w:vertAlign w:val="superscript"/>
              </w:rPr>
              <w:t>a,b</w:t>
            </w:r>
            <w:proofErr w:type="spellEnd"/>
            <w:r w:rsidRPr="00714903">
              <w:rPr>
                <w:color w:val="000000" w:themeColor="text1"/>
                <w:spacing w:val="3"/>
                <w:sz w:val="20"/>
                <w:szCs w:val="20"/>
              </w:rPr>
              <w:t>, dyspnoea</w:t>
            </w:r>
            <w:r w:rsidRPr="00714903">
              <w:rPr>
                <w:color w:val="000000" w:themeColor="text1"/>
                <w:spacing w:val="3"/>
                <w:sz w:val="20"/>
                <w:szCs w:val="20"/>
                <w:vertAlign w:val="superscript"/>
              </w:rPr>
              <w:t xml:space="preserve"> a</w:t>
            </w:r>
            <w:r w:rsidRPr="00714903">
              <w:rPr>
                <w:color w:val="000000" w:themeColor="text1"/>
                <w:spacing w:val="3"/>
                <w:sz w:val="20"/>
                <w:szCs w:val="20"/>
              </w:rPr>
              <w:t xml:space="preserve">, cough </w:t>
            </w:r>
          </w:p>
        </w:tc>
        <w:tc>
          <w:tcPr>
            <w:tcW w:w="3837" w:type="dxa"/>
            <w:shd w:val="clear" w:color="auto" w:fill="FFFFFF"/>
          </w:tcPr>
          <w:p w14:paraId="7890239D"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pneumonitis</w:t>
            </w:r>
            <w:r w:rsidRPr="00714903">
              <w:rPr>
                <w:rStyle w:val="EMEASuperscript"/>
                <w:color w:val="000000" w:themeColor="text1"/>
                <w:sz w:val="20"/>
                <w:szCs w:val="20"/>
              </w:rPr>
              <w:t>a,b</w:t>
            </w:r>
            <w:proofErr w:type="spellEnd"/>
            <w:r w:rsidRPr="00714903">
              <w:rPr>
                <w:color w:val="000000" w:themeColor="text1"/>
                <w:spacing w:val="3"/>
                <w:sz w:val="20"/>
                <w:szCs w:val="20"/>
              </w:rPr>
              <w:t xml:space="preserve"> dyspnoea, cough</w:t>
            </w:r>
          </w:p>
        </w:tc>
      </w:tr>
      <w:tr w:rsidR="00060386" w:rsidRPr="00CB4B99" w14:paraId="31EB6871"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1347DD42" w14:textId="77777777" w:rsidR="00060386" w:rsidRPr="00714903" w:rsidDel="006926A5"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6FFE6F9"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pleural effusion</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624CA88F"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pleural effusion</w:t>
            </w:r>
          </w:p>
        </w:tc>
      </w:tr>
      <w:tr w:rsidR="00060386" w:rsidRPr="00CB4B99" w14:paraId="617F8116"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2F127F82"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B26A8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lung infiltration</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1EACAD42"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 </w:t>
            </w:r>
          </w:p>
        </w:tc>
      </w:tr>
      <w:tr w:rsidR="00060386" w:rsidRPr="00CB4B99" w14:paraId="44854FAE" w14:textId="77777777" w:rsidTr="00FB13AC">
        <w:trPr>
          <w:trHeight w:val="283"/>
        </w:trPr>
        <w:tc>
          <w:tcPr>
            <w:tcW w:w="9356" w:type="dxa"/>
            <w:gridSpan w:val="3"/>
            <w:shd w:val="clear" w:color="auto" w:fill="FFFFFF"/>
          </w:tcPr>
          <w:p w14:paraId="73880719"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Gastrointestinal disorders</w:t>
            </w:r>
          </w:p>
        </w:tc>
      </w:tr>
      <w:tr w:rsidR="00060386" w:rsidRPr="00CB4B99" w14:paraId="58323611" w14:textId="77777777" w:rsidTr="00FB13AC">
        <w:trPr>
          <w:trHeight w:val="269"/>
        </w:trPr>
        <w:tc>
          <w:tcPr>
            <w:tcW w:w="1683" w:type="dxa"/>
            <w:shd w:val="clear" w:color="auto" w:fill="FFFFFF"/>
          </w:tcPr>
          <w:p w14:paraId="494E9AF4"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Very common</w:t>
            </w:r>
          </w:p>
        </w:tc>
        <w:tc>
          <w:tcPr>
            <w:tcW w:w="3836" w:type="dxa"/>
            <w:shd w:val="clear" w:color="auto" w:fill="FFFFFF"/>
          </w:tcPr>
          <w:p w14:paraId="679B6D3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diarrhoea, nausea </w:t>
            </w:r>
          </w:p>
        </w:tc>
        <w:tc>
          <w:tcPr>
            <w:tcW w:w="3837" w:type="dxa"/>
            <w:shd w:val="clear" w:color="auto" w:fill="FFFFFF"/>
          </w:tcPr>
          <w:p w14:paraId="50B8AF84"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colitis</w:t>
            </w:r>
            <w:r w:rsidRPr="00714903">
              <w:rPr>
                <w:color w:val="000000" w:themeColor="text1"/>
                <w:spacing w:val="3"/>
                <w:sz w:val="20"/>
                <w:szCs w:val="20"/>
                <w:vertAlign w:val="superscript"/>
              </w:rPr>
              <w:t>a</w:t>
            </w:r>
            <w:proofErr w:type="spellEnd"/>
            <w:r w:rsidRPr="00714903">
              <w:rPr>
                <w:color w:val="000000" w:themeColor="text1"/>
                <w:spacing w:val="3"/>
                <w:sz w:val="20"/>
                <w:szCs w:val="20"/>
              </w:rPr>
              <w:t>, diarrhoea, vomiting, nausea, abdominal pain</w:t>
            </w:r>
          </w:p>
        </w:tc>
      </w:tr>
      <w:tr w:rsidR="00060386" w:rsidRPr="00CB4B99" w14:paraId="4C1D62B3" w14:textId="77777777" w:rsidTr="00FB13AC">
        <w:trPr>
          <w:trHeight w:val="269"/>
        </w:trPr>
        <w:tc>
          <w:tcPr>
            <w:tcW w:w="1683" w:type="dxa"/>
            <w:shd w:val="clear" w:color="auto" w:fill="FFFFFF"/>
          </w:tcPr>
          <w:p w14:paraId="1950FF39"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535BE767" w14:textId="33AEF88C" w:rsidR="00060386" w:rsidRPr="00714903" w:rsidRDefault="00810147" w:rsidP="00C659AE">
            <w:pPr>
              <w:pStyle w:val="EMEABodyText"/>
              <w:keepNext/>
              <w:rPr>
                <w:color w:val="000000" w:themeColor="text1"/>
                <w:spacing w:val="3"/>
                <w:sz w:val="20"/>
                <w:szCs w:val="20"/>
              </w:rPr>
            </w:pPr>
            <w:proofErr w:type="spellStart"/>
            <w:r>
              <w:rPr>
                <w:color w:val="000000" w:themeColor="text1"/>
                <w:spacing w:val="3"/>
                <w:sz w:val="20"/>
                <w:szCs w:val="20"/>
              </w:rPr>
              <w:t>colitis</w:t>
            </w:r>
            <w:r w:rsidRPr="00810147">
              <w:rPr>
                <w:color w:val="000000" w:themeColor="text1"/>
                <w:spacing w:val="3"/>
                <w:sz w:val="20"/>
                <w:szCs w:val="20"/>
                <w:vertAlign w:val="superscript"/>
              </w:rPr>
              <w:t>a</w:t>
            </w:r>
            <w:proofErr w:type="spellEnd"/>
            <w:r>
              <w:rPr>
                <w:color w:val="000000" w:themeColor="text1"/>
                <w:spacing w:val="3"/>
                <w:sz w:val="20"/>
                <w:szCs w:val="20"/>
              </w:rPr>
              <w:t xml:space="preserve">, </w:t>
            </w:r>
            <w:r w:rsidR="00060386" w:rsidRPr="00714903">
              <w:rPr>
                <w:color w:val="000000" w:themeColor="text1"/>
                <w:spacing w:val="3"/>
                <w:sz w:val="20"/>
                <w:szCs w:val="20"/>
              </w:rPr>
              <w:t>stomatitis, vomiting, abdominal pain, constipation, dry mouth</w:t>
            </w:r>
          </w:p>
        </w:tc>
        <w:tc>
          <w:tcPr>
            <w:tcW w:w="3837" w:type="dxa"/>
            <w:shd w:val="clear" w:color="auto" w:fill="FFFFFF"/>
          </w:tcPr>
          <w:p w14:paraId="07C92F0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stomatitis, gastritis, constipation, dry mouth</w:t>
            </w:r>
          </w:p>
        </w:tc>
      </w:tr>
      <w:tr w:rsidR="00060386" w:rsidRPr="00CB4B99" w14:paraId="4FE782BB" w14:textId="77777777" w:rsidTr="00FB13AC">
        <w:trPr>
          <w:trHeight w:val="269"/>
        </w:trPr>
        <w:tc>
          <w:tcPr>
            <w:tcW w:w="1683" w:type="dxa"/>
            <w:shd w:val="clear" w:color="auto" w:fill="FFFFFF"/>
          </w:tcPr>
          <w:p w14:paraId="1E605A5A"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7176E2B1" w14:textId="52BA378E"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pancreatitis</w:t>
            </w:r>
            <w:r w:rsidR="00810147">
              <w:rPr>
                <w:color w:val="000000" w:themeColor="text1"/>
                <w:spacing w:val="3"/>
                <w:sz w:val="20"/>
                <w:szCs w:val="20"/>
              </w:rPr>
              <w:t>, gastritis</w:t>
            </w:r>
          </w:p>
        </w:tc>
        <w:tc>
          <w:tcPr>
            <w:tcW w:w="3837" w:type="dxa"/>
            <w:shd w:val="clear" w:color="auto" w:fill="FFFFFF"/>
          </w:tcPr>
          <w:p w14:paraId="78E3A2BF"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pancreatitis, intestinal </w:t>
            </w:r>
            <w:proofErr w:type="spellStart"/>
            <w:r w:rsidRPr="00714903">
              <w:rPr>
                <w:color w:val="000000" w:themeColor="text1"/>
                <w:spacing w:val="3"/>
                <w:sz w:val="20"/>
                <w:szCs w:val="20"/>
              </w:rPr>
              <w:t>perforation</w:t>
            </w:r>
            <w:r w:rsidRPr="00714903">
              <w:rPr>
                <w:color w:val="000000" w:themeColor="text1"/>
                <w:spacing w:val="3"/>
                <w:sz w:val="20"/>
                <w:szCs w:val="20"/>
                <w:vertAlign w:val="superscript"/>
              </w:rPr>
              <w:t>a</w:t>
            </w:r>
            <w:proofErr w:type="spellEnd"/>
            <w:r w:rsidRPr="00714903">
              <w:rPr>
                <w:color w:val="000000" w:themeColor="text1"/>
                <w:spacing w:val="3"/>
                <w:sz w:val="20"/>
                <w:szCs w:val="20"/>
              </w:rPr>
              <w:t xml:space="preserve">, </w:t>
            </w:r>
            <w:proofErr w:type="spellStart"/>
            <w:r w:rsidRPr="00714903">
              <w:rPr>
                <w:color w:val="000000" w:themeColor="text1"/>
                <w:spacing w:val="3"/>
                <w:sz w:val="20"/>
                <w:szCs w:val="20"/>
              </w:rPr>
              <w:t>duodenitis</w:t>
            </w:r>
            <w:proofErr w:type="spellEnd"/>
          </w:p>
        </w:tc>
      </w:tr>
      <w:tr w:rsidR="00060386" w:rsidRPr="00CB4B99" w14:paraId="508D4732" w14:textId="77777777" w:rsidTr="00FB13AC">
        <w:trPr>
          <w:trHeight w:val="269"/>
        </w:trPr>
        <w:tc>
          <w:tcPr>
            <w:tcW w:w="1683" w:type="dxa"/>
            <w:shd w:val="clear" w:color="auto" w:fill="FFFFFF"/>
          </w:tcPr>
          <w:p w14:paraId="7F8F17D2"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2F91D5F7"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gastritis, duodenal ulcer</w:t>
            </w:r>
          </w:p>
        </w:tc>
        <w:tc>
          <w:tcPr>
            <w:tcW w:w="3837" w:type="dxa"/>
            <w:shd w:val="clear" w:color="auto" w:fill="FFFFFF"/>
          </w:tcPr>
          <w:p w14:paraId="08CA362E" w14:textId="77777777" w:rsidR="00060386" w:rsidRPr="00714903" w:rsidRDefault="00060386" w:rsidP="00C659AE">
            <w:pPr>
              <w:pStyle w:val="EMEABodyText"/>
              <w:keepNext/>
              <w:rPr>
                <w:color w:val="000000" w:themeColor="text1"/>
                <w:spacing w:val="3"/>
                <w:sz w:val="20"/>
                <w:szCs w:val="20"/>
              </w:rPr>
            </w:pPr>
          </w:p>
        </w:tc>
      </w:tr>
      <w:tr w:rsidR="00060386" w:rsidRPr="00CB4B99" w14:paraId="7BF56DBD" w14:textId="77777777" w:rsidTr="00FB13AC">
        <w:trPr>
          <w:trHeight w:val="283"/>
        </w:trPr>
        <w:tc>
          <w:tcPr>
            <w:tcW w:w="9356" w:type="dxa"/>
            <w:gridSpan w:val="3"/>
            <w:shd w:val="clear" w:color="auto" w:fill="FFFFFF"/>
          </w:tcPr>
          <w:p w14:paraId="56F123C0"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 xml:space="preserve">Skin and subcutaneous tissue disorders </w:t>
            </w:r>
          </w:p>
        </w:tc>
      </w:tr>
      <w:tr w:rsidR="00060386" w:rsidRPr="00CB4B99" w14:paraId="3E412009" w14:textId="77777777" w:rsidTr="00FB13AC">
        <w:trPr>
          <w:trHeight w:val="269"/>
        </w:trPr>
        <w:tc>
          <w:tcPr>
            <w:tcW w:w="1683" w:type="dxa"/>
            <w:shd w:val="clear" w:color="auto" w:fill="FFFFFF"/>
          </w:tcPr>
          <w:p w14:paraId="117FE892"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Very common</w:t>
            </w:r>
          </w:p>
        </w:tc>
        <w:tc>
          <w:tcPr>
            <w:tcW w:w="3836" w:type="dxa"/>
            <w:shd w:val="clear" w:color="auto" w:fill="FFFFFF"/>
          </w:tcPr>
          <w:p w14:paraId="7309D4B8" w14:textId="4CF214A2" w:rsidR="00060386" w:rsidRPr="00714903" w:rsidRDefault="00810147" w:rsidP="00C659AE">
            <w:pPr>
              <w:pStyle w:val="EMEABodyText"/>
              <w:keepNext/>
              <w:rPr>
                <w:color w:val="000000" w:themeColor="text1"/>
                <w:spacing w:val="3"/>
                <w:sz w:val="20"/>
                <w:szCs w:val="20"/>
              </w:rPr>
            </w:pPr>
            <w:proofErr w:type="spellStart"/>
            <w:r>
              <w:rPr>
                <w:color w:val="000000" w:themeColor="text1"/>
                <w:spacing w:val="3"/>
                <w:sz w:val="20"/>
                <w:szCs w:val="20"/>
              </w:rPr>
              <w:t>r</w:t>
            </w:r>
            <w:r w:rsidR="00060386" w:rsidRPr="00714903">
              <w:rPr>
                <w:color w:val="000000" w:themeColor="text1"/>
                <w:spacing w:val="3"/>
                <w:sz w:val="20"/>
                <w:szCs w:val="20"/>
              </w:rPr>
              <w:t>ash</w:t>
            </w:r>
            <w:r>
              <w:rPr>
                <w:color w:val="000000" w:themeColor="text1"/>
                <w:spacing w:val="3"/>
                <w:sz w:val="20"/>
                <w:szCs w:val="20"/>
                <w:vertAlign w:val="superscript"/>
              </w:rPr>
              <w:t>d</w:t>
            </w:r>
            <w:proofErr w:type="spellEnd"/>
            <w:r w:rsidR="00060386" w:rsidRPr="00714903">
              <w:rPr>
                <w:color w:val="000000" w:themeColor="text1"/>
                <w:spacing w:val="3"/>
                <w:sz w:val="20"/>
                <w:szCs w:val="20"/>
              </w:rPr>
              <w:t>, pruritus</w:t>
            </w:r>
          </w:p>
        </w:tc>
        <w:tc>
          <w:tcPr>
            <w:tcW w:w="3837" w:type="dxa"/>
            <w:shd w:val="clear" w:color="auto" w:fill="FFFFFF"/>
          </w:tcPr>
          <w:p w14:paraId="5B329313" w14:textId="7E0E60B7" w:rsidR="00060386" w:rsidRPr="00714903" w:rsidRDefault="00810147" w:rsidP="00C659AE">
            <w:pPr>
              <w:pStyle w:val="EMEABodyText"/>
              <w:keepNext/>
              <w:rPr>
                <w:color w:val="000000" w:themeColor="text1"/>
                <w:spacing w:val="3"/>
                <w:sz w:val="20"/>
                <w:szCs w:val="20"/>
              </w:rPr>
            </w:pPr>
            <w:proofErr w:type="spellStart"/>
            <w:r>
              <w:rPr>
                <w:color w:val="000000" w:themeColor="text1"/>
                <w:spacing w:val="3"/>
                <w:sz w:val="20"/>
                <w:szCs w:val="20"/>
              </w:rPr>
              <w:t>r</w:t>
            </w:r>
            <w:r w:rsidR="00060386" w:rsidRPr="00714903">
              <w:rPr>
                <w:color w:val="000000" w:themeColor="text1"/>
                <w:spacing w:val="3"/>
                <w:sz w:val="20"/>
                <w:szCs w:val="20"/>
              </w:rPr>
              <w:t>ash</w:t>
            </w:r>
            <w:r>
              <w:rPr>
                <w:color w:val="000000" w:themeColor="text1"/>
                <w:spacing w:val="3"/>
                <w:sz w:val="20"/>
                <w:szCs w:val="20"/>
                <w:vertAlign w:val="superscript"/>
              </w:rPr>
              <w:t>d</w:t>
            </w:r>
            <w:proofErr w:type="spellEnd"/>
            <w:r w:rsidR="00060386" w:rsidRPr="00714903">
              <w:rPr>
                <w:color w:val="000000" w:themeColor="text1"/>
                <w:spacing w:val="3"/>
                <w:sz w:val="20"/>
                <w:szCs w:val="20"/>
              </w:rPr>
              <w:t>, pruritus</w:t>
            </w:r>
          </w:p>
        </w:tc>
      </w:tr>
      <w:tr w:rsidR="00060386" w:rsidRPr="00CB4B99" w14:paraId="385C6FD0" w14:textId="77777777" w:rsidTr="00FB13AC">
        <w:trPr>
          <w:trHeight w:val="269"/>
        </w:trPr>
        <w:tc>
          <w:tcPr>
            <w:tcW w:w="1683" w:type="dxa"/>
            <w:shd w:val="clear" w:color="auto" w:fill="FFFFFF"/>
          </w:tcPr>
          <w:p w14:paraId="6376D4D4"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60CFC7DE"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vitiligo, dry skin, erythema, alopecia</w:t>
            </w:r>
          </w:p>
        </w:tc>
        <w:tc>
          <w:tcPr>
            <w:tcW w:w="3837" w:type="dxa"/>
            <w:shd w:val="clear" w:color="auto" w:fill="FFFFFF"/>
          </w:tcPr>
          <w:p w14:paraId="1E337D59"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lang w:val="es-ES"/>
              </w:rPr>
              <w:t>vitiligo</w:t>
            </w:r>
            <w:proofErr w:type="spellEnd"/>
            <w:r w:rsidRPr="00714903">
              <w:rPr>
                <w:color w:val="000000" w:themeColor="text1"/>
                <w:spacing w:val="3"/>
                <w:sz w:val="20"/>
                <w:szCs w:val="20"/>
                <w:lang w:val="es-ES"/>
              </w:rPr>
              <w:t xml:space="preserve">, </w:t>
            </w:r>
            <w:proofErr w:type="spellStart"/>
            <w:r w:rsidRPr="00714903">
              <w:rPr>
                <w:color w:val="000000" w:themeColor="text1"/>
                <w:spacing w:val="3"/>
                <w:sz w:val="20"/>
                <w:szCs w:val="20"/>
                <w:lang w:val="es-ES"/>
              </w:rPr>
              <w:t>dry</w:t>
            </w:r>
            <w:proofErr w:type="spellEnd"/>
            <w:r w:rsidRPr="00714903">
              <w:rPr>
                <w:color w:val="000000" w:themeColor="text1"/>
                <w:spacing w:val="3"/>
                <w:sz w:val="20"/>
                <w:szCs w:val="20"/>
                <w:lang w:val="es-ES"/>
              </w:rPr>
              <w:t xml:space="preserve"> skin, </w:t>
            </w:r>
            <w:proofErr w:type="spellStart"/>
            <w:r w:rsidRPr="00714903">
              <w:rPr>
                <w:color w:val="000000" w:themeColor="text1"/>
                <w:spacing w:val="3"/>
                <w:sz w:val="20"/>
                <w:szCs w:val="20"/>
                <w:lang w:val="es-ES"/>
              </w:rPr>
              <w:t>erythema</w:t>
            </w:r>
            <w:proofErr w:type="spellEnd"/>
            <w:r w:rsidRPr="00714903">
              <w:rPr>
                <w:color w:val="000000" w:themeColor="text1"/>
                <w:spacing w:val="3"/>
                <w:sz w:val="20"/>
                <w:szCs w:val="20"/>
                <w:lang w:val="es-ES"/>
              </w:rPr>
              <w:t>, alopecia, urticaria</w:t>
            </w:r>
          </w:p>
        </w:tc>
      </w:tr>
      <w:tr w:rsidR="00060386" w:rsidRPr="00CB4B99" w14:paraId="763DABEE" w14:textId="77777777" w:rsidTr="00FB13AC">
        <w:trPr>
          <w:trHeight w:val="269"/>
        </w:trPr>
        <w:tc>
          <w:tcPr>
            <w:tcW w:w="1683" w:type="dxa"/>
            <w:shd w:val="clear" w:color="auto" w:fill="FFFFFF"/>
          </w:tcPr>
          <w:p w14:paraId="4D3A460B"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4F9DF8C6"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erythema </w:t>
            </w:r>
            <w:proofErr w:type="spellStart"/>
            <w:r w:rsidRPr="00714903">
              <w:rPr>
                <w:color w:val="000000" w:themeColor="text1"/>
                <w:spacing w:val="3"/>
                <w:sz w:val="20"/>
                <w:szCs w:val="20"/>
              </w:rPr>
              <w:t>multiforme</w:t>
            </w:r>
            <w:proofErr w:type="spellEnd"/>
            <w:r w:rsidRPr="00714903">
              <w:rPr>
                <w:color w:val="000000" w:themeColor="text1"/>
                <w:spacing w:val="3"/>
                <w:sz w:val="20"/>
                <w:szCs w:val="20"/>
              </w:rPr>
              <w:t xml:space="preserve">, psoriasis, rosacea, </w:t>
            </w:r>
            <w:proofErr w:type="spellStart"/>
            <w:r w:rsidRPr="00714903">
              <w:rPr>
                <w:color w:val="000000" w:themeColor="text1"/>
                <w:spacing w:val="3"/>
                <w:sz w:val="20"/>
                <w:szCs w:val="20"/>
              </w:rPr>
              <w:t>urticaria</w:t>
            </w:r>
            <w:proofErr w:type="spellEnd"/>
          </w:p>
        </w:tc>
        <w:tc>
          <w:tcPr>
            <w:tcW w:w="3837" w:type="dxa"/>
            <w:shd w:val="clear" w:color="auto" w:fill="FFFFFF"/>
          </w:tcPr>
          <w:p w14:paraId="7A5DA987" w14:textId="695EC451" w:rsidR="00060386" w:rsidRPr="00714903" w:rsidRDefault="00D16B7E" w:rsidP="00C659AE">
            <w:pPr>
              <w:pStyle w:val="EMEABodyText"/>
              <w:keepNext/>
              <w:rPr>
                <w:color w:val="000000" w:themeColor="text1"/>
                <w:spacing w:val="3"/>
                <w:sz w:val="20"/>
                <w:szCs w:val="20"/>
              </w:rPr>
            </w:pPr>
            <w:r w:rsidRPr="00714903">
              <w:rPr>
                <w:color w:val="000000" w:themeColor="text1"/>
                <w:spacing w:val="3"/>
                <w:sz w:val="20"/>
                <w:szCs w:val="20"/>
              </w:rPr>
              <w:t>P</w:t>
            </w:r>
            <w:r w:rsidR="00060386" w:rsidRPr="00714903">
              <w:rPr>
                <w:color w:val="000000" w:themeColor="text1"/>
                <w:spacing w:val="3"/>
                <w:sz w:val="20"/>
                <w:szCs w:val="20"/>
              </w:rPr>
              <w:t>soriasis</w:t>
            </w:r>
          </w:p>
        </w:tc>
      </w:tr>
      <w:tr w:rsidR="00060386" w:rsidRPr="00CB4B99" w14:paraId="0E7210C6" w14:textId="77777777" w:rsidTr="00FB13AC">
        <w:trPr>
          <w:trHeight w:val="269"/>
        </w:trPr>
        <w:tc>
          <w:tcPr>
            <w:tcW w:w="1683" w:type="dxa"/>
            <w:shd w:val="clear" w:color="auto" w:fill="FFFFFF"/>
          </w:tcPr>
          <w:p w14:paraId="36F9CE76"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shd w:val="clear" w:color="auto" w:fill="FFFFFF"/>
          </w:tcPr>
          <w:p w14:paraId="2872483B" w14:textId="08A152D5" w:rsidR="00060386" w:rsidRPr="00714903" w:rsidRDefault="00060386" w:rsidP="00C659AE">
            <w:pPr>
              <w:pStyle w:val="EMEABodyText"/>
              <w:keepNext/>
              <w:rPr>
                <w:color w:val="000000" w:themeColor="text1"/>
                <w:spacing w:val="3"/>
                <w:sz w:val="20"/>
                <w:szCs w:val="20"/>
                <w:vertAlign w:val="superscript"/>
              </w:rPr>
            </w:pPr>
            <w:r w:rsidRPr="00714903">
              <w:rPr>
                <w:color w:val="000000" w:themeColor="text1"/>
                <w:spacing w:val="3"/>
                <w:sz w:val="20"/>
                <w:szCs w:val="20"/>
              </w:rPr>
              <w:t xml:space="preserve">toxic epidermal </w:t>
            </w:r>
            <w:proofErr w:type="spellStart"/>
            <w:r w:rsidRPr="00714903">
              <w:rPr>
                <w:color w:val="000000" w:themeColor="text1"/>
                <w:spacing w:val="3"/>
                <w:sz w:val="20"/>
                <w:szCs w:val="20"/>
              </w:rPr>
              <w:t>necrolysis</w:t>
            </w:r>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p>
          <w:p w14:paraId="4349BE39" w14:textId="2FF35CB8"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Stevens-Johnson </w:t>
            </w:r>
            <w:proofErr w:type="spellStart"/>
            <w:r w:rsidRPr="00714903">
              <w:rPr>
                <w:color w:val="000000" w:themeColor="text1"/>
                <w:spacing w:val="3"/>
                <w:sz w:val="20"/>
                <w:szCs w:val="20"/>
              </w:rPr>
              <w:t>syndrome</w:t>
            </w:r>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p>
        </w:tc>
        <w:tc>
          <w:tcPr>
            <w:tcW w:w="3837" w:type="dxa"/>
            <w:shd w:val="clear" w:color="auto" w:fill="FFFFFF"/>
          </w:tcPr>
          <w:p w14:paraId="7F1372C9" w14:textId="2638C02F" w:rsidR="00060386" w:rsidRPr="00714903" w:rsidRDefault="00060386" w:rsidP="00C659AE">
            <w:pPr>
              <w:pStyle w:val="EMEABodyText"/>
              <w:keepNext/>
              <w:rPr>
                <w:color w:val="000000" w:themeColor="text1"/>
                <w:spacing w:val="3"/>
                <w:sz w:val="20"/>
                <w:szCs w:val="20"/>
                <w:vertAlign w:val="superscript"/>
              </w:rPr>
            </w:pPr>
            <w:r w:rsidRPr="00714903">
              <w:rPr>
                <w:color w:val="000000" w:themeColor="text1"/>
                <w:spacing w:val="3"/>
                <w:sz w:val="20"/>
                <w:szCs w:val="20"/>
              </w:rPr>
              <w:t xml:space="preserve">toxic epidermal </w:t>
            </w:r>
            <w:proofErr w:type="spellStart"/>
            <w:r w:rsidRPr="00714903">
              <w:rPr>
                <w:color w:val="000000" w:themeColor="text1"/>
                <w:spacing w:val="3"/>
                <w:sz w:val="20"/>
                <w:szCs w:val="20"/>
              </w:rPr>
              <w:t>necrolysis</w:t>
            </w:r>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p>
          <w:p w14:paraId="2827804F" w14:textId="6A318D89" w:rsidR="00060386" w:rsidRPr="00714903" w:rsidRDefault="00060386" w:rsidP="00C659AE">
            <w:pPr>
              <w:pStyle w:val="EMEABodyText"/>
              <w:keepNext/>
              <w:rPr>
                <w:color w:val="000000" w:themeColor="text1"/>
                <w:spacing w:val="3"/>
                <w:sz w:val="20"/>
                <w:szCs w:val="20"/>
                <w:vertAlign w:val="superscript"/>
              </w:rPr>
            </w:pPr>
            <w:r w:rsidRPr="00714903">
              <w:rPr>
                <w:color w:val="000000" w:themeColor="text1"/>
                <w:spacing w:val="3"/>
                <w:sz w:val="20"/>
                <w:szCs w:val="20"/>
              </w:rPr>
              <w:t xml:space="preserve">Stevens-Johnson </w:t>
            </w:r>
            <w:proofErr w:type="spellStart"/>
            <w:r w:rsidRPr="00714903">
              <w:rPr>
                <w:color w:val="000000" w:themeColor="text1"/>
                <w:spacing w:val="3"/>
                <w:sz w:val="20"/>
                <w:szCs w:val="20"/>
              </w:rPr>
              <w:t>syndrome</w:t>
            </w:r>
            <w:r w:rsidR="00810147">
              <w:rPr>
                <w:color w:val="000000" w:themeColor="text1"/>
                <w:spacing w:val="3"/>
                <w:sz w:val="20"/>
                <w:szCs w:val="20"/>
                <w:vertAlign w:val="superscript"/>
              </w:rPr>
              <w:t>c</w:t>
            </w:r>
            <w:proofErr w:type="spellEnd"/>
          </w:p>
        </w:tc>
      </w:tr>
      <w:tr w:rsidR="00060386" w:rsidRPr="00CB4B99" w14:paraId="3FA92996" w14:textId="77777777" w:rsidTr="00FB13AC">
        <w:trPr>
          <w:trHeight w:val="283"/>
        </w:trPr>
        <w:tc>
          <w:tcPr>
            <w:tcW w:w="9356" w:type="dxa"/>
            <w:gridSpan w:val="3"/>
            <w:shd w:val="clear" w:color="auto" w:fill="FFFFFF"/>
          </w:tcPr>
          <w:p w14:paraId="48FA26A3"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Musculoskeletal and connective tissue disorders</w:t>
            </w:r>
          </w:p>
        </w:tc>
      </w:tr>
      <w:tr w:rsidR="00060386" w:rsidRPr="00CB4B99" w14:paraId="31BDA43C" w14:textId="77777777" w:rsidTr="00FB13AC">
        <w:trPr>
          <w:trHeight w:val="283"/>
        </w:trPr>
        <w:tc>
          <w:tcPr>
            <w:tcW w:w="1683" w:type="dxa"/>
            <w:shd w:val="clear" w:color="auto" w:fill="FFFFFF"/>
          </w:tcPr>
          <w:p w14:paraId="57AD2852"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Very common</w:t>
            </w:r>
          </w:p>
        </w:tc>
        <w:tc>
          <w:tcPr>
            <w:tcW w:w="3836" w:type="dxa"/>
            <w:shd w:val="clear" w:color="auto" w:fill="FFFFFF"/>
          </w:tcPr>
          <w:p w14:paraId="28F0C0E9"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37256C6F" w14:textId="547A7B66" w:rsidR="00060386" w:rsidRPr="00714903" w:rsidRDefault="00D16B7E" w:rsidP="00C659AE">
            <w:pPr>
              <w:pStyle w:val="EMEABodyText"/>
              <w:keepNext/>
              <w:rPr>
                <w:b/>
                <w:bCs/>
                <w:iCs/>
                <w:color w:val="000000" w:themeColor="text1"/>
                <w:sz w:val="20"/>
                <w:szCs w:val="20"/>
              </w:rPr>
            </w:pPr>
            <w:r w:rsidRPr="00714903">
              <w:rPr>
                <w:color w:val="000000" w:themeColor="text1"/>
                <w:spacing w:val="3"/>
                <w:sz w:val="20"/>
                <w:szCs w:val="20"/>
              </w:rPr>
              <w:t>A</w:t>
            </w:r>
            <w:r w:rsidR="00060386" w:rsidRPr="00714903">
              <w:rPr>
                <w:color w:val="000000" w:themeColor="text1"/>
                <w:spacing w:val="3"/>
                <w:sz w:val="20"/>
                <w:szCs w:val="20"/>
              </w:rPr>
              <w:t>rthralgia</w:t>
            </w:r>
          </w:p>
        </w:tc>
      </w:tr>
      <w:tr w:rsidR="00060386" w:rsidRPr="00CB4B99" w14:paraId="3870C6D6" w14:textId="77777777" w:rsidTr="00FB13AC">
        <w:trPr>
          <w:trHeight w:val="269"/>
        </w:trPr>
        <w:tc>
          <w:tcPr>
            <w:tcW w:w="1683" w:type="dxa"/>
            <w:shd w:val="clear" w:color="auto" w:fill="FFFFFF"/>
          </w:tcPr>
          <w:p w14:paraId="53525754"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18ED20F0"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musculoskeletal </w:t>
            </w:r>
            <w:proofErr w:type="spellStart"/>
            <w:r w:rsidRPr="00714903">
              <w:rPr>
                <w:color w:val="000000" w:themeColor="text1"/>
                <w:spacing w:val="3"/>
                <w:sz w:val="20"/>
                <w:szCs w:val="20"/>
              </w:rPr>
              <w:t>pain</w:t>
            </w:r>
            <w:r w:rsidRPr="00714903">
              <w:rPr>
                <w:color w:val="000000" w:themeColor="text1"/>
                <w:spacing w:val="3"/>
                <w:sz w:val="20"/>
                <w:szCs w:val="20"/>
                <w:vertAlign w:val="superscript"/>
              </w:rPr>
              <w:t>e</w:t>
            </w:r>
            <w:proofErr w:type="spellEnd"/>
            <w:r w:rsidRPr="00714903">
              <w:rPr>
                <w:color w:val="000000" w:themeColor="text1"/>
                <w:spacing w:val="3"/>
                <w:sz w:val="20"/>
                <w:szCs w:val="20"/>
              </w:rPr>
              <w:t>, arthralgia</w:t>
            </w:r>
          </w:p>
        </w:tc>
        <w:tc>
          <w:tcPr>
            <w:tcW w:w="3837" w:type="dxa"/>
            <w:shd w:val="clear" w:color="auto" w:fill="FFFFFF"/>
          </w:tcPr>
          <w:p w14:paraId="5C154E7C"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musculoskeletal </w:t>
            </w:r>
            <w:proofErr w:type="spellStart"/>
            <w:r w:rsidRPr="00714903">
              <w:rPr>
                <w:color w:val="000000" w:themeColor="text1"/>
                <w:spacing w:val="3"/>
                <w:sz w:val="20"/>
                <w:szCs w:val="20"/>
              </w:rPr>
              <w:t>pain</w:t>
            </w:r>
            <w:r w:rsidRPr="00714903">
              <w:rPr>
                <w:color w:val="000000" w:themeColor="text1"/>
                <w:spacing w:val="3"/>
                <w:sz w:val="20"/>
                <w:szCs w:val="20"/>
                <w:vertAlign w:val="superscript"/>
              </w:rPr>
              <w:t>e</w:t>
            </w:r>
            <w:proofErr w:type="spellEnd"/>
          </w:p>
        </w:tc>
      </w:tr>
      <w:tr w:rsidR="00060386" w:rsidRPr="00CB4B99" w14:paraId="15D240C5"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5988C6C6"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3E7B42"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 xml:space="preserve">polymyalgia </w:t>
            </w:r>
            <w:proofErr w:type="spellStart"/>
            <w:r w:rsidRPr="00714903">
              <w:rPr>
                <w:color w:val="000000" w:themeColor="text1"/>
                <w:spacing w:val="3"/>
                <w:sz w:val="20"/>
                <w:szCs w:val="20"/>
              </w:rPr>
              <w:t>rheumatica</w:t>
            </w:r>
            <w:proofErr w:type="spellEnd"/>
            <w:r w:rsidRPr="00714903">
              <w:rPr>
                <w:color w:val="000000" w:themeColor="text1"/>
                <w:spacing w:val="3"/>
                <w:sz w:val="20"/>
                <w:szCs w:val="20"/>
              </w:rPr>
              <w:t>, arthritis</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4B0B914E" w14:textId="1454BCB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spondyloarthropathy</w:t>
            </w:r>
            <w:proofErr w:type="spellEnd"/>
            <w:r w:rsidRPr="00714903">
              <w:rPr>
                <w:color w:val="000000" w:themeColor="text1"/>
                <w:spacing w:val="3"/>
                <w:sz w:val="20"/>
                <w:szCs w:val="20"/>
              </w:rPr>
              <w:t xml:space="preserve">, </w:t>
            </w:r>
            <w:proofErr w:type="spellStart"/>
            <w:r w:rsidRPr="00714903">
              <w:rPr>
                <w:color w:val="000000" w:themeColor="text1"/>
                <w:spacing w:val="3"/>
                <w:sz w:val="20"/>
                <w:szCs w:val="20"/>
              </w:rPr>
              <w:t>Sjogren’s</w:t>
            </w:r>
            <w:proofErr w:type="spellEnd"/>
            <w:r w:rsidRPr="00714903">
              <w:rPr>
                <w:color w:val="000000" w:themeColor="text1"/>
                <w:spacing w:val="3"/>
                <w:sz w:val="20"/>
                <w:szCs w:val="20"/>
              </w:rPr>
              <w:t xml:space="preserve"> syndrome, arthritis, myopathy, myositis</w:t>
            </w:r>
            <w:r w:rsidR="00810147">
              <w:rPr>
                <w:color w:val="000000" w:themeColor="text1"/>
                <w:spacing w:val="3"/>
                <w:sz w:val="20"/>
                <w:szCs w:val="20"/>
              </w:rPr>
              <w:t xml:space="preserve"> (including polymyositis)</w:t>
            </w:r>
            <w:proofErr w:type="spellStart"/>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r w:rsidRPr="00714903">
              <w:rPr>
                <w:color w:val="000000" w:themeColor="text1"/>
                <w:spacing w:val="3"/>
                <w:sz w:val="20"/>
                <w:szCs w:val="20"/>
              </w:rPr>
              <w:t xml:space="preserve">, </w:t>
            </w:r>
            <w:proofErr w:type="spellStart"/>
            <w:r w:rsidRPr="00714903">
              <w:rPr>
                <w:color w:val="000000" w:themeColor="text1"/>
                <w:spacing w:val="3"/>
                <w:sz w:val="20"/>
                <w:szCs w:val="20"/>
              </w:rPr>
              <w:t>rhabdomyolysis</w:t>
            </w:r>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p>
        </w:tc>
      </w:tr>
      <w:tr w:rsidR="00060386" w:rsidRPr="00CB4B99" w14:paraId="09B224AC" w14:textId="77777777" w:rsidTr="00FB13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683" w:type="dxa"/>
            <w:tcBorders>
              <w:top w:val="single" w:sz="4" w:space="0" w:color="auto"/>
              <w:left w:val="single" w:sz="4" w:space="0" w:color="auto"/>
              <w:bottom w:val="single" w:sz="4" w:space="0" w:color="auto"/>
              <w:right w:val="single" w:sz="4" w:space="0" w:color="auto"/>
            </w:tcBorders>
            <w:shd w:val="clear" w:color="auto" w:fill="FFFFFF"/>
          </w:tcPr>
          <w:p w14:paraId="3E0B7A77"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Rare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9660A36" w14:textId="3A6F9C9C" w:rsidR="00060386" w:rsidRPr="00714903" w:rsidRDefault="00060386" w:rsidP="00C3270F">
            <w:pPr>
              <w:pStyle w:val="EMEABodyText"/>
              <w:keepNext/>
              <w:jc w:val="left"/>
              <w:rPr>
                <w:color w:val="000000" w:themeColor="text1"/>
                <w:spacing w:val="3"/>
                <w:sz w:val="20"/>
                <w:szCs w:val="20"/>
              </w:rPr>
            </w:pPr>
            <w:r w:rsidRPr="00714903">
              <w:rPr>
                <w:color w:val="000000" w:themeColor="text1"/>
                <w:spacing w:val="3"/>
                <w:sz w:val="20"/>
                <w:szCs w:val="20"/>
              </w:rPr>
              <w:t>myopathy, myositis</w:t>
            </w:r>
            <w:r w:rsidR="00810147">
              <w:rPr>
                <w:color w:val="000000" w:themeColor="text1"/>
                <w:spacing w:val="3"/>
                <w:sz w:val="20"/>
                <w:szCs w:val="20"/>
              </w:rPr>
              <w:t xml:space="preserve"> (including polymyositis)</w:t>
            </w:r>
            <w:proofErr w:type="spellStart"/>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r w:rsidRPr="00714903">
              <w:rPr>
                <w:color w:val="000000" w:themeColor="text1"/>
                <w:spacing w:val="3"/>
                <w:sz w:val="20"/>
                <w:szCs w:val="20"/>
              </w:rPr>
              <w:t xml:space="preserve">, </w:t>
            </w:r>
            <w:proofErr w:type="spellStart"/>
            <w:r w:rsidRPr="00714903">
              <w:rPr>
                <w:color w:val="000000" w:themeColor="text1"/>
                <w:spacing w:val="3"/>
                <w:sz w:val="20"/>
                <w:szCs w:val="20"/>
              </w:rPr>
              <w:t>rhabdomyolysis</w:t>
            </w:r>
            <w:r w:rsidRPr="00714903">
              <w:rPr>
                <w:color w:val="000000" w:themeColor="text1"/>
                <w:spacing w:val="3"/>
                <w:sz w:val="20"/>
                <w:szCs w:val="20"/>
                <w:vertAlign w:val="superscript"/>
              </w:rPr>
              <w:t>a,</w:t>
            </w:r>
            <w:r w:rsidR="00810147">
              <w:rPr>
                <w:color w:val="000000" w:themeColor="text1"/>
                <w:spacing w:val="3"/>
                <w:sz w:val="20"/>
                <w:szCs w:val="20"/>
                <w:vertAlign w:val="superscript"/>
              </w:rPr>
              <w:t>c</w:t>
            </w:r>
            <w:proofErr w:type="spellEnd"/>
            <w:r w:rsidR="00810147" w:rsidRPr="00624AF8">
              <w:rPr>
                <w:color w:val="000000" w:themeColor="text1"/>
                <w:spacing w:val="3"/>
                <w:sz w:val="20"/>
                <w:szCs w:val="20"/>
              </w:rPr>
              <w:t xml:space="preserve"> ,</w:t>
            </w:r>
            <w:r w:rsidR="00810147">
              <w:rPr>
                <w:color w:val="000000" w:themeColor="text1"/>
                <w:spacing w:val="3"/>
                <w:sz w:val="20"/>
                <w:szCs w:val="20"/>
              </w:rPr>
              <w:t xml:space="preserve"> </w:t>
            </w:r>
            <w:proofErr w:type="spellStart"/>
            <w:r w:rsidR="00810147">
              <w:rPr>
                <w:color w:val="000000" w:themeColor="text1"/>
                <w:spacing w:val="3"/>
                <w:sz w:val="20"/>
                <w:szCs w:val="20"/>
              </w:rPr>
              <w:t>Sjogren’s</w:t>
            </w:r>
            <w:proofErr w:type="spellEnd"/>
            <w:r w:rsidR="00810147">
              <w:rPr>
                <w:color w:val="000000" w:themeColor="text1"/>
                <w:spacing w:val="3"/>
                <w:sz w:val="20"/>
                <w:szCs w:val="20"/>
              </w:rPr>
              <w:t xml:space="preserve"> syndrome</w:t>
            </w:r>
          </w:p>
        </w:tc>
        <w:tc>
          <w:tcPr>
            <w:tcW w:w="3837" w:type="dxa"/>
            <w:tcBorders>
              <w:top w:val="single" w:sz="4" w:space="0" w:color="auto"/>
              <w:left w:val="single" w:sz="4" w:space="0" w:color="auto"/>
              <w:bottom w:val="single" w:sz="4" w:space="0" w:color="auto"/>
              <w:right w:val="single" w:sz="4" w:space="0" w:color="auto"/>
            </w:tcBorders>
            <w:shd w:val="clear" w:color="auto" w:fill="FFFFFF"/>
          </w:tcPr>
          <w:p w14:paraId="3AA2916F" w14:textId="77777777" w:rsidR="00060386" w:rsidRPr="00714903" w:rsidRDefault="00060386" w:rsidP="00C659AE">
            <w:pPr>
              <w:pStyle w:val="EMEABodyText"/>
              <w:keepNext/>
              <w:rPr>
                <w:color w:val="000000" w:themeColor="text1"/>
                <w:spacing w:val="3"/>
                <w:sz w:val="20"/>
                <w:szCs w:val="20"/>
              </w:rPr>
            </w:pPr>
          </w:p>
        </w:tc>
      </w:tr>
      <w:tr w:rsidR="00060386" w:rsidRPr="00CB4B99" w14:paraId="2AF00F6A" w14:textId="77777777" w:rsidTr="00FB13AC">
        <w:trPr>
          <w:trHeight w:val="283"/>
        </w:trPr>
        <w:tc>
          <w:tcPr>
            <w:tcW w:w="9356" w:type="dxa"/>
            <w:gridSpan w:val="3"/>
            <w:shd w:val="clear" w:color="auto" w:fill="FFFFFF"/>
          </w:tcPr>
          <w:p w14:paraId="123589B1"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Renal and urinary disorders</w:t>
            </w:r>
          </w:p>
        </w:tc>
      </w:tr>
      <w:tr w:rsidR="00060386" w:rsidRPr="00CB4B99" w14:paraId="61A02414" w14:textId="77777777" w:rsidTr="00FB13AC">
        <w:trPr>
          <w:trHeight w:val="283"/>
        </w:trPr>
        <w:tc>
          <w:tcPr>
            <w:tcW w:w="1683" w:type="dxa"/>
            <w:shd w:val="clear" w:color="auto" w:fill="FFFFFF"/>
          </w:tcPr>
          <w:p w14:paraId="568C0D41" w14:textId="77777777" w:rsidR="00060386" w:rsidRPr="00714903" w:rsidRDefault="00060386" w:rsidP="00C659AE">
            <w:pPr>
              <w:pStyle w:val="EMEABodyText"/>
              <w:keepNext/>
              <w:rPr>
                <w:b/>
                <w:bCs/>
                <w:iCs/>
                <w:color w:val="000000" w:themeColor="text1"/>
                <w:sz w:val="20"/>
                <w:szCs w:val="20"/>
              </w:rPr>
            </w:pPr>
            <w:r w:rsidRPr="00714903">
              <w:rPr>
                <w:color w:val="000000" w:themeColor="text1"/>
                <w:sz w:val="20"/>
                <w:szCs w:val="20"/>
              </w:rPr>
              <w:t>Common</w:t>
            </w:r>
          </w:p>
        </w:tc>
        <w:tc>
          <w:tcPr>
            <w:tcW w:w="3836" w:type="dxa"/>
            <w:shd w:val="clear" w:color="auto" w:fill="FFFFFF"/>
          </w:tcPr>
          <w:p w14:paraId="55E555D9" w14:textId="77777777" w:rsidR="00060386" w:rsidRPr="00714903" w:rsidRDefault="00060386" w:rsidP="00C659AE">
            <w:pPr>
              <w:pStyle w:val="EMEABodyText"/>
              <w:keepNext/>
              <w:rPr>
                <w:b/>
                <w:bCs/>
                <w:iCs/>
                <w:color w:val="000000" w:themeColor="text1"/>
                <w:sz w:val="20"/>
                <w:szCs w:val="20"/>
              </w:rPr>
            </w:pPr>
          </w:p>
        </w:tc>
        <w:tc>
          <w:tcPr>
            <w:tcW w:w="3837" w:type="dxa"/>
            <w:shd w:val="clear" w:color="auto" w:fill="FFFFFF"/>
          </w:tcPr>
          <w:p w14:paraId="5A1B3A80" w14:textId="77777777" w:rsidR="00060386" w:rsidRPr="00714903" w:rsidRDefault="00060386" w:rsidP="00C659AE">
            <w:pPr>
              <w:pStyle w:val="EMEABodyText"/>
              <w:keepNext/>
              <w:rPr>
                <w:b/>
                <w:bCs/>
                <w:iCs/>
                <w:color w:val="000000" w:themeColor="text1"/>
                <w:sz w:val="20"/>
                <w:szCs w:val="20"/>
              </w:rPr>
            </w:pPr>
            <w:r w:rsidRPr="00714903">
              <w:rPr>
                <w:color w:val="000000" w:themeColor="text1"/>
                <w:spacing w:val="3"/>
                <w:sz w:val="20"/>
                <w:szCs w:val="20"/>
              </w:rPr>
              <w:t xml:space="preserve">renal failure (including acute kidney injury) </w:t>
            </w:r>
            <w:proofErr w:type="spellStart"/>
            <w:r w:rsidRPr="00714903">
              <w:rPr>
                <w:rStyle w:val="EMEASuperscript"/>
                <w:color w:val="000000" w:themeColor="text1"/>
                <w:sz w:val="20"/>
                <w:szCs w:val="20"/>
              </w:rPr>
              <w:t>a,b</w:t>
            </w:r>
            <w:proofErr w:type="spellEnd"/>
          </w:p>
        </w:tc>
      </w:tr>
      <w:tr w:rsidR="00060386" w:rsidRPr="00CB4B99" w14:paraId="3AB02EB2" w14:textId="77777777" w:rsidTr="00FB13AC">
        <w:trPr>
          <w:trHeight w:val="269"/>
        </w:trPr>
        <w:tc>
          <w:tcPr>
            <w:tcW w:w="1683" w:type="dxa"/>
            <w:shd w:val="clear" w:color="auto" w:fill="FFFFFF"/>
          </w:tcPr>
          <w:p w14:paraId="5794FC77"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09A63BF9"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tubulointerstitial</w:t>
            </w:r>
            <w:proofErr w:type="spellEnd"/>
            <w:r w:rsidRPr="00714903">
              <w:rPr>
                <w:color w:val="000000" w:themeColor="text1"/>
                <w:spacing w:val="3"/>
                <w:sz w:val="20"/>
                <w:szCs w:val="20"/>
              </w:rPr>
              <w:t xml:space="preserve"> nephritis, renal failure (including acute kidney injury)</w:t>
            </w:r>
            <w:proofErr w:type="spellStart"/>
            <w:r w:rsidRPr="00714903">
              <w:rPr>
                <w:color w:val="000000" w:themeColor="text1"/>
                <w:spacing w:val="3"/>
                <w:sz w:val="20"/>
                <w:szCs w:val="20"/>
                <w:vertAlign w:val="superscript"/>
              </w:rPr>
              <w:t>a,b</w:t>
            </w:r>
            <w:proofErr w:type="spellEnd"/>
          </w:p>
        </w:tc>
        <w:tc>
          <w:tcPr>
            <w:tcW w:w="3837" w:type="dxa"/>
            <w:shd w:val="clear" w:color="auto" w:fill="FFFFFF"/>
          </w:tcPr>
          <w:p w14:paraId="495771A9" w14:textId="77777777" w:rsidR="00060386" w:rsidRPr="00714903" w:rsidRDefault="00060386" w:rsidP="00C659AE">
            <w:pPr>
              <w:pStyle w:val="EMEABodyText"/>
              <w:keepNext/>
              <w:rPr>
                <w:color w:val="000000" w:themeColor="text1"/>
                <w:spacing w:val="3"/>
                <w:sz w:val="20"/>
                <w:szCs w:val="20"/>
              </w:rPr>
            </w:pPr>
            <w:proofErr w:type="spellStart"/>
            <w:r w:rsidRPr="00714903">
              <w:rPr>
                <w:color w:val="000000" w:themeColor="text1"/>
                <w:spacing w:val="3"/>
                <w:sz w:val="20"/>
                <w:szCs w:val="20"/>
              </w:rPr>
              <w:t>tubulointerstitial</w:t>
            </w:r>
            <w:proofErr w:type="spellEnd"/>
            <w:r w:rsidRPr="00714903">
              <w:rPr>
                <w:color w:val="000000" w:themeColor="text1"/>
                <w:spacing w:val="3"/>
                <w:sz w:val="20"/>
                <w:szCs w:val="20"/>
              </w:rPr>
              <w:t xml:space="preserve"> nephritis</w:t>
            </w:r>
          </w:p>
        </w:tc>
      </w:tr>
      <w:tr w:rsidR="00060386" w:rsidRPr="00CB4B99" w14:paraId="4D98DED2" w14:textId="77777777" w:rsidTr="00FB13AC">
        <w:trPr>
          <w:trHeight w:val="283"/>
        </w:trPr>
        <w:tc>
          <w:tcPr>
            <w:tcW w:w="9356" w:type="dxa"/>
            <w:gridSpan w:val="3"/>
            <w:shd w:val="clear" w:color="auto" w:fill="FFFFFF"/>
          </w:tcPr>
          <w:p w14:paraId="13FC3563" w14:textId="77777777" w:rsidR="00060386" w:rsidRPr="00714903" w:rsidRDefault="00060386" w:rsidP="00C659AE">
            <w:pPr>
              <w:pStyle w:val="EMEABodyText"/>
              <w:keepNext/>
              <w:rPr>
                <w:color w:val="000000" w:themeColor="text1"/>
                <w:sz w:val="20"/>
                <w:szCs w:val="20"/>
              </w:rPr>
            </w:pPr>
            <w:r w:rsidRPr="00714903">
              <w:rPr>
                <w:b/>
                <w:bCs/>
                <w:iCs/>
                <w:color w:val="000000" w:themeColor="text1"/>
                <w:sz w:val="20"/>
                <w:szCs w:val="20"/>
              </w:rPr>
              <w:t>General disorders and administration site conditions</w:t>
            </w:r>
          </w:p>
        </w:tc>
      </w:tr>
      <w:tr w:rsidR="00060386" w:rsidRPr="00CB4B99" w14:paraId="1D0CC044" w14:textId="77777777" w:rsidTr="00FB13AC">
        <w:trPr>
          <w:trHeight w:val="269"/>
        </w:trPr>
        <w:tc>
          <w:tcPr>
            <w:tcW w:w="1683" w:type="dxa"/>
            <w:shd w:val="clear" w:color="auto" w:fill="FFFFFF"/>
          </w:tcPr>
          <w:p w14:paraId="7CA8FF8B"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Very common</w:t>
            </w:r>
          </w:p>
        </w:tc>
        <w:tc>
          <w:tcPr>
            <w:tcW w:w="3836" w:type="dxa"/>
            <w:shd w:val="clear" w:color="auto" w:fill="FFFFFF"/>
          </w:tcPr>
          <w:p w14:paraId="7A606EDB"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fatigue</w:t>
            </w:r>
          </w:p>
        </w:tc>
        <w:tc>
          <w:tcPr>
            <w:tcW w:w="3837" w:type="dxa"/>
            <w:shd w:val="clear" w:color="auto" w:fill="FFFFFF"/>
          </w:tcPr>
          <w:p w14:paraId="6089AF08"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fatigue, pyrexia</w:t>
            </w:r>
          </w:p>
        </w:tc>
      </w:tr>
      <w:tr w:rsidR="00060386" w:rsidRPr="00CB4B99" w14:paraId="67F5B0C6" w14:textId="77777777" w:rsidTr="00FB13AC">
        <w:trPr>
          <w:trHeight w:val="269"/>
        </w:trPr>
        <w:tc>
          <w:tcPr>
            <w:tcW w:w="1683" w:type="dxa"/>
            <w:shd w:val="clear" w:color="auto" w:fill="FFFFFF"/>
          </w:tcPr>
          <w:p w14:paraId="0D38BBEF"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548E8163"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pyrexia, oedema (including peripheral oedema)</w:t>
            </w:r>
          </w:p>
        </w:tc>
        <w:tc>
          <w:tcPr>
            <w:tcW w:w="3837" w:type="dxa"/>
            <w:shd w:val="clear" w:color="auto" w:fill="FFFFFF"/>
          </w:tcPr>
          <w:p w14:paraId="7A068A5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oedema (including peripheral oedema), pain</w:t>
            </w:r>
          </w:p>
        </w:tc>
      </w:tr>
      <w:tr w:rsidR="00060386" w:rsidRPr="00CB4B99" w14:paraId="54F54801" w14:textId="77777777" w:rsidTr="00FB13AC">
        <w:trPr>
          <w:trHeight w:val="269"/>
        </w:trPr>
        <w:tc>
          <w:tcPr>
            <w:tcW w:w="1683" w:type="dxa"/>
            <w:shd w:val="clear" w:color="auto" w:fill="FFFFFF"/>
          </w:tcPr>
          <w:p w14:paraId="578B8A4C"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Uncommon</w:t>
            </w:r>
          </w:p>
        </w:tc>
        <w:tc>
          <w:tcPr>
            <w:tcW w:w="3836" w:type="dxa"/>
            <w:shd w:val="clear" w:color="auto" w:fill="FFFFFF"/>
          </w:tcPr>
          <w:p w14:paraId="1F4574CE"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pain, chest pain</w:t>
            </w:r>
          </w:p>
        </w:tc>
        <w:tc>
          <w:tcPr>
            <w:tcW w:w="3837" w:type="dxa"/>
            <w:shd w:val="clear" w:color="auto" w:fill="FFFFFF"/>
          </w:tcPr>
          <w:p w14:paraId="469ECB97"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chest pain</w:t>
            </w:r>
          </w:p>
        </w:tc>
      </w:tr>
      <w:tr w:rsidR="00060386" w:rsidRPr="00CB4B99" w14:paraId="624E44BF" w14:textId="77777777" w:rsidTr="00FB13AC">
        <w:trPr>
          <w:trHeight w:val="269"/>
        </w:trPr>
        <w:tc>
          <w:tcPr>
            <w:tcW w:w="9356" w:type="dxa"/>
            <w:gridSpan w:val="3"/>
            <w:shd w:val="clear" w:color="auto" w:fill="FFFFFF"/>
          </w:tcPr>
          <w:p w14:paraId="60D83AA2" w14:textId="77777777" w:rsidR="00060386" w:rsidRPr="00714903" w:rsidRDefault="00060386" w:rsidP="00C659AE">
            <w:pPr>
              <w:pStyle w:val="EMEABodyText"/>
              <w:keepNext/>
              <w:rPr>
                <w:b/>
                <w:color w:val="000000" w:themeColor="text1"/>
                <w:spacing w:val="3"/>
                <w:sz w:val="20"/>
                <w:szCs w:val="20"/>
              </w:rPr>
            </w:pPr>
            <w:proofErr w:type="spellStart"/>
            <w:r w:rsidRPr="00714903">
              <w:rPr>
                <w:b/>
                <w:color w:val="000000" w:themeColor="text1"/>
                <w:spacing w:val="3"/>
                <w:sz w:val="20"/>
                <w:szCs w:val="20"/>
              </w:rPr>
              <w:t>Investigations</w:t>
            </w:r>
            <w:r w:rsidRPr="00714903">
              <w:rPr>
                <w:b/>
                <w:color w:val="000000" w:themeColor="text1"/>
                <w:spacing w:val="3"/>
                <w:sz w:val="20"/>
                <w:szCs w:val="20"/>
                <w:vertAlign w:val="superscript"/>
              </w:rPr>
              <w:t>b</w:t>
            </w:r>
            <w:proofErr w:type="spellEnd"/>
          </w:p>
        </w:tc>
      </w:tr>
      <w:tr w:rsidR="00060386" w:rsidRPr="00CB4B99" w14:paraId="5CA167DF" w14:textId="77777777" w:rsidTr="00FB13AC">
        <w:trPr>
          <w:trHeight w:val="269"/>
        </w:trPr>
        <w:tc>
          <w:tcPr>
            <w:tcW w:w="1683" w:type="dxa"/>
            <w:shd w:val="clear" w:color="auto" w:fill="FFFFFF"/>
          </w:tcPr>
          <w:p w14:paraId="6FB042CD" w14:textId="77777777" w:rsidR="00060386" w:rsidRPr="00714903" w:rsidRDefault="00060386" w:rsidP="00C659AE">
            <w:pPr>
              <w:pStyle w:val="EMEABodyText"/>
              <w:keepNext/>
              <w:rPr>
                <w:color w:val="000000" w:themeColor="text1"/>
                <w:sz w:val="20"/>
                <w:szCs w:val="20"/>
              </w:rPr>
            </w:pPr>
            <w:r w:rsidRPr="00714903">
              <w:rPr>
                <w:color w:val="000000" w:themeColor="text1"/>
                <w:sz w:val="20"/>
                <w:szCs w:val="20"/>
              </w:rPr>
              <w:t>Common</w:t>
            </w:r>
          </w:p>
        </w:tc>
        <w:tc>
          <w:tcPr>
            <w:tcW w:w="3836" w:type="dxa"/>
            <w:shd w:val="clear" w:color="auto" w:fill="FFFFFF"/>
          </w:tcPr>
          <w:p w14:paraId="57FFB67F"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weight decreased</w:t>
            </w:r>
          </w:p>
        </w:tc>
        <w:tc>
          <w:tcPr>
            <w:tcW w:w="3837" w:type="dxa"/>
            <w:shd w:val="clear" w:color="auto" w:fill="FFFFFF"/>
          </w:tcPr>
          <w:p w14:paraId="08090214" w14:textId="77777777" w:rsidR="00060386" w:rsidRPr="00714903" w:rsidRDefault="00060386" w:rsidP="00C659AE">
            <w:pPr>
              <w:pStyle w:val="EMEABodyText"/>
              <w:keepNext/>
              <w:rPr>
                <w:color w:val="000000" w:themeColor="text1"/>
                <w:spacing w:val="3"/>
                <w:sz w:val="20"/>
                <w:szCs w:val="20"/>
              </w:rPr>
            </w:pPr>
            <w:r w:rsidRPr="00714903">
              <w:rPr>
                <w:color w:val="000000" w:themeColor="text1"/>
                <w:spacing w:val="3"/>
                <w:sz w:val="20"/>
                <w:szCs w:val="20"/>
              </w:rPr>
              <w:t>weight decreased</w:t>
            </w:r>
          </w:p>
        </w:tc>
      </w:tr>
    </w:tbl>
    <w:p w14:paraId="039DB259" w14:textId="77777777" w:rsidR="00060386" w:rsidRPr="00217269" w:rsidRDefault="00060386" w:rsidP="00571096">
      <w:pPr>
        <w:pStyle w:val="EMEABodyText"/>
        <w:ind w:left="180"/>
        <w:rPr>
          <w:color w:val="000000" w:themeColor="text1"/>
          <w:sz w:val="18"/>
          <w:szCs w:val="18"/>
        </w:rPr>
      </w:pPr>
      <w:proofErr w:type="gramStart"/>
      <w:r w:rsidRPr="00217269">
        <w:rPr>
          <w:color w:val="000000" w:themeColor="text1"/>
          <w:sz w:val="18"/>
          <w:szCs w:val="18"/>
          <w:vertAlign w:val="superscript"/>
        </w:rPr>
        <w:t>a</w:t>
      </w:r>
      <w:proofErr w:type="gramEnd"/>
      <w:r w:rsidRPr="00217269">
        <w:rPr>
          <w:color w:val="000000" w:themeColor="text1"/>
          <w:sz w:val="18"/>
          <w:szCs w:val="18"/>
        </w:rPr>
        <w:t xml:space="preserve"> Fatal cases have been reported in completed or ongoing clinical studies</w:t>
      </w:r>
    </w:p>
    <w:p w14:paraId="53CFA007" w14:textId="173D41BA" w:rsidR="00060386" w:rsidRDefault="00060386" w:rsidP="00571096">
      <w:pPr>
        <w:pStyle w:val="EMEABodyText"/>
        <w:ind w:left="180"/>
        <w:rPr>
          <w:color w:val="000000" w:themeColor="text1"/>
          <w:sz w:val="18"/>
          <w:szCs w:val="18"/>
        </w:rPr>
      </w:pPr>
      <w:proofErr w:type="gramStart"/>
      <w:r w:rsidRPr="00217269">
        <w:rPr>
          <w:color w:val="000000" w:themeColor="text1"/>
          <w:sz w:val="18"/>
          <w:szCs w:val="18"/>
          <w:vertAlign w:val="superscript"/>
        </w:rPr>
        <w:t>b</w:t>
      </w:r>
      <w:proofErr w:type="gramEnd"/>
      <w:r w:rsidRPr="00217269">
        <w:rPr>
          <w:color w:val="000000" w:themeColor="text1"/>
          <w:sz w:val="18"/>
          <w:szCs w:val="18"/>
        </w:rPr>
        <w:t xml:space="preserve"> Life-threatening cases have been reported in completed or ongoing clinical studies.</w:t>
      </w:r>
    </w:p>
    <w:p w14:paraId="240F46D4" w14:textId="62307F69" w:rsidR="00810147" w:rsidRPr="00217269" w:rsidRDefault="00810147" w:rsidP="00571096">
      <w:pPr>
        <w:pStyle w:val="EMEABodyText"/>
        <w:ind w:left="180"/>
        <w:rPr>
          <w:color w:val="000000" w:themeColor="text1"/>
          <w:sz w:val="18"/>
          <w:szCs w:val="18"/>
        </w:rPr>
      </w:pPr>
      <w:proofErr w:type="gramStart"/>
      <w:r w:rsidRPr="00624AF8">
        <w:rPr>
          <w:color w:val="000000" w:themeColor="text1"/>
          <w:sz w:val="18"/>
          <w:szCs w:val="18"/>
          <w:vertAlign w:val="superscript"/>
        </w:rPr>
        <w:t>c</w:t>
      </w:r>
      <w:proofErr w:type="gramEnd"/>
      <w:r w:rsidRPr="00810147">
        <w:rPr>
          <w:color w:val="000000" w:themeColor="text1"/>
          <w:sz w:val="18"/>
          <w:szCs w:val="18"/>
        </w:rPr>
        <w:t xml:space="preserve"> Including those reported in studies outside the pooled dataset. The frequency is based on the program-wide exposure.</w:t>
      </w:r>
    </w:p>
    <w:p w14:paraId="5F3B0003" w14:textId="66D7EED3" w:rsidR="00060386" w:rsidRPr="00217269" w:rsidRDefault="00810147" w:rsidP="00571096">
      <w:pPr>
        <w:pStyle w:val="EMEABodyText"/>
        <w:ind w:left="180"/>
        <w:rPr>
          <w:color w:val="000000" w:themeColor="text1"/>
          <w:sz w:val="18"/>
          <w:szCs w:val="18"/>
        </w:rPr>
      </w:pPr>
      <w:proofErr w:type="gramStart"/>
      <w:r>
        <w:rPr>
          <w:color w:val="000000" w:themeColor="text1"/>
          <w:sz w:val="18"/>
          <w:szCs w:val="18"/>
          <w:vertAlign w:val="superscript"/>
        </w:rPr>
        <w:t>d</w:t>
      </w:r>
      <w:proofErr w:type="gramEnd"/>
      <w:r w:rsidR="00060386" w:rsidRPr="00217269">
        <w:rPr>
          <w:color w:val="000000" w:themeColor="text1"/>
          <w:sz w:val="18"/>
          <w:szCs w:val="18"/>
        </w:rPr>
        <w:t xml:space="preserve"> Rash is a composite term which includes maculopapular rash, rash erythematous, rash pruritic, rash</w:t>
      </w:r>
    </w:p>
    <w:p w14:paraId="757C5A43" w14:textId="77777777" w:rsidR="00060386" w:rsidRPr="00217269" w:rsidRDefault="00060386" w:rsidP="00571096">
      <w:pPr>
        <w:pStyle w:val="EMEABodyText"/>
        <w:ind w:left="180"/>
        <w:rPr>
          <w:color w:val="000000" w:themeColor="text1"/>
          <w:sz w:val="18"/>
          <w:szCs w:val="18"/>
        </w:rPr>
      </w:pPr>
      <w:proofErr w:type="gramStart"/>
      <w:r w:rsidRPr="00217269">
        <w:rPr>
          <w:color w:val="000000" w:themeColor="text1"/>
          <w:sz w:val="18"/>
          <w:szCs w:val="18"/>
        </w:rPr>
        <w:t>follicular</w:t>
      </w:r>
      <w:proofErr w:type="gramEnd"/>
      <w:r w:rsidRPr="00217269">
        <w:rPr>
          <w:color w:val="000000" w:themeColor="text1"/>
          <w:sz w:val="18"/>
          <w:szCs w:val="18"/>
        </w:rPr>
        <w:t xml:space="preserve">, rash macular, rash </w:t>
      </w:r>
      <w:proofErr w:type="spellStart"/>
      <w:r w:rsidRPr="00217269">
        <w:rPr>
          <w:color w:val="000000" w:themeColor="text1"/>
          <w:sz w:val="18"/>
          <w:szCs w:val="18"/>
        </w:rPr>
        <w:t>morbilliform</w:t>
      </w:r>
      <w:proofErr w:type="spellEnd"/>
      <w:r w:rsidRPr="00217269">
        <w:rPr>
          <w:color w:val="000000" w:themeColor="text1"/>
          <w:sz w:val="18"/>
          <w:szCs w:val="18"/>
        </w:rPr>
        <w:t xml:space="preserve">, rash </w:t>
      </w:r>
      <w:proofErr w:type="spellStart"/>
      <w:r w:rsidRPr="00217269">
        <w:rPr>
          <w:color w:val="000000" w:themeColor="text1"/>
          <w:sz w:val="18"/>
          <w:szCs w:val="18"/>
        </w:rPr>
        <w:t>papular</w:t>
      </w:r>
      <w:proofErr w:type="spellEnd"/>
      <w:r w:rsidRPr="00217269">
        <w:rPr>
          <w:color w:val="000000" w:themeColor="text1"/>
          <w:sz w:val="18"/>
          <w:szCs w:val="18"/>
        </w:rPr>
        <w:t xml:space="preserve">, rash pustular, rash </w:t>
      </w:r>
      <w:proofErr w:type="spellStart"/>
      <w:r w:rsidRPr="00217269">
        <w:rPr>
          <w:color w:val="000000" w:themeColor="text1"/>
          <w:sz w:val="18"/>
          <w:szCs w:val="18"/>
        </w:rPr>
        <w:t>papulosquamous</w:t>
      </w:r>
      <w:proofErr w:type="spellEnd"/>
      <w:r w:rsidRPr="00217269">
        <w:rPr>
          <w:color w:val="000000" w:themeColor="text1"/>
          <w:sz w:val="18"/>
          <w:szCs w:val="18"/>
        </w:rPr>
        <w:t>, rash</w:t>
      </w:r>
    </w:p>
    <w:p w14:paraId="3E9FC11D" w14:textId="016F669C" w:rsidR="00060386" w:rsidRPr="00217269" w:rsidRDefault="00060386" w:rsidP="00571096">
      <w:pPr>
        <w:pStyle w:val="EMEABodyText"/>
        <w:ind w:left="180"/>
        <w:rPr>
          <w:color w:val="000000" w:themeColor="text1"/>
          <w:sz w:val="18"/>
          <w:szCs w:val="18"/>
        </w:rPr>
      </w:pPr>
      <w:r w:rsidRPr="00217269">
        <w:rPr>
          <w:color w:val="000000" w:themeColor="text1"/>
          <w:sz w:val="18"/>
          <w:szCs w:val="18"/>
        </w:rPr>
        <w:lastRenderedPageBreak/>
        <w:t xml:space="preserve">vesicular, rash generalised, exfoliative rash, dermatitis, dermatitis acneiform, dermatitis allergic, dermatitis atopic, dermatitis bullous, dermatitis exfoliative, dermatitis </w:t>
      </w:r>
      <w:proofErr w:type="spellStart"/>
      <w:r w:rsidRPr="00217269">
        <w:rPr>
          <w:color w:val="000000" w:themeColor="text1"/>
          <w:sz w:val="18"/>
          <w:szCs w:val="18"/>
        </w:rPr>
        <w:t>psoriasiform</w:t>
      </w:r>
      <w:proofErr w:type="spellEnd"/>
      <w:r w:rsidRPr="00217269">
        <w:rPr>
          <w:color w:val="000000" w:themeColor="text1"/>
          <w:sz w:val="18"/>
          <w:szCs w:val="18"/>
        </w:rPr>
        <w:t>, drug eruption</w:t>
      </w:r>
      <w:r w:rsidR="00FA6FF1">
        <w:rPr>
          <w:color w:val="000000" w:themeColor="text1"/>
          <w:sz w:val="18"/>
          <w:szCs w:val="18"/>
        </w:rPr>
        <w:t xml:space="preserve"> and pemphigoid</w:t>
      </w:r>
      <w:r w:rsidRPr="00217269">
        <w:rPr>
          <w:color w:val="000000" w:themeColor="text1"/>
          <w:sz w:val="18"/>
          <w:szCs w:val="18"/>
        </w:rPr>
        <w:t>.</w:t>
      </w:r>
    </w:p>
    <w:p w14:paraId="18EE7058" w14:textId="0B681E29" w:rsidR="00060386" w:rsidRPr="00217269" w:rsidRDefault="00060386" w:rsidP="00571096">
      <w:pPr>
        <w:pStyle w:val="EMEABodyText"/>
        <w:ind w:left="180"/>
        <w:rPr>
          <w:color w:val="000000" w:themeColor="text1"/>
          <w:sz w:val="18"/>
          <w:szCs w:val="18"/>
        </w:rPr>
      </w:pPr>
      <w:proofErr w:type="gramStart"/>
      <w:r w:rsidRPr="00217269">
        <w:rPr>
          <w:color w:val="000000" w:themeColor="text1"/>
          <w:sz w:val="18"/>
          <w:szCs w:val="18"/>
          <w:vertAlign w:val="superscript"/>
        </w:rPr>
        <w:t>e</w:t>
      </w:r>
      <w:proofErr w:type="gramEnd"/>
      <w:r w:rsidRPr="00217269">
        <w:rPr>
          <w:color w:val="000000" w:themeColor="text1"/>
          <w:sz w:val="18"/>
          <w:szCs w:val="18"/>
        </w:rPr>
        <w:t xml:space="preserve"> Musculoskeletal pain is a composite term which includes back pain, bone pain, musculoskeletal chest</w:t>
      </w:r>
    </w:p>
    <w:p w14:paraId="0E589EB0" w14:textId="7B86DF49" w:rsidR="00060386" w:rsidRDefault="00060386" w:rsidP="00BF2F27">
      <w:pPr>
        <w:pStyle w:val="EMEABodyText"/>
        <w:ind w:left="187"/>
        <w:rPr>
          <w:color w:val="000000" w:themeColor="text1"/>
          <w:sz w:val="18"/>
          <w:szCs w:val="18"/>
        </w:rPr>
      </w:pPr>
      <w:proofErr w:type="gramStart"/>
      <w:r w:rsidRPr="00217269">
        <w:rPr>
          <w:color w:val="000000" w:themeColor="text1"/>
          <w:sz w:val="18"/>
          <w:szCs w:val="18"/>
        </w:rPr>
        <w:t>pain</w:t>
      </w:r>
      <w:proofErr w:type="gramEnd"/>
      <w:r w:rsidRPr="00217269">
        <w:rPr>
          <w:color w:val="000000" w:themeColor="text1"/>
          <w:sz w:val="18"/>
          <w:szCs w:val="18"/>
        </w:rPr>
        <w:t>, musculoskeletal discomfort, myalgia, neck pain, pain in extremity, and spinal pain.</w:t>
      </w:r>
    </w:p>
    <w:p w14:paraId="0030EB42" w14:textId="5946171C" w:rsidR="00BF2F27" w:rsidRPr="00217269" w:rsidRDefault="00BF2F27" w:rsidP="00571096">
      <w:pPr>
        <w:pStyle w:val="EMEABodyText"/>
        <w:spacing w:after="240"/>
        <w:ind w:left="187"/>
        <w:rPr>
          <w:color w:val="000000" w:themeColor="text1"/>
          <w:sz w:val="18"/>
          <w:szCs w:val="18"/>
        </w:rPr>
      </w:pPr>
      <w:proofErr w:type="gramStart"/>
      <w:r w:rsidRPr="00BF2F27">
        <w:rPr>
          <w:color w:val="000000" w:themeColor="text1"/>
          <w:sz w:val="18"/>
          <w:szCs w:val="18"/>
          <w:vertAlign w:val="superscript"/>
        </w:rPr>
        <w:t>f</w:t>
      </w:r>
      <w:proofErr w:type="gramEnd"/>
      <w:r w:rsidRPr="00BF2F27">
        <w:rPr>
          <w:color w:val="000000" w:themeColor="text1"/>
          <w:szCs w:val="22"/>
          <w:vertAlign w:val="superscript"/>
        </w:rPr>
        <w:t xml:space="preserve"> </w:t>
      </w:r>
      <w:r w:rsidRPr="00BF2F27">
        <w:rPr>
          <w:color w:val="000000" w:themeColor="text1"/>
          <w:sz w:val="18"/>
          <w:szCs w:val="18"/>
        </w:rPr>
        <w:t xml:space="preserve">Frequencies of laboratory terms reflect the proportion of patients who experienced a worsening from baseline in laboratory measurements. See “Table </w:t>
      </w:r>
      <w:r w:rsidR="008B60A0">
        <w:rPr>
          <w:color w:val="000000" w:themeColor="text1"/>
          <w:sz w:val="18"/>
          <w:szCs w:val="18"/>
        </w:rPr>
        <w:t>3</w:t>
      </w:r>
      <w:r w:rsidR="002C197D">
        <w:rPr>
          <w:color w:val="000000" w:themeColor="text1"/>
          <w:sz w:val="18"/>
          <w:szCs w:val="18"/>
        </w:rPr>
        <w:t xml:space="preserve">: </w:t>
      </w:r>
      <w:r w:rsidRPr="00BF2F27">
        <w:rPr>
          <w:color w:val="000000" w:themeColor="text1"/>
          <w:sz w:val="18"/>
          <w:szCs w:val="18"/>
        </w:rPr>
        <w:t>laboratory abnormalities” below.</w:t>
      </w:r>
    </w:p>
    <w:p w14:paraId="3C49B153" w14:textId="5138FF7E" w:rsidR="00060386" w:rsidRDefault="00060386" w:rsidP="00571096">
      <w:r>
        <w:t xml:space="preserve">A summary of laboratory abnormalities that worsened from baseline is presented in </w:t>
      </w:r>
      <w:r w:rsidRPr="00DC742F">
        <w:t xml:space="preserve">Table </w:t>
      </w:r>
      <w:r w:rsidR="00DC742F">
        <w:t>3</w:t>
      </w:r>
      <w:r>
        <w:t>.</w:t>
      </w:r>
    </w:p>
    <w:tbl>
      <w:tblPr>
        <w:tblW w:w="9378" w:type="dxa"/>
        <w:tblLayout w:type="fixed"/>
        <w:tblLook w:val="04A0" w:firstRow="1" w:lastRow="0" w:firstColumn="1" w:lastColumn="0" w:noHBand="0" w:noVBand="1"/>
      </w:tblPr>
      <w:tblGrid>
        <w:gridCol w:w="2268"/>
        <w:gridCol w:w="1080"/>
        <w:gridCol w:w="1710"/>
        <w:gridCol w:w="1260"/>
        <w:gridCol w:w="810"/>
        <w:gridCol w:w="1080"/>
        <w:gridCol w:w="1170"/>
      </w:tblGrid>
      <w:tr w:rsidR="00060386" w:rsidRPr="00CB4B99" w14:paraId="3FD5EEFD" w14:textId="77777777" w:rsidTr="00C659AE">
        <w:trPr>
          <w:tblHeader/>
        </w:trPr>
        <w:tc>
          <w:tcPr>
            <w:tcW w:w="9378" w:type="dxa"/>
            <w:gridSpan w:val="7"/>
            <w:tcBorders>
              <w:bottom w:val="double" w:sz="4" w:space="0" w:color="auto"/>
            </w:tcBorders>
            <w:shd w:val="clear" w:color="auto" w:fill="auto"/>
            <w:vAlign w:val="bottom"/>
          </w:tcPr>
          <w:p w14:paraId="3AE0096A" w14:textId="43DFC9C3" w:rsidR="00060386" w:rsidRPr="00BA0123" w:rsidRDefault="00060386" w:rsidP="00DC742F">
            <w:pPr>
              <w:pStyle w:val="BMSTableTitle"/>
              <w:rPr>
                <w:color w:val="000000" w:themeColor="text1"/>
                <w:sz w:val="22"/>
                <w:szCs w:val="22"/>
                <w:highlight w:val="yellow"/>
              </w:rPr>
            </w:pPr>
            <w:r w:rsidRPr="00BA0123">
              <w:rPr>
                <w:color w:val="000000" w:themeColor="text1"/>
                <w:sz w:val="22"/>
                <w:szCs w:val="22"/>
              </w:rPr>
              <w:t xml:space="preserve">Table </w:t>
            </w:r>
            <w:r w:rsidR="00DC742F" w:rsidRPr="00BA0123">
              <w:rPr>
                <w:color w:val="000000" w:themeColor="text1"/>
                <w:sz w:val="22"/>
                <w:szCs w:val="22"/>
              </w:rPr>
              <w:t>3</w:t>
            </w:r>
            <w:r w:rsidRPr="00BA0123">
              <w:rPr>
                <w:color w:val="000000" w:themeColor="text1"/>
                <w:sz w:val="22"/>
                <w:szCs w:val="22"/>
              </w:rPr>
              <w:t>:</w:t>
            </w:r>
            <w:r w:rsidRPr="00BA0123">
              <w:rPr>
                <w:color w:val="000000" w:themeColor="text1"/>
                <w:sz w:val="22"/>
                <w:szCs w:val="22"/>
              </w:rPr>
              <w:tab/>
              <w:t>Laboratory abnormalities</w:t>
            </w:r>
          </w:p>
        </w:tc>
      </w:tr>
      <w:tr w:rsidR="00060386" w:rsidRPr="00CB4B99" w14:paraId="66BB08A9" w14:textId="77777777" w:rsidTr="00C659AE">
        <w:tc>
          <w:tcPr>
            <w:tcW w:w="2268" w:type="dxa"/>
            <w:tcBorders>
              <w:top w:val="double" w:sz="4" w:space="0" w:color="auto"/>
            </w:tcBorders>
            <w:shd w:val="clear" w:color="auto" w:fill="auto"/>
            <w:vAlign w:val="bottom"/>
          </w:tcPr>
          <w:p w14:paraId="0D3E44B1" w14:textId="77777777" w:rsidR="00060386" w:rsidRPr="00BA0123" w:rsidRDefault="00060386" w:rsidP="00C659AE">
            <w:pPr>
              <w:pStyle w:val="BMSTableText"/>
              <w:keepNext/>
              <w:keepLines/>
              <w:rPr>
                <w:b/>
                <w:color w:val="000000" w:themeColor="text1"/>
              </w:rPr>
            </w:pPr>
          </w:p>
        </w:tc>
        <w:tc>
          <w:tcPr>
            <w:tcW w:w="7110" w:type="dxa"/>
            <w:gridSpan w:val="6"/>
            <w:tcBorders>
              <w:top w:val="double" w:sz="4" w:space="0" w:color="auto"/>
              <w:bottom w:val="single" w:sz="4" w:space="0" w:color="auto"/>
            </w:tcBorders>
            <w:shd w:val="clear" w:color="auto" w:fill="auto"/>
            <w:vAlign w:val="bottom"/>
          </w:tcPr>
          <w:p w14:paraId="28DDF98B" w14:textId="77777777" w:rsidR="00060386" w:rsidRPr="00BA0123" w:rsidRDefault="00060386" w:rsidP="00C659AE">
            <w:pPr>
              <w:pStyle w:val="BMSTableText"/>
              <w:keepNext/>
              <w:keepLines/>
              <w:rPr>
                <w:b/>
                <w:color w:val="000000" w:themeColor="text1"/>
              </w:rPr>
            </w:pPr>
            <w:r w:rsidRPr="00BA0123">
              <w:rPr>
                <w:b/>
                <w:color w:val="000000" w:themeColor="text1"/>
              </w:rPr>
              <w:t>Number (%) of Patients with Worsening Laboratory Test from Baseline</w:t>
            </w:r>
          </w:p>
        </w:tc>
      </w:tr>
      <w:tr w:rsidR="00060386" w:rsidRPr="00CB4B99" w14:paraId="3868428C" w14:textId="77777777" w:rsidTr="00C659AE">
        <w:tc>
          <w:tcPr>
            <w:tcW w:w="2268" w:type="dxa"/>
            <w:vMerge w:val="restart"/>
            <w:shd w:val="clear" w:color="auto" w:fill="auto"/>
            <w:vAlign w:val="bottom"/>
          </w:tcPr>
          <w:p w14:paraId="304819F5" w14:textId="77777777" w:rsidR="00060386" w:rsidRPr="00BA0123" w:rsidRDefault="00060386" w:rsidP="00C659AE">
            <w:pPr>
              <w:pStyle w:val="BMSTableText"/>
              <w:keepNext/>
              <w:keepLines/>
              <w:jc w:val="left"/>
              <w:rPr>
                <w:b/>
                <w:color w:val="000000" w:themeColor="text1"/>
              </w:rPr>
            </w:pPr>
            <w:r w:rsidRPr="00BA0123">
              <w:rPr>
                <w:b/>
                <w:color w:val="000000" w:themeColor="text1"/>
              </w:rPr>
              <w:t>Test</w:t>
            </w:r>
          </w:p>
        </w:tc>
        <w:tc>
          <w:tcPr>
            <w:tcW w:w="4050" w:type="dxa"/>
            <w:gridSpan w:val="3"/>
            <w:tcBorders>
              <w:top w:val="single" w:sz="4" w:space="0" w:color="auto"/>
              <w:bottom w:val="single" w:sz="4" w:space="0" w:color="auto"/>
              <w:right w:val="single" w:sz="4" w:space="0" w:color="auto"/>
            </w:tcBorders>
            <w:shd w:val="clear" w:color="auto" w:fill="auto"/>
            <w:vAlign w:val="bottom"/>
          </w:tcPr>
          <w:p w14:paraId="59188852" w14:textId="77777777" w:rsidR="00060386" w:rsidRPr="00BA0123" w:rsidRDefault="00060386" w:rsidP="00C659AE">
            <w:pPr>
              <w:pStyle w:val="BMSTableText"/>
              <w:keepNext/>
              <w:keepLines/>
              <w:rPr>
                <w:b/>
                <w:color w:val="000000" w:themeColor="text1"/>
              </w:rPr>
            </w:pPr>
            <w:proofErr w:type="spellStart"/>
            <w:r w:rsidRPr="00BA0123">
              <w:rPr>
                <w:b/>
                <w:color w:val="000000" w:themeColor="text1"/>
              </w:rPr>
              <w:t>Nivolumab</w:t>
            </w:r>
            <w:proofErr w:type="spellEnd"/>
            <w:r w:rsidRPr="00BA0123">
              <w:rPr>
                <w:b/>
                <w:color w:val="000000" w:themeColor="text1"/>
              </w:rPr>
              <w:t xml:space="preserve"> monotherapy</w:t>
            </w:r>
            <w:r w:rsidRPr="00BA0123">
              <w:rPr>
                <w:b/>
                <w:color w:val="000000" w:themeColor="text1"/>
              </w:rPr>
              <w:br/>
            </w:r>
          </w:p>
        </w:tc>
        <w:tc>
          <w:tcPr>
            <w:tcW w:w="3060" w:type="dxa"/>
            <w:gridSpan w:val="3"/>
            <w:tcBorders>
              <w:top w:val="single" w:sz="4" w:space="0" w:color="auto"/>
              <w:left w:val="single" w:sz="4" w:space="0" w:color="auto"/>
              <w:bottom w:val="single" w:sz="4" w:space="0" w:color="auto"/>
            </w:tcBorders>
            <w:shd w:val="clear" w:color="auto" w:fill="auto"/>
            <w:vAlign w:val="bottom"/>
          </w:tcPr>
          <w:p w14:paraId="1D329419" w14:textId="77777777" w:rsidR="00060386" w:rsidRPr="00BA0123" w:rsidRDefault="00060386" w:rsidP="00C659AE">
            <w:pPr>
              <w:pStyle w:val="BMSTableText"/>
              <w:keepNext/>
              <w:keepLines/>
              <w:rPr>
                <w:b/>
                <w:color w:val="000000" w:themeColor="text1"/>
              </w:rPr>
            </w:pPr>
            <w:proofErr w:type="spellStart"/>
            <w:r w:rsidRPr="00BA0123">
              <w:rPr>
                <w:b/>
                <w:color w:val="000000" w:themeColor="text1"/>
              </w:rPr>
              <w:t>Nivolumab</w:t>
            </w:r>
            <w:proofErr w:type="spellEnd"/>
            <w:r w:rsidRPr="00BA0123">
              <w:rPr>
                <w:b/>
                <w:color w:val="000000" w:themeColor="text1"/>
              </w:rPr>
              <w:t xml:space="preserve"> in combination with </w:t>
            </w:r>
            <w:proofErr w:type="spellStart"/>
            <w:r w:rsidRPr="00BA0123">
              <w:rPr>
                <w:b/>
                <w:color w:val="000000" w:themeColor="text1"/>
              </w:rPr>
              <w:t>ipilimumab</w:t>
            </w:r>
            <w:proofErr w:type="spellEnd"/>
          </w:p>
        </w:tc>
      </w:tr>
      <w:tr w:rsidR="00060386" w:rsidRPr="00CB4B99" w14:paraId="58645C02" w14:textId="77777777" w:rsidTr="00C659AE">
        <w:tc>
          <w:tcPr>
            <w:tcW w:w="2268" w:type="dxa"/>
            <w:vMerge/>
            <w:tcBorders>
              <w:bottom w:val="single" w:sz="4" w:space="0" w:color="auto"/>
            </w:tcBorders>
            <w:shd w:val="clear" w:color="auto" w:fill="auto"/>
          </w:tcPr>
          <w:p w14:paraId="12CDC8EF" w14:textId="77777777" w:rsidR="00060386" w:rsidRPr="00BA0123" w:rsidRDefault="00060386" w:rsidP="00C659AE">
            <w:pPr>
              <w:pStyle w:val="BMSBodyText"/>
              <w:keepNext/>
              <w:keepLines/>
              <w:rPr>
                <w:b/>
                <w:color w:val="000000" w:themeColor="text1"/>
                <w:sz w:val="20"/>
                <w:szCs w:val="20"/>
              </w:rPr>
            </w:pPr>
          </w:p>
        </w:tc>
        <w:tc>
          <w:tcPr>
            <w:tcW w:w="1080" w:type="dxa"/>
            <w:tcBorders>
              <w:top w:val="single" w:sz="4" w:space="0" w:color="auto"/>
              <w:bottom w:val="single" w:sz="4" w:space="0" w:color="auto"/>
            </w:tcBorders>
            <w:shd w:val="clear" w:color="auto" w:fill="auto"/>
            <w:vAlign w:val="bottom"/>
          </w:tcPr>
          <w:p w14:paraId="7BA224A7" w14:textId="77777777" w:rsidR="00060386" w:rsidRPr="00BA0123" w:rsidRDefault="00060386" w:rsidP="00C659AE">
            <w:pPr>
              <w:pStyle w:val="BMSTableHeader"/>
              <w:keepNext/>
              <w:keepLines/>
              <w:rPr>
                <w:color w:val="000000" w:themeColor="text1"/>
              </w:rPr>
            </w:pPr>
            <w:r w:rsidRPr="00BA0123">
              <w:rPr>
                <w:color w:val="000000" w:themeColor="text1"/>
              </w:rPr>
              <w:t>N</w:t>
            </w:r>
            <w:r w:rsidRPr="00BA0123">
              <w:rPr>
                <w:rStyle w:val="BMSSuperscript"/>
                <w:rFonts w:eastAsia="Calibri"/>
                <w:color w:val="000000" w:themeColor="text1"/>
                <w:sz w:val="20"/>
              </w:rPr>
              <w:t>a</w:t>
            </w:r>
          </w:p>
        </w:tc>
        <w:tc>
          <w:tcPr>
            <w:tcW w:w="1710" w:type="dxa"/>
            <w:tcBorders>
              <w:top w:val="single" w:sz="4" w:space="0" w:color="auto"/>
              <w:bottom w:val="single" w:sz="4" w:space="0" w:color="auto"/>
            </w:tcBorders>
            <w:shd w:val="clear" w:color="auto" w:fill="auto"/>
            <w:vAlign w:val="bottom"/>
          </w:tcPr>
          <w:p w14:paraId="166524D7" w14:textId="77777777" w:rsidR="00060386" w:rsidRPr="00BA0123" w:rsidRDefault="00060386" w:rsidP="00C659AE">
            <w:pPr>
              <w:pStyle w:val="BMSTableText"/>
              <w:keepNext/>
              <w:keepLines/>
              <w:rPr>
                <w:b/>
                <w:color w:val="000000" w:themeColor="text1"/>
              </w:rPr>
            </w:pPr>
            <w:r w:rsidRPr="00BA0123">
              <w:rPr>
                <w:b/>
                <w:color w:val="000000" w:themeColor="text1"/>
              </w:rPr>
              <w:t>Grades</w:t>
            </w:r>
            <w:r w:rsidRPr="00BA0123">
              <w:rPr>
                <w:b/>
                <w:color w:val="000000" w:themeColor="text1"/>
              </w:rPr>
              <w:br/>
              <w:t>1-4</w:t>
            </w:r>
          </w:p>
        </w:tc>
        <w:tc>
          <w:tcPr>
            <w:tcW w:w="1260" w:type="dxa"/>
            <w:tcBorders>
              <w:top w:val="single" w:sz="4" w:space="0" w:color="auto"/>
              <w:bottom w:val="single" w:sz="4" w:space="0" w:color="auto"/>
              <w:right w:val="single" w:sz="4" w:space="0" w:color="auto"/>
            </w:tcBorders>
            <w:shd w:val="clear" w:color="auto" w:fill="auto"/>
            <w:vAlign w:val="bottom"/>
          </w:tcPr>
          <w:p w14:paraId="4142FD7C" w14:textId="77777777" w:rsidR="00060386" w:rsidRPr="00BA0123" w:rsidRDefault="00060386" w:rsidP="00C659AE">
            <w:pPr>
              <w:pStyle w:val="BMSTableText"/>
              <w:keepNext/>
              <w:keepLines/>
              <w:rPr>
                <w:b/>
                <w:color w:val="000000" w:themeColor="text1"/>
              </w:rPr>
            </w:pPr>
            <w:r w:rsidRPr="00BA0123">
              <w:rPr>
                <w:b/>
                <w:color w:val="000000" w:themeColor="text1"/>
              </w:rPr>
              <w:t>Grades</w:t>
            </w:r>
            <w:r w:rsidRPr="00BA0123">
              <w:rPr>
                <w:b/>
                <w:color w:val="000000" w:themeColor="text1"/>
              </w:rPr>
              <w:br/>
              <w:t>3-4</w:t>
            </w:r>
          </w:p>
        </w:tc>
        <w:tc>
          <w:tcPr>
            <w:tcW w:w="810" w:type="dxa"/>
            <w:tcBorders>
              <w:top w:val="single" w:sz="4" w:space="0" w:color="auto"/>
              <w:left w:val="single" w:sz="4" w:space="0" w:color="auto"/>
              <w:bottom w:val="single" w:sz="4" w:space="0" w:color="auto"/>
            </w:tcBorders>
            <w:shd w:val="clear" w:color="auto" w:fill="auto"/>
            <w:vAlign w:val="bottom"/>
          </w:tcPr>
          <w:p w14:paraId="42034C6C" w14:textId="77777777" w:rsidR="00060386" w:rsidRPr="00BA0123" w:rsidRDefault="00060386" w:rsidP="00C659AE">
            <w:pPr>
              <w:pStyle w:val="BMSTableText"/>
              <w:keepNext/>
              <w:keepLines/>
              <w:rPr>
                <w:b/>
                <w:color w:val="000000" w:themeColor="text1"/>
              </w:rPr>
            </w:pPr>
            <w:r w:rsidRPr="00BA0123">
              <w:rPr>
                <w:b/>
                <w:color w:val="000000" w:themeColor="text1"/>
              </w:rPr>
              <w:t>N</w:t>
            </w:r>
            <w:r w:rsidRPr="00BA0123">
              <w:rPr>
                <w:rStyle w:val="BMSSuperscript"/>
                <w:rFonts w:eastAsia="Calibri"/>
                <w:b/>
                <w:color w:val="000000" w:themeColor="text1"/>
                <w:sz w:val="20"/>
              </w:rPr>
              <w:t>a</w:t>
            </w:r>
          </w:p>
        </w:tc>
        <w:tc>
          <w:tcPr>
            <w:tcW w:w="1080" w:type="dxa"/>
            <w:tcBorders>
              <w:top w:val="single" w:sz="4" w:space="0" w:color="auto"/>
              <w:bottom w:val="single" w:sz="4" w:space="0" w:color="auto"/>
            </w:tcBorders>
            <w:shd w:val="clear" w:color="auto" w:fill="auto"/>
            <w:vAlign w:val="bottom"/>
          </w:tcPr>
          <w:p w14:paraId="1397A4ED" w14:textId="77777777" w:rsidR="00060386" w:rsidRPr="00BA0123" w:rsidRDefault="00060386" w:rsidP="00C659AE">
            <w:pPr>
              <w:pStyle w:val="BMSTableText"/>
              <w:keepNext/>
              <w:keepLines/>
              <w:rPr>
                <w:b/>
                <w:color w:val="000000" w:themeColor="text1"/>
              </w:rPr>
            </w:pPr>
            <w:r w:rsidRPr="00BA0123">
              <w:rPr>
                <w:b/>
                <w:color w:val="000000" w:themeColor="text1"/>
              </w:rPr>
              <w:t>Grades</w:t>
            </w:r>
            <w:r w:rsidRPr="00BA0123">
              <w:rPr>
                <w:b/>
                <w:color w:val="000000" w:themeColor="text1"/>
              </w:rPr>
              <w:br/>
              <w:t>1-4</w:t>
            </w:r>
          </w:p>
        </w:tc>
        <w:tc>
          <w:tcPr>
            <w:tcW w:w="1170" w:type="dxa"/>
            <w:tcBorders>
              <w:top w:val="single" w:sz="4" w:space="0" w:color="auto"/>
              <w:bottom w:val="single" w:sz="4" w:space="0" w:color="auto"/>
            </w:tcBorders>
            <w:shd w:val="clear" w:color="auto" w:fill="auto"/>
            <w:vAlign w:val="bottom"/>
          </w:tcPr>
          <w:p w14:paraId="3B9EDBD5" w14:textId="77777777" w:rsidR="00060386" w:rsidRPr="00BA0123" w:rsidRDefault="00060386" w:rsidP="00C659AE">
            <w:pPr>
              <w:pStyle w:val="BMSTableText"/>
              <w:keepNext/>
              <w:keepLines/>
              <w:rPr>
                <w:b/>
                <w:color w:val="000000" w:themeColor="text1"/>
              </w:rPr>
            </w:pPr>
            <w:r w:rsidRPr="00BA0123">
              <w:rPr>
                <w:b/>
                <w:color w:val="000000" w:themeColor="text1"/>
              </w:rPr>
              <w:t>Grades</w:t>
            </w:r>
            <w:r w:rsidRPr="00BA0123">
              <w:rPr>
                <w:b/>
                <w:color w:val="000000" w:themeColor="text1"/>
              </w:rPr>
              <w:br/>
              <w:t>3-4</w:t>
            </w:r>
          </w:p>
        </w:tc>
      </w:tr>
      <w:tr w:rsidR="00060386" w:rsidRPr="00CB4B99" w14:paraId="2168569F" w14:textId="77777777" w:rsidTr="00C659AE">
        <w:tc>
          <w:tcPr>
            <w:tcW w:w="2268" w:type="dxa"/>
            <w:tcBorders>
              <w:top w:val="single" w:sz="4" w:space="0" w:color="auto"/>
            </w:tcBorders>
            <w:shd w:val="clear" w:color="auto" w:fill="auto"/>
          </w:tcPr>
          <w:p w14:paraId="1D2AAC91" w14:textId="77777777" w:rsidR="00060386" w:rsidRPr="00BA0123" w:rsidRDefault="00060386" w:rsidP="00C659AE">
            <w:pPr>
              <w:pStyle w:val="BMSTableText"/>
              <w:keepNext/>
              <w:keepLines/>
              <w:jc w:val="left"/>
              <w:rPr>
                <w:color w:val="000000" w:themeColor="text1"/>
              </w:rPr>
            </w:pPr>
            <w:proofErr w:type="spellStart"/>
            <w:r w:rsidRPr="00BA0123">
              <w:rPr>
                <w:color w:val="000000" w:themeColor="text1"/>
              </w:rPr>
              <w:t>Anaemia</w:t>
            </w:r>
            <w:r w:rsidRPr="00BA0123">
              <w:rPr>
                <w:rStyle w:val="BMSSuperscript"/>
                <w:rFonts w:eastAsia="Calibri"/>
                <w:color w:val="000000" w:themeColor="text1"/>
                <w:sz w:val="20"/>
              </w:rPr>
              <w:t>b</w:t>
            </w:r>
            <w:proofErr w:type="spellEnd"/>
          </w:p>
        </w:tc>
        <w:tc>
          <w:tcPr>
            <w:tcW w:w="1080" w:type="dxa"/>
            <w:tcBorders>
              <w:top w:val="single" w:sz="4" w:space="0" w:color="auto"/>
            </w:tcBorders>
            <w:shd w:val="clear" w:color="auto" w:fill="auto"/>
          </w:tcPr>
          <w:p w14:paraId="092B097A" w14:textId="148ADAAB" w:rsidR="00060386" w:rsidRPr="00BA0123" w:rsidRDefault="00810147" w:rsidP="00C659AE">
            <w:pPr>
              <w:pStyle w:val="BMSTableText"/>
              <w:keepNext/>
              <w:keepLines/>
              <w:rPr>
                <w:color w:val="000000" w:themeColor="text1"/>
              </w:rPr>
            </w:pPr>
            <w:r>
              <w:rPr>
                <w:color w:val="000000" w:themeColor="text1"/>
              </w:rPr>
              <w:t>2515</w:t>
            </w:r>
          </w:p>
        </w:tc>
        <w:tc>
          <w:tcPr>
            <w:tcW w:w="1710" w:type="dxa"/>
            <w:tcBorders>
              <w:top w:val="single" w:sz="4" w:space="0" w:color="auto"/>
            </w:tcBorders>
            <w:shd w:val="clear" w:color="auto" w:fill="auto"/>
          </w:tcPr>
          <w:p w14:paraId="531735C8" w14:textId="74E592E5" w:rsidR="00060386" w:rsidRPr="00BA0123" w:rsidRDefault="00F43D5A" w:rsidP="00C659AE">
            <w:pPr>
              <w:pStyle w:val="BMSTableText"/>
              <w:keepNext/>
              <w:keepLines/>
              <w:rPr>
                <w:color w:val="000000" w:themeColor="text1"/>
              </w:rPr>
            </w:pPr>
            <w:r>
              <w:rPr>
                <w:color w:val="000000" w:themeColor="text1"/>
              </w:rPr>
              <w:t>933</w:t>
            </w:r>
            <w:r w:rsidR="00060386" w:rsidRPr="00BA0123">
              <w:rPr>
                <w:color w:val="000000" w:themeColor="text1"/>
              </w:rPr>
              <w:t xml:space="preserve"> (</w:t>
            </w:r>
            <w:r>
              <w:rPr>
                <w:color w:val="000000" w:themeColor="text1"/>
              </w:rPr>
              <w:t>37.1</w:t>
            </w:r>
            <w:r w:rsidR="00060386" w:rsidRPr="00BA0123">
              <w:rPr>
                <w:color w:val="000000" w:themeColor="text1"/>
              </w:rPr>
              <w:t>)</w:t>
            </w:r>
          </w:p>
        </w:tc>
        <w:tc>
          <w:tcPr>
            <w:tcW w:w="1260" w:type="dxa"/>
            <w:tcBorders>
              <w:top w:val="single" w:sz="4" w:space="0" w:color="auto"/>
              <w:right w:val="single" w:sz="4" w:space="0" w:color="auto"/>
            </w:tcBorders>
            <w:shd w:val="clear" w:color="auto" w:fill="auto"/>
          </w:tcPr>
          <w:p w14:paraId="3C7716CB" w14:textId="32147D9E" w:rsidR="00060386" w:rsidRPr="00BA0123" w:rsidRDefault="00B75C65" w:rsidP="00C659AE">
            <w:pPr>
              <w:pStyle w:val="BMSTableText"/>
              <w:keepNext/>
              <w:keepLines/>
              <w:rPr>
                <w:color w:val="000000" w:themeColor="text1"/>
              </w:rPr>
            </w:pPr>
            <w:r>
              <w:rPr>
                <w:color w:val="000000" w:themeColor="text1"/>
              </w:rPr>
              <w:t xml:space="preserve">130 </w:t>
            </w:r>
            <w:r w:rsidR="00060386" w:rsidRPr="00BA0123">
              <w:rPr>
                <w:color w:val="000000" w:themeColor="text1"/>
              </w:rPr>
              <w:t xml:space="preserve"> (</w:t>
            </w:r>
            <w:r>
              <w:rPr>
                <w:color w:val="000000" w:themeColor="text1"/>
              </w:rPr>
              <w:t>5.2</w:t>
            </w:r>
            <w:r w:rsidR="00060386" w:rsidRPr="00BA0123">
              <w:rPr>
                <w:color w:val="000000" w:themeColor="text1"/>
              </w:rPr>
              <w:t>)</w:t>
            </w:r>
          </w:p>
        </w:tc>
        <w:tc>
          <w:tcPr>
            <w:tcW w:w="810" w:type="dxa"/>
            <w:tcBorders>
              <w:top w:val="single" w:sz="4" w:space="0" w:color="auto"/>
              <w:left w:val="single" w:sz="4" w:space="0" w:color="auto"/>
            </w:tcBorders>
            <w:shd w:val="clear" w:color="auto" w:fill="auto"/>
          </w:tcPr>
          <w:p w14:paraId="3FB23B1E" w14:textId="77777777" w:rsidR="00060386" w:rsidRPr="00BA0123" w:rsidRDefault="00060386" w:rsidP="00C659AE">
            <w:pPr>
              <w:pStyle w:val="BMSTableText"/>
              <w:keepNext/>
              <w:keepLines/>
              <w:rPr>
                <w:color w:val="000000" w:themeColor="text1"/>
              </w:rPr>
            </w:pPr>
            <w:r w:rsidRPr="00BA0123">
              <w:rPr>
                <w:color w:val="000000" w:themeColor="text1"/>
              </w:rPr>
              <w:t>424</w:t>
            </w:r>
          </w:p>
        </w:tc>
        <w:tc>
          <w:tcPr>
            <w:tcW w:w="1080" w:type="dxa"/>
            <w:tcBorders>
              <w:top w:val="single" w:sz="4" w:space="0" w:color="auto"/>
            </w:tcBorders>
            <w:shd w:val="clear" w:color="auto" w:fill="auto"/>
          </w:tcPr>
          <w:p w14:paraId="3392D1C7" w14:textId="77777777" w:rsidR="00060386" w:rsidRPr="00BA0123" w:rsidRDefault="00060386" w:rsidP="00C659AE">
            <w:pPr>
              <w:pStyle w:val="BMSTableText"/>
              <w:keepNext/>
              <w:keepLines/>
              <w:rPr>
                <w:color w:val="000000" w:themeColor="text1"/>
              </w:rPr>
            </w:pPr>
            <w:r w:rsidRPr="00BA0123">
              <w:rPr>
                <w:color w:val="000000" w:themeColor="text1"/>
              </w:rPr>
              <w:t>209 (49.3)</w:t>
            </w:r>
          </w:p>
        </w:tc>
        <w:tc>
          <w:tcPr>
            <w:tcW w:w="1170" w:type="dxa"/>
            <w:tcBorders>
              <w:top w:val="single" w:sz="4" w:space="0" w:color="auto"/>
            </w:tcBorders>
            <w:shd w:val="clear" w:color="auto" w:fill="auto"/>
          </w:tcPr>
          <w:p w14:paraId="22869E01" w14:textId="77777777" w:rsidR="00060386" w:rsidRPr="00BA0123" w:rsidRDefault="00060386" w:rsidP="00C659AE">
            <w:pPr>
              <w:pStyle w:val="BMSTableText"/>
              <w:keepNext/>
              <w:keepLines/>
              <w:rPr>
                <w:color w:val="000000" w:themeColor="text1"/>
              </w:rPr>
            </w:pPr>
            <w:r w:rsidRPr="00BA0123">
              <w:rPr>
                <w:color w:val="000000" w:themeColor="text1"/>
              </w:rPr>
              <w:t>12 (2.8)</w:t>
            </w:r>
          </w:p>
        </w:tc>
      </w:tr>
      <w:tr w:rsidR="00060386" w:rsidRPr="00CB4B99" w14:paraId="0F88352F" w14:textId="77777777" w:rsidTr="00C659AE">
        <w:tc>
          <w:tcPr>
            <w:tcW w:w="2268" w:type="dxa"/>
            <w:shd w:val="clear" w:color="auto" w:fill="auto"/>
          </w:tcPr>
          <w:p w14:paraId="3ACFC576" w14:textId="77777777" w:rsidR="00060386" w:rsidRPr="00BA0123" w:rsidRDefault="00060386" w:rsidP="00C659AE">
            <w:pPr>
              <w:pStyle w:val="BMSTableText"/>
              <w:keepNext/>
              <w:jc w:val="left"/>
              <w:rPr>
                <w:color w:val="000000" w:themeColor="text1"/>
              </w:rPr>
            </w:pPr>
            <w:r w:rsidRPr="00BA0123">
              <w:rPr>
                <w:color w:val="000000" w:themeColor="text1"/>
              </w:rPr>
              <w:t>Thrombocytopenia</w:t>
            </w:r>
          </w:p>
        </w:tc>
        <w:tc>
          <w:tcPr>
            <w:tcW w:w="1080" w:type="dxa"/>
            <w:shd w:val="clear" w:color="auto" w:fill="auto"/>
          </w:tcPr>
          <w:p w14:paraId="4FD72672" w14:textId="5723E85E" w:rsidR="00060386" w:rsidRPr="00BA0123" w:rsidRDefault="00810147" w:rsidP="00C659AE">
            <w:pPr>
              <w:pStyle w:val="BMSTableText"/>
              <w:keepNext/>
              <w:rPr>
                <w:color w:val="000000" w:themeColor="text1"/>
              </w:rPr>
            </w:pPr>
            <w:r>
              <w:rPr>
                <w:color w:val="000000" w:themeColor="text1"/>
              </w:rPr>
              <w:t>2513</w:t>
            </w:r>
          </w:p>
        </w:tc>
        <w:tc>
          <w:tcPr>
            <w:tcW w:w="1710" w:type="dxa"/>
            <w:shd w:val="clear" w:color="auto" w:fill="auto"/>
          </w:tcPr>
          <w:p w14:paraId="0BEAB072" w14:textId="7D0AC73F" w:rsidR="00060386" w:rsidRPr="00BA0123" w:rsidRDefault="00F43D5A" w:rsidP="00C659AE">
            <w:pPr>
              <w:pStyle w:val="BMSTableText"/>
              <w:keepNext/>
              <w:rPr>
                <w:color w:val="000000" w:themeColor="text1"/>
              </w:rPr>
            </w:pPr>
            <w:r>
              <w:rPr>
                <w:color w:val="000000" w:themeColor="text1"/>
              </w:rPr>
              <w:t xml:space="preserve">364 </w:t>
            </w:r>
            <w:r w:rsidR="00060386" w:rsidRPr="00BA0123">
              <w:rPr>
                <w:color w:val="000000" w:themeColor="text1"/>
              </w:rPr>
              <w:t xml:space="preserve"> (</w:t>
            </w:r>
            <w:r>
              <w:rPr>
                <w:color w:val="000000" w:themeColor="text1"/>
              </w:rPr>
              <w:t>14.5</w:t>
            </w:r>
            <w:r w:rsidR="00060386" w:rsidRPr="00BA0123">
              <w:rPr>
                <w:color w:val="000000" w:themeColor="text1"/>
              </w:rPr>
              <w:t>)</w:t>
            </w:r>
          </w:p>
        </w:tc>
        <w:tc>
          <w:tcPr>
            <w:tcW w:w="1260" w:type="dxa"/>
            <w:tcBorders>
              <w:right w:val="single" w:sz="4" w:space="0" w:color="auto"/>
            </w:tcBorders>
            <w:shd w:val="clear" w:color="auto" w:fill="auto"/>
          </w:tcPr>
          <w:p w14:paraId="457FAE66" w14:textId="607BA5D4" w:rsidR="00060386" w:rsidRPr="00BA0123" w:rsidRDefault="00B75C65" w:rsidP="00C659AE">
            <w:pPr>
              <w:pStyle w:val="BMSTableText"/>
              <w:keepNext/>
              <w:rPr>
                <w:color w:val="000000" w:themeColor="text1"/>
              </w:rPr>
            </w:pPr>
            <w:r>
              <w:rPr>
                <w:color w:val="000000" w:themeColor="text1"/>
              </w:rPr>
              <w:t>24</w:t>
            </w:r>
            <w:r w:rsidR="00060386" w:rsidRPr="00BA0123">
              <w:rPr>
                <w:color w:val="000000" w:themeColor="text1"/>
              </w:rPr>
              <w:t xml:space="preserve"> (</w:t>
            </w:r>
            <w:r>
              <w:rPr>
                <w:color w:val="000000" w:themeColor="text1"/>
              </w:rPr>
              <w:t>1.0</w:t>
            </w:r>
            <w:r w:rsidR="00060386" w:rsidRPr="00BA0123">
              <w:rPr>
                <w:color w:val="000000" w:themeColor="text1"/>
              </w:rPr>
              <w:t>)</w:t>
            </w:r>
          </w:p>
        </w:tc>
        <w:tc>
          <w:tcPr>
            <w:tcW w:w="810" w:type="dxa"/>
            <w:tcBorders>
              <w:left w:val="single" w:sz="4" w:space="0" w:color="auto"/>
            </w:tcBorders>
            <w:shd w:val="clear" w:color="auto" w:fill="auto"/>
          </w:tcPr>
          <w:p w14:paraId="4E52669B" w14:textId="77777777" w:rsidR="00060386" w:rsidRPr="00BA0123" w:rsidRDefault="00060386" w:rsidP="00C659AE">
            <w:pPr>
              <w:pStyle w:val="BMSTableText"/>
              <w:keepNext/>
              <w:rPr>
                <w:color w:val="000000" w:themeColor="text1"/>
              </w:rPr>
            </w:pPr>
            <w:r w:rsidRPr="00BA0123">
              <w:rPr>
                <w:color w:val="000000" w:themeColor="text1"/>
              </w:rPr>
              <w:t>422</w:t>
            </w:r>
          </w:p>
        </w:tc>
        <w:tc>
          <w:tcPr>
            <w:tcW w:w="1080" w:type="dxa"/>
            <w:shd w:val="clear" w:color="auto" w:fill="auto"/>
          </w:tcPr>
          <w:p w14:paraId="4A372332" w14:textId="77777777" w:rsidR="00060386" w:rsidRPr="00BA0123" w:rsidRDefault="00060386" w:rsidP="00C659AE">
            <w:pPr>
              <w:pStyle w:val="BMSTableText"/>
              <w:keepNext/>
              <w:rPr>
                <w:color w:val="000000" w:themeColor="text1"/>
              </w:rPr>
            </w:pPr>
            <w:r w:rsidRPr="00BA0123">
              <w:rPr>
                <w:color w:val="000000" w:themeColor="text1"/>
              </w:rPr>
              <w:t>47 (11.1)</w:t>
            </w:r>
          </w:p>
        </w:tc>
        <w:tc>
          <w:tcPr>
            <w:tcW w:w="1170" w:type="dxa"/>
            <w:shd w:val="clear" w:color="auto" w:fill="auto"/>
          </w:tcPr>
          <w:p w14:paraId="404E1BAB" w14:textId="77777777" w:rsidR="00060386" w:rsidRPr="00BA0123" w:rsidRDefault="00060386" w:rsidP="00C659AE">
            <w:pPr>
              <w:pStyle w:val="BMSTableText"/>
              <w:keepNext/>
              <w:rPr>
                <w:color w:val="000000" w:themeColor="text1"/>
              </w:rPr>
            </w:pPr>
            <w:r w:rsidRPr="00BA0123">
              <w:rPr>
                <w:color w:val="000000" w:themeColor="text1"/>
              </w:rPr>
              <w:t>5 (1.2)</w:t>
            </w:r>
          </w:p>
        </w:tc>
      </w:tr>
      <w:tr w:rsidR="00060386" w:rsidRPr="00CB4B99" w14:paraId="6EB5E974" w14:textId="77777777" w:rsidTr="00C659AE">
        <w:tc>
          <w:tcPr>
            <w:tcW w:w="2268" w:type="dxa"/>
            <w:shd w:val="clear" w:color="auto" w:fill="auto"/>
          </w:tcPr>
          <w:p w14:paraId="776CF92E" w14:textId="77777777" w:rsidR="00060386" w:rsidRPr="00BA0123" w:rsidRDefault="00060386" w:rsidP="00C659AE">
            <w:pPr>
              <w:pStyle w:val="BMSTableText"/>
              <w:keepNext/>
              <w:jc w:val="left"/>
              <w:rPr>
                <w:color w:val="000000" w:themeColor="text1"/>
              </w:rPr>
            </w:pPr>
            <w:r w:rsidRPr="00BA0123">
              <w:rPr>
                <w:color w:val="000000" w:themeColor="text1"/>
              </w:rPr>
              <w:t>Leukopenia</w:t>
            </w:r>
          </w:p>
        </w:tc>
        <w:tc>
          <w:tcPr>
            <w:tcW w:w="1080" w:type="dxa"/>
            <w:shd w:val="clear" w:color="auto" w:fill="auto"/>
          </w:tcPr>
          <w:p w14:paraId="2AA040E4" w14:textId="0295982D" w:rsidR="00060386" w:rsidRPr="00BA0123" w:rsidRDefault="00810147" w:rsidP="00C659AE">
            <w:pPr>
              <w:pStyle w:val="BMSTableText"/>
              <w:keepNext/>
              <w:rPr>
                <w:color w:val="000000" w:themeColor="text1"/>
              </w:rPr>
            </w:pPr>
            <w:r>
              <w:rPr>
                <w:color w:val="000000" w:themeColor="text1"/>
              </w:rPr>
              <w:t>2519</w:t>
            </w:r>
          </w:p>
        </w:tc>
        <w:tc>
          <w:tcPr>
            <w:tcW w:w="1710" w:type="dxa"/>
            <w:shd w:val="clear" w:color="auto" w:fill="auto"/>
          </w:tcPr>
          <w:p w14:paraId="60E622F3" w14:textId="346418B1" w:rsidR="00060386" w:rsidRPr="00BA0123" w:rsidRDefault="00F43D5A" w:rsidP="00C659AE">
            <w:pPr>
              <w:pStyle w:val="BMSTableText"/>
              <w:keepNext/>
              <w:rPr>
                <w:color w:val="000000" w:themeColor="text1"/>
              </w:rPr>
            </w:pPr>
            <w:r>
              <w:rPr>
                <w:color w:val="000000" w:themeColor="text1"/>
              </w:rPr>
              <w:t>390</w:t>
            </w:r>
            <w:r w:rsidR="00060386" w:rsidRPr="00BA0123">
              <w:rPr>
                <w:color w:val="000000" w:themeColor="text1"/>
              </w:rPr>
              <w:t xml:space="preserve"> (</w:t>
            </w:r>
            <w:r>
              <w:rPr>
                <w:color w:val="000000" w:themeColor="text1"/>
              </w:rPr>
              <w:t>15.5</w:t>
            </w:r>
            <w:r w:rsidR="00060386" w:rsidRPr="00BA0123">
              <w:rPr>
                <w:color w:val="000000" w:themeColor="text1"/>
              </w:rPr>
              <w:t>)</w:t>
            </w:r>
          </w:p>
        </w:tc>
        <w:tc>
          <w:tcPr>
            <w:tcW w:w="1260" w:type="dxa"/>
            <w:tcBorders>
              <w:right w:val="single" w:sz="4" w:space="0" w:color="auto"/>
            </w:tcBorders>
            <w:shd w:val="clear" w:color="auto" w:fill="auto"/>
          </w:tcPr>
          <w:p w14:paraId="77D79FFD" w14:textId="7F140062" w:rsidR="00060386" w:rsidRPr="00BA0123" w:rsidRDefault="00B75C65" w:rsidP="00C659AE">
            <w:pPr>
              <w:pStyle w:val="BMSTableText"/>
              <w:keepNext/>
              <w:rPr>
                <w:color w:val="000000" w:themeColor="text1"/>
              </w:rPr>
            </w:pPr>
            <w:r>
              <w:rPr>
                <w:color w:val="000000" w:themeColor="text1"/>
              </w:rPr>
              <w:t>25</w:t>
            </w:r>
            <w:r w:rsidR="00060386" w:rsidRPr="00BA0123">
              <w:rPr>
                <w:color w:val="000000" w:themeColor="text1"/>
              </w:rPr>
              <w:t xml:space="preserve"> (1.0)</w:t>
            </w:r>
          </w:p>
        </w:tc>
        <w:tc>
          <w:tcPr>
            <w:tcW w:w="810" w:type="dxa"/>
            <w:tcBorders>
              <w:left w:val="single" w:sz="4" w:space="0" w:color="auto"/>
            </w:tcBorders>
            <w:shd w:val="clear" w:color="auto" w:fill="auto"/>
          </w:tcPr>
          <w:p w14:paraId="26219357" w14:textId="77777777" w:rsidR="00060386" w:rsidRPr="00BA0123" w:rsidRDefault="00060386" w:rsidP="00C659AE">
            <w:pPr>
              <w:pStyle w:val="BMSTableText"/>
              <w:keepNext/>
              <w:rPr>
                <w:color w:val="000000" w:themeColor="text1"/>
              </w:rPr>
            </w:pPr>
            <w:r w:rsidRPr="00BA0123">
              <w:rPr>
                <w:color w:val="000000" w:themeColor="text1"/>
              </w:rPr>
              <w:t>426</w:t>
            </w:r>
          </w:p>
        </w:tc>
        <w:tc>
          <w:tcPr>
            <w:tcW w:w="1080" w:type="dxa"/>
            <w:shd w:val="clear" w:color="auto" w:fill="auto"/>
          </w:tcPr>
          <w:p w14:paraId="711E2FC4" w14:textId="77777777" w:rsidR="00060386" w:rsidRPr="00BA0123" w:rsidRDefault="00060386" w:rsidP="00C659AE">
            <w:pPr>
              <w:pStyle w:val="BMSTableText"/>
              <w:keepNext/>
              <w:rPr>
                <w:color w:val="000000" w:themeColor="text1"/>
              </w:rPr>
            </w:pPr>
            <w:r w:rsidRPr="00BA0123">
              <w:rPr>
                <w:color w:val="000000" w:themeColor="text1"/>
              </w:rPr>
              <w:t>56 (13.1)</w:t>
            </w:r>
          </w:p>
        </w:tc>
        <w:tc>
          <w:tcPr>
            <w:tcW w:w="1170" w:type="dxa"/>
            <w:shd w:val="clear" w:color="auto" w:fill="auto"/>
          </w:tcPr>
          <w:p w14:paraId="2E1B7721" w14:textId="77777777" w:rsidR="00060386" w:rsidRPr="00BA0123" w:rsidRDefault="00060386" w:rsidP="00C659AE">
            <w:pPr>
              <w:pStyle w:val="BMSTableText"/>
              <w:keepNext/>
              <w:rPr>
                <w:color w:val="000000" w:themeColor="text1"/>
              </w:rPr>
            </w:pPr>
            <w:r w:rsidRPr="00BA0123">
              <w:rPr>
                <w:color w:val="000000" w:themeColor="text1"/>
              </w:rPr>
              <w:t>2 (0.5)</w:t>
            </w:r>
          </w:p>
        </w:tc>
      </w:tr>
      <w:tr w:rsidR="00060386" w:rsidRPr="00CB4B99" w14:paraId="57E58F76" w14:textId="77777777" w:rsidTr="00C659AE">
        <w:tc>
          <w:tcPr>
            <w:tcW w:w="2268" w:type="dxa"/>
            <w:shd w:val="clear" w:color="auto" w:fill="auto"/>
          </w:tcPr>
          <w:p w14:paraId="53C9F762" w14:textId="77777777" w:rsidR="00060386" w:rsidRPr="00BA0123" w:rsidRDefault="00060386" w:rsidP="00C659AE">
            <w:pPr>
              <w:pStyle w:val="BMSTableText"/>
              <w:keepNext/>
              <w:jc w:val="left"/>
              <w:rPr>
                <w:color w:val="000000" w:themeColor="text1"/>
              </w:rPr>
            </w:pPr>
            <w:r w:rsidRPr="00BA0123">
              <w:rPr>
                <w:color w:val="000000" w:themeColor="text1"/>
              </w:rPr>
              <w:t>Lymphopenia</w:t>
            </w:r>
          </w:p>
        </w:tc>
        <w:tc>
          <w:tcPr>
            <w:tcW w:w="1080" w:type="dxa"/>
            <w:shd w:val="clear" w:color="auto" w:fill="auto"/>
          </w:tcPr>
          <w:p w14:paraId="06244857" w14:textId="3D5FB7BF" w:rsidR="00060386" w:rsidRPr="00BA0123" w:rsidRDefault="00810147" w:rsidP="00C659AE">
            <w:pPr>
              <w:pStyle w:val="BMSTableText"/>
              <w:keepNext/>
              <w:rPr>
                <w:color w:val="000000" w:themeColor="text1"/>
              </w:rPr>
            </w:pPr>
            <w:r>
              <w:rPr>
                <w:color w:val="000000" w:themeColor="text1"/>
              </w:rPr>
              <w:t>2499</w:t>
            </w:r>
          </w:p>
        </w:tc>
        <w:tc>
          <w:tcPr>
            <w:tcW w:w="1710" w:type="dxa"/>
            <w:shd w:val="clear" w:color="auto" w:fill="auto"/>
          </w:tcPr>
          <w:p w14:paraId="38F7EE00" w14:textId="049D63E7" w:rsidR="00060386" w:rsidRPr="00BA0123" w:rsidRDefault="00F43D5A" w:rsidP="00C659AE">
            <w:pPr>
              <w:pStyle w:val="BMSTableText"/>
              <w:keepNext/>
              <w:rPr>
                <w:color w:val="000000" w:themeColor="text1"/>
              </w:rPr>
            </w:pPr>
            <w:r>
              <w:rPr>
                <w:color w:val="000000" w:themeColor="text1"/>
              </w:rPr>
              <w:t>1063</w:t>
            </w:r>
            <w:r w:rsidR="00060386" w:rsidRPr="00BA0123">
              <w:rPr>
                <w:color w:val="000000" w:themeColor="text1"/>
              </w:rPr>
              <w:t xml:space="preserve"> (</w:t>
            </w:r>
            <w:r>
              <w:rPr>
                <w:color w:val="000000" w:themeColor="text1"/>
              </w:rPr>
              <w:t>42.5</w:t>
            </w:r>
            <w:r w:rsidR="00060386" w:rsidRPr="00BA0123">
              <w:rPr>
                <w:color w:val="000000" w:themeColor="text1"/>
              </w:rPr>
              <w:t>)</w:t>
            </w:r>
          </w:p>
        </w:tc>
        <w:tc>
          <w:tcPr>
            <w:tcW w:w="1260" w:type="dxa"/>
            <w:tcBorders>
              <w:right w:val="single" w:sz="4" w:space="0" w:color="auto"/>
            </w:tcBorders>
            <w:shd w:val="clear" w:color="auto" w:fill="auto"/>
          </w:tcPr>
          <w:p w14:paraId="1A7238EA" w14:textId="2DD43532" w:rsidR="00060386" w:rsidRPr="00BA0123" w:rsidRDefault="00B75C65" w:rsidP="00C659AE">
            <w:pPr>
              <w:pStyle w:val="BMSTableText"/>
              <w:keepNext/>
              <w:rPr>
                <w:color w:val="000000" w:themeColor="text1"/>
              </w:rPr>
            </w:pPr>
            <w:r>
              <w:rPr>
                <w:color w:val="000000" w:themeColor="text1"/>
              </w:rPr>
              <w:t>249</w:t>
            </w:r>
            <w:r w:rsidR="00060386" w:rsidRPr="00BA0123">
              <w:rPr>
                <w:color w:val="000000" w:themeColor="text1"/>
              </w:rPr>
              <w:t xml:space="preserve"> (</w:t>
            </w:r>
            <w:r>
              <w:rPr>
                <w:color w:val="000000" w:themeColor="text1"/>
              </w:rPr>
              <w:t>10.0</w:t>
            </w:r>
            <w:r w:rsidR="00060386" w:rsidRPr="00BA0123">
              <w:rPr>
                <w:color w:val="000000" w:themeColor="text1"/>
              </w:rPr>
              <w:t>)</w:t>
            </w:r>
          </w:p>
        </w:tc>
        <w:tc>
          <w:tcPr>
            <w:tcW w:w="810" w:type="dxa"/>
            <w:tcBorders>
              <w:left w:val="single" w:sz="4" w:space="0" w:color="auto"/>
            </w:tcBorders>
            <w:shd w:val="clear" w:color="auto" w:fill="auto"/>
          </w:tcPr>
          <w:p w14:paraId="2AFE245A" w14:textId="77777777" w:rsidR="00060386" w:rsidRPr="00BA0123" w:rsidRDefault="00060386" w:rsidP="00C659AE">
            <w:pPr>
              <w:pStyle w:val="BMSTableText"/>
              <w:keepNext/>
              <w:rPr>
                <w:color w:val="000000" w:themeColor="text1"/>
              </w:rPr>
            </w:pPr>
            <w:r w:rsidRPr="00BA0123">
              <w:rPr>
                <w:color w:val="000000" w:themeColor="text1"/>
              </w:rPr>
              <w:t>421</w:t>
            </w:r>
          </w:p>
        </w:tc>
        <w:tc>
          <w:tcPr>
            <w:tcW w:w="1080" w:type="dxa"/>
            <w:shd w:val="clear" w:color="auto" w:fill="auto"/>
          </w:tcPr>
          <w:p w14:paraId="72C56523" w14:textId="77777777" w:rsidR="00060386" w:rsidRPr="00BA0123" w:rsidRDefault="00060386" w:rsidP="00C659AE">
            <w:pPr>
              <w:pStyle w:val="BMSTableText"/>
              <w:keepNext/>
              <w:rPr>
                <w:color w:val="000000" w:themeColor="text1"/>
              </w:rPr>
            </w:pPr>
            <w:r w:rsidRPr="00BA0123">
              <w:rPr>
                <w:color w:val="000000" w:themeColor="text1"/>
              </w:rPr>
              <w:t>160 (38.0)</w:t>
            </w:r>
          </w:p>
        </w:tc>
        <w:tc>
          <w:tcPr>
            <w:tcW w:w="1170" w:type="dxa"/>
            <w:shd w:val="clear" w:color="auto" w:fill="auto"/>
          </w:tcPr>
          <w:p w14:paraId="19C5E4C1" w14:textId="77777777" w:rsidR="00060386" w:rsidRPr="00BA0123" w:rsidRDefault="00060386" w:rsidP="00C659AE">
            <w:pPr>
              <w:pStyle w:val="BMSTableText"/>
              <w:keepNext/>
              <w:rPr>
                <w:color w:val="000000" w:themeColor="text1"/>
              </w:rPr>
            </w:pPr>
            <w:r w:rsidRPr="00BA0123">
              <w:rPr>
                <w:color w:val="000000" w:themeColor="text1"/>
              </w:rPr>
              <w:t>27 (6.4)</w:t>
            </w:r>
          </w:p>
        </w:tc>
      </w:tr>
      <w:tr w:rsidR="00060386" w:rsidRPr="00CB4B99" w14:paraId="31A91B63" w14:textId="77777777" w:rsidTr="00C659AE">
        <w:tc>
          <w:tcPr>
            <w:tcW w:w="2268" w:type="dxa"/>
            <w:shd w:val="clear" w:color="auto" w:fill="auto"/>
          </w:tcPr>
          <w:p w14:paraId="1CBD896C" w14:textId="77777777" w:rsidR="00060386" w:rsidRPr="00BA0123" w:rsidRDefault="00060386" w:rsidP="00C659AE">
            <w:pPr>
              <w:pStyle w:val="BMSTableText"/>
              <w:keepNext/>
              <w:jc w:val="left"/>
              <w:rPr>
                <w:color w:val="000000" w:themeColor="text1"/>
              </w:rPr>
            </w:pPr>
            <w:r w:rsidRPr="00BA0123">
              <w:rPr>
                <w:color w:val="000000" w:themeColor="text1"/>
              </w:rPr>
              <w:t xml:space="preserve">Neutropenia </w:t>
            </w:r>
          </w:p>
        </w:tc>
        <w:tc>
          <w:tcPr>
            <w:tcW w:w="1080" w:type="dxa"/>
            <w:shd w:val="clear" w:color="auto" w:fill="auto"/>
          </w:tcPr>
          <w:p w14:paraId="2E4DA8C3" w14:textId="41098A2B" w:rsidR="00060386" w:rsidRPr="00BA0123" w:rsidRDefault="00810147" w:rsidP="00C659AE">
            <w:pPr>
              <w:pStyle w:val="BMSTableText"/>
              <w:keepNext/>
              <w:rPr>
                <w:color w:val="000000" w:themeColor="text1"/>
              </w:rPr>
            </w:pPr>
            <w:r>
              <w:rPr>
                <w:color w:val="000000" w:themeColor="text1"/>
              </w:rPr>
              <w:t>2501</w:t>
            </w:r>
          </w:p>
        </w:tc>
        <w:tc>
          <w:tcPr>
            <w:tcW w:w="1710" w:type="dxa"/>
            <w:shd w:val="clear" w:color="auto" w:fill="auto"/>
          </w:tcPr>
          <w:p w14:paraId="745000FA" w14:textId="5E9C854E" w:rsidR="00060386" w:rsidRPr="00BA0123" w:rsidRDefault="00F43D5A" w:rsidP="00C659AE">
            <w:pPr>
              <w:pStyle w:val="BMSTableText"/>
              <w:keepNext/>
              <w:rPr>
                <w:color w:val="000000" w:themeColor="text1"/>
              </w:rPr>
            </w:pPr>
            <w:r>
              <w:rPr>
                <w:color w:val="000000" w:themeColor="text1"/>
              </w:rPr>
              <w:t>312</w:t>
            </w:r>
            <w:r w:rsidR="00060386" w:rsidRPr="00BA0123">
              <w:rPr>
                <w:color w:val="000000" w:themeColor="text1"/>
              </w:rPr>
              <w:t xml:space="preserve"> (</w:t>
            </w:r>
            <w:r>
              <w:rPr>
                <w:color w:val="000000" w:themeColor="text1"/>
              </w:rPr>
              <w:t>12.5</w:t>
            </w:r>
            <w:r w:rsidR="00060386" w:rsidRPr="00BA0123">
              <w:rPr>
                <w:color w:val="000000" w:themeColor="text1"/>
              </w:rPr>
              <w:t>)</w:t>
            </w:r>
          </w:p>
        </w:tc>
        <w:tc>
          <w:tcPr>
            <w:tcW w:w="1260" w:type="dxa"/>
            <w:tcBorders>
              <w:right w:val="single" w:sz="4" w:space="0" w:color="auto"/>
            </w:tcBorders>
            <w:shd w:val="clear" w:color="auto" w:fill="auto"/>
          </w:tcPr>
          <w:p w14:paraId="3C42633E" w14:textId="2DF30C74" w:rsidR="00060386" w:rsidRPr="00BA0123" w:rsidRDefault="00B75C65" w:rsidP="00C659AE">
            <w:pPr>
              <w:pStyle w:val="BMSTableText"/>
              <w:keepNext/>
              <w:rPr>
                <w:color w:val="000000" w:themeColor="text1"/>
              </w:rPr>
            </w:pPr>
            <w:r>
              <w:rPr>
                <w:color w:val="000000" w:themeColor="text1"/>
              </w:rPr>
              <w:t>27</w:t>
            </w:r>
            <w:r w:rsidR="00060386" w:rsidRPr="00BA0123">
              <w:rPr>
                <w:color w:val="000000" w:themeColor="text1"/>
              </w:rPr>
              <w:t xml:space="preserve"> (</w:t>
            </w:r>
            <w:r>
              <w:rPr>
                <w:color w:val="000000" w:themeColor="text1"/>
              </w:rPr>
              <w:t>1.1</w:t>
            </w:r>
            <w:r w:rsidR="00060386" w:rsidRPr="00BA0123">
              <w:rPr>
                <w:color w:val="000000" w:themeColor="text1"/>
              </w:rPr>
              <w:t>)</w:t>
            </w:r>
          </w:p>
        </w:tc>
        <w:tc>
          <w:tcPr>
            <w:tcW w:w="810" w:type="dxa"/>
            <w:tcBorders>
              <w:left w:val="single" w:sz="4" w:space="0" w:color="auto"/>
            </w:tcBorders>
            <w:shd w:val="clear" w:color="auto" w:fill="auto"/>
          </w:tcPr>
          <w:p w14:paraId="59E61511" w14:textId="77777777" w:rsidR="00060386" w:rsidRPr="00BA0123" w:rsidRDefault="00060386" w:rsidP="00C659AE">
            <w:pPr>
              <w:pStyle w:val="BMSTableText"/>
              <w:keepNext/>
              <w:rPr>
                <w:color w:val="000000" w:themeColor="text1"/>
              </w:rPr>
            </w:pPr>
            <w:r w:rsidRPr="00BA0123">
              <w:rPr>
                <w:color w:val="000000" w:themeColor="text1"/>
              </w:rPr>
              <w:t>423</w:t>
            </w:r>
          </w:p>
        </w:tc>
        <w:tc>
          <w:tcPr>
            <w:tcW w:w="1080" w:type="dxa"/>
            <w:shd w:val="clear" w:color="auto" w:fill="auto"/>
          </w:tcPr>
          <w:p w14:paraId="6AC31B51" w14:textId="77777777" w:rsidR="00060386" w:rsidRPr="00BA0123" w:rsidRDefault="00060386" w:rsidP="00C659AE">
            <w:pPr>
              <w:pStyle w:val="BMSTableText"/>
              <w:keepNext/>
              <w:rPr>
                <w:color w:val="000000" w:themeColor="text1"/>
              </w:rPr>
            </w:pPr>
            <w:r w:rsidRPr="00BA0123">
              <w:rPr>
                <w:color w:val="000000" w:themeColor="text1"/>
              </w:rPr>
              <w:t>58 (13.7)</w:t>
            </w:r>
          </w:p>
        </w:tc>
        <w:tc>
          <w:tcPr>
            <w:tcW w:w="1170" w:type="dxa"/>
            <w:shd w:val="clear" w:color="auto" w:fill="auto"/>
          </w:tcPr>
          <w:p w14:paraId="59FBF314" w14:textId="77777777" w:rsidR="00060386" w:rsidRPr="00BA0123" w:rsidRDefault="00060386" w:rsidP="00C659AE">
            <w:pPr>
              <w:pStyle w:val="BMSTableText"/>
              <w:keepNext/>
              <w:rPr>
                <w:color w:val="000000" w:themeColor="text1"/>
              </w:rPr>
            </w:pPr>
            <w:r w:rsidRPr="00BA0123">
              <w:rPr>
                <w:color w:val="000000" w:themeColor="text1"/>
              </w:rPr>
              <w:t>3 (0.7)</w:t>
            </w:r>
          </w:p>
        </w:tc>
      </w:tr>
      <w:tr w:rsidR="00060386" w:rsidRPr="00CB4B99" w14:paraId="4C053024" w14:textId="77777777" w:rsidTr="00C659AE">
        <w:tc>
          <w:tcPr>
            <w:tcW w:w="2268" w:type="dxa"/>
            <w:shd w:val="clear" w:color="auto" w:fill="auto"/>
          </w:tcPr>
          <w:p w14:paraId="3F8C65A1" w14:textId="77777777" w:rsidR="00060386" w:rsidRPr="00BA0123" w:rsidRDefault="00060386" w:rsidP="00C659AE">
            <w:pPr>
              <w:pStyle w:val="BMSTableText"/>
              <w:keepNext/>
              <w:jc w:val="left"/>
              <w:rPr>
                <w:color w:val="000000" w:themeColor="text1"/>
              </w:rPr>
            </w:pPr>
            <w:r w:rsidRPr="00BA0123">
              <w:rPr>
                <w:color w:val="000000" w:themeColor="text1"/>
              </w:rPr>
              <w:t>Increased alkaline phosphatase</w:t>
            </w:r>
          </w:p>
        </w:tc>
        <w:tc>
          <w:tcPr>
            <w:tcW w:w="1080" w:type="dxa"/>
            <w:shd w:val="clear" w:color="auto" w:fill="auto"/>
          </w:tcPr>
          <w:p w14:paraId="0823A1F7" w14:textId="60319774" w:rsidR="00060386" w:rsidRPr="00BA0123" w:rsidRDefault="00810147" w:rsidP="00C659AE">
            <w:pPr>
              <w:pStyle w:val="BMSTableText"/>
              <w:keepNext/>
              <w:rPr>
                <w:color w:val="000000" w:themeColor="text1"/>
              </w:rPr>
            </w:pPr>
            <w:r>
              <w:rPr>
                <w:color w:val="000000" w:themeColor="text1"/>
              </w:rPr>
              <w:t>2491</w:t>
            </w:r>
          </w:p>
        </w:tc>
        <w:tc>
          <w:tcPr>
            <w:tcW w:w="1710" w:type="dxa"/>
            <w:shd w:val="clear" w:color="auto" w:fill="auto"/>
          </w:tcPr>
          <w:p w14:paraId="5A09375A" w14:textId="41514AB7" w:rsidR="00060386" w:rsidRPr="00BA0123" w:rsidRDefault="00F43D5A" w:rsidP="00C659AE">
            <w:pPr>
              <w:pStyle w:val="BMSTableText"/>
              <w:keepNext/>
              <w:rPr>
                <w:color w:val="000000" w:themeColor="text1"/>
              </w:rPr>
            </w:pPr>
            <w:r>
              <w:rPr>
                <w:color w:val="000000" w:themeColor="text1"/>
              </w:rPr>
              <w:t xml:space="preserve">648 </w:t>
            </w:r>
            <w:r w:rsidR="00060386" w:rsidRPr="00BA0123">
              <w:rPr>
                <w:color w:val="000000" w:themeColor="text1"/>
              </w:rPr>
              <w:t xml:space="preserve"> (</w:t>
            </w:r>
            <w:r>
              <w:rPr>
                <w:color w:val="000000" w:themeColor="text1"/>
              </w:rPr>
              <w:t>26.0</w:t>
            </w:r>
            <w:r w:rsidR="00060386" w:rsidRPr="00BA0123">
              <w:rPr>
                <w:color w:val="000000" w:themeColor="text1"/>
              </w:rPr>
              <w:t>)</w:t>
            </w:r>
          </w:p>
        </w:tc>
        <w:tc>
          <w:tcPr>
            <w:tcW w:w="1260" w:type="dxa"/>
            <w:tcBorders>
              <w:right w:val="single" w:sz="4" w:space="0" w:color="auto"/>
            </w:tcBorders>
            <w:shd w:val="clear" w:color="auto" w:fill="auto"/>
          </w:tcPr>
          <w:p w14:paraId="2E9D617F" w14:textId="73717C08" w:rsidR="00060386" w:rsidRPr="00BA0123" w:rsidRDefault="00B75C65" w:rsidP="00C659AE">
            <w:pPr>
              <w:pStyle w:val="BMSTableText"/>
              <w:keepNext/>
              <w:rPr>
                <w:color w:val="000000" w:themeColor="text1"/>
              </w:rPr>
            </w:pPr>
            <w:r>
              <w:rPr>
                <w:color w:val="000000" w:themeColor="text1"/>
              </w:rPr>
              <w:t>53</w:t>
            </w:r>
            <w:r w:rsidR="00060386" w:rsidRPr="00BA0123">
              <w:rPr>
                <w:color w:val="000000" w:themeColor="text1"/>
              </w:rPr>
              <w:t xml:space="preserve"> (</w:t>
            </w:r>
            <w:r>
              <w:rPr>
                <w:color w:val="000000" w:themeColor="text1"/>
              </w:rPr>
              <w:t>2.1</w:t>
            </w:r>
            <w:r w:rsidR="00060386" w:rsidRPr="00BA0123">
              <w:rPr>
                <w:color w:val="000000" w:themeColor="text1"/>
              </w:rPr>
              <w:t>)</w:t>
            </w:r>
          </w:p>
        </w:tc>
        <w:tc>
          <w:tcPr>
            <w:tcW w:w="810" w:type="dxa"/>
            <w:tcBorders>
              <w:left w:val="single" w:sz="4" w:space="0" w:color="auto"/>
            </w:tcBorders>
            <w:shd w:val="clear" w:color="auto" w:fill="auto"/>
          </w:tcPr>
          <w:p w14:paraId="66B20AE5" w14:textId="77777777" w:rsidR="00060386" w:rsidRPr="00BA0123" w:rsidRDefault="00060386" w:rsidP="00C659AE">
            <w:pPr>
              <w:pStyle w:val="BMSTableText"/>
              <w:keepNext/>
              <w:rPr>
                <w:color w:val="000000" w:themeColor="text1"/>
              </w:rPr>
            </w:pPr>
            <w:r w:rsidRPr="00BA0123">
              <w:rPr>
                <w:color w:val="000000" w:themeColor="text1"/>
              </w:rPr>
              <w:t>418</w:t>
            </w:r>
          </w:p>
        </w:tc>
        <w:tc>
          <w:tcPr>
            <w:tcW w:w="1080" w:type="dxa"/>
            <w:shd w:val="clear" w:color="auto" w:fill="auto"/>
          </w:tcPr>
          <w:p w14:paraId="5758D126" w14:textId="77777777" w:rsidR="00060386" w:rsidRPr="00BA0123" w:rsidRDefault="00060386" w:rsidP="00C659AE">
            <w:pPr>
              <w:pStyle w:val="BMSTableText"/>
              <w:keepNext/>
              <w:rPr>
                <w:color w:val="000000" w:themeColor="text1"/>
              </w:rPr>
            </w:pPr>
            <w:r w:rsidRPr="00BA0123">
              <w:rPr>
                <w:color w:val="000000" w:themeColor="text1"/>
              </w:rPr>
              <w:t>155 (37.1)</w:t>
            </w:r>
          </w:p>
        </w:tc>
        <w:tc>
          <w:tcPr>
            <w:tcW w:w="1170" w:type="dxa"/>
            <w:shd w:val="clear" w:color="auto" w:fill="auto"/>
          </w:tcPr>
          <w:p w14:paraId="055C9678" w14:textId="77777777" w:rsidR="00060386" w:rsidRPr="00BA0123" w:rsidRDefault="00060386" w:rsidP="00C659AE">
            <w:pPr>
              <w:pStyle w:val="BMSTableText"/>
              <w:keepNext/>
              <w:rPr>
                <w:color w:val="000000" w:themeColor="text1"/>
              </w:rPr>
            </w:pPr>
            <w:r w:rsidRPr="00BA0123">
              <w:rPr>
                <w:color w:val="000000" w:themeColor="text1"/>
              </w:rPr>
              <w:t xml:space="preserve">17 (4.1) </w:t>
            </w:r>
          </w:p>
        </w:tc>
      </w:tr>
      <w:tr w:rsidR="00060386" w:rsidRPr="00CB4B99" w14:paraId="72E377A2" w14:textId="77777777" w:rsidTr="00C659AE">
        <w:tc>
          <w:tcPr>
            <w:tcW w:w="2268" w:type="dxa"/>
            <w:shd w:val="clear" w:color="auto" w:fill="auto"/>
          </w:tcPr>
          <w:p w14:paraId="7E14B7E8" w14:textId="77777777" w:rsidR="00060386" w:rsidRPr="00BA0123" w:rsidRDefault="00060386" w:rsidP="00C659AE">
            <w:pPr>
              <w:pStyle w:val="BMSTableText"/>
              <w:keepNext/>
              <w:jc w:val="left"/>
              <w:rPr>
                <w:color w:val="000000" w:themeColor="text1"/>
              </w:rPr>
            </w:pPr>
            <w:r w:rsidRPr="00BA0123">
              <w:rPr>
                <w:color w:val="000000" w:themeColor="text1"/>
              </w:rPr>
              <w:t xml:space="preserve">Increased AST </w:t>
            </w:r>
          </w:p>
        </w:tc>
        <w:tc>
          <w:tcPr>
            <w:tcW w:w="1080" w:type="dxa"/>
            <w:shd w:val="clear" w:color="auto" w:fill="auto"/>
          </w:tcPr>
          <w:p w14:paraId="7BE02F85" w14:textId="63B02807" w:rsidR="00060386" w:rsidRPr="00BA0123" w:rsidRDefault="00810147" w:rsidP="00C659AE">
            <w:pPr>
              <w:pStyle w:val="BMSTableText"/>
              <w:keepNext/>
              <w:rPr>
                <w:color w:val="000000" w:themeColor="text1"/>
              </w:rPr>
            </w:pPr>
            <w:r>
              <w:rPr>
                <w:color w:val="000000" w:themeColor="text1"/>
              </w:rPr>
              <w:t>2495</w:t>
            </w:r>
          </w:p>
        </w:tc>
        <w:tc>
          <w:tcPr>
            <w:tcW w:w="1710" w:type="dxa"/>
            <w:shd w:val="clear" w:color="auto" w:fill="auto"/>
          </w:tcPr>
          <w:p w14:paraId="628C056A" w14:textId="2EFD3F68" w:rsidR="00060386" w:rsidRPr="00BA0123" w:rsidRDefault="00F43D5A" w:rsidP="00C659AE">
            <w:pPr>
              <w:pStyle w:val="BMSTableText"/>
              <w:keepNext/>
              <w:rPr>
                <w:color w:val="000000" w:themeColor="text1"/>
              </w:rPr>
            </w:pPr>
            <w:r>
              <w:rPr>
                <w:color w:val="000000" w:themeColor="text1"/>
              </w:rPr>
              <w:t>693</w:t>
            </w:r>
            <w:r w:rsidR="00060386" w:rsidRPr="00BA0123">
              <w:rPr>
                <w:color w:val="000000" w:themeColor="text1"/>
              </w:rPr>
              <w:t xml:space="preserve"> (</w:t>
            </w:r>
            <w:r>
              <w:rPr>
                <w:color w:val="000000" w:themeColor="text1"/>
              </w:rPr>
              <w:t>27.8</w:t>
            </w:r>
            <w:r w:rsidR="00060386" w:rsidRPr="00BA0123">
              <w:rPr>
                <w:color w:val="000000" w:themeColor="text1"/>
              </w:rPr>
              <w:t>)</w:t>
            </w:r>
          </w:p>
        </w:tc>
        <w:tc>
          <w:tcPr>
            <w:tcW w:w="1260" w:type="dxa"/>
            <w:tcBorders>
              <w:right w:val="single" w:sz="4" w:space="0" w:color="auto"/>
            </w:tcBorders>
            <w:shd w:val="clear" w:color="auto" w:fill="auto"/>
          </w:tcPr>
          <w:p w14:paraId="30B89657" w14:textId="07EB0ADB" w:rsidR="00060386" w:rsidRPr="00BA0123" w:rsidRDefault="00B75C65" w:rsidP="00C659AE">
            <w:pPr>
              <w:pStyle w:val="BMSTableText"/>
              <w:keepNext/>
              <w:rPr>
                <w:color w:val="000000" w:themeColor="text1"/>
              </w:rPr>
            </w:pPr>
            <w:r>
              <w:rPr>
                <w:color w:val="000000" w:themeColor="text1"/>
              </w:rPr>
              <w:t xml:space="preserve">67 </w:t>
            </w:r>
            <w:r w:rsidR="00060386" w:rsidRPr="00BA0123">
              <w:rPr>
                <w:color w:val="000000" w:themeColor="text1"/>
              </w:rPr>
              <w:t xml:space="preserve"> (</w:t>
            </w:r>
            <w:r w:rsidR="000048EC">
              <w:rPr>
                <w:color w:val="000000" w:themeColor="text1"/>
              </w:rPr>
              <w:t>2.7</w:t>
            </w:r>
            <w:r w:rsidR="00060386" w:rsidRPr="00BA0123">
              <w:rPr>
                <w:color w:val="000000" w:themeColor="text1"/>
              </w:rPr>
              <w:t>)</w:t>
            </w:r>
          </w:p>
        </w:tc>
        <w:tc>
          <w:tcPr>
            <w:tcW w:w="810" w:type="dxa"/>
            <w:tcBorders>
              <w:left w:val="single" w:sz="4" w:space="0" w:color="auto"/>
            </w:tcBorders>
            <w:shd w:val="clear" w:color="auto" w:fill="auto"/>
          </w:tcPr>
          <w:p w14:paraId="346C517C" w14:textId="77777777" w:rsidR="00060386" w:rsidRPr="00BA0123" w:rsidRDefault="00060386" w:rsidP="00C659AE">
            <w:pPr>
              <w:pStyle w:val="BMSTableText"/>
              <w:keepNext/>
              <w:rPr>
                <w:color w:val="000000" w:themeColor="text1"/>
              </w:rPr>
            </w:pPr>
            <w:r w:rsidRPr="00BA0123">
              <w:rPr>
                <w:color w:val="000000" w:themeColor="text1"/>
              </w:rPr>
              <w:t>420</w:t>
            </w:r>
          </w:p>
        </w:tc>
        <w:tc>
          <w:tcPr>
            <w:tcW w:w="1080" w:type="dxa"/>
            <w:shd w:val="clear" w:color="auto" w:fill="auto"/>
          </w:tcPr>
          <w:p w14:paraId="3A7EDFA2" w14:textId="77777777" w:rsidR="00060386" w:rsidRPr="00BA0123" w:rsidRDefault="00060386" w:rsidP="00C659AE">
            <w:pPr>
              <w:pStyle w:val="BMSTableText"/>
              <w:keepNext/>
              <w:rPr>
                <w:color w:val="000000" w:themeColor="text1"/>
              </w:rPr>
            </w:pPr>
            <w:r w:rsidRPr="00BA0123">
              <w:rPr>
                <w:color w:val="000000" w:themeColor="text1"/>
              </w:rPr>
              <w:t>192 (45.7)</w:t>
            </w:r>
          </w:p>
        </w:tc>
        <w:tc>
          <w:tcPr>
            <w:tcW w:w="1170" w:type="dxa"/>
            <w:shd w:val="clear" w:color="auto" w:fill="auto"/>
          </w:tcPr>
          <w:p w14:paraId="30561EAC" w14:textId="77777777" w:rsidR="00060386" w:rsidRPr="00BA0123" w:rsidRDefault="00060386" w:rsidP="00C659AE">
            <w:pPr>
              <w:pStyle w:val="BMSTableText"/>
              <w:keepNext/>
              <w:rPr>
                <w:color w:val="000000" w:themeColor="text1"/>
              </w:rPr>
            </w:pPr>
            <w:r w:rsidRPr="00BA0123">
              <w:rPr>
                <w:color w:val="000000" w:themeColor="text1"/>
              </w:rPr>
              <w:t>50 (11.9)</w:t>
            </w:r>
          </w:p>
        </w:tc>
      </w:tr>
      <w:tr w:rsidR="00060386" w:rsidRPr="00CB4B99" w14:paraId="212B5914" w14:textId="77777777" w:rsidTr="00C659AE">
        <w:tc>
          <w:tcPr>
            <w:tcW w:w="2268" w:type="dxa"/>
            <w:shd w:val="clear" w:color="auto" w:fill="auto"/>
          </w:tcPr>
          <w:p w14:paraId="1B71892D" w14:textId="77777777" w:rsidR="00060386" w:rsidRPr="00BA0123" w:rsidRDefault="00060386" w:rsidP="00C659AE">
            <w:pPr>
              <w:pStyle w:val="BMSTableText"/>
              <w:keepNext/>
              <w:jc w:val="left"/>
              <w:rPr>
                <w:color w:val="000000" w:themeColor="text1"/>
              </w:rPr>
            </w:pPr>
            <w:r w:rsidRPr="00BA0123">
              <w:rPr>
                <w:color w:val="000000" w:themeColor="text1"/>
              </w:rPr>
              <w:t xml:space="preserve">Increased ALT </w:t>
            </w:r>
          </w:p>
        </w:tc>
        <w:tc>
          <w:tcPr>
            <w:tcW w:w="1080" w:type="dxa"/>
            <w:shd w:val="clear" w:color="auto" w:fill="auto"/>
          </w:tcPr>
          <w:p w14:paraId="6DA8389F" w14:textId="5F0C1DE4" w:rsidR="00060386" w:rsidRPr="00BA0123" w:rsidRDefault="00810147" w:rsidP="00C659AE">
            <w:pPr>
              <w:pStyle w:val="BMSTableText"/>
              <w:keepNext/>
              <w:rPr>
                <w:color w:val="000000" w:themeColor="text1"/>
              </w:rPr>
            </w:pPr>
            <w:r>
              <w:rPr>
                <w:color w:val="000000" w:themeColor="text1"/>
              </w:rPr>
              <w:t>2503</w:t>
            </w:r>
          </w:p>
        </w:tc>
        <w:tc>
          <w:tcPr>
            <w:tcW w:w="1710" w:type="dxa"/>
            <w:shd w:val="clear" w:color="auto" w:fill="auto"/>
          </w:tcPr>
          <w:p w14:paraId="69910B38" w14:textId="2E596148" w:rsidR="00060386" w:rsidRPr="00BA0123" w:rsidRDefault="00F43D5A" w:rsidP="00C659AE">
            <w:pPr>
              <w:pStyle w:val="BMSTableText"/>
              <w:keepNext/>
              <w:rPr>
                <w:color w:val="000000" w:themeColor="text1"/>
              </w:rPr>
            </w:pPr>
            <w:r>
              <w:rPr>
                <w:color w:val="000000" w:themeColor="text1"/>
              </w:rPr>
              <w:t>551</w:t>
            </w:r>
            <w:r w:rsidR="00060386" w:rsidRPr="00BA0123">
              <w:rPr>
                <w:color w:val="000000" w:themeColor="text1"/>
              </w:rPr>
              <w:t xml:space="preserve"> (</w:t>
            </w:r>
            <w:r>
              <w:rPr>
                <w:color w:val="000000" w:themeColor="text1"/>
              </w:rPr>
              <w:t>22.0</w:t>
            </w:r>
            <w:r w:rsidR="00060386" w:rsidRPr="00BA0123">
              <w:rPr>
                <w:color w:val="000000" w:themeColor="text1"/>
              </w:rPr>
              <w:t>)</w:t>
            </w:r>
          </w:p>
        </w:tc>
        <w:tc>
          <w:tcPr>
            <w:tcW w:w="1260" w:type="dxa"/>
            <w:tcBorders>
              <w:right w:val="single" w:sz="4" w:space="0" w:color="auto"/>
            </w:tcBorders>
            <w:shd w:val="clear" w:color="auto" w:fill="auto"/>
          </w:tcPr>
          <w:p w14:paraId="7C684D10" w14:textId="35F5CE1D" w:rsidR="00060386" w:rsidRPr="00BA0123" w:rsidRDefault="000048EC" w:rsidP="00C659AE">
            <w:pPr>
              <w:pStyle w:val="BMSTableText"/>
              <w:keepNext/>
              <w:rPr>
                <w:color w:val="000000" w:themeColor="text1"/>
              </w:rPr>
            </w:pPr>
            <w:r>
              <w:rPr>
                <w:color w:val="000000" w:themeColor="text1"/>
              </w:rPr>
              <w:t>56</w:t>
            </w:r>
            <w:r w:rsidR="00060386" w:rsidRPr="00BA0123">
              <w:rPr>
                <w:color w:val="000000" w:themeColor="text1"/>
              </w:rPr>
              <w:t xml:space="preserve"> (2.2)</w:t>
            </w:r>
          </w:p>
        </w:tc>
        <w:tc>
          <w:tcPr>
            <w:tcW w:w="810" w:type="dxa"/>
            <w:tcBorders>
              <w:left w:val="single" w:sz="4" w:space="0" w:color="auto"/>
            </w:tcBorders>
            <w:shd w:val="clear" w:color="auto" w:fill="auto"/>
          </w:tcPr>
          <w:p w14:paraId="48616A54" w14:textId="77777777" w:rsidR="00060386" w:rsidRPr="00BA0123" w:rsidRDefault="00060386" w:rsidP="00C659AE">
            <w:pPr>
              <w:pStyle w:val="BMSTableText"/>
              <w:keepNext/>
              <w:rPr>
                <w:color w:val="000000" w:themeColor="text1"/>
              </w:rPr>
            </w:pPr>
            <w:r w:rsidRPr="00BA0123">
              <w:rPr>
                <w:color w:val="000000" w:themeColor="text1"/>
              </w:rPr>
              <w:t>425</w:t>
            </w:r>
          </w:p>
        </w:tc>
        <w:tc>
          <w:tcPr>
            <w:tcW w:w="1080" w:type="dxa"/>
            <w:shd w:val="clear" w:color="auto" w:fill="auto"/>
          </w:tcPr>
          <w:p w14:paraId="5C38FABF" w14:textId="77777777" w:rsidR="00060386" w:rsidRPr="00BA0123" w:rsidRDefault="00060386" w:rsidP="00C659AE">
            <w:pPr>
              <w:pStyle w:val="BMSTableText"/>
              <w:keepNext/>
              <w:rPr>
                <w:color w:val="000000" w:themeColor="text1"/>
              </w:rPr>
            </w:pPr>
            <w:r w:rsidRPr="00BA0123">
              <w:rPr>
                <w:color w:val="000000" w:themeColor="text1"/>
              </w:rPr>
              <w:t>219 (51.5)</w:t>
            </w:r>
          </w:p>
        </w:tc>
        <w:tc>
          <w:tcPr>
            <w:tcW w:w="1170" w:type="dxa"/>
            <w:shd w:val="clear" w:color="auto" w:fill="auto"/>
          </w:tcPr>
          <w:p w14:paraId="10F85040" w14:textId="77777777" w:rsidR="00060386" w:rsidRPr="00BA0123" w:rsidRDefault="00060386" w:rsidP="00C659AE">
            <w:pPr>
              <w:pStyle w:val="BMSTableText"/>
              <w:keepNext/>
              <w:rPr>
                <w:color w:val="000000" w:themeColor="text1"/>
              </w:rPr>
            </w:pPr>
            <w:r w:rsidRPr="00BA0123">
              <w:rPr>
                <w:color w:val="000000" w:themeColor="text1"/>
              </w:rPr>
              <w:t xml:space="preserve">62 (14.6) </w:t>
            </w:r>
          </w:p>
        </w:tc>
      </w:tr>
      <w:tr w:rsidR="00060386" w:rsidRPr="00CB4B99" w14:paraId="578A03D9" w14:textId="77777777" w:rsidTr="00C659AE">
        <w:tc>
          <w:tcPr>
            <w:tcW w:w="2268" w:type="dxa"/>
            <w:shd w:val="clear" w:color="auto" w:fill="auto"/>
          </w:tcPr>
          <w:p w14:paraId="17052617" w14:textId="77777777" w:rsidR="00060386" w:rsidRPr="00BA0123" w:rsidRDefault="00060386" w:rsidP="00C659AE">
            <w:pPr>
              <w:pStyle w:val="BMSTableText"/>
              <w:keepNext/>
              <w:jc w:val="left"/>
              <w:rPr>
                <w:color w:val="000000" w:themeColor="text1"/>
              </w:rPr>
            </w:pPr>
            <w:r w:rsidRPr="00BA0123">
              <w:rPr>
                <w:color w:val="000000" w:themeColor="text1"/>
              </w:rPr>
              <w:t xml:space="preserve">Increased total bilirubin </w:t>
            </w:r>
          </w:p>
        </w:tc>
        <w:tc>
          <w:tcPr>
            <w:tcW w:w="1080" w:type="dxa"/>
            <w:shd w:val="clear" w:color="auto" w:fill="auto"/>
          </w:tcPr>
          <w:p w14:paraId="3B930152" w14:textId="31F108E6" w:rsidR="00060386" w:rsidRPr="00BA0123" w:rsidRDefault="00810147" w:rsidP="00C659AE">
            <w:pPr>
              <w:pStyle w:val="BMSTableText"/>
              <w:keepNext/>
              <w:rPr>
                <w:color w:val="000000" w:themeColor="text1"/>
              </w:rPr>
            </w:pPr>
            <w:r>
              <w:rPr>
                <w:color w:val="000000" w:themeColor="text1"/>
              </w:rPr>
              <w:t>2500</w:t>
            </w:r>
          </w:p>
        </w:tc>
        <w:tc>
          <w:tcPr>
            <w:tcW w:w="1710" w:type="dxa"/>
            <w:shd w:val="clear" w:color="auto" w:fill="auto"/>
          </w:tcPr>
          <w:p w14:paraId="11A66CC6" w14:textId="22CFE57C" w:rsidR="00060386" w:rsidRPr="00BA0123" w:rsidRDefault="00F43D5A" w:rsidP="00C659AE">
            <w:pPr>
              <w:pStyle w:val="BMSTableText"/>
              <w:keepNext/>
              <w:rPr>
                <w:color w:val="000000" w:themeColor="text1"/>
              </w:rPr>
            </w:pPr>
            <w:r>
              <w:rPr>
                <w:color w:val="000000" w:themeColor="text1"/>
              </w:rPr>
              <w:t>223</w:t>
            </w:r>
            <w:r w:rsidR="00060386" w:rsidRPr="00BA0123">
              <w:rPr>
                <w:color w:val="000000" w:themeColor="text1"/>
              </w:rPr>
              <w:t xml:space="preserve"> (</w:t>
            </w:r>
            <w:r>
              <w:rPr>
                <w:color w:val="000000" w:themeColor="text1"/>
              </w:rPr>
              <w:t>8.9</w:t>
            </w:r>
            <w:r w:rsidR="00060386" w:rsidRPr="00BA0123">
              <w:rPr>
                <w:color w:val="000000" w:themeColor="text1"/>
              </w:rPr>
              <w:t>)</w:t>
            </w:r>
          </w:p>
        </w:tc>
        <w:tc>
          <w:tcPr>
            <w:tcW w:w="1260" w:type="dxa"/>
            <w:tcBorders>
              <w:right w:val="single" w:sz="4" w:space="0" w:color="auto"/>
            </w:tcBorders>
            <w:shd w:val="clear" w:color="auto" w:fill="auto"/>
          </w:tcPr>
          <w:p w14:paraId="38A7B46F" w14:textId="4AE0A8A8" w:rsidR="00060386" w:rsidRPr="00BA0123" w:rsidRDefault="000048EC" w:rsidP="00C659AE">
            <w:pPr>
              <w:pStyle w:val="BMSTableText"/>
              <w:keepNext/>
              <w:rPr>
                <w:color w:val="000000" w:themeColor="text1"/>
              </w:rPr>
            </w:pPr>
            <w:r>
              <w:rPr>
                <w:color w:val="000000" w:themeColor="text1"/>
              </w:rPr>
              <w:t xml:space="preserve">30 </w:t>
            </w:r>
            <w:r w:rsidR="00060386" w:rsidRPr="00BA0123">
              <w:rPr>
                <w:color w:val="000000" w:themeColor="text1"/>
              </w:rPr>
              <w:t xml:space="preserve"> (</w:t>
            </w:r>
            <w:r>
              <w:rPr>
                <w:color w:val="000000" w:themeColor="text1"/>
              </w:rPr>
              <w:t>1.2</w:t>
            </w:r>
            <w:r w:rsidR="00060386" w:rsidRPr="00BA0123">
              <w:rPr>
                <w:color w:val="000000" w:themeColor="text1"/>
              </w:rPr>
              <w:t>)</w:t>
            </w:r>
          </w:p>
        </w:tc>
        <w:tc>
          <w:tcPr>
            <w:tcW w:w="810" w:type="dxa"/>
            <w:tcBorders>
              <w:left w:val="single" w:sz="4" w:space="0" w:color="auto"/>
            </w:tcBorders>
            <w:shd w:val="clear" w:color="auto" w:fill="auto"/>
          </w:tcPr>
          <w:p w14:paraId="14C1CB43" w14:textId="77777777" w:rsidR="00060386" w:rsidRPr="00BA0123" w:rsidRDefault="00060386" w:rsidP="00C659AE">
            <w:pPr>
              <w:pStyle w:val="BMSTableText"/>
              <w:keepNext/>
              <w:rPr>
                <w:color w:val="000000" w:themeColor="text1"/>
              </w:rPr>
            </w:pPr>
            <w:r w:rsidRPr="00BA0123">
              <w:rPr>
                <w:color w:val="000000" w:themeColor="text1"/>
              </w:rPr>
              <w:t>422</w:t>
            </w:r>
          </w:p>
        </w:tc>
        <w:tc>
          <w:tcPr>
            <w:tcW w:w="1080" w:type="dxa"/>
            <w:shd w:val="clear" w:color="auto" w:fill="auto"/>
          </w:tcPr>
          <w:p w14:paraId="699F8102" w14:textId="77777777" w:rsidR="00060386" w:rsidRPr="00BA0123" w:rsidRDefault="00060386" w:rsidP="00C659AE">
            <w:pPr>
              <w:pStyle w:val="BMSTableText"/>
              <w:keepNext/>
              <w:rPr>
                <w:color w:val="000000" w:themeColor="text1"/>
              </w:rPr>
            </w:pPr>
            <w:r w:rsidRPr="00BA0123">
              <w:rPr>
                <w:color w:val="000000" w:themeColor="text1"/>
              </w:rPr>
              <w:t>49 (11.6)</w:t>
            </w:r>
          </w:p>
        </w:tc>
        <w:tc>
          <w:tcPr>
            <w:tcW w:w="1170" w:type="dxa"/>
            <w:shd w:val="clear" w:color="auto" w:fill="auto"/>
          </w:tcPr>
          <w:p w14:paraId="2725285B" w14:textId="77777777" w:rsidR="00060386" w:rsidRPr="00BA0123" w:rsidRDefault="00060386" w:rsidP="00C659AE">
            <w:pPr>
              <w:pStyle w:val="BMSTableText"/>
              <w:keepNext/>
              <w:rPr>
                <w:color w:val="000000" w:themeColor="text1"/>
              </w:rPr>
            </w:pPr>
            <w:r w:rsidRPr="00BA0123">
              <w:rPr>
                <w:color w:val="000000" w:themeColor="text1"/>
              </w:rPr>
              <w:t>4 (0.9)</w:t>
            </w:r>
          </w:p>
        </w:tc>
      </w:tr>
      <w:tr w:rsidR="00060386" w:rsidRPr="00CB4B99" w14:paraId="674C5469" w14:textId="77777777" w:rsidTr="00C659AE">
        <w:tc>
          <w:tcPr>
            <w:tcW w:w="2268" w:type="dxa"/>
            <w:shd w:val="clear" w:color="auto" w:fill="auto"/>
          </w:tcPr>
          <w:p w14:paraId="64C27F09" w14:textId="77777777" w:rsidR="00060386" w:rsidRPr="00BA0123" w:rsidRDefault="00060386" w:rsidP="00C659AE">
            <w:pPr>
              <w:pStyle w:val="BMSTableText"/>
              <w:keepNext/>
              <w:jc w:val="left"/>
              <w:rPr>
                <w:color w:val="000000" w:themeColor="text1"/>
              </w:rPr>
            </w:pPr>
            <w:r w:rsidRPr="00BA0123">
              <w:rPr>
                <w:color w:val="000000" w:themeColor="text1"/>
              </w:rPr>
              <w:t xml:space="preserve">Increased creatinine </w:t>
            </w:r>
          </w:p>
        </w:tc>
        <w:tc>
          <w:tcPr>
            <w:tcW w:w="1080" w:type="dxa"/>
            <w:shd w:val="clear" w:color="auto" w:fill="auto"/>
          </w:tcPr>
          <w:p w14:paraId="149068FE" w14:textId="27B30A3A" w:rsidR="00060386" w:rsidRPr="00BA0123" w:rsidRDefault="00810147" w:rsidP="00C659AE">
            <w:pPr>
              <w:pStyle w:val="BMSTableText"/>
              <w:keepNext/>
              <w:rPr>
                <w:color w:val="000000" w:themeColor="text1"/>
              </w:rPr>
            </w:pPr>
            <w:r>
              <w:rPr>
                <w:color w:val="000000" w:themeColor="text1"/>
              </w:rPr>
              <w:t>2510</w:t>
            </w:r>
          </w:p>
        </w:tc>
        <w:tc>
          <w:tcPr>
            <w:tcW w:w="1710" w:type="dxa"/>
            <w:shd w:val="clear" w:color="auto" w:fill="auto"/>
          </w:tcPr>
          <w:p w14:paraId="0318A142" w14:textId="71B937BD" w:rsidR="00060386" w:rsidRPr="00BA0123" w:rsidRDefault="00F43D5A" w:rsidP="00C659AE">
            <w:pPr>
              <w:pStyle w:val="BMSTableText"/>
              <w:keepNext/>
              <w:rPr>
                <w:color w:val="000000" w:themeColor="text1"/>
              </w:rPr>
            </w:pPr>
            <w:r>
              <w:rPr>
                <w:color w:val="000000" w:themeColor="text1"/>
              </w:rPr>
              <w:t xml:space="preserve">58.4 </w:t>
            </w:r>
            <w:r w:rsidR="00060386" w:rsidRPr="00BA0123">
              <w:rPr>
                <w:color w:val="000000" w:themeColor="text1"/>
              </w:rPr>
              <w:t xml:space="preserve"> (</w:t>
            </w:r>
            <w:r>
              <w:rPr>
                <w:color w:val="000000" w:themeColor="text1"/>
              </w:rPr>
              <w:t>25.3</w:t>
            </w:r>
            <w:r w:rsidR="00060386" w:rsidRPr="00BA0123">
              <w:rPr>
                <w:color w:val="000000" w:themeColor="text1"/>
              </w:rPr>
              <w:t>)</w:t>
            </w:r>
          </w:p>
        </w:tc>
        <w:tc>
          <w:tcPr>
            <w:tcW w:w="1260" w:type="dxa"/>
            <w:tcBorders>
              <w:right w:val="single" w:sz="4" w:space="0" w:color="auto"/>
            </w:tcBorders>
            <w:shd w:val="clear" w:color="auto" w:fill="auto"/>
          </w:tcPr>
          <w:p w14:paraId="62EF114E" w14:textId="2CEB0308" w:rsidR="00060386" w:rsidRPr="00BA0123" w:rsidRDefault="000048EC" w:rsidP="00C659AE">
            <w:pPr>
              <w:pStyle w:val="BMSTableText"/>
              <w:keepNext/>
              <w:rPr>
                <w:color w:val="000000" w:themeColor="text1"/>
              </w:rPr>
            </w:pPr>
            <w:r>
              <w:rPr>
                <w:color w:val="000000" w:themeColor="text1"/>
              </w:rPr>
              <w:t xml:space="preserve">22 </w:t>
            </w:r>
            <w:r w:rsidR="00060386" w:rsidRPr="00BA0123">
              <w:rPr>
                <w:color w:val="000000" w:themeColor="text1"/>
              </w:rPr>
              <w:t xml:space="preserve"> (</w:t>
            </w:r>
            <w:r>
              <w:rPr>
                <w:color w:val="000000" w:themeColor="text1"/>
              </w:rPr>
              <w:t>0.9</w:t>
            </w:r>
            <w:r w:rsidR="00060386" w:rsidRPr="00BA0123">
              <w:rPr>
                <w:color w:val="000000" w:themeColor="text1"/>
              </w:rPr>
              <w:t>)</w:t>
            </w:r>
          </w:p>
        </w:tc>
        <w:tc>
          <w:tcPr>
            <w:tcW w:w="810" w:type="dxa"/>
            <w:tcBorders>
              <w:left w:val="single" w:sz="4" w:space="0" w:color="auto"/>
            </w:tcBorders>
            <w:shd w:val="clear" w:color="auto" w:fill="auto"/>
          </w:tcPr>
          <w:p w14:paraId="0877BD40" w14:textId="77777777" w:rsidR="00060386" w:rsidRPr="00BA0123" w:rsidRDefault="00060386" w:rsidP="00C659AE">
            <w:pPr>
              <w:pStyle w:val="BMSTableText"/>
              <w:keepNext/>
              <w:rPr>
                <w:color w:val="000000" w:themeColor="text1"/>
              </w:rPr>
            </w:pPr>
            <w:r w:rsidRPr="00BA0123">
              <w:rPr>
                <w:color w:val="000000" w:themeColor="text1"/>
              </w:rPr>
              <w:t>424</w:t>
            </w:r>
          </w:p>
        </w:tc>
        <w:tc>
          <w:tcPr>
            <w:tcW w:w="1080" w:type="dxa"/>
            <w:shd w:val="clear" w:color="auto" w:fill="auto"/>
          </w:tcPr>
          <w:p w14:paraId="74A3F78B" w14:textId="77777777" w:rsidR="00060386" w:rsidRPr="00BA0123" w:rsidRDefault="00060386" w:rsidP="00C659AE">
            <w:pPr>
              <w:pStyle w:val="BMSTableText"/>
              <w:keepNext/>
              <w:rPr>
                <w:color w:val="000000" w:themeColor="text1"/>
              </w:rPr>
            </w:pPr>
            <w:r w:rsidRPr="00BA0123">
              <w:rPr>
                <w:color w:val="000000" w:themeColor="text1"/>
              </w:rPr>
              <w:t>97 (22.9)</w:t>
            </w:r>
          </w:p>
        </w:tc>
        <w:tc>
          <w:tcPr>
            <w:tcW w:w="1170" w:type="dxa"/>
            <w:shd w:val="clear" w:color="auto" w:fill="auto"/>
          </w:tcPr>
          <w:p w14:paraId="515C91A5" w14:textId="77777777" w:rsidR="00060386" w:rsidRPr="00BA0123" w:rsidRDefault="00060386" w:rsidP="00C659AE">
            <w:pPr>
              <w:pStyle w:val="BMSTableText"/>
              <w:keepNext/>
              <w:rPr>
                <w:color w:val="000000" w:themeColor="text1"/>
              </w:rPr>
            </w:pPr>
            <w:r w:rsidRPr="00BA0123">
              <w:rPr>
                <w:color w:val="000000" w:themeColor="text1"/>
              </w:rPr>
              <w:t xml:space="preserve">10 (2.4) </w:t>
            </w:r>
          </w:p>
        </w:tc>
      </w:tr>
      <w:tr w:rsidR="00060386" w:rsidRPr="00CB4B99" w14:paraId="30A9B425" w14:textId="77777777" w:rsidTr="00C659AE">
        <w:tc>
          <w:tcPr>
            <w:tcW w:w="2268" w:type="dxa"/>
            <w:shd w:val="clear" w:color="auto" w:fill="auto"/>
          </w:tcPr>
          <w:p w14:paraId="764F2871" w14:textId="77777777" w:rsidR="00060386" w:rsidRPr="00BA0123" w:rsidRDefault="00060386" w:rsidP="00C659AE">
            <w:pPr>
              <w:pStyle w:val="BMSTableText"/>
              <w:keepNext/>
              <w:jc w:val="left"/>
              <w:rPr>
                <w:color w:val="000000" w:themeColor="text1"/>
              </w:rPr>
            </w:pPr>
            <w:r w:rsidRPr="00BA0123">
              <w:rPr>
                <w:color w:val="000000" w:themeColor="text1"/>
              </w:rPr>
              <w:t>Increased total amylase</w:t>
            </w:r>
          </w:p>
        </w:tc>
        <w:tc>
          <w:tcPr>
            <w:tcW w:w="1080" w:type="dxa"/>
            <w:shd w:val="clear" w:color="auto" w:fill="auto"/>
          </w:tcPr>
          <w:p w14:paraId="55CF7142" w14:textId="4EE008FF" w:rsidR="00060386" w:rsidRPr="00BA0123" w:rsidRDefault="00810147" w:rsidP="00C659AE">
            <w:pPr>
              <w:pStyle w:val="BMSTableText"/>
              <w:keepNext/>
              <w:rPr>
                <w:color w:val="000000" w:themeColor="text1"/>
              </w:rPr>
            </w:pPr>
            <w:r>
              <w:rPr>
                <w:color w:val="000000" w:themeColor="text1"/>
              </w:rPr>
              <w:t>1057</w:t>
            </w:r>
          </w:p>
        </w:tc>
        <w:tc>
          <w:tcPr>
            <w:tcW w:w="1710" w:type="dxa"/>
            <w:shd w:val="clear" w:color="auto" w:fill="auto"/>
          </w:tcPr>
          <w:p w14:paraId="1238D4B6" w14:textId="5C83F5DF" w:rsidR="00060386" w:rsidRPr="00BA0123" w:rsidRDefault="00F43D5A" w:rsidP="00C659AE">
            <w:pPr>
              <w:pStyle w:val="BMSTableText"/>
              <w:keepNext/>
              <w:rPr>
                <w:color w:val="000000" w:themeColor="text1"/>
              </w:rPr>
            </w:pPr>
            <w:r>
              <w:rPr>
                <w:color w:val="000000" w:themeColor="text1"/>
              </w:rPr>
              <w:t>174</w:t>
            </w:r>
            <w:r w:rsidR="00060386" w:rsidRPr="00BA0123">
              <w:rPr>
                <w:color w:val="000000" w:themeColor="text1"/>
              </w:rPr>
              <w:t xml:space="preserve"> (</w:t>
            </w:r>
            <w:r>
              <w:rPr>
                <w:color w:val="000000" w:themeColor="text1"/>
              </w:rPr>
              <w:t>16.5</w:t>
            </w:r>
            <w:r w:rsidR="00060386" w:rsidRPr="00BA0123">
              <w:rPr>
                <w:color w:val="000000" w:themeColor="text1"/>
              </w:rPr>
              <w:t>)</w:t>
            </w:r>
          </w:p>
        </w:tc>
        <w:tc>
          <w:tcPr>
            <w:tcW w:w="1260" w:type="dxa"/>
            <w:tcBorders>
              <w:right w:val="single" w:sz="4" w:space="0" w:color="auto"/>
            </w:tcBorders>
            <w:shd w:val="clear" w:color="auto" w:fill="auto"/>
          </w:tcPr>
          <w:p w14:paraId="2944F487" w14:textId="34C6FFE7" w:rsidR="00060386" w:rsidRPr="00BA0123" w:rsidRDefault="000048EC" w:rsidP="00C659AE">
            <w:pPr>
              <w:pStyle w:val="BMSTableText"/>
              <w:keepNext/>
              <w:rPr>
                <w:color w:val="000000" w:themeColor="text1"/>
              </w:rPr>
            </w:pPr>
            <w:r>
              <w:rPr>
                <w:color w:val="000000" w:themeColor="text1"/>
              </w:rPr>
              <w:t>37</w:t>
            </w:r>
            <w:r w:rsidR="00060386" w:rsidRPr="00BA0123">
              <w:rPr>
                <w:color w:val="000000" w:themeColor="text1"/>
              </w:rPr>
              <w:t xml:space="preserve"> (</w:t>
            </w:r>
            <w:r>
              <w:rPr>
                <w:color w:val="000000" w:themeColor="text1"/>
              </w:rPr>
              <w:t>3.5</w:t>
            </w:r>
            <w:r w:rsidR="00060386" w:rsidRPr="00BA0123">
              <w:rPr>
                <w:color w:val="000000" w:themeColor="text1"/>
              </w:rPr>
              <w:t>)</w:t>
            </w:r>
          </w:p>
        </w:tc>
        <w:tc>
          <w:tcPr>
            <w:tcW w:w="810" w:type="dxa"/>
            <w:tcBorders>
              <w:left w:val="single" w:sz="4" w:space="0" w:color="auto"/>
            </w:tcBorders>
            <w:shd w:val="clear" w:color="auto" w:fill="auto"/>
          </w:tcPr>
          <w:p w14:paraId="5565B18A" w14:textId="77777777" w:rsidR="00060386" w:rsidRPr="00BA0123" w:rsidRDefault="00060386" w:rsidP="00C659AE">
            <w:pPr>
              <w:pStyle w:val="BMSTableText"/>
              <w:keepNext/>
              <w:rPr>
                <w:color w:val="000000" w:themeColor="text1"/>
              </w:rPr>
            </w:pPr>
            <w:r w:rsidRPr="00BA0123">
              <w:rPr>
                <w:color w:val="000000" w:themeColor="text1"/>
              </w:rPr>
              <w:t>366</w:t>
            </w:r>
          </w:p>
        </w:tc>
        <w:tc>
          <w:tcPr>
            <w:tcW w:w="1080" w:type="dxa"/>
            <w:shd w:val="clear" w:color="auto" w:fill="auto"/>
          </w:tcPr>
          <w:p w14:paraId="3958D473" w14:textId="77777777" w:rsidR="00060386" w:rsidRPr="00BA0123" w:rsidRDefault="00060386" w:rsidP="00C659AE">
            <w:pPr>
              <w:pStyle w:val="BMSTableText"/>
              <w:keepNext/>
              <w:rPr>
                <w:color w:val="000000" w:themeColor="text1"/>
              </w:rPr>
            </w:pPr>
            <w:r w:rsidRPr="00BA0123">
              <w:rPr>
                <w:color w:val="000000" w:themeColor="text1"/>
              </w:rPr>
              <w:t>91 (24.9)</w:t>
            </w:r>
          </w:p>
        </w:tc>
        <w:tc>
          <w:tcPr>
            <w:tcW w:w="1170" w:type="dxa"/>
            <w:shd w:val="clear" w:color="auto" w:fill="auto"/>
          </w:tcPr>
          <w:p w14:paraId="1FDB0709" w14:textId="77777777" w:rsidR="00060386" w:rsidRPr="00BA0123" w:rsidRDefault="00060386" w:rsidP="00C659AE">
            <w:pPr>
              <w:pStyle w:val="BMSTableText"/>
              <w:keepNext/>
              <w:rPr>
                <w:color w:val="000000" w:themeColor="text1"/>
              </w:rPr>
            </w:pPr>
            <w:r w:rsidRPr="00BA0123">
              <w:rPr>
                <w:color w:val="000000" w:themeColor="text1"/>
              </w:rPr>
              <w:t>31 (8.5)</w:t>
            </w:r>
          </w:p>
        </w:tc>
      </w:tr>
      <w:tr w:rsidR="00060386" w:rsidRPr="00CB4B99" w14:paraId="1B4C684B" w14:textId="77777777" w:rsidTr="00C659AE">
        <w:tc>
          <w:tcPr>
            <w:tcW w:w="2268" w:type="dxa"/>
            <w:shd w:val="clear" w:color="auto" w:fill="auto"/>
          </w:tcPr>
          <w:p w14:paraId="7970BB0A" w14:textId="77777777" w:rsidR="00060386" w:rsidRPr="00BA0123" w:rsidRDefault="00060386" w:rsidP="00C659AE">
            <w:pPr>
              <w:pStyle w:val="BMSTableText"/>
              <w:keepNext/>
              <w:jc w:val="left"/>
              <w:rPr>
                <w:color w:val="000000" w:themeColor="text1"/>
              </w:rPr>
            </w:pPr>
            <w:r w:rsidRPr="00BA0123">
              <w:rPr>
                <w:color w:val="000000" w:themeColor="text1"/>
              </w:rPr>
              <w:t>Increased total lipase</w:t>
            </w:r>
          </w:p>
        </w:tc>
        <w:tc>
          <w:tcPr>
            <w:tcW w:w="1080" w:type="dxa"/>
            <w:shd w:val="clear" w:color="auto" w:fill="auto"/>
          </w:tcPr>
          <w:p w14:paraId="74C47966" w14:textId="5154033B" w:rsidR="00060386" w:rsidRPr="00BA0123" w:rsidRDefault="00810147" w:rsidP="00C659AE">
            <w:pPr>
              <w:pStyle w:val="BMSTableText"/>
              <w:keepNext/>
              <w:rPr>
                <w:color w:val="000000" w:themeColor="text1"/>
              </w:rPr>
            </w:pPr>
            <w:r>
              <w:rPr>
                <w:color w:val="000000" w:themeColor="text1"/>
              </w:rPr>
              <w:t>1171</w:t>
            </w:r>
          </w:p>
        </w:tc>
        <w:tc>
          <w:tcPr>
            <w:tcW w:w="1710" w:type="dxa"/>
            <w:shd w:val="clear" w:color="auto" w:fill="auto"/>
          </w:tcPr>
          <w:p w14:paraId="3072272E" w14:textId="46FEE787" w:rsidR="00060386" w:rsidRPr="00BA0123" w:rsidRDefault="00F43D5A" w:rsidP="00C659AE">
            <w:pPr>
              <w:pStyle w:val="BMSTableText"/>
              <w:keepNext/>
              <w:rPr>
                <w:color w:val="000000" w:themeColor="text1"/>
              </w:rPr>
            </w:pPr>
            <w:r>
              <w:rPr>
                <w:color w:val="000000" w:themeColor="text1"/>
              </w:rPr>
              <w:t>258</w:t>
            </w:r>
            <w:r w:rsidR="00060386" w:rsidRPr="00BA0123">
              <w:rPr>
                <w:color w:val="000000" w:themeColor="text1"/>
              </w:rPr>
              <w:t xml:space="preserve"> (</w:t>
            </w:r>
            <w:r>
              <w:rPr>
                <w:color w:val="000000" w:themeColor="text1"/>
              </w:rPr>
              <w:t>22.0</w:t>
            </w:r>
            <w:r w:rsidR="00060386" w:rsidRPr="00BA0123">
              <w:rPr>
                <w:color w:val="000000" w:themeColor="text1"/>
              </w:rPr>
              <w:t>)</w:t>
            </w:r>
          </w:p>
        </w:tc>
        <w:tc>
          <w:tcPr>
            <w:tcW w:w="1260" w:type="dxa"/>
            <w:tcBorders>
              <w:right w:val="single" w:sz="4" w:space="0" w:color="auto"/>
            </w:tcBorders>
            <w:shd w:val="clear" w:color="auto" w:fill="auto"/>
          </w:tcPr>
          <w:p w14:paraId="2655E38F" w14:textId="24BA0B38" w:rsidR="00060386" w:rsidRPr="00BA0123" w:rsidRDefault="000048EC" w:rsidP="00C659AE">
            <w:pPr>
              <w:pStyle w:val="BMSTableText"/>
              <w:keepNext/>
              <w:rPr>
                <w:color w:val="000000" w:themeColor="text1"/>
              </w:rPr>
            </w:pPr>
            <w:r>
              <w:rPr>
                <w:color w:val="000000" w:themeColor="text1"/>
              </w:rPr>
              <w:t>93</w:t>
            </w:r>
            <w:r w:rsidR="00060386" w:rsidRPr="00BA0123">
              <w:rPr>
                <w:color w:val="000000" w:themeColor="text1"/>
              </w:rPr>
              <w:t xml:space="preserve"> (</w:t>
            </w:r>
            <w:r>
              <w:rPr>
                <w:color w:val="000000" w:themeColor="text1"/>
              </w:rPr>
              <w:t>7.9</w:t>
            </w:r>
            <w:r w:rsidR="00060386" w:rsidRPr="00BA0123">
              <w:rPr>
                <w:color w:val="000000" w:themeColor="text1"/>
              </w:rPr>
              <w:t>)</w:t>
            </w:r>
          </w:p>
        </w:tc>
        <w:tc>
          <w:tcPr>
            <w:tcW w:w="810" w:type="dxa"/>
            <w:tcBorders>
              <w:left w:val="single" w:sz="4" w:space="0" w:color="auto"/>
            </w:tcBorders>
            <w:shd w:val="clear" w:color="auto" w:fill="auto"/>
          </w:tcPr>
          <w:p w14:paraId="4807A23E" w14:textId="77777777" w:rsidR="00060386" w:rsidRPr="00BA0123" w:rsidRDefault="00060386" w:rsidP="00C659AE">
            <w:pPr>
              <w:pStyle w:val="BMSTableText"/>
              <w:keepNext/>
              <w:rPr>
                <w:color w:val="000000" w:themeColor="text1"/>
              </w:rPr>
            </w:pPr>
            <w:r w:rsidRPr="00BA0123">
              <w:rPr>
                <w:color w:val="000000" w:themeColor="text1"/>
              </w:rPr>
              <w:t>401</w:t>
            </w:r>
          </w:p>
        </w:tc>
        <w:tc>
          <w:tcPr>
            <w:tcW w:w="1080" w:type="dxa"/>
            <w:shd w:val="clear" w:color="auto" w:fill="auto"/>
          </w:tcPr>
          <w:p w14:paraId="67E7EE53" w14:textId="77777777" w:rsidR="00060386" w:rsidRPr="00BA0123" w:rsidRDefault="00060386" w:rsidP="00C659AE">
            <w:pPr>
              <w:pStyle w:val="BMSTableText"/>
              <w:keepNext/>
              <w:rPr>
                <w:color w:val="000000" w:themeColor="text1"/>
              </w:rPr>
            </w:pPr>
            <w:r w:rsidRPr="00BA0123">
              <w:rPr>
                <w:color w:val="000000" w:themeColor="text1"/>
              </w:rPr>
              <w:t>158 (39.4)</w:t>
            </w:r>
          </w:p>
        </w:tc>
        <w:tc>
          <w:tcPr>
            <w:tcW w:w="1170" w:type="dxa"/>
            <w:shd w:val="clear" w:color="auto" w:fill="auto"/>
          </w:tcPr>
          <w:p w14:paraId="47AEE322" w14:textId="77777777" w:rsidR="00060386" w:rsidRPr="00BA0123" w:rsidRDefault="00060386" w:rsidP="00C659AE">
            <w:pPr>
              <w:pStyle w:val="BMSTableText"/>
              <w:keepNext/>
              <w:rPr>
                <w:color w:val="000000" w:themeColor="text1"/>
              </w:rPr>
            </w:pPr>
            <w:r w:rsidRPr="00BA0123">
              <w:rPr>
                <w:color w:val="000000" w:themeColor="text1"/>
              </w:rPr>
              <w:t>73 (18.2)</w:t>
            </w:r>
          </w:p>
        </w:tc>
      </w:tr>
      <w:tr w:rsidR="00060386" w:rsidRPr="00CB4B99" w14:paraId="6E887EAA" w14:textId="77777777" w:rsidTr="00C659AE">
        <w:tc>
          <w:tcPr>
            <w:tcW w:w="2268" w:type="dxa"/>
            <w:shd w:val="clear" w:color="auto" w:fill="auto"/>
          </w:tcPr>
          <w:p w14:paraId="5D49D006"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Hypercalcaemia</w:t>
            </w:r>
            <w:proofErr w:type="spellEnd"/>
          </w:p>
        </w:tc>
        <w:tc>
          <w:tcPr>
            <w:tcW w:w="1080" w:type="dxa"/>
            <w:shd w:val="clear" w:color="auto" w:fill="auto"/>
          </w:tcPr>
          <w:p w14:paraId="73BE5AA8" w14:textId="104D21FD" w:rsidR="00060386" w:rsidRPr="00BA0123" w:rsidRDefault="00810147" w:rsidP="00C659AE">
            <w:pPr>
              <w:pStyle w:val="BMSTableText"/>
              <w:keepNext/>
              <w:rPr>
                <w:color w:val="000000" w:themeColor="text1"/>
              </w:rPr>
            </w:pPr>
            <w:r>
              <w:rPr>
                <w:color w:val="000000" w:themeColor="text1"/>
              </w:rPr>
              <w:t>2416</w:t>
            </w:r>
          </w:p>
        </w:tc>
        <w:tc>
          <w:tcPr>
            <w:tcW w:w="1710" w:type="dxa"/>
            <w:shd w:val="clear" w:color="auto" w:fill="auto"/>
          </w:tcPr>
          <w:p w14:paraId="68A8CF1F" w14:textId="5BDE2377" w:rsidR="00060386" w:rsidRPr="00BA0123" w:rsidRDefault="00F43D5A" w:rsidP="00C659AE">
            <w:pPr>
              <w:pStyle w:val="BMSTableText"/>
              <w:keepNext/>
              <w:rPr>
                <w:color w:val="000000" w:themeColor="text1"/>
              </w:rPr>
            </w:pPr>
            <w:r>
              <w:rPr>
                <w:color w:val="000000" w:themeColor="text1"/>
              </w:rPr>
              <w:t>256</w:t>
            </w:r>
            <w:r w:rsidR="00060386" w:rsidRPr="00BA0123">
              <w:rPr>
                <w:color w:val="000000" w:themeColor="text1"/>
              </w:rPr>
              <w:t xml:space="preserve"> (</w:t>
            </w:r>
            <w:r>
              <w:rPr>
                <w:color w:val="000000" w:themeColor="text1"/>
              </w:rPr>
              <w:t>10.6</w:t>
            </w:r>
            <w:r w:rsidR="00060386" w:rsidRPr="00BA0123">
              <w:rPr>
                <w:color w:val="000000" w:themeColor="text1"/>
              </w:rPr>
              <w:t>)</w:t>
            </w:r>
          </w:p>
        </w:tc>
        <w:tc>
          <w:tcPr>
            <w:tcW w:w="1260" w:type="dxa"/>
            <w:tcBorders>
              <w:right w:val="single" w:sz="4" w:space="0" w:color="auto"/>
            </w:tcBorders>
            <w:shd w:val="clear" w:color="auto" w:fill="auto"/>
          </w:tcPr>
          <w:p w14:paraId="2F1ECE46" w14:textId="425587DD" w:rsidR="00060386" w:rsidRPr="00BA0123" w:rsidRDefault="000048EC" w:rsidP="00C659AE">
            <w:pPr>
              <w:pStyle w:val="BMSTableText"/>
              <w:keepNext/>
              <w:rPr>
                <w:color w:val="000000" w:themeColor="text1"/>
              </w:rPr>
            </w:pPr>
            <w:r>
              <w:rPr>
                <w:color w:val="000000" w:themeColor="text1"/>
              </w:rPr>
              <w:t>28</w:t>
            </w:r>
            <w:r w:rsidR="00060386" w:rsidRPr="00BA0123">
              <w:rPr>
                <w:color w:val="000000" w:themeColor="text1"/>
              </w:rPr>
              <w:t xml:space="preserve"> (</w:t>
            </w:r>
            <w:r>
              <w:rPr>
                <w:color w:val="000000" w:themeColor="text1"/>
              </w:rPr>
              <w:t>1.2</w:t>
            </w:r>
            <w:r w:rsidR="00060386" w:rsidRPr="00BA0123">
              <w:rPr>
                <w:color w:val="000000" w:themeColor="text1"/>
              </w:rPr>
              <w:t>)</w:t>
            </w:r>
          </w:p>
        </w:tc>
        <w:tc>
          <w:tcPr>
            <w:tcW w:w="810" w:type="dxa"/>
            <w:tcBorders>
              <w:left w:val="single" w:sz="4" w:space="0" w:color="auto"/>
            </w:tcBorders>
            <w:shd w:val="clear" w:color="auto" w:fill="auto"/>
          </w:tcPr>
          <w:p w14:paraId="4BDC307D" w14:textId="664A1268" w:rsidR="00060386" w:rsidRPr="00BA0123" w:rsidRDefault="000048EC" w:rsidP="00C659AE">
            <w:pPr>
              <w:pStyle w:val="BMSTableText"/>
              <w:keepNext/>
              <w:rPr>
                <w:color w:val="000000" w:themeColor="text1"/>
              </w:rPr>
            </w:pPr>
            <w:r>
              <w:rPr>
                <w:color w:val="000000" w:themeColor="text1"/>
              </w:rPr>
              <w:t>406</w:t>
            </w:r>
          </w:p>
        </w:tc>
        <w:tc>
          <w:tcPr>
            <w:tcW w:w="1080" w:type="dxa"/>
            <w:shd w:val="clear" w:color="auto" w:fill="auto"/>
          </w:tcPr>
          <w:p w14:paraId="593D1C2D" w14:textId="1F3C02B2" w:rsidR="00060386" w:rsidRPr="00BA0123" w:rsidRDefault="000048EC" w:rsidP="000048EC">
            <w:pPr>
              <w:pStyle w:val="BMSTableText"/>
              <w:keepNext/>
              <w:rPr>
                <w:color w:val="000000" w:themeColor="text1"/>
              </w:rPr>
            </w:pPr>
            <w:r>
              <w:rPr>
                <w:color w:val="000000" w:themeColor="text1"/>
              </w:rPr>
              <w:t>27</w:t>
            </w:r>
            <w:r w:rsidRPr="00BA0123">
              <w:rPr>
                <w:color w:val="000000" w:themeColor="text1"/>
              </w:rPr>
              <w:t xml:space="preserve"> </w:t>
            </w:r>
            <w:r w:rsidR="00060386" w:rsidRPr="00BA0123">
              <w:rPr>
                <w:color w:val="000000" w:themeColor="text1"/>
              </w:rPr>
              <w:t>(</w:t>
            </w:r>
            <w:r>
              <w:rPr>
                <w:color w:val="000000" w:themeColor="text1"/>
              </w:rPr>
              <w:t>6.7</w:t>
            </w:r>
            <w:r w:rsidR="00060386" w:rsidRPr="00BA0123">
              <w:rPr>
                <w:color w:val="000000" w:themeColor="text1"/>
              </w:rPr>
              <w:t>)</w:t>
            </w:r>
          </w:p>
        </w:tc>
        <w:tc>
          <w:tcPr>
            <w:tcW w:w="1170" w:type="dxa"/>
            <w:shd w:val="clear" w:color="auto" w:fill="auto"/>
          </w:tcPr>
          <w:p w14:paraId="186ED25A" w14:textId="5C403497" w:rsidR="00060386" w:rsidRPr="00BA0123" w:rsidRDefault="00060386" w:rsidP="00260B7E">
            <w:pPr>
              <w:pStyle w:val="BMSTableText"/>
              <w:keepNext/>
              <w:rPr>
                <w:color w:val="000000" w:themeColor="text1"/>
              </w:rPr>
            </w:pPr>
            <w:r w:rsidRPr="00BA0123">
              <w:rPr>
                <w:color w:val="000000" w:themeColor="text1"/>
              </w:rPr>
              <w:t>1 (</w:t>
            </w:r>
            <w:r w:rsidR="00260B7E">
              <w:rPr>
                <w:color w:val="000000" w:themeColor="text1"/>
              </w:rPr>
              <w:t>0.2</w:t>
            </w:r>
            <w:r w:rsidRPr="00BA0123">
              <w:rPr>
                <w:color w:val="000000" w:themeColor="text1"/>
              </w:rPr>
              <w:t>)</w:t>
            </w:r>
          </w:p>
        </w:tc>
      </w:tr>
      <w:tr w:rsidR="00060386" w:rsidRPr="00CB4B99" w14:paraId="12301647" w14:textId="77777777" w:rsidTr="00C659AE">
        <w:tc>
          <w:tcPr>
            <w:tcW w:w="2268" w:type="dxa"/>
            <w:shd w:val="clear" w:color="auto" w:fill="auto"/>
          </w:tcPr>
          <w:p w14:paraId="057033E7" w14:textId="77777777" w:rsidR="00060386" w:rsidRPr="00BA0123" w:rsidRDefault="00060386" w:rsidP="00C659AE">
            <w:pPr>
              <w:pStyle w:val="BMSTableText"/>
              <w:keepNext/>
              <w:jc w:val="left"/>
              <w:rPr>
                <w:color w:val="000000" w:themeColor="text1"/>
              </w:rPr>
            </w:pPr>
            <w:r w:rsidRPr="00BA0123">
              <w:rPr>
                <w:color w:val="000000" w:themeColor="text1"/>
              </w:rPr>
              <w:t>Hypocalcaemia</w:t>
            </w:r>
          </w:p>
        </w:tc>
        <w:tc>
          <w:tcPr>
            <w:tcW w:w="1080" w:type="dxa"/>
            <w:shd w:val="clear" w:color="auto" w:fill="auto"/>
          </w:tcPr>
          <w:p w14:paraId="3C83C703" w14:textId="262E5B1A" w:rsidR="00060386" w:rsidRPr="00BA0123" w:rsidRDefault="00810147" w:rsidP="00C659AE">
            <w:pPr>
              <w:pStyle w:val="BMSTableText"/>
              <w:keepNext/>
              <w:rPr>
                <w:color w:val="000000" w:themeColor="text1"/>
              </w:rPr>
            </w:pPr>
            <w:r>
              <w:rPr>
                <w:color w:val="000000" w:themeColor="text1"/>
              </w:rPr>
              <w:t>2416</w:t>
            </w:r>
          </w:p>
        </w:tc>
        <w:tc>
          <w:tcPr>
            <w:tcW w:w="1710" w:type="dxa"/>
            <w:shd w:val="clear" w:color="auto" w:fill="auto"/>
          </w:tcPr>
          <w:p w14:paraId="26768A5E" w14:textId="7FC075E0" w:rsidR="00060386" w:rsidRPr="00BA0123" w:rsidRDefault="00F43D5A" w:rsidP="00C659AE">
            <w:pPr>
              <w:pStyle w:val="BMSTableText"/>
              <w:keepNext/>
              <w:rPr>
                <w:color w:val="000000" w:themeColor="text1"/>
              </w:rPr>
            </w:pPr>
            <w:r>
              <w:rPr>
                <w:color w:val="000000" w:themeColor="text1"/>
              </w:rPr>
              <w:t>467</w:t>
            </w:r>
            <w:r w:rsidR="00060386" w:rsidRPr="00BA0123">
              <w:rPr>
                <w:color w:val="000000" w:themeColor="text1"/>
              </w:rPr>
              <w:t xml:space="preserve"> (</w:t>
            </w:r>
            <w:r>
              <w:rPr>
                <w:color w:val="000000" w:themeColor="text1"/>
              </w:rPr>
              <w:t>19.3</w:t>
            </w:r>
            <w:r w:rsidR="00060386" w:rsidRPr="00BA0123">
              <w:rPr>
                <w:color w:val="000000" w:themeColor="text1"/>
              </w:rPr>
              <w:t>)</w:t>
            </w:r>
          </w:p>
        </w:tc>
        <w:tc>
          <w:tcPr>
            <w:tcW w:w="1260" w:type="dxa"/>
            <w:tcBorders>
              <w:right w:val="single" w:sz="4" w:space="0" w:color="auto"/>
            </w:tcBorders>
            <w:shd w:val="clear" w:color="auto" w:fill="auto"/>
          </w:tcPr>
          <w:p w14:paraId="2CA70E8B" w14:textId="1560DA4F" w:rsidR="00060386" w:rsidRPr="00BA0123" w:rsidRDefault="000048EC" w:rsidP="00C659AE">
            <w:pPr>
              <w:pStyle w:val="BMSTableText"/>
              <w:keepNext/>
              <w:rPr>
                <w:color w:val="000000" w:themeColor="text1"/>
              </w:rPr>
            </w:pPr>
            <w:r>
              <w:rPr>
                <w:color w:val="000000" w:themeColor="text1"/>
              </w:rPr>
              <w:t>16</w:t>
            </w:r>
            <w:r w:rsidR="00060386" w:rsidRPr="00BA0123">
              <w:rPr>
                <w:color w:val="000000" w:themeColor="text1"/>
              </w:rPr>
              <w:t xml:space="preserve"> (</w:t>
            </w:r>
            <w:r>
              <w:rPr>
                <w:color w:val="000000" w:themeColor="text1"/>
              </w:rPr>
              <w:t>0.7</w:t>
            </w:r>
            <w:r w:rsidR="00060386" w:rsidRPr="00BA0123">
              <w:rPr>
                <w:color w:val="000000" w:themeColor="text1"/>
              </w:rPr>
              <w:t>)</w:t>
            </w:r>
          </w:p>
        </w:tc>
        <w:tc>
          <w:tcPr>
            <w:tcW w:w="810" w:type="dxa"/>
            <w:tcBorders>
              <w:left w:val="single" w:sz="4" w:space="0" w:color="auto"/>
            </w:tcBorders>
            <w:shd w:val="clear" w:color="auto" w:fill="auto"/>
          </w:tcPr>
          <w:p w14:paraId="1FE5AE89" w14:textId="3FA3CC49" w:rsidR="00060386" w:rsidRPr="00BA0123" w:rsidRDefault="000048EC" w:rsidP="00C659AE">
            <w:pPr>
              <w:pStyle w:val="BMSTableText"/>
              <w:keepNext/>
              <w:rPr>
                <w:color w:val="000000" w:themeColor="text1"/>
              </w:rPr>
            </w:pPr>
            <w:r>
              <w:rPr>
                <w:color w:val="000000" w:themeColor="text1"/>
              </w:rPr>
              <w:t>406</w:t>
            </w:r>
          </w:p>
        </w:tc>
        <w:tc>
          <w:tcPr>
            <w:tcW w:w="1080" w:type="dxa"/>
            <w:shd w:val="clear" w:color="auto" w:fill="auto"/>
          </w:tcPr>
          <w:p w14:paraId="49656E8C" w14:textId="130673B4" w:rsidR="00060386" w:rsidRPr="00BA0123" w:rsidRDefault="000048EC" w:rsidP="000048EC">
            <w:pPr>
              <w:pStyle w:val="BMSTableText"/>
              <w:keepNext/>
              <w:rPr>
                <w:color w:val="000000" w:themeColor="text1"/>
              </w:rPr>
            </w:pPr>
            <w:r>
              <w:rPr>
                <w:color w:val="000000" w:themeColor="text1"/>
              </w:rPr>
              <w:t>126</w:t>
            </w:r>
            <w:r w:rsidRPr="00BA0123">
              <w:rPr>
                <w:color w:val="000000" w:themeColor="text1"/>
              </w:rPr>
              <w:t xml:space="preserve"> </w:t>
            </w:r>
            <w:r w:rsidR="00060386" w:rsidRPr="00BA0123">
              <w:rPr>
                <w:color w:val="000000" w:themeColor="text1"/>
              </w:rPr>
              <w:t>(</w:t>
            </w:r>
            <w:r>
              <w:rPr>
                <w:color w:val="000000" w:themeColor="text1"/>
              </w:rPr>
              <w:t>31.0</w:t>
            </w:r>
            <w:r w:rsidR="00060386" w:rsidRPr="00BA0123">
              <w:rPr>
                <w:color w:val="000000" w:themeColor="text1"/>
              </w:rPr>
              <w:t>)</w:t>
            </w:r>
          </w:p>
        </w:tc>
        <w:tc>
          <w:tcPr>
            <w:tcW w:w="1170" w:type="dxa"/>
            <w:shd w:val="clear" w:color="auto" w:fill="auto"/>
          </w:tcPr>
          <w:p w14:paraId="534ED437" w14:textId="5AEBEAC5" w:rsidR="00060386" w:rsidRPr="00BA0123" w:rsidRDefault="00260B7E" w:rsidP="00260B7E">
            <w:pPr>
              <w:pStyle w:val="BMSTableText"/>
              <w:keepNext/>
              <w:rPr>
                <w:color w:val="000000" w:themeColor="text1"/>
              </w:rPr>
            </w:pPr>
            <w:r>
              <w:rPr>
                <w:color w:val="000000" w:themeColor="text1"/>
              </w:rPr>
              <w:t>5</w:t>
            </w:r>
            <w:r w:rsidRPr="00BA0123">
              <w:rPr>
                <w:color w:val="000000" w:themeColor="text1"/>
              </w:rPr>
              <w:t xml:space="preserve"> </w:t>
            </w:r>
            <w:r w:rsidR="00060386" w:rsidRPr="00BA0123">
              <w:rPr>
                <w:color w:val="000000" w:themeColor="text1"/>
              </w:rPr>
              <w:t>(</w:t>
            </w:r>
            <w:r>
              <w:rPr>
                <w:color w:val="000000" w:themeColor="text1"/>
              </w:rPr>
              <w:t>1.2</w:t>
            </w:r>
            <w:r w:rsidR="00060386" w:rsidRPr="00BA0123">
              <w:rPr>
                <w:color w:val="000000" w:themeColor="text1"/>
              </w:rPr>
              <w:t>)</w:t>
            </w:r>
          </w:p>
        </w:tc>
      </w:tr>
      <w:tr w:rsidR="00060386" w:rsidRPr="00CB4B99" w14:paraId="04ED0676" w14:textId="77777777" w:rsidTr="00C659AE">
        <w:tc>
          <w:tcPr>
            <w:tcW w:w="2268" w:type="dxa"/>
            <w:shd w:val="clear" w:color="auto" w:fill="auto"/>
          </w:tcPr>
          <w:p w14:paraId="59D36288"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Hyperkalaemia</w:t>
            </w:r>
            <w:proofErr w:type="spellEnd"/>
          </w:p>
        </w:tc>
        <w:tc>
          <w:tcPr>
            <w:tcW w:w="1080" w:type="dxa"/>
            <w:shd w:val="clear" w:color="auto" w:fill="auto"/>
          </w:tcPr>
          <w:p w14:paraId="1D77D2DA" w14:textId="279A67B4" w:rsidR="00060386" w:rsidRPr="00BA0123" w:rsidRDefault="00810147" w:rsidP="00C659AE">
            <w:pPr>
              <w:pStyle w:val="BMSTableText"/>
              <w:keepNext/>
              <w:rPr>
                <w:color w:val="000000" w:themeColor="text1"/>
              </w:rPr>
            </w:pPr>
            <w:r>
              <w:rPr>
                <w:color w:val="000000" w:themeColor="text1"/>
              </w:rPr>
              <w:t>2454</w:t>
            </w:r>
          </w:p>
        </w:tc>
        <w:tc>
          <w:tcPr>
            <w:tcW w:w="1710" w:type="dxa"/>
            <w:shd w:val="clear" w:color="auto" w:fill="auto"/>
          </w:tcPr>
          <w:p w14:paraId="18E0A7B3" w14:textId="4BA78E58" w:rsidR="00060386" w:rsidRPr="00BA0123" w:rsidRDefault="00F43D5A" w:rsidP="00C659AE">
            <w:pPr>
              <w:pStyle w:val="BMSTableText"/>
              <w:keepNext/>
              <w:rPr>
                <w:color w:val="000000" w:themeColor="text1"/>
              </w:rPr>
            </w:pPr>
            <w:r>
              <w:rPr>
                <w:color w:val="000000" w:themeColor="text1"/>
              </w:rPr>
              <w:t>490</w:t>
            </w:r>
            <w:r w:rsidR="00060386" w:rsidRPr="00BA0123">
              <w:rPr>
                <w:color w:val="000000" w:themeColor="text1"/>
              </w:rPr>
              <w:t xml:space="preserve"> (</w:t>
            </w:r>
            <w:r>
              <w:rPr>
                <w:color w:val="000000" w:themeColor="text1"/>
              </w:rPr>
              <w:t>20.0</w:t>
            </w:r>
            <w:r w:rsidR="00060386" w:rsidRPr="00BA0123">
              <w:rPr>
                <w:color w:val="000000" w:themeColor="text1"/>
              </w:rPr>
              <w:t>)</w:t>
            </w:r>
          </w:p>
        </w:tc>
        <w:tc>
          <w:tcPr>
            <w:tcW w:w="1260" w:type="dxa"/>
            <w:tcBorders>
              <w:right w:val="single" w:sz="4" w:space="0" w:color="auto"/>
            </w:tcBorders>
            <w:shd w:val="clear" w:color="auto" w:fill="auto"/>
          </w:tcPr>
          <w:p w14:paraId="7D8E41D6" w14:textId="760CB3A9" w:rsidR="00060386" w:rsidRPr="00BA0123" w:rsidRDefault="000048EC" w:rsidP="00C659AE">
            <w:pPr>
              <w:pStyle w:val="BMSTableText"/>
              <w:keepNext/>
              <w:rPr>
                <w:color w:val="000000" w:themeColor="text1"/>
              </w:rPr>
            </w:pPr>
            <w:r>
              <w:rPr>
                <w:color w:val="000000" w:themeColor="text1"/>
              </w:rPr>
              <w:t>45</w:t>
            </w:r>
            <w:r w:rsidR="00060386" w:rsidRPr="00BA0123">
              <w:rPr>
                <w:color w:val="000000" w:themeColor="text1"/>
              </w:rPr>
              <w:t xml:space="preserve"> (1.8)</w:t>
            </w:r>
          </w:p>
        </w:tc>
        <w:tc>
          <w:tcPr>
            <w:tcW w:w="810" w:type="dxa"/>
            <w:tcBorders>
              <w:left w:val="single" w:sz="4" w:space="0" w:color="auto"/>
            </w:tcBorders>
            <w:shd w:val="clear" w:color="auto" w:fill="auto"/>
          </w:tcPr>
          <w:p w14:paraId="55809757" w14:textId="60555799" w:rsidR="00060386" w:rsidRPr="00BA0123" w:rsidRDefault="000048EC" w:rsidP="00C659AE">
            <w:pPr>
              <w:pStyle w:val="BMSTableText"/>
              <w:keepNext/>
              <w:rPr>
                <w:color w:val="000000" w:themeColor="text1"/>
              </w:rPr>
            </w:pPr>
            <w:r>
              <w:rPr>
                <w:color w:val="000000" w:themeColor="text1"/>
              </w:rPr>
              <w:t>421</w:t>
            </w:r>
          </w:p>
        </w:tc>
        <w:tc>
          <w:tcPr>
            <w:tcW w:w="1080" w:type="dxa"/>
            <w:shd w:val="clear" w:color="auto" w:fill="auto"/>
          </w:tcPr>
          <w:p w14:paraId="413AD453" w14:textId="56E4F83F" w:rsidR="00060386" w:rsidRPr="00BA0123" w:rsidRDefault="000048EC" w:rsidP="000048EC">
            <w:pPr>
              <w:pStyle w:val="BMSTableText"/>
              <w:keepNext/>
              <w:rPr>
                <w:color w:val="000000" w:themeColor="text1"/>
              </w:rPr>
            </w:pPr>
            <w:r>
              <w:rPr>
                <w:color w:val="000000" w:themeColor="text1"/>
              </w:rPr>
              <w:t>62</w:t>
            </w:r>
            <w:r w:rsidRPr="00BA0123">
              <w:rPr>
                <w:color w:val="000000" w:themeColor="text1"/>
              </w:rPr>
              <w:t xml:space="preserve"> </w:t>
            </w:r>
            <w:r w:rsidR="00060386" w:rsidRPr="00BA0123">
              <w:rPr>
                <w:color w:val="000000" w:themeColor="text1"/>
              </w:rPr>
              <w:t>(</w:t>
            </w:r>
            <w:r>
              <w:rPr>
                <w:color w:val="000000" w:themeColor="text1"/>
              </w:rPr>
              <w:t>14.7</w:t>
            </w:r>
            <w:r w:rsidR="00060386" w:rsidRPr="00BA0123">
              <w:rPr>
                <w:color w:val="000000" w:themeColor="text1"/>
              </w:rPr>
              <w:t>)</w:t>
            </w:r>
          </w:p>
        </w:tc>
        <w:tc>
          <w:tcPr>
            <w:tcW w:w="1170" w:type="dxa"/>
            <w:shd w:val="clear" w:color="auto" w:fill="auto"/>
          </w:tcPr>
          <w:p w14:paraId="08F04754" w14:textId="29146A5F" w:rsidR="00060386" w:rsidRPr="00BA0123" w:rsidRDefault="00060386" w:rsidP="00260B7E">
            <w:pPr>
              <w:pStyle w:val="BMSTableText"/>
              <w:keepNext/>
              <w:rPr>
                <w:color w:val="000000" w:themeColor="text1"/>
              </w:rPr>
            </w:pPr>
            <w:r w:rsidRPr="00BA0123">
              <w:rPr>
                <w:color w:val="000000" w:themeColor="text1"/>
              </w:rPr>
              <w:t>1 (</w:t>
            </w:r>
            <w:r w:rsidR="00260B7E">
              <w:rPr>
                <w:color w:val="000000" w:themeColor="text1"/>
              </w:rPr>
              <w:t>0.2</w:t>
            </w:r>
            <w:r w:rsidRPr="00BA0123">
              <w:rPr>
                <w:color w:val="000000" w:themeColor="text1"/>
              </w:rPr>
              <w:t>)</w:t>
            </w:r>
          </w:p>
        </w:tc>
      </w:tr>
      <w:tr w:rsidR="00060386" w:rsidRPr="00CB4B99" w14:paraId="28C60343" w14:textId="77777777" w:rsidTr="00C659AE">
        <w:tc>
          <w:tcPr>
            <w:tcW w:w="2268" w:type="dxa"/>
            <w:shd w:val="clear" w:color="auto" w:fill="auto"/>
          </w:tcPr>
          <w:p w14:paraId="141D7F0A"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Hypokalaemia</w:t>
            </w:r>
            <w:proofErr w:type="spellEnd"/>
          </w:p>
        </w:tc>
        <w:tc>
          <w:tcPr>
            <w:tcW w:w="1080" w:type="dxa"/>
            <w:shd w:val="clear" w:color="auto" w:fill="auto"/>
          </w:tcPr>
          <w:p w14:paraId="4A9F4F84" w14:textId="0F417E0E" w:rsidR="00060386" w:rsidRPr="00BA0123" w:rsidRDefault="00810147" w:rsidP="00C659AE">
            <w:pPr>
              <w:pStyle w:val="BMSTableText"/>
              <w:keepNext/>
              <w:rPr>
                <w:color w:val="000000" w:themeColor="text1"/>
              </w:rPr>
            </w:pPr>
            <w:r>
              <w:rPr>
                <w:color w:val="000000" w:themeColor="text1"/>
              </w:rPr>
              <w:t>2454</w:t>
            </w:r>
          </w:p>
        </w:tc>
        <w:tc>
          <w:tcPr>
            <w:tcW w:w="1710" w:type="dxa"/>
            <w:shd w:val="clear" w:color="auto" w:fill="auto"/>
          </w:tcPr>
          <w:p w14:paraId="5CBA4D39" w14:textId="786A6DE9" w:rsidR="00060386" w:rsidRPr="00BA0123" w:rsidRDefault="00F43D5A" w:rsidP="00C659AE">
            <w:pPr>
              <w:pStyle w:val="BMSTableText"/>
              <w:keepNext/>
              <w:rPr>
                <w:color w:val="000000" w:themeColor="text1"/>
              </w:rPr>
            </w:pPr>
            <w:r>
              <w:rPr>
                <w:color w:val="000000" w:themeColor="text1"/>
              </w:rPr>
              <w:t>274</w:t>
            </w:r>
            <w:r w:rsidR="00060386" w:rsidRPr="00BA0123">
              <w:rPr>
                <w:color w:val="000000" w:themeColor="text1"/>
              </w:rPr>
              <w:t xml:space="preserve"> (</w:t>
            </w:r>
            <w:r>
              <w:rPr>
                <w:color w:val="000000" w:themeColor="text1"/>
              </w:rPr>
              <w:t>11.2</w:t>
            </w:r>
            <w:r w:rsidR="00060386" w:rsidRPr="00BA0123">
              <w:rPr>
                <w:color w:val="000000" w:themeColor="text1"/>
              </w:rPr>
              <w:t>)</w:t>
            </w:r>
          </w:p>
        </w:tc>
        <w:tc>
          <w:tcPr>
            <w:tcW w:w="1260" w:type="dxa"/>
            <w:tcBorders>
              <w:right w:val="single" w:sz="4" w:space="0" w:color="auto"/>
            </w:tcBorders>
            <w:shd w:val="clear" w:color="auto" w:fill="auto"/>
          </w:tcPr>
          <w:p w14:paraId="72316E7A" w14:textId="0AE69BBC" w:rsidR="00060386" w:rsidRPr="00BA0123" w:rsidRDefault="000048EC" w:rsidP="00C659AE">
            <w:pPr>
              <w:pStyle w:val="BMSTableText"/>
              <w:keepNext/>
              <w:rPr>
                <w:color w:val="000000" w:themeColor="text1"/>
              </w:rPr>
            </w:pPr>
            <w:r>
              <w:rPr>
                <w:color w:val="000000" w:themeColor="text1"/>
              </w:rPr>
              <w:t>37</w:t>
            </w:r>
            <w:r w:rsidR="00060386" w:rsidRPr="00BA0123">
              <w:rPr>
                <w:color w:val="000000" w:themeColor="text1"/>
              </w:rPr>
              <w:t xml:space="preserve"> (</w:t>
            </w:r>
            <w:r>
              <w:rPr>
                <w:color w:val="000000" w:themeColor="text1"/>
              </w:rPr>
              <w:t>1.5</w:t>
            </w:r>
            <w:r w:rsidR="00060386" w:rsidRPr="00BA0123">
              <w:rPr>
                <w:color w:val="000000" w:themeColor="text1"/>
              </w:rPr>
              <w:t>)</w:t>
            </w:r>
          </w:p>
        </w:tc>
        <w:tc>
          <w:tcPr>
            <w:tcW w:w="810" w:type="dxa"/>
            <w:tcBorders>
              <w:left w:val="single" w:sz="4" w:space="0" w:color="auto"/>
            </w:tcBorders>
            <w:shd w:val="clear" w:color="auto" w:fill="auto"/>
          </w:tcPr>
          <w:p w14:paraId="6D68384D" w14:textId="4BF13C09" w:rsidR="00060386" w:rsidRPr="00BA0123" w:rsidRDefault="000048EC" w:rsidP="00C659AE">
            <w:pPr>
              <w:pStyle w:val="BMSTableText"/>
              <w:keepNext/>
              <w:rPr>
                <w:color w:val="000000" w:themeColor="text1"/>
              </w:rPr>
            </w:pPr>
            <w:r>
              <w:rPr>
                <w:color w:val="000000" w:themeColor="text1"/>
              </w:rPr>
              <w:t>421</w:t>
            </w:r>
          </w:p>
        </w:tc>
        <w:tc>
          <w:tcPr>
            <w:tcW w:w="1080" w:type="dxa"/>
            <w:shd w:val="clear" w:color="auto" w:fill="auto"/>
          </w:tcPr>
          <w:p w14:paraId="5244D716" w14:textId="0823AAFC" w:rsidR="00060386" w:rsidRPr="00BA0123" w:rsidRDefault="000048EC" w:rsidP="000048EC">
            <w:pPr>
              <w:pStyle w:val="BMSTableText"/>
              <w:keepNext/>
              <w:rPr>
                <w:color w:val="000000" w:themeColor="text1"/>
              </w:rPr>
            </w:pPr>
            <w:r>
              <w:rPr>
                <w:color w:val="000000" w:themeColor="text1"/>
              </w:rPr>
              <w:t>80</w:t>
            </w:r>
            <w:r w:rsidRPr="00BA0123">
              <w:rPr>
                <w:color w:val="000000" w:themeColor="text1"/>
              </w:rPr>
              <w:t xml:space="preserve"> </w:t>
            </w:r>
            <w:r w:rsidR="00060386" w:rsidRPr="00BA0123">
              <w:rPr>
                <w:color w:val="000000" w:themeColor="text1"/>
              </w:rPr>
              <w:t>(</w:t>
            </w:r>
            <w:r>
              <w:rPr>
                <w:color w:val="000000" w:themeColor="text1"/>
              </w:rPr>
              <w:t>19.0</w:t>
            </w:r>
            <w:r w:rsidR="00060386" w:rsidRPr="00BA0123">
              <w:rPr>
                <w:color w:val="000000" w:themeColor="text1"/>
              </w:rPr>
              <w:t>)</w:t>
            </w:r>
          </w:p>
        </w:tc>
        <w:tc>
          <w:tcPr>
            <w:tcW w:w="1170" w:type="dxa"/>
            <w:shd w:val="clear" w:color="auto" w:fill="auto"/>
          </w:tcPr>
          <w:p w14:paraId="35FC3D3C" w14:textId="0B021C2A" w:rsidR="00060386" w:rsidRPr="00BA0123" w:rsidRDefault="00260B7E" w:rsidP="00260B7E">
            <w:pPr>
              <w:pStyle w:val="BMSTableText"/>
              <w:keepNext/>
              <w:rPr>
                <w:color w:val="000000" w:themeColor="text1"/>
              </w:rPr>
            </w:pPr>
            <w:r>
              <w:rPr>
                <w:color w:val="000000" w:themeColor="text1"/>
              </w:rPr>
              <w:t>20</w:t>
            </w:r>
            <w:r w:rsidRPr="00BA0123">
              <w:rPr>
                <w:color w:val="000000" w:themeColor="text1"/>
              </w:rPr>
              <w:t xml:space="preserve"> </w:t>
            </w:r>
            <w:r w:rsidR="00060386" w:rsidRPr="00BA0123">
              <w:rPr>
                <w:color w:val="000000" w:themeColor="text1"/>
              </w:rPr>
              <w:t>(</w:t>
            </w:r>
            <w:r>
              <w:rPr>
                <w:color w:val="000000" w:themeColor="text1"/>
              </w:rPr>
              <w:t>4.8</w:t>
            </w:r>
            <w:r w:rsidR="00060386" w:rsidRPr="00BA0123">
              <w:rPr>
                <w:color w:val="000000" w:themeColor="text1"/>
              </w:rPr>
              <w:t>)</w:t>
            </w:r>
          </w:p>
        </w:tc>
      </w:tr>
      <w:tr w:rsidR="00060386" w:rsidRPr="00CB4B99" w14:paraId="7411BE43" w14:textId="77777777" w:rsidTr="00C659AE">
        <w:tc>
          <w:tcPr>
            <w:tcW w:w="2268" w:type="dxa"/>
            <w:shd w:val="clear" w:color="auto" w:fill="auto"/>
          </w:tcPr>
          <w:p w14:paraId="4F77DA5C"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Hypermagnesaemia</w:t>
            </w:r>
            <w:proofErr w:type="spellEnd"/>
          </w:p>
        </w:tc>
        <w:tc>
          <w:tcPr>
            <w:tcW w:w="1080" w:type="dxa"/>
            <w:shd w:val="clear" w:color="auto" w:fill="auto"/>
          </w:tcPr>
          <w:p w14:paraId="4400DE07" w14:textId="6AFF28DC" w:rsidR="00060386" w:rsidRPr="00BA0123" w:rsidRDefault="00810147" w:rsidP="00C659AE">
            <w:pPr>
              <w:pStyle w:val="BMSTableText"/>
              <w:keepNext/>
              <w:rPr>
                <w:color w:val="000000" w:themeColor="text1"/>
              </w:rPr>
            </w:pPr>
            <w:r>
              <w:rPr>
                <w:color w:val="000000" w:themeColor="text1"/>
              </w:rPr>
              <w:t>2215</w:t>
            </w:r>
          </w:p>
        </w:tc>
        <w:tc>
          <w:tcPr>
            <w:tcW w:w="1710" w:type="dxa"/>
            <w:shd w:val="clear" w:color="auto" w:fill="auto"/>
          </w:tcPr>
          <w:p w14:paraId="70528DE1" w14:textId="041D8F4C" w:rsidR="00060386" w:rsidRPr="00BA0123" w:rsidRDefault="00B75C65" w:rsidP="00C659AE">
            <w:pPr>
              <w:pStyle w:val="BMSTableText"/>
              <w:keepNext/>
              <w:rPr>
                <w:color w:val="000000" w:themeColor="text1"/>
              </w:rPr>
            </w:pPr>
            <w:r>
              <w:rPr>
                <w:color w:val="000000" w:themeColor="text1"/>
              </w:rPr>
              <w:t>111</w:t>
            </w:r>
            <w:r w:rsidR="00060386" w:rsidRPr="00BA0123">
              <w:rPr>
                <w:color w:val="000000" w:themeColor="text1"/>
              </w:rPr>
              <w:t xml:space="preserve"> (</w:t>
            </w:r>
            <w:r>
              <w:rPr>
                <w:color w:val="000000" w:themeColor="text1"/>
              </w:rPr>
              <w:t>5.0</w:t>
            </w:r>
            <w:r w:rsidR="00060386" w:rsidRPr="00BA0123">
              <w:rPr>
                <w:color w:val="000000" w:themeColor="text1"/>
              </w:rPr>
              <w:t>)</w:t>
            </w:r>
          </w:p>
        </w:tc>
        <w:tc>
          <w:tcPr>
            <w:tcW w:w="1260" w:type="dxa"/>
            <w:tcBorders>
              <w:right w:val="single" w:sz="4" w:space="0" w:color="auto"/>
            </w:tcBorders>
            <w:shd w:val="clear" w:color="auto" w:fill="auto"/>
          </w:tcPr>
          <w:p w14:paraId="2A19DAB0" w14:textId="7D0EFC12" w:rsidR="00060386" w:rsidRPr="00BA0123" w:rsidRDefault="000048EC" w:rsidP="00C659AE">
            <w:pPr>
              <w:pStyle w:val="BMSTableText"/>
              <w:keepNext/>
              <w:rPr>
                <w:color w:val="000000" w:themeColor="text1"/>
              </w:rPr>
            </w:pPr>
            <w:r>
              <w:rPr>
                <w:color w:val="000000" w:themeColor="text1"/>
              </w:rPr>
              <w:t>15</w:t>
            </w:r>
            <w:r w:rsidR="00060386" w:rsidRPr="00BA0123">
              <w:rPr>
                <w:color w:val="000000" w:themeColor="text1"/>
              </w:rPr>
              <w:t xml:space="preserve"> (0.7)</w:t>
            </w:r>
          </w:p>
        </w:tc>
        <w:tc>
          <w:tcPr>
            <w:tcW w:w="810" w:type="dxa"/>
            <w:tcBorders>
              <w:left w:val="single" w:sz="4" w:space="0" w:color="auto"/>
            </w:tcBorders>
            <w:shd w:val="clear" w:color="auto" w:fill="auto"/>
          </w:tcPr>
          <w:p w14:paraId="3CE765C8" w14:textId="42E937D9" w:rsidR="00060386" w:rsidRPr="00BA0123" w:rsidRDefault="000048EC" w:rsidP="00C659AE">
            <w:pPr>
              <w:pStyle w:val="BMSTableText"/>
              <w:keepNext/>
              <w:rPr>
                <w:color w:val="000000" w:themeColor="text1"/>
              </w:rPr>
            </w:pPr>
            <w:r>
              <w:rPr>
                <w:color w:val="000000" w:themeColor="text1"/>
              </w:rPr>
              <w:t>370</w:t>
            </w:r>
          </w:p>
        </w:tc>
        <w:tc>
          <w:tcPr>
            <w:tcW w:w="1080" w:type="dxa"/>
            <w:shd w:val="clear" w:color="auto" w:fill="auto"/>
          </w:tcPr>
          <w:p w14:paraId="14388D50" w14:textId="08105CAC" w:rsidR="00060386" w:rsidRPr="00BA0123" w:rsidRDefault="00060386" w:rsidP="00260B7E">
            <w:pPr>
              <w:pStyle w:val="BMSTableText"/>
              <w:keepNext/>
              <w:rPr>
                <w:color w:val="000000" w:themeColor="text1"/>
              </w:rPr>
            </w:pPr>
            <w:r w:rsidRPr="00BA0123">
              <w:rPr>
                <w:color w:val="000000" w:themeColor="text1"/>
              </w:rPr>
              <w:t>9 (</w:t>
            </w:r>
            <w:r w:rsidR="00260B7E">
              <w:rPr>
                <w:color w:val="000000" w:themeColor="text1"/>
              </w:rPr>
              <w:t>2.4</w:t>
            </w:r>
            <w:r w:rsidRPr="00BA0123">
              <w:rPr>
                <w:color w:val="000000" w:themeColor="text1"/>
              </w:rPr>
              <w:t>)</w:t>
            </w:r>
          </w:p>
        </w:tc>
        <w:tc>
          <w:tcPr>
            <w:tcW w:w="1170" w:type="dxa"/>
            <w:shd w:val="clear" w:color="auto" w:fill="auto"/>
          </w:tcPr>
          <w:p w14:paraId="5891FFDE" w14:textId="77777777" w:rsidR="00060386" w:rsidRPr="00BA0123" w:rsidRDefault="00060386" w:rsidP="00C659AE">
            <w:pPr>
              <w:pStyle w:val="BMSTableText"/>
              <w:keepNext/>
              <w:rPr>
                <w:color w:val="000000" w:themeColor="text1"/>
              </w:rPr>
            </w:pPr>
            <w:r w:rsidRPr="00BA0123">
              <w:rPr>
                <w:color w:val="000000" w:themeColor="text1"/>
              </w:rPr>
              <w:t>1 (0.3)</w:t>
            </w:r>
          </w:p>
        </w:tc>
      </w:tr>
      <w:tr w:rsidR="00060386" w:rsidRPr="00CB4B99" w14:paraId="3368F2D5" w14:textId="77777777" w:rsidTr="00C659AE">
        <w:tc>
          <w:tcPr>
            <w:tcW w:w="2268" w:type="dxa"/>
            <w:shd w:val="clear" w:color="auto" w:fill="auto"/>
          </w:tcPr>
          <w:p w14:paraId="67BD0FA4" w14:textId="77777777" w:rsidR="00060386" w:rsidRPr="00BA0123" w:rsidRDefault="00060386" w:rsidP="00C659AE">
            <w:pPr>
              <w:pStyle w:val="BMSTableText"/>
              <w:keepNext/>
              <w:jc w:val="left"/>
              <w:rPr>
                <w:color w:val="000000" w:themeColor="text1"/>
              </w:rPr>
            </w:pPr>
            <w:r w:rsidRPr="00BA0123">
              <w:rPr>
                <w:color w:val="000000" w:themeColor="text1"/>
              </w:rPr>
              <w:t>Hypomagnesaemia</w:t>
            </w:r>
          </w:p>
        </w:tc>
        <w:tc>
          <w:tcPr>
            <w:tcW w:w="1080" w:type="dxa"/>
            <w:shd w:val="clear" w:color="auto" w:fill="auto"/>
          </w:tcPr>
          <w:p w14:paraId="5B0DF7CB" w14:textId="76BFE7FB" w:rsidR="00060386" w:rsidRPr="00BA0123" w:rsidRDefault="00810147" w:rsidP="00C659AE">
            <w:pPr>
              <w:pStyle w:val="BMSTableText"/>
              <w:keepNext/>
              <w:rPr>
                <w:color w:val="000000" w:themeColor="text1"/>
              </w:rPr>
            </w:pPr>
            <w:r>
              <w:rPr>
                <w:color w:val="000000" w:themeColor="text1"/>
              </w:rPr>
              <w:t>2215</w:t>
            </w:r>
          </w:p>
        </w:tc>
        <w:tc>
          <w:tcPr>
            <w:tcW w:w="1710" w:type="dxa"/>
            <w:shd w:val="clear" w:color="auto" w:fill="auto"/>
          </w:tcPr>
          <w:p w14:paraId="41E81232" w14:textId="413DE425" w:rsidR="00060386" w:rsidRPr="00BA0123" w:rsidRDefault="00B75C65" w:rsidP="00C659AE">
            <w:pPr>
              <w:pStyle w:val="BMSTableText"/>
              <w:keepNext/>
              <w:rPr>
                <w:color w:val="000000" w:themeColor="text1"/>
              </w:rPr>
            </w:pPr>
            <w:r>
              <w:rPr>
                <w:color w:val="000000" w:themeColor="text1"/>
              </w:rPr>
              <w:t>353</w:t>
            </w:r>
            <w:r w:rsidR="00060386" w:rsidRPr="00BA0123">
              <w:rPr>
                <w:color w:val="000000" w:themeColor="text1"/>
              </w:rPr>
              <w:t xml:space="preserve"> (</w:t>
            </w:r>
            <w:r>
              <w:rPr>
                <w:color w:val="000000" w:themeColor="text1"/>
              </w:rPr>
              <w:t>15.9</w:t>
            </w:r>
            <w:r w:rsidR="00060386" w:rsidRPr="00BA0123">
              <w:rPr>
                <w:color w:val="000000" w:themeColor="text1"/>
              </w:rPr>
              <w:t>)</w:t>
            </w:r>
          </w:p>
        </w:tc>
        <w:tc>
          <w:tcPr>
            <w:tcW w:w="1260" w:type="dxa"/>
            <w:tcBorders>
              <w:right w:val="single" w:sz="4" w:space="0" w:color="auto"/>
            </w:tcBorders>
            <w:shd w:val="clear" w:color="auto" w:fill="auto"/>
          </w:tcPr>
          <w:p w14:paraId="7F0ECDC5" w14:textId="7E663EBF" w:rsidR="00060386" w:rsidRPr="00BA0123" w:rsidRDefault="000048EC" w:rsidP="00C659AE">
            <w:pPr>
              <w:pStyle w:val="BMSTableText"/>
              <w:keepNext/>
              <w:rPr>
                <w:color w:val="000000" w:themeColor="text1"/>
              </w:rPr>
            </w:pPr>
            <w:r>
              <w:rPr>
                <w:color w:val="000000" w:themeColor="text1"/>
              </w:rPr>
              <w:t>10</w:t>
            </w:r>
            <w:r w:rsidR="00060386" w:rsidRPr="00BA0123">
              <w:rPr>
                <w:color w:val="000000" w:themeColor="text1"/>
              </w:rPr>
              <w:t xml:space="preserve"> (0.5)</w:t>
            </w:r>
          </w:p>
        </w:tc>
        <w:tc>
          <w:tcPr>
            <w:tcW w:w="810" w:type="dxa"/>
            <w:tcBorders>
              <w:left w:val="single" w:sz="4" w:space="0" w:color="auto"/>
            </w:tcBorders>
            <w:shd w:val="clear" w:color="auto" w:fill="auto"/>
          </w:tcPr>
          <w:p w14:paraId="75F8F4F3" w14:textId="33822763" w:rsidR="00060386" w:rsidRPr="00BA0123" w:rsidRDefault="000048EC" w:rsidP="00C659AE">
            <w:pPr>
              <w:pStyle w:val="BMSTableText"/>
              <w:keepNext/>
              <w:rPr>
                <w:color w:val="000000" w:themeColor="text1"/>
              </w:rPr>
            </w:pPr>
            <w:r>
              <w:rPr>
                <w:color w:val="000000" w:themeColor="text1"/>
              </w:rPr>
              <w:t>370</w:t>
            </w:r>
          </w:p>
        </w:tc>
        <w:tc>
          <w:tcPr>
            <w:tcW w:w="1080" w:type="dxa"/>
            <w:shd w:val="clear" w:color="auto" w:fill="auto"/>
          </w:tcPr>
          <w:p w14:paraId="6ADA0E2D" w14:textId="320A58AE" w:rsidR="00060386" w:rsidRPr="00BA0123" w:rsidRDefault="00260B7E" w:rsidP="00C659AE">
            <w:pPr>
              <w:pStyle w:val="BMSTableText"/>
              <w:keepNext/>
              <w:rPr>
                <w:color w:val="000000" w:themeColor="text1"/>
              </w:rPr>
            </w:pPr>
            <w:r>
              <w:rPr>
                <w:color w:val="000000" w:themeColor="text1"/>
              </w:rPr>
              <w:t>54</w:t>
            </w:r>
            <w:r w:rsidRPr="00BA0123">
              <w:rPr>
                <w:color w:val="000000" w:themeColor="text1"/>
              </w:rPr>
              <w:t xml:space="preserve"> </w:t>
            </w:r>
            <w:r w:rsidR="00060386" w:rsidRPr="00BA0123">
              <w:rPr>
                <w:color w:val="000000" w:themeColor="text1"/>
              </w:rPr>
              <w:t>(</w:t>
            </w:r>
            <w:r>
              <w:rPr>
                <w:color w:val="000000" w:themeColor="text1"/>
              </w:rPr>
              <w:t>14.6</w:t>
            </w:r>
            <w:r w:rsidR="00060386" w:rsidRPr="00BA0123">
              <w:rPr>
                <w:color w:val="000000" w:themeColor="text1"/>
              </w:rPr>
              <w:t>)</w:t>
            </w:r>
          </w:p>
        </w:tc>
        <w:tc>
          <w:tcPr>
            <w:tcW w:w="1170" w:type="dxa"/>
            <w:shd w:val="clear" w:color="auto" w:fill="auto"/>
          </w:tcPr>
          <w:p w14:paraId="4A5ED6F3" w14:textId="77777777" w:rsidR="00060386" w:rsidRPr="00BA0123" w:rsidRDefault="00060386" w:rsidP="00C659AE">
            <w:pPr>
              <w:pStyle w:val="BMSTableText"/>
              <w:keepNext/>
              <w:rPr>
                <w:color w:val="000000" w:themeColor="text1"/>
              </w:rPr>
            </w:pPr>
            <w:r w:rsidRPr="00BA0123">
              <w:rPr>
                <w:color w:val="000000" w:themeColor="text1"/>
              </w:rPr>
              <w:t>0</w:t>
            </w:r>
          </w:p>
        </w:tc>
      </w:tr>
      <w:tr w:rsidR="00060386" w:rsidRPr="00CB4B99" w14:paraId="51482A7B" w14:textId="77777777" w:rsidTr="00C659AE">
        <w:tc>
          <w:tcPr>
            <w:tcW w:w="2268" w:type="dxa"/>
            <w:shd w:val="clear" w:color="auto" w:fill="auto"/>
          </w:tcPr>
          <w:p w14:paraId="5C38A4F4"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Hypernatraemia</w:t>
            </w:r>
            <w:proofErr w:type="spellEnd"/>
          </w:p>
        </w:tc>
        <w:tc>
          <w:tcPr>
            <w:tcW w:w="1080" w:type="dxa"/>
            <w:shd w:val="clear" w:color="auto" w:fill="auto"/>
          </w:tcPr>
          <w:p w14:paraId="041CFABD" w14:textId="51F8DE4E" w:rsidR="00060386" w:rsidRPr="00BA0123" w:rsidRDefault="00810147" w:rsidP="00C659AE">
            <w:pPr>
              <w:pStyle w:val="BMSTableText"/>
              <w:keepNext/>
              <w:rPr>
                <w:color w:val="000000" w:themeColor="text1"/>
              </w:rPr>
            </w:pPr>
            <w:r>
              <w:rPr>
                <w:color w:val="000000" w:themeColor="text1"/>
              </w:rPr>
              <w:t>2456</w:t>
            </w:r>
          </w:p>
        </w:tc>
        <w:tc>
          <w:tcPr>
            <w:tcW w:w="1710" w:type="dxa"/>
            <w:shd w:val="clear" w:color="auto" w:fill="auto"/>
          </w:tcPr>
          <w:p w14:paraId="66CBCCD2" w14:textId="544CC2EC" w:rsidR="00060386" w:rsidRPr="00BA0123" w:rsidRDefault="00B75C65" w:rsidP="00C659AE">
            <w:pPr>
              <w:pStyle w:val="BMSTableText"/>
              <w:keepNext/>
              <w:rPr>
                <w:color w:val="000000" w:themeColor="text1"/>
              </w:rPr>
            </w:pPr>
            <w:r>
              <w:rPr>
                <w:color w:val="000000" w:themeColor="text1"/>
              </w:rPr>
              <w:t>134</w:t>
            </w:r>
            <w:r w:rsidR="00060386" w:rsidRPr="00BA0123">
              <w:rPr>
                <w:color w:val="000000" w:themeColor="text1"/>
              </w:rPr>
              <w:t xml:space="preserve"> (</w:t>
            </w:r>
            <w:r>
              <w:rPr>
                <w:color w:val="000000" w:themeColor="text1"/>
              </w:rPr>
              <w:t>5.5</w:t>
            </w:r>
            <w:r w:rsidR="00060386" w:rsidRPr="00BA0123">
              <w:rPr>
                <w:color w:val="000000" w:themeColor="text1"/>
              </w:rPr>
              <w:t>)</w:t>
            </w:r>
          </w:p>
        </w:tc>
        <w:tc>
          <w:tcPr>
            <w:tcW w:w="1260" w:type="dxa"/>
            <w:tcBorders>
              <w:right w:val="single" w:sz="4" w:space="0" w:color="auto"/>
            </w:tcBorders>
            <w:shd w:val="clear" w:color="auto" w:fill="auto"/>
          </w:tcPr>
          <w:p w14:paraId="337D7BEA" w14:textId="77777777" w:rsidR="00060386" w:rsidRPr="00BA0123" w:rsidRDefault="00060386" w:rsidP="00C659AE">
            <w:pPr>
              <w:pStyle w:val="BMSTableText"/>
              <w:keepNext/>
              <w:rPr>
                <w:color w:val="000000" w:themeColor="text1"/>
              </w:rPr>
            </w:pPr>
            <w:r w:rsidRPr="00BA0123">
              <w:rPr>
                <w:color w:val="000000" w:themeColor="text1"/>
              </w:rPr>
              <w:t>3 (0.1)</w:t>
            </w:r>
          </w:p>
        </w:tc>
        <w:tc>
          <w:tcPr>
            <w:tcW w:w="810" w:type="dxa"/>
            <w:tcBorders>
              <w:left w:val="single" w:sz="4" w:space="0" w:color="auto"/>
            </w:tcBorders>
            <w:shd w:val="clear" w:color="auto" w:fill="auto"/>
          </w:tcPr>
          <w:p w14:paraId="7007A1DD" w14:textId="1FDEAA9B" w:rsidR="00060386" w:rsidRPr="00BA0123" w:rsidRDefault="000048EC" w:rsidP="00C659AE">
            <w:pPr>
              <w:pStyle w:val="BMSTableText"/>
              <w:keepNext/>
              <w:rPr>
                <w:color w:val="000000" w:themeColor="text1"/>
              </w:rPr>
            </w:pPr>
            <w:r>
              <w:rPr>
                <w:color w:val="000000" w:themeColor="text1"/>
              </w:rPr>
              <w:t>442</w:t>
            </w:r>
          </w:p>
        </w:tc>
        <w:tc>
          <w:tcPr>
            <w:tcW w:w="1080" w:type="dxa"/>
            <w:shd w:val="clear" w:color="auto" w:fill="auto"/>
          </w:tcPr>
          <w:p w14:paraId="6FD97DAA" w14:textId="3C43D21A" w:rsidR="00060386" w:rsidRPr="00BA0123" w:rsidRDefault="00260B7E" w:rsidP="00C659AE">
            <w:pPr>
              <w:pStyle w:val="BMSTableText"/>
              <w:keepNext/>
              <w:rPr>
                <w:color w:val="000000" w:themeColor="text1"/>
              </w:rPr>
            </w:pPr>
            <w:r>
              <w:rPr>
                <w:color w:val="000000" w:themeColor="text1"/>
              </w:rPr>
              <w:t>15</w:t>
            </w:r>
            <w:r w:rsidRPr="00BA0123">
              <w:rPr>
                <w:color w:val="000000" w:themeColor="text1"/>
              </w:rPr>
              <w:t xml:space="preserve"> </w:t>
            </w:r>
            <w:r w:rsidR="00060386" w:rsidRPr="00BA0123">
              <w:rPr>
                <w:color w:val="000000" w:themeColor="text1"/>
              </w:rPr>
              <w:t>(3.6)</w:t>
            </w:r>
          </w:p>
        </w:tc>
        <w:tc>
          <w:tcPr>
            <w:tcW w:w="1170" w:type="dxa"/>
            <w:shd w:val="clear" w:color="auto" w:fill="auto"/>
          </w:tcPr>
          <w:p w14:paraId="05B6CFA2" w14:textId="10E00877" w:rsidR="00060386" w:rsidRPr="00BA0123" w:rsidRDefault="00060386" w:rsidP="00260B7E">
            <w:pPr>
              <w:pStyle w:val="BMSTableText"/>
              <w:keepNext/>
              <w:rPr>
                <w:color w:val="000000" w:themeColor="text1"/>
              </w:rPr>
            </w:pPr>
            <w:r w:rsidRPr="00BA0123">
              <w:rPr>
                <w:color w:val="000000" w:themeColor="text1"/>
              </w:rPr>
              <w:t>1 (</w:t>
            </w:r>
            <w:r w:rsidR="00260B7E">
              <w:rPr>
                <w:color w:val="000000" w:themeColor="text1"/>
              </w:rPr>
              <w:t>0.2</w:t>
            </w:r>
            <w:r w:rsidRPr="00BA0123">
              <w:rPr>
                <w:color w:val="000000" w:themeColor="text1"/>
              </w:rPr>
              <w:t>)</w:t>
            </w:r>
          </w:p>
        </w:tc>
      </w:tr>
      <w:tr w:rsidR="00060386" w:rsidRPr="00CB4B99" w14:paraId="43182103" w14:textId="77777777" w:rsidTr="00260B7E">
        <w:tc>
          <w:tcPr>
            <w:tcW w:w="2268" w:type="dxa"/>
            <w:shd w:val="clear" w:color="auto" w:fill="auto"/>
          </w:tcPr>
          <w:p w14:paraId="5892861A" w14:textId="77777777" w:rsidR="00060386" w:rsidRPr="00BA0123" w:rsidRDefault="00060386" w:rsidP="00C659AE">
            <w:pPr>
              <w:pStyle w:val="BMSTableText"/>
              <w:keepNext/>
              <w:jc w:val="left"/>
              <w:rPr>
                <w:color w:val="000000" w:themeColor="text1"/>
              </w:rPr>
            </w:pPr>
            <w:proofErr w:type="spellStart"/>
            <w:r w:rsidRPr="00BA0123">
              <w:rPr>
                <w:color w:val="000000" w:themeColor="text1"/>
              </w:rPr>
              <w:t>Hyponatraemia</w:t>
            </w:r>
            <w:proofErr w:type="spellEnd"/>
          </w:p>
        </w:tc>
        <w:tc>
          <w:tcPr>
            <w:tcW w:w="1080" w:type="dxa"/>
            <w:shd w:val="clear" w:color="auto" w:fill="auto"/>
          </w:tcPr>
          <w:p w14:paraId="082F6FFC" w14:textId="7DB1689C" w:rsidR="00060386" w:rsidRPr="00BA0123" w:rsidRDefault="00F43D5A" w:rsidP="00C659AE">
            <w:pPr>
              <w:pStyle w:val="BMSTableText"/>
              <w:keepNext/>
              <w:rPr>
                <w:color w:val="000000" w:themeColor="text1"/>
              </w:rPr>
            </w:pPr>
            <w:r>
              <w:rPr>
                <w:color w:val="000000" w:themeColor="text1"/>
              </w:rPr>
              <w:t>2456</w:t>
            </w:r>
          </w:p>
        </w:tc>
        <w:tc>
          <w:tcPr>
            <w:tcW w:w="1710" w:type="dxa"/>
            <w:shd w:val="clear" w:color="auto" w:fill="auto"/>
          </w:tcPr>
          <w:p w14:paraId="1EE7D68A" w14:textId="20B1FFF3" w:rsidR="00060386" w:rsidRPr="00BA0123" w:rsidRDefault="00B75C65" w:rsidP="00C659AE">
            <w:pPr>
              <w:pStyle w:val="BMSTableText"/>
              <w:keepNext/>
              <w:rPr>
                <w:color w:val="000000" w:themeColor="text1"/>
              </w:rPr>
            </w:pPr>
            <w:r>
              <w:rPr>
                <w:color w:val="000000" w:themeColor="text1"/>
              </w:rPr>
              <w:t>731</w:t>
            </w:r>
            <w:r w:rsidR="00060386" w:rsidRPr="00BA0123">
              <w:rPr>
                <w:color w:val="000000" w:themeColor="text1"/>
              </w:rPr>
              <w:t xml:space="preserve"> (</w:t>
            </w:r>
            <w:r>
              <w:rPr>
                <w:color w:val="000000" w:themeColor="text1"/>
              </w:rPr>
              <w:t>29.8</w:t>
            </w:r>
            <w:r w:rsidR="00060386" w:rsidRPr="00BA0123">
              <w:rPr>
                <w:color w:val="000000" w:themeColor="text1"/>
              </w:rPr>
              <w:t>)</w:t>
            </w:r>
          </w:p>
        </w:tc>
        <w:tc>
          <w:tcPr>
            <w:tcW w:w="1260" w:type="dxa"/>
            <w:tcBorders>
              <w:right w:val="single" w:sz="4" w:space="0" w:color="auto"/>
            </w:tcBorders>
            <w:shd w:val="clear" w:color="auto" w:fill="auto"/>
          </w:tcPr>
          <w:p w14:paraId="3F1E2441" w14:textId="1C5C1D66" w:rsidR="00060386" w:rsidRPr="00BA0123" w:rsidRDefault="000048EC" w:rsidP="00C659AE">
            <w:pPr>
              <w:pStyle w:val="BMSTableText"/>
              <w:keepNext/>
              <w:rPr>
                <w:color w:val="000000" w:themeColor="text1"/>
              </w:rPr>
            </w:pPr>
            <w:r>
              <w:rPr>
                <w:color w:val="000000" w:themeColor="text1"/>
              </w:rPr>
              <w:t>157</w:t>
            </w:r>
            <w:r w:rsidR="00060386" w:rsidRPr="00BA0123">
              <w:rPr>
                <w:color w:val="000000" w:themeColor="text1"/>
              </w:rPr>
              <w:t xml:space="preserve"> (</w:t>
            </w:r>
            <w:r>
              <w:rPr>
                <w:color w:val="000000" w:themeColor="text1"/>
              </w:rPr>
              <w:t>8.6</w:t>
            </w:r>
            <w:r w:rsidR="00060386" w:rsidRPr="00BA0123">
              <w:rPr>
                <w:color w:val="000000" w:themeColor="text1"/>
              </w:rPr>
              <w:t>)</w:t>
            </w:r>
          </w:p>
        </w:tc>
        <w:tc>
          <w:tcPr>
            <w:tcW w:w="810" w:type="dxa"/>
            <w:tcBorders>
              <w:left w:val="single" w:sz="4" w:space="0" w:color="auto"/>
            </w:tcBorders>
            <w:shd w:val="clear" w:color="auto" w:fill="auto"/>
          </w:tcPr>
          <w:p w14:paraId="0261AD54" w14:textId="14E09F15" w:rsidR="00060386" w:rsidRPr="00BA0123" w:rsidRDefault="000048EC" w:rsidP="00C659AE">
            <w:pPr>
              <w:pStyle w:val="BMSTableText"/>
              <w:keepNext/>
              <w:rPr>
                <w:color w:val="000000" w:themeColor="text1"/>
              </w:rPr>
            </w:pPr>
            <w:r>
              <w:rPr>
                <w:color w:val="000000" w:themeColor="text1"/>
              </w:rPr>
              <w:t>442</w:t>
            </w:r>
          </w:p>
        </w:tc>
        <w:tc>
          <w:tcPr>
            <w:tcW w:w="1080" w:type="dxa"/>
            <w:shd w:val="clear" w:color="auto" w:fill="auto"/>
          </w:tcPr>
          <w:p w14:paraId="78432F94" w14:textId="28F5D95F" w:rsidR="00060386" w:rsidRPr="00BA0123" w:rsidRDefault="00260B7E" w:rsidP="00260B7E">
            <w:pPr>
              <w:pStyle w:val="BMSTableText"/>
              <w:keepNext/>
              <w:rPr>
                <w:color w:val="000000" w:themeColor="text1"/>
              </w:rPr>
            </w:pPr>
            <w:r>
              <w:rPr>
                <w:color w:val="000000" w:themeColor="text1"/>
              </w:rPr>
              <w:t>176</w:t>
            </w:r>
            <w:r w:rsidRPr="00BA0123">
              <w:rPr>
                <w:color w:val="000000" w:themeColor="text1"/>
              </w:rPr>
              <w:t xml:space="preserve"> </w:t>
            </w:r>
            <w:r w:rsidR="00060386" w:rsidRPr="00BA0123">
              <w:rPr>
                <w:color w:val="000000" w:themeColor="text1"/>
              </w:rPr>
              <w:t>(</w:t>
            </w:r>
            <w:r>
              <w:rPr>
                <w:color w:val="000000" w:themeColor="text1"/>
              </w:rPr>
              <w:t>41.7</w:t>
            </w:r>
            <w:r w:rsidR="00060386" w:rsidRPr="00BA0123">
              <w:rPr>
                <w:color w:val="000000" w:themeColor="text1"/>
              </w:rPr>
              <w:t>)</w:t>
            </w:r>
          </w:p>
        </w:tc>
        <w:tc>
          <w:tcPr>
            <w:tcW w:w="1170" w:type="dxa"/>
            <w:shd w:val="clear" w:color="auto" w:fill="auto"/>
          </w:tcPr>
          <w:p w14:paraId="44852639" w14:textId="0A99EB8F" w:rsidR="00060386" w:rsidRPr="00BA0123" w:rsidRDefault="00260B7E" w:rsidP="00260B7E">
            <w:pPr>
              <w:pStyle w:val="BMSTableText"/>
              <w:keepNext/>
              <w:rPr>
                <w:color w:val="000000" w:themeColor="text1"/>
              </w:rPr>
            </w:pPr>
            <w:r>
              <w:rPr>
                <w:color w:val="000000" w:themeColor="text1"/>
              </w:rPr>
              <w:t>38</w:t>
            </w:r>
            <w:r w:rsidRPr="00BA0123">
              <w:rPr>
                <w:color w:val="000000" w:themeColor="text1"/>
              </w:rPr>
              <w:t xml:space="preserve"> </w:t>
            </w:r>
            <w:r w:rsidR="00060386" w:rsidRPr="00BA0123">
              <w:rPr>
                <w:color w:val="000000" w:themeColor="text1"/>
              </w:rPr>
              <w:t>(</w:t>
            </w:r>
            <w:r>
              <w:rPr>
                <w:color w:val="000000" w:themeColor="text1"/>
              </w:rPr>
              <w:t>9.0</w:t>
            </w:r>
            <w:r w:rsidR="00060386" w:rsidRPr="00BA0123">
              <w:rPr>
                <w:color w:val="000000" w:themeColor="text1"/>
              </w:rPr>
              <w:t>)</w:t>
            </w:r>
          </w:p>
        </w:tc>
      </w:tr>
      <w:tr w:rsidR="00F43D5A" w:rsidRPr="00CB4B99" w14:paraId="0D4323E5" w14:textId="77777777" w:rsidTr="00260B7E">
        <w:tc>
          <w:tcPr>
            <w:tcW w:w="2268" w:type="dxa"/>
            <w:shd w:val="clear" w:color="auto" w:fill="auto"/>
          </w:tcPr>
          <w:p w14:paraId="3D2956B0" w14:textId="0D7A2D26" w:rsidR="00F43D5A" w:rsidRPr="00BA0123" w:rsidRDefault="00F43D5A" w:rsidP="00C659AE">
            <w:pPr>
              <w:pStyle w:val="BMSTableText"/>
              <w:keepNext/>
              <w:jc w:val="left"/>
              <w:rPr>
                <w:color w:val="000000" w:themeColor="text1"/>
              </w:rPr>
            </w:pPr>
            <w:proofErr w:type="spellStart"/>
            <w:r>
              <w:rPr>
                <w:color w:val="000000" w:themeColor="text1"/>
              </w:rPr>
              <w:t>Hyperglycemia</w:t>
            </w:r>
            <w:r w:rsidRPr="00C27637">
              <w:rPr>
                <w:color w:val="000000" w:themeColor="text1"/>
                <w:vertAlign w:val="superscript"/>
              </w:rPr>
              <w:t>c</w:t>
            </w:r>
            <w:proofErr w:type="spellEnd"/>
          </w:p>
        </w:tc>
        <w:tc>
          <w:tcPr>
            <w:tcW w:w="1080" w:type="dxa"/>
            <w:shd w:val="clear" w:color="auto" w:fill="auto"/>
          </w:tcPr>
          <w:p w14:paraId="75EF7B98" w14:textId="72901DA6" w:rsidR="00F43D5A" w:rsidRDefault="00F43D5A" w:rsidP="00C659AE">
            <w:pPr>
              <w:pStyle w:val="BMSTableText"/>
              <w:keepNext/>
              <w:rPr>
                <w:color w:val="000000" w:themeColor="text1"/>
              </w:rPr>
            </w:pPr>
            <w:r>
              <w:rPr>
                <w:color w:val="000000" w:themeColor="text1"/>
              </w:rPr>
              <w:t>312</w:t>
            </w:r>
          </w:p>
        </w:tc>
        <w:tc>
          <w:tcPr>
            <w:tcW w:w="1710" w:type="dxa"/>
            <w:shd w:val="clear" w:color="auto" w:fill="auto"/>
          </w:tcPr>
          <w:p w14:paraId="7F65785E" w14:textId="6D1FB2CC" w:rsidR="00F43D5A" w:rsidRPr="00BA0123" w:rsidRDefault="00B75C65" w:rsidP="00C659AE">
            <w:pPr>
              <w:pStyle w:val="BMSTableText"/>
              <w:keepNext/>
              <w:rPr>
                <w:color w:val="000000" w:themeColor="text1"/>
              </w:rPr>
            </w:pPr>
            <w:r>
              <w:rPr>
                <w:color w:val="000000" w:themeColor="text1"/>
              </w:rPr>
              <w:t>129 (41.3)</w:t>
            </w:r>
          </w:p>
        </w:tc>
        <w:tc>
          <w:tcPr>
            <w:tcW w:w="1260" w:type="dxa"/>
            <w:tcBorders>
              <w:right w:val="single" w:sz="4" w:space="0" w:color="auto"/>
            </w:tcBorders>
            <w:shd w:val="clear" w:color="auto" w:fill="auto"/>
          </w:tcPr>
          <w:p w14:paraId="72C79B9E" w14:textId="1D39D0FC" w:rsidR="00F43D5A" w:rsidRPr="00BA0123" w:rsidRDefault="00B75C65" w:rsidP="00C659AE">
            <w:pPr>
              <w:pStyle w:val="BMSTableText"/>
              <w:keepNext/>
              <w:rPr>
                <w:color w:val="000000" w:themeColor="text1"/>
              </w:rPr>
            </w:pPr>
            <w:r>
              <w:rPr>
                <w:color w:val="000000" w:themeColor="text1"/>
              </w:rPr>
              <w:t>12 (3.8)</w:t>
            </w:r>
          </w:p>
        </w:tc>
        <w:tc>
          <w:tcPr>
            <w:tcW w:w="810" w:type="dxa"/>
            <w:tcBorders>
              <w:left w:val="single" w:sz="4" w:space="0" w:color="auto"/>
            </w:tcBorders>
            <w:shd w:val="clear" w:color="auto" w:fill="auto"/>
          </w:tcPr>
          <w:p w14:paraId="6EA9E4C5" w14:textId="7115649D" w:rsidR="00F43D5A" w:rsidRPr="00BA0123" w:rsidRDefault="00B75C65" w:rsidP="00C659AE">
            <w:pPr>
              <w:pStyle w:val="BMSTableText"/>
              <w:keepNext/>
              <w:rPr>
                <w:color w:val="000000" w:themeColor="text1"/>
              </w:rPr>
            </w:pPr>
            <w:r w:rsidRPr="00A5352D">
              <w:rPr>
                <w:color w:val="000000" w:themeColor="text1"/>
              </w:rPr>
              <w:t xml:space="preserve">75  </w:t>
            </w:r>
          </w:p>
        </w:tc>
        <w:tc>
          <w:tcPr>
            <w:tcW w:w="1080" w:type="dxa"/>
            <w:shd w:val="clear" w:color="auto" w:fill="auto"/>
          </w:tcPr>
          <w:p w14:paraId="06BA5AD2" w14:textId="39625479" w:rsidR="00F43D5A" w:rsidRPr="00BA0123" w:rsidRDefault="00B75C65" w:rsidP="00C659AE">
            <w:pPr>
              <w:pStyle w:val="BMSTableText"/>
              <w:keepNext/>
              <w:rPr>
                <w:color w:val="000000" w:themeColor="text1"/>
              </w:rPr>
            </w:pPr>
            <w:r w:rsidRPr="00A5352D">
              <w:rPr>
                <w:color w:val="000000" w:themeColor="text1"/>
              </w:rPr>
              <w:t>39 (52.0)</w:t>
            </w:r>
          </w:p>
        </w:tc>
        <w:tc>
          <w:tcPr>
            <w:tcW w:w="1170" w:type="dxa"/>
            <w:shd w:val="clear" w:color="auto" w:fill="auto"/>
          </w:tcPr>
          <w:p w14:paraId="363AEA81" w14:textId="59F17015" w:rsidR="00F43D5A" w:rsidRPr="00BA0123" w:rsidRDefault="00B75C65" w:rsidP="00C659AE">
            <w:pPr>
              <w:pStyle w:val="BMSTableText"/>
              <w:keepNext/>
              <w:rPr>
                <w:color w:val="000000" w:themeColor="text1"/>
              </w:rPr>
            </w:pPr>
            <w:r w:rsidRPr="00A5352D">
              <w:rPr>
                <w:color w:val="000000" w:themeColor="text1"/>
              </w:rPr>
              <w:t>4 (5.3)</w:t>
            </w:r>
          </w:p>
        </w:tc>
      </w:tr>
      <w:tr w:rsidR="00F43D5A" w:rsidRPr="00CB4B99" w14:paraId="7CCD3002" w14:textId="77777777" w:rsidTr="00260B7E">
        <w:tc>
          <w:tcPr>
            <w:tcW w:w="2268" w:type="dxa"/>
            <w:tcBorders>
              <w:bottom w:val="double" w:sz="4" w:space="0" w:color="auto"/>
            </w:tcBorders>
            <w:shd w:val="clear" w:color="auto" w:fill="auto"/>
          </w:tcPr>
          <w:p w14:paraId="0A42321F" w14:textId="5008FB50" w:rsidR="00F43D5A" w:rsidRPr="00BA0123" w:rsidRDefault="00F43D5A" w:rsidP="00C659AE">
            <w:pPr>
              <w:pStyle w:val="BMSTableText"/>
              <w:keepNext/>
              <w:jc w:val="left"/>
              <w:rPr>
                <w:color w:val="000000" w:themeColor="text1"/>
              </w:rPr>
            </w:pPr>
            <w:r>
              <w:rPr>
                <w:color w:val="000000" w:themeColor="text1"/>
              </w:rPr>
              <w:t>Hypoglycemia</w:t>
            </w:r>
          </w:p>
        </w:tc>
        <w:tc>
          <w:tcPr>
            <w:tcW w:w="1080" w:type="dxa"/>
            <w:tcBorders>
              <w:bottom w:val="double" w:sz="4" w:space="0" w:color="auto"/>
            </w:tcBorders>
            <w:shd w:val="clear" w:color="auto" w:fill="auto"/>
          </w:tcPr>
          <w:p w14:paraId="28898C1B" w14:textId="7076D68F" w:rsidR="00F43D5A" w:rsidRDefault="00F43D5A" w:rsidP="00C659AE">
            <w:pPr>
              <w:pStyle w:val="BMSTableText"/>
              <w:keepNext/>
              <w:rPr>
                <w:color w:val="000000" w:themeColor="text1"/>
              </w:rPr>
            </w:pPr>
            <w:r>
              <w:rPr>
                <w:color w:val="000000" w:themeColor="text1"/>
              </w:rPr>
              <w:t>309</w:t>
            </w:r>
          </w:p>
        </w:tc>
        <w:tc>
          <w:tcPr>
            <w:tcW w:w="1710" w:type="dxa"/>
            <w:tcBorders>
              <w:bottom w:val="double" w:sz="4" w:space="0" w:color="auto"/>
            </w:tcBorders>
            <w:shd w:val="clear" w:color="auto" w:fill="auto"/>
          </w:tcPr>
          <w:p w14:paraId="3FD0AE2B" w14:textId="3572ED57" w:rsidR="00F43D5A" w:rsidRPr="00BA0123" w:rsidRDefault="00B75C65" w:rsidP="00C659AE">
            <w:pPr>
              <w:pStyle w:val="BMSTableText"/>
              <w:keepNext/>
              <w:rPr>
                <w:color w:val="000000" w:themeColor="text1"/>
              </w:rPr>
            </w:pPr>
            <w:r>
              <w:rPr>
                <w:color w:val="000000" w:themeColor="text1"/>
              </w:rPr>
              <w:t>25 (8.1)</w:t>
            </w:r>
          </w:p>
        </w:tc>
        <w:tc>
          <w:tcPr>
            <w:tcW w:w="1260" w:type="dxa"/>
            <w:tcBorders>
              <w:bottom w:val="double" w:sz="4" w:space="0" w:color="auto"/>
              <w:right w:val="single" w:sz="4" w:space="0" w:color="auto"/>
            </w:tcBorders>
            <w:shd w:val="clear" w:color="auto" w:fill="auto"/>
          </w:tcPr>
          <w:p w14:paraId="43B6709A" w14:textId="038D1524" w:rsidR="00F43D5A" w:rsidRPr="00BA0123" w:rsidRDefault="00B75C65" w:rsidP="00C659AE">
            <w:pPr>
              <w:pStyle w:val="BMSTableText"/>
              <w:keepNext/>
              <w:rPr>
                <w:color w:val="000000" w:themeColor="text1"/>
              </w:rPr>
            </w:pPr>
            <w:r>
              <w:rPr>
                <w:color w:val="000000" w:themeColor="text1"/>
              </w:rPr>
              <w:t>3 (1.0)</w:t>
            </w:r>
          </w:p>
        </w:tc>
        <w:tc>
          <w:tcPr>
            <w:tcW w:w="810" w:type="dxa"/>
            <w:tcBorders>
              <w:left w:val="single" w:sz="4" w:space="0" w:color="auto"/>
              <w:bottom w:val="double" w:sz="4" w:space="0" w:color="auto"/>
            </w:tcBorders>
            <w:shd w:val="clear" w:color="auto" w:fill="auto"/>
          </w:tcPr>
          <w:p w14:paraId="490A9AA3" w14:textId="5BD7A4DC" w:rsidR="00F43D5A" w:rsidRPr="00BA0123" w:rsidRDefault="00B75C65" w:rsidP="00C659AE">
            <w:pPr>
              <w:pStyle w:val="BMSTableText"/>
              <w:keepNext/>
              <w:rPr>
                <w:color w:val="000000" w:themeColor="text1"/>
              </w:rPr>
            </w:pPr>
            <w:r w:rsidRPr="00A5352D">
              <w:t>71</w:t>
            </w:r>
          </w:p>
        </w:tc>
        <w:tc>
          <w:tcPr>
            <w:tcW w:w="1080" w:type="dxa"/>
            <w:tcBorders>
              <w:bottom w:val="double" w:sz="4" w:space="0" w:color="auto"/>
            </w:tcBorders>
            <w:shd w:val="clear" w:color="auto" w:fill="auto"/>
          </w:tcPr>
          <w:p w14:paraId="36DB3F20" w14:textId="22CE65A3" w:rsidR="00F43D5A" w:rsidRPr="00BA0123" w:rsidRDefault="00B75C65" w:rsidP="00C659AE">
            <w:pPr>
              <w:pStyle w:val="BMSTableText"/>
              <w:keepNext/>
              <w:rPr>
                <w:color w:val="000000" w:themeColor="text1"/>
              </w:rPr>
            </w:pPr>
            <w:r w:rsidRPr="00A5352D">
              <w:t>8 (11.3)</w:t>
            </w:r>
          </w:p>
        </w:tc>
        <w:tc>
          <w:tcPr>
            <w:tcW w:w="1170" w:type="dxa"/>
            <w:tcBorders>
              <w:bottom w:val="double" w:sz="4" w:space="0" w:color="auto"/>
            </w:tcBorders>
            <w:shd w:val="clear" w:color="auto" w:fill="auto"/>
          </w:tcPr>
          <w:p w14:paraId="14117549" w14:textId="6ADDFC3E" w:rsidR="00F43D5A" w:rsidRPr="00BA0123" w:rsidRDefault="00B75C65" w:rsidP="00C659AE">
            <w:pPr>
              <w:pStyle w:val="BMSTableText"/>
              <w:keepNext/>
              <w:rPr>
                <w:color w:val="000000" w:themeColor="text1"/>
              </w:rPr>
            </w:pPr>
            <w:r w:rsidRPr="00A5352D">
              <w:t>0</w:t>
            </w:r>
          </w:p>
        </w:tc>
      </w:tr>
    </w:tbl>
    <w:p w14:paraId="221F7C99" w14:textId="77777777" w:rsidR="00571096" w:rsidRDefault="00060386" w:rsidP="00060386">
      <w:pPr>
        <w:pStyle w:val="EMEABodyText"/>
        <w:rPr>
          <w:color w:val="000000" w:themeColor="text1"/>
          <w:sz w:val="18"/>
          <w:szCs w:val="18"/>
        </w:rPr>
      </w:pPr>
      <w:r w:rsidRPr="00217269">
        <w:rPr>
          <w:color w:val="000000" w:themeColor="text1"/>
          <w:sz w:val="18"/>
          <w:szCs w:val="18"/>
        </w:rPr>
        <w:t>Toxicity scale: CTC Version 4.0.</w:t>
      </w:r>
    </w:p>
    <w:p w14:paraId="5093D7D6" w14:textId="5301D261" w:rsidR="00060386" w:rsidRPr="00217269" w:rsidRDefault="00060386" w:rsidP="00060386">
      <w:pPr>
        <w:pStyle w:val="EMEABodyText"/>
        <w:rPr>
          <w:color w:val="000000" w:themeColor="text1"/>
          <w:sz w:val="18"/>
          <w:szCs w:val="18"/>
        </w:rPr>
      </w:pPr>
      <w:proofErr w:type="gramStart"/>
      <w:r w:rsidRPr="00217269">
        <w:rPr>
          <w:color w:val="000000" w:themeColor="text1"/>
          <w:sz w:val="18"/>
          <w:szCs w:val="18"/>
        </w:rPr>
        <w:t>Includes laboratory results reported after the first dose and within 30 days of the last dose of study therapy.</w:t>
      </w:r>
      <w:proofErr w:type="gramEnd"/>
      <w:r w:rsidRPr="00217269">
        <w:rPr>
          <w:color w:val="000000" w:themeColor="text1"/>
          <w:sz w:val="18"/>
          <w:szCs w:val="18"/>
        </w:rPr>
        <w:t xml:space="preserve"> The frequencies are regardless of causality.</w:t>
      </w:r>
    </w:p>
    <w:p w14:paraId="52CC0874" w14:textId="77777777" w:rsidR="00060386" w:rsidRPr="00217269" w:rsidRDefault="00060386" w:rsidP="00AA7768">
      <w:pPr>
        <w:pStyle w:val="EMEABodyText"/>
        <w:rPr>
          <w:color w:val="000000" w:themeColor="text1"/>
          <w:sz w:val="18"/>
          <w:szCs w:val="18"/>
        </w:rPr>
      </w:pPr>
      <w:proofErr w:type="spellStart"/>
      <w:proofErr w:type="gramStart"/>
      <w:r w:rsidRPr="00217269">
        <w:rPr>
          <w:rStyle w:val="BMSSuperscript"/>
          <w:rFonts w:eastAsia="Calibri"/>
          <w:color w:val="000000" w:themeColor="text1"/>
          <w:sz w:val="18"/>
          <w:szCs w:val="18"/>
        </w:rPr>
        <w:t>a</w:t>
      </w:r>
      <w:proofErr w:type="spellEnd"/>
      <w:proofErr w:type="gramEnd"/>
      <w:r w:rsidRPr="00217269">
        <w:rPr>
          <w:rStyle w:val="BMSSuperscript"/>
          <w:rFonts w:eastAsia="Calibri"/>
          <w:color w:val="000000" w:themeColor="text1"/>
          <w:sz w:val="18"/>
          <w:szCs w:val="18"/>
        </w:rPr>
        <w:t xml:space="preserve"> </w:t>
      </w:r>
      <w:r w:rsidRPr="00217269">
        <w:rPr>
          <w:color w:val="000000" w:themeColor="text1"/>
          <w:sz w:val="18"/>
          <w:szCs w:val="18"/>
        </w:rPr>
        <w:t>The total number of patients who had both baseline and on-study laboratory measurements available.</w:t>
      </w:r>
    </w:p>
    <w:p w14:paraId="786D3091" w14:textId="48F08852" w:rsidR="00060386" w:rsidRDefault="00060386" w:rsidP="00AA7768">
      <w:pPr>
        <w:pStyle w:val="BMSBodyText"/>
        <w:spacing w:before="0" w:after="0" w:line="240" w:lineRule="auto"/>
        <w:rPr>
          <w:color w:val="000000" w:themeColor="text1"/>
          <w:sz w:val="18"/>
          <w:szCs w:val="18"/>
        </w:rPr>
      </w:pPr>
      <w:proofErr w:type="gramStart"/>
      <w:r w:rsidRPr="00217269">
        <w:rPr>
          <w:rStyle w:val="BMSSuperscript"/>
          <w:rFonts w:eastAsia="Calibri"/>
          <w:color w:val="000000" w:themeColor="text1"/>
          <w:sz w:val="18"/>
          <w:szCs w:val="18"/>
        </w:rPr>
        <w:t>b</w:t>
      </w:r>
      <w:proofErr w:type="gramEnd"/>
      <w:r w:rsidRPr="00217269">
        <w:rPr>
          <w:color w:val="000000" w:themeColor="text1"/>
          <w:sz w:val="18"/>
          <w:szCs w:val="18"/>
        </w:rPr>
        <w:t xml:space="preserve"> Per </w:t>
      </w:r>
      <w:proofErr w:type="spellStart"/>
      <w:r w:rsidRPr="00217269">
        <w:rPr>
          <w:color w:val="000000" w:themeColor="text1"/>
          <w:sz w:val="18"/>
          <w:szCs w:val="18"/>
        </w:rPr>
        <w:t>an</w:t>
      </w:r>
      <w:r w:rsidR="00832EF6">
        <w:rPr>
          <w:color w:val="000000" w:themeColor="text1"/>
          <w:sz w:val="18"/>
          <w:szCs w:val="18"/>
        </w:rPr>
        <w:t>a</w:t>
      </w:r>
      <w:r w:rsidRPr="00217269">
        <w:rPr>
          <w:color w:val="000000" w:themeColor="text1"/>
          <w:sz w:val="18"/>
          <w:szCs w:val="18"/>
        </w:rPr>
        <w:t>emia</w:t>
      </w:r>
      <w:proofErr w:type="spellEnd"/>
      <w:r w:rsidRPr="00217269">
        <w:rPr>
          <w:color w:val="000000" w:themeColor="text1"/>
          <w:sz w:val="18"/>
          <w:szCs w:val="18"/>
        </w:rPr>
        <w:t xml:space="preserve"> criteria in CTC version 4.0, there is no Grade 4 for </w:t>
      </w:r>
      <w:proofErr w:type="spellStart"/>
      <w:r w:rsidRPr="00217269">
        <w:rPr>
          <w:color w:val="000000" w:themeColor="text1"/>
          <w:sz w:val="18"/>
          <w:szCs w:val="18"/>
        </w:rPr>
        <w:t>haemoglobin</w:t>
      </w:r>
      <w:proofErr w:type="spellEnd"/>
      <w:r w:rsidRPr="00217269">
        <w:rPr>
          <w:color w:val="000000" w:themeColor="text1"/>
          <w:sz w:val="18"/>
          <w:szCs w:val="18"/>
        </w:rPr>
        <w:t>.</w:t>
      </w:r>
    </w:p>
    <w:p w14:paraId="4EAA93A5" w14:textId="6F11D069" w:rsidR="00AA7768" w:rsidRDefault="00AA7768" w:rsidP="00AA7768">
      <w:pPr>
        <w:pStyle w:val="BMSBodyText"/>
        <w:spacing w:before="0" w:after="0" w:line="240" w:lineRule="auto"/>
        <w:rPr>
          <w:color w:val="000000" w:themeColor="text1"/>
          <w:sz w:val="18"/>
          <w:szCs w:val="18"/>
        </w:rPr>
      </w:pPr>
      <w:proofErr w:type="gramStart"/>
      <w:r w:rsidRPr="00AA7768">
        <w:rPr>
          <w:color w:val="000000" w:themeColor="text1"/>
          <w:sz w:val="18"/>
          <w:szCs w:val="18"/>
        </w:rPr>
        <w:t>c</w:t>
      </w:r>
      <w:proofErr w:type="gramEnd"/>
      <w:r w:rsidRPr="00AA7768">
        <w:rPr>
          <w:color w:val="000000" w:themeColor="text1"/>
          <w:sz w:val="18"/>
          <w:szCs w:val="18"/>
        </w:rPr>
        <w:t xml:space="preserve"> Life-threatening hyperglycemia has been reported in completed or ongoing clinical studies.</w:t>
      </w:r>
    </w:p>
    <w:p w14:paraId="19754B27" w14:textId="77777777" w:rsidR="00AA7768" w:rsidRPr="00217269" w:rsidRDefault="00AA7768" w:rsidP="00AA7768">
      <w:pPr>
        <w:pStyle w:val="BMSBodyText"/>
        <w:spacing w:before="0" w:after="0" w:line="240" w:lineRule="auto"/>
        <w:rPr>
          <w:color w:val="000000" w:themeColor="text1"/>
          <w:sz w:val="18"/>
          <w:szCs w:val="18"/>
        </w:rPr>
      </w:pPr>
    </w:p>
    <w:p w14:paraId="4EE6265E" w14:textId="294DBBEA" w:rsidR="00060386" w:rsidRPr="00AE66E6" w:rsidRDefault="00060386" w:rsidP="00571096">
      <w:r w:rsidRPr="00AE66E6">
        <w:t xml:space="preserve">The safety of OPDIVO 3 mg/kg every 2 weeks as monotherapy was evaluated in 266 adult patients with </w:t>
      </w:r>
      <w:proofErr w:type="spellStart"/>
      <w:r w:rsidRPr="00AE66E6">
        <w:t>cHL</w:t>
      </w:r>
      <w:proofErr w:type="spellEnd"/>
      <w:r w:rsidRPr="00AE66E6">
        <w:t xml:space="preserve"> post high-dose chemotherapy and ASCT (243 patients in study CA209205 and 23 patients </w:t>
      </w:r>
      <w:r w:rsidRPr="00AE66E6">
        <w:lastRenderedPageBreak/>
        <w:t xml:space="preserve">in CA209039). The median number of doses was higher in the </w:t>
      </w:r>
      <w:proofErr w:type="spellStart"/>
      <w:r w:rsidRPr="00AE66E6">
        <w:t>cHL</w:t>
      </w:r>
      <w:proofErr w:type="spellEnd"/>
      <w:r w:rsidRPr="00AE66E6">
        <w:t xml:space="preserve"> </w:t>
      </w:r>
      <w:proofErr w:type="spellStart"/>
      <w:r w:rsidRPr="00AE66E6">
        <w:t>nivolumab</w:t>
      </w:r>
      <w:proofErr w:type="spellEnd"/>
      <w:r w:rsidRPr="00AE66E6">
        <w:t xml:space="preserve"> monotherapy population compared with the pooled </w:t>
      </w:r>
      <w:proofErr w:type="spellStart"/>
      <w:r w:rsidRPr="00AE66E6">
        <w:t>nivolumab</w:t>
      </w:r>
      <w:proofErr w:type="spellEnd"/>
      <w:r w:rsidRPr="00AE66E6">
        <w:t xml:space="preserve"> monotherapy population across tumours (N=1991) (23 versus 10, respectively).  The median duration of study therapy was longer in the </w:t>
      </w:r>
      <w:proofErr w:type="spellStart"/>
      <w:r w:rsidRPr="00AE66E6">
        <w:t>cHL</w:t>
      </w:r>
      <w:proofErr w:type="spellEnd"/>
      <w:r w:rsidRPr="00AE66E6">
        <w:t xml:space="preserve"> </w:t>
      </w:r>
      <w:proofErr w:type="spellStart"/>
      <w:r w:rsidRPr="00AE66E6">
        <w:t>nivolumab</w:t>
      </w:r>
      <w:proofErr w:type="spellEnd"/>
      <w:r w:rsidRPr="00AE66E6">
        <w:t xml:space="preserve"> monotherapy population compared with the pooled </w:t>
      </w:r>
      <w:proofErr w:type="spellStart"/>
      <w:r w:rsidRPr="00AE66E6">
        <w:t>nivolumab</w:t>
      </w:r>
      <w:proofErr w:type="spellEnd"/>
      <w:r w:rsidRPr="00AE66E6">
        <w:t xml:space="preserve"> monotherapy population across tumours (18.6 months versus 5.3 months, respectively). Some adverse reactions (all grades) were reported at a higher frequency in the </w:t>
      </w:r>
      <w:proofErr w:type="spellStart"/>
      <w:r w:rsidRPr="00AE66E6">
        <w:t>cHL</w:t>
      </w:r>
      <w:proofErr w:type="spellEnd"/>
      <w:r w:rsidRPr="00AE66E6">
        <w:t xml:space="preserve"> </w:t>
      </w:r>
      <w:proofErr w:type="spellStart"/>
      <w:r w:rsidRPr="00AE66E6">
        <w:t>nivolumab</w:t>
      </w:r>
      <w:proofErr w:type="spellEnd"/>
      <w:r w:rsidRPr="00AE66E6">
        <w:t xml:space="preserve"> monotherapy population compared with the pooled </w:t>
      </w:r>
      <w:proofErr w:type="spellStart"/>
      <w:r w:rsidRPr="00AE66E6">
        <w:t>nivolumab</w:t>
      </w:r>
      <w:proofErr w:type="spellEnd"/>
      <w:r w:rsidRPr="00AE66E6">
        <w:t xml:space="preserve"> monotherapy population across tumours:  infusion related reaction (13.2%), lipase increased (7.1%), neutropenia (6.8%) and thrombocytopenia (6.4%).  Grade 3 or 4 adverse reactions of lipase increased (3.8%) and neutropenia (3.8%) were also reported at a higher frequency in the </w:t>
      </w:r>
      <w:proofErr w:type="spellStart"/>
      <w:r w:rsidRPr="00AE66E6">
        <w:t>cHL</w:t>
      </w:r>
      <w:proofErr w:type="spellEnd"/>
      <w:r w:rsidRPr="00AE66E6">
        <w:t xml:space="preserve"> </w:t>
      </w:r>
      <w:proofErr w:type="spellStart"/>
      <w:r w:rsidRPr="00AE66E6">
        <w:t>nivolumab</w:t>
      </w:r>
      <w:proofErr w:type="spellEnd"/>
      <w:r w:rsidRPr="00AE66E6">
        <w:t xml:space="preserve"> monotherapy population.  All other adverse reactions (all grades and Grade 3 or 4) were similar to the pooled </w:t>
      </w:r>
      <w:proofErr w:type="spellStart"/>
      <w:r w:rsidRPr="00AE66E6">
        <w:t>nivolumab</w:t>
      </w:r>
      <w:proofErr w:type="spellEnd"/>
      <w:r w:rsidRPr="00AE66E6">
        <w:t xml:space="preserve"> monotherapy population across tumours.</w:t>
      </w:r>
    </w:p>
    <w:p w14:paraId="2CB8D1C9" w14:textId="77777777" w:rsidR="00097FB2" w:rsidRPr="002D5929" w:rsidRDefault="00097FB2" w:rsidP="003E47FA">
      <w:pPr>
        <w:pStyle w:val="Heading3"/>
      </w:pPr>
      <w:r w:rsidRPr="002D5929">
        <w:t xml:space="preserve">Description of selected immune-related adverse reactions </w:t>
      </w:r>
    </w:p>
    <w:p w14:paraId="116C837D" w14:textId="4371C6AB" w:rsidR="00571096" w:rsidRDefault="00097FB2" w:rsidP="00571096">
      <w:pPr>
        <w:rPr>
          <w:color w:val="000000" w:themeColor="text1"/>
        </w:rPr>
      </w:pPr>
      <w:r w:rsidRPr="006214ED">
        <w:rPr>
          <w:color w:val="000000" w:themeColor="text1"/>
        </w:rPr>
        <w:t xml:space="preserve">The management guidelines for these adverse reactions are described in </w:t>
      </w:r>
      <w:r w:rsidR="00217269">
        <w:rPr>
          <w:color w:val="000000" w:themeColor="text1"/>
        </w:rPr>
        <w:t>Section 4.2</w:t>
      </w:r>
      <w:r w:rsidR="00310419">
        <w:rPr>
          <w:color w:val="000000" w:themeColor="text1"/>
        </w:rPr>
        <w:t xml:space="preserve"> Dose and method of administration</w:t>
      </w:r>
      <w:r w:rsidR="00C321D3">
        <w:rPr>
          <w:color w:val="000000" w:themeColor="text1"/>
        </w:rPr>
        <w:t xml:space="preserve"> and 4.4 warnings and precautions for use.</w:t>
      </w:r>
    </w:p>
    <w:p w14:paraId="0CEBC87D" w14:textId="0AFD0B36" w:rsidR="00097FB2" w:rsidRPr="00571096" w:rsidRDefault="00097FB2" w:rsidP="00571096">
      <w:pPr>
        <w:rPr>
          <w:i/>
        </w:rPr>
      </w:pPr>
      <w:r w:rsidRPr="00571096">
        <w:rPr>
          <w:i/>
        </w:rPr>
        <w:t>Note: Time to resolution may include censored observations.</w:t>
      </w:r>
    </w:p>
    <w:p w14:paraId="30507028" w14:textId="77777777" w:rsidR="00097FB2" w:rsidRPr="00FB60D5" w:rsidRDefault="00097FB2" w:rsidP="003E47FA">
      <w:pPr>
        <w:pStyle w:val="Heading3"/>
      </w:pPr>
      <w:r w:rsidRPr="00FB60D5">
        <w:t>Immune</w:t>
      </w:r>
      <w:r w:rsidRPr="00FB60D5">
        <w:noBreakHyphen/>
        <w:t>related pneumonitis</w:t>
      </w:r>
    </w:p>
    <w:p w14:paraId="1EECB569" w14:textId="77777777" w:rsidR="00097FB2" w:rsidRPr="00384722" w:rsidRDefault="00097FB2" w:rsidP="00BA0123">
      <w:pPr>
        <w:pStyle w:val="Heading4"/>
      </w:pPr>
      <w:r w:rsidRPr="00384722">
        <w:t>OPDIVO monotherapy</w:t>
      </w:r>
    </w:p>
    <w:p w14:paraId="79F83DCE" w14:textId="45D8F0E0" w:rsidR="00097FB2" w:rsidRPr="00384722" w:rsidRDefault="00097FB2" w:rsidP="00571096">
      <w:r w:rsidRPr="00384722">
        <w:t xml:space="preserve">In </w:t>
      </w:r>
      <w:r w:rsidR="00AA7768">
        <w:t xml:space="preserve">the pooled analysis </w:t>
      </w:r>
      <w:r w:rsidR="00B67800">
        <w:t xml:space="preserve">in </w:t>
      </w:r>
      <w:r w:rsidRPr="00384722">
        <w:t xml:space="preserve">patients treated with </w:t>
      </w:r>
      <w:proofErr w:type="spellStart"/>
      <w:r w:rsidRPr="00384722">
        <w:t>nivolumab</w:t>
      </w:r>
      <w:proofErr w:type="spellEnd"/>
      <w:r w:rsidRPr="00384722">
        <w:t xml:space="preserve"> monotherapy, the incidence of pneumonitis, including interstitial lung disease and lung infiltration, was </w:t>
      </w:r>
      <w:r w:rsidR="00AA7768">
        <w:t>3.4%</w:t>
      </w:r>
      <w:r w:rsidRPr="00384722">
        <w:t xml:space="preserve"> </w:t>
      </w:r>
      <w:r w:rsidR="00AA7768">
        <w:t>(87/2578)</w:t>
      </w:r>
      <w:r w:rsidRPr="00384722">
        <w:t xml:space="preserve">. The majority of cases were Grade 1 or 2 in severity reported in </w:t>
      </w:r>
      <w:r w:rsidR="00AA7768">
        <w:t>0.8%</w:t>
      </w:r>
      <w:r w:rsidRPr="00384722">
        <w:t xml:space="preserve"> </w:t>
      </w:r>
      <w:r w:rsidR="00AA7768">
        <w:t>(21/2578)</w:t>
      </w:r>
      <w:r w:rsidRPr="00384722">
        <w:t xml:space="preserve"> and </w:t>
      </w:r>
      <w:r w:rsidR="00AA7768">
        <w:t>1.7%</w:t>
      </w:r>
      <w:r w:rsidRPr="00384722">
        <w:t xml:space="preserve"> </w:t>
      </w:r>
      <w:r w:rsidR="00AA7768">
        <w:t>(44/2578)</w:t>
      </w:r>
      <w:r w:rsidRPr="00384722">
        <w:t xml:space="preserve"> of patients respectively. Grade 3 and 4 cases were reported in 0.7% </w:t>
      </w:r>
      <w:r w:rsidR="00AA7768">
        <w:t>(19/2578)</w:t>
      </w:r>
      <w:r w:rsidRPr="00384722">
        <w:t xml:space="preserve"> and &lt;0.1 (1/</w:t>
      </w:r>
      <w:r w:rsidR="00AA7768">
        <w:t>2578</w:t>
      </w:r>
      <w:r w:rsidRPr="00384722">
        <w:t xml:space="preserve">) of patients respectively. </w:t>
      </w:r>
      <w:r w:rsidR="00AA7768" w:rsidRPr="00AA7768">
        <w:t xml:space="preserve">Two Grade 5 cases (&lt;0.1%) were reported in these studies. </w:t>
      </w:r>
      <w:r w:rsidRPr="00384722">
        <w:t xml:space="preserve">One patient with Grade 3 pulmonary embolism and Grade 3 pneumonitis died in the SCCHN clinical trial. </w:t>
      </w:r>
    </w:p>
    <w:p w14:paraId="07A1E9A0" w14:textId="5F0F11A5" w:rsidR="00097FB2" w:rsidRPr="00384722" w:rsidRDefault="00097FB2" w:rsidP="00571096">
      <w:r w:rsidRPr="00384722">
        <w:t xml:space="preserve">Median time to onset was </w:t>
      </w:r>
      <w:r w:rsidR="00AA7768">
        <w:t>3.6</w:t>
      </w:r>
      <w:r w:rsidRPr="00384722">
        <w:t xml:space="preserve"> months (range: 0.</w:t>
      </w:r>
      <w:r w:rsidR="00AA7768">
        <w:t>2</w:t>
      </w:r>
      <w:r w:rsidRPr="00384722">
        <w:t xml:space="preserve">-19.6). </w:t>
      </w:r>
      <w:r w:rsidR="00AA7768">
        <w:t>Thirty-one</w:t>
      </w:r>
      <w:r w:rsidR="00AA7768" w:rsidRPr="00384722">
        <w:t xml:space="preserve"> </w:t>
      </w:r>
      <w:r w:rsidRPr="00384722">
        <w:t>patients (</w:t>
      </w:r>
      <w:r w:rsidR="00AA7768">
        <w:t>1.2%</w:t>
      </w:r>
      <w:r w:rsidRPr="00384722">
        <w:t>)</w:t>
      </w:r>
      <w:proofErr w:type="gramStart"/>
      <w:r w:rsidRPr="00384722">
        <w:t>,  required</w:t>
      </w:r>
      <w:proofErr w:type="gramEnd"/>
      <w:r w:rsidRPr="00384722">
        <w:t xml:space="preserve"> permanent discontinuation of </w:t>
      </w:r>
      <w:proofErr w:type="spellStart"/>
      <w:r w:rsidRPr="00384722">
        <w:t>nivolumab</w:t>
      </w:r>
      <w:proofErr w:type="spellEnd"/>
      <w:r w:rsidRPr="00384722">
        <w:t xml:space="preserve">. </w:t>
      </w:r>
    </w:p>
    <w:p w14:paraId="4604DE3B" w14:textId="7CE4EBBF" w:rsidR="00097FB2" w:rsidRPr="00384722" w:rsidRDefault="00AA7768" w:rsidP="00571096">
      <w:r>
        <w:t>Sixty</w:t>
      </w:r>
      <w:r w:rsidR="00097FB2" w:rsidRPr="00384722">
        <w:t xml:space="preserve"> patients received high-dose corticosteroids (at least 40 mg prednisone equivalents) at a median initial dose of </w:t>
      </w:r>
      <w:r>
        <w:t>1.0</w:t>
      </w:r>
      <w:r w:rsidR="00097FB2" w:rsidRPr="00384722">
        <w:t xml:space="preserve"> mg/kg (range: 0.5-17.6) for a median duration of 3.4 weeks (range: 0.1-13.1). </w:t>
      </w:r>
    </w:p>
    <w:p w14:paraId="5EB1C1B2" w14:textId="6D1021D7" w:rsidR="00097FB2" w:rsidRPr="00384722" w:rsidRDefault="00097FB2" w:rsidP="00571096">
      <w:r w:rsidRPr="00384722">
        <w:t xml:space="preserve">Resolution occurred in </w:t>
      </w:r>
      <w:r w:rsidR="00AA7768">
        <w:t>63</w:t>
      </w:r>
      <w:r w:rsidRPr="00384722">
        <w:t> patients (</w:t>
      </w:r>
      <w:r w:rsidR="00AA7768">
        <w:t>72%</w:t>
      </w:r>
      <w:r w:rsidRPr="00384722">
        <w:t xml:space="preserve">) with a median time to resolution of </w:t>
      </w:r>
      <w:r w:rsidR="00AA7768">
        <w:t>6.1</w:t>
      </w:r>
      <w:r w:rsidRPr="00384722">
        <w:t xml:space="preserve"> weeks (range</w:t>
      </w:r>
      <w:proofErr w:type="gramStart"/>
      <w:r w:rsidRPr="00384722">
        <w:t>:0.1</w:t>
      </w:r>
      <w:proofErr w:type="gramEnd"/>
      <w:r w:rsidRPr="00384722">
        <w:t>-</w:t>
      </w:r>
      <w:r w:rsidR="00AA7768">
        <w:t>96.7</w:t>
      </w:r>
      <w:r w:rsidRPr="00384722">
        <w:t>).</w:t>
      </w:r>
    </w:p>
    <w:p w14:paraId="281630EB" w14:textId="77777777" w:rsidR="00097FB2" w:rsidRPr="002D5929" w:rsidRDefault="00097FB2" w:rsidP="00BA0123">
      <w:pPr>
        <w:pStyle w:val="Heading4"/>
      </w:pPr>
      <w:r w:rsidRPr="002D5929">
        <w:t xml:space="preserve">OPDIVO in combination with </w:t>
      </w:r>
      <w:proofErr w:type="spellStart"/>
      <w:r w:rsidRPr="002D5929">
        <w:t>ipilimumab</w:t>
      </w:r>
      <w:proofErr w:type="spellEnd"/>
    </w:p>
    <w:p w14:paraId="765F7093" w14:textId="77777777" w:rsidR="00097FB2" w:rsidRDefault="00097FB2" w:rsidP="00571096">
      <w:r w:rsidRPr="006A6D4B">
        <w:rPr>
          <w:color w:val="000000" w:themeColor="text1"/>
        </w:rPr>
        <w:t>In patients treated with OPDIVO i</w:t>
      </w:r>
      <w:r w:rsidRPr="00DE0D3B">
        <w:t xml:space="preserve">n combination with </w:t>
      </w:r>
      <w:proofErr w:type="spellStart"/>
      <w:r w:rsidRPr="00DE0D3B">
        <w:t>ipilimumab</w:t>
      </w:r>
      <w:proofErr w:type="spellEnd"/>
      <w:r w:rsidRPr="00DE0D3B">
        <w:t xml:space="preserve">, the incidence of pneumonitis including interstitial lung </w:t>
      </w:r>
      <w:proofErr w:type="gramStart"/>
      <w:r w:rsidRPr="00DE0D3B">
        <w:t>disease,</w:t>
      </w:r>
      <w:proofErr w:type="gramEnd"/>
      <w:r w:rsidRPr="00DE0D3B">
        <w:t xml:space="preserve"> was 7.4% (33/448). Grade 2, Grade 3, and Grade 4 cases were reported in 4.5% (20/448), 1.1% (5/448), and 0.2% (1/448) of patients, respectively. One of the Grade 3 pneumonitis worsened over 11 days with a fatal outcome. </w:t>
      </w:r>
    </w:p>
    <w:p w14:paraId="1D700A8C" w14:textId="77777777" w:rsidR="00097FB2" w:rsidRDefault="00097FB2" w:rsidP="00571096">
      <w:r w:rsidRPr="00DE0D3B">
        <w:t>Median time to onset was</w:t>
      </w:r>
      <w:r w:rsidRPr="00652B5D">
        <w:t xml:space="preserve"> </w:t>
      </w:r>
      <w:r>
        <w:t xml:space="preserve">7.9 weeks </w:t>
      </w:r>
      <w:r w:rsidRPr="000779BF">
        <w:t>(range:</w:t>
      </w:r>
      <w:r>
        <w:t xml:space="preserve"> 3.0-29.1)</w:t>
      </w:r>
      <w:r w:rsidRPr="00DE0D3B">
        <w:t xml:space="preserve">. Nine patients (2.0%) required permanent discontinuation of </w:t>
      </w:r>
      <w:proofErr w:type="spellStart"/>
      <w:r w:rsidRPr="00DE0D3B">
        <w:t>nivolumab</w:t>
      </w:r>
      <w:proofErr w:type="spellEnd"/>
      <w:r w:rsidRPr="00DE0D3B">
        <w:t xml:space="preserve"> in combination with </w:t>
      </w:r>
      <w:proofErr w:type="spellStart"/>
      <w:r w:rsidRPr="00DE0D3B">
        <w:t>ipilimumab</w:t>
      </w:r>
      <w:proofErr w:type="spellEnd"/>
      <w:r w:rsidRPr="00DE0D3B">
        <w:t xml:space="preserve">. </w:t>
      </w:r>
    </w:p>
    <w:p w14:paraId="438EC1DE" w14:textId="77777777" w:rsidR="00097FB2" w:rsidRDefault="00097FB2" w:rsidP="00571096">
      <w:r w:rsidRPr="00DE0D3B">
        <w:t xml:space="preserve">Twenty-one patients received high-dose corticosteroids (at least 40 mg prednisone equivalents) at a median initial dose of 1.2 mg/kg (range: 0.4-5.0) for a median duration of 4.3 weeks (range: 0.7-51.1). </w:t>
      </w:r>
    </w:p>
    <w:p w14:paraId="4134C41A" w14:textId="77777777" w:rsidR="00097FB2" w:rsidRPr="00DE0D3B" w:rsidRDefault="00097FB2" w:rsidP="00571096">
      <w:r w:rsidRPr="00DE0D3B">
        <w:t>Resolution occurred in 29 patients (87.9%) with a median time to resolution of 6.1 weeks (range: 0.3-46.9).</w:t>
      </w:r>
    </w:p>
    <w:p w14:paraId="4F8EF8F5" w14:textId="77777777" w:rsidR="00674692" w:rsidRPr="00FB60D5" w:rsidRDefault="00674692" w:rsidP="003E47FA">
      <w:pPr>
        <w:pStyle w:val="Heading3"/>
      </w:pPr>
      <w:r w:rsidRPr="00FB60D5">
        <w:lastRenderedPageBreak/>
        <w:t>Immune</w:t>
      </w:r>
      <w:r w:rsidRPr="00FB60D5">
        <w:noBreakHyphen/>
        <w:t>related colitis</w:t>
      </w:r>
    </w:p>
    <w:p w14:paraId="64125633" w14:textId="77777777" w:rsidR="00674692" w:rsidRPr="00384722" w:rsidRDefault="00674692" w:rsidP="00BA0123">
      <w:pPr>
        <w:pStyle w:val="Heading4"/>
      </w:pPr>
      <w:r w:rsidRPr="00384722">
        <w:t>OPDIVO monotherapy</w:t>
      </w:r>
    </w:p>
    <w:p w14:paraId="2E81CAD4" w14:textId="7B839A35" w:rsidR="00674692" w:rsidRPr="00384722" w:rsidRDefault="00674692" w:rsidP="00571096">
      <w:r w:rsidRPr="00384722">
        <w:t xml:space="preserve">In </w:t>
      </w:r>
      <w:r w:rsidR="004C40A4">
        <w:t xml:space="preserve">the pooled analysis in </w:t>
      </w:r>
      <w:r w:rsidRPr="00384722">
        <w:t xml:space="preserve">patients treated with </w:t>
      </w:r>
      <w:proofErr w:type="spellStart"/>
      <w:r w:rsidRPr="00384722">
        <w:t>nivolumab</w:t>
      </w:r>
      <w:proofErr w:type="spellEnd"/>
      <w:r w:rsidRPr="00384722">
        <w:t xml:space="preserve"> monotherapy, the incidence of diarrhoea, colitis or frequent bowel movements was </w:t>
      </w:r>
      <w:r w:rsidR="004C40A4">
        <w:t>13.1% (339/2578)</w:t>
      </w:r>
      <w:r w:rsidRPr="00384722">
        <w:t xml:space="preserve">. The majority of cases were Grade 1 or 2 in severity reported in </w:t>
      </w:r>
      <w:r w:rsidR="004C40A4">
        <w:t>8.5% (220/2578)</w:t>
      </w:r>
      <w:r w:rsidRPr="00384722">
        <w:t xml:space="preserve"> and </w:t>
      </w:r>
      <w:r w:rsidR="004C40A4">
        <w:t>3.0% (78/2578)</w:t>
      </w:r>
      <w:r w:rsidRPr="00384722">
        <w:t xml:space="preserve"> of patients respectively. Grade 3 cases were reported in </w:t>
      </w:r>
      <w:r w:rsidR="004C40A4">
        <w:t>1.6% (41/2578)</w:t>
      </w:r>
      <w:r w:rsidRPr="00384722">
        <w:t xml:space="preserve"> of patients. No Grade 4 or 5 cases were reported. </w:t>
      </w:r>
    </w:p>
    <w:p w14:paraId="24FAAD94" w14:textId="2404DA6D" w:rsidR="00674692" w:rsidRPr="00384722" w:rsidRDefault="00674692" w:rsidP="00571096">
      <w:r w:rsidRPr="00384722">
        <w:t xml:space="preserve">Median time to onset was </w:t>
      </w:r>
      <w:r w:rsidR="004C40A4">
        <w:t>1.8</w:t>
      </w:r>
      <w:r w:rsidRPr="00384722">
        <w:t xml:space="preserve"> months (range: </w:t>
      </w:r>
      <w:r w:rsidR="004C40A4">
        <w:t>1 day-26.6 months</w:t>
      </w:r>
      <w:r w:rsidRPr="00384722">
        <w:t xml:space="preserve">). </w:t>
      </w:r>
      <w:r w:rsidR="004C40A4">
        <w:t>Twenty</w:t>
      </w:r>
      <w:r w:rsidRPr="00384722">
        <w:t xml:space="preserve"> patients (0.</w:t>
      </w:r>
      <w:r w:rsidR="004C40A4">
        <w:t>8</w:t>
      </w:r>
      <w:r w:rsidRPr="00384722">
        <w:t xml:space="preserve">%) required permanent discontinuation of </w:t>
      </w:r>
      <w:proofErr w:type="spellStart"/>
      <w:r w:rsidRPr="00384722">
        <w:t>nivolumab</w:t>
      </w:r>
      <w:proofErr w:type="spellEnd"/>
      <w:r w:rsidRPr="00384722">
        <w:t xml:space="preserve">. </w:t>
      </w:r>
    </w:p>
    <w:p w14:paraId="550B47A8" w14:textId="6E7D2868" w:rsidR="00674692" w:rsidRPr="00384722" w:rsidRDefault="004C40A4" w:rsidP="00571096">
      <w:r>
        <w:t>Forty-nine</w:t>
      </w:r>
      <w:r w:rsidR="00674692" w:rsidRPr="00384722">
        <w:t xml:space="preserve"> patients received high-dose corticosteroids (at least 40 mg prednisone equivalents) at a median initial dose of </w:t>
      </w:r>
      <w:r>
        <w:t>1.0</w:t>
      </w:r>
      <w:r w:rsidR="00674692" w:rsidRPr="00384722">
        <w:t xml:space="preserve"> mg/kg (range: 0.4-4.7) for a median duration of </w:t>
      </w:r>
      <w:r>
        <w:t>2.4</w:t>
      </w:r>
      <w:r w:rsidR="00674692" w:rsidRPr="00384722">
        <w:t xml:space="preserve"> weeks (range: </w:t>
      </w:r>
      <w:r>
        <w:t>0.1-30.7</w:t>
      </w:r>
      <w:r w:rsidR="00674692" w:rsidRPr="00384722">
        <w:t xml:space="preserve">). </w:t>
      </w:r>
    </w:p>
    <w:p w14:paraId="07870148" w14:textId="51456D4D" w:rsidR="00674692" w:rsidRPr="00384722" w:rsidRDefault="00674692" w:rsidP="00571096">
      <w:pPr>
        <w:rPr>
          <w:i/>
        </w:rPr>
      </w:pPr>
      <w:r w:rsidRPr="00384722">
        <w:t xml:space="preserve">Resolution occurred in </w:t>
      </w:r>
      <w:r w:rsidR="004C40A4">
        <w:t>296</w:t>
      </w:r>
      <w:r w:rsidRPr="00384722">
        <w:t xml:space="preserve"> patients (</w:t>
      </w:r>
      <w:r w:rsidR="004C40A4">
        <w:t>88%</w:t>
      </w:r>
      <w:r w:rsidRPr="00384722">
        <w:t xml:space="preserve">) with a median time to resolution of </w:t>
      </w:r>
      <w:r w:rsidR="004C40A4">
        <w:t>2.1</w:t>
      </w:r>
      <w:r w:rsidRPr="00384722">
        <w:t xml:space="preserve"> weeks (range: 0.1-</w:t>
      </w:r>
      <w:r w:rsidR="004C40A4">
        <w:t>124.4</w:t>
      </w:r>
      <w:r w:rsidRPr="00384722">
        <w:t>).</w:t>
      </w:r>
    </w:p>
    <w:p w14:paraId="6148CA85" w14:textId="77777777" w:rsidR="00674692" w:rsidRPr="002D5929" w:rsidRDefault="00674692" w:rsidP="00BA0123">
      <w:pPr>
        <w:pStyle w:val="Heading4"/>
      </w:pPr>
      <w:r w:rsidRPr="002D5929">
        <w:t xml:space="preserve">OPDIVO in combination with </w:t>
      </w:r>
      <w:proofErr w:type="spellStart"/>
      <w:r w:rsidRPr="002D5929">
        <w:t>ipilimumab</w:t>
      </w:r>
      <w:proofErr w:type="spellEnd"/>
    </w:p>
    <w:p w14:paraId="408E4654" w14:textId="77777777" w:rsidR="00674692" w:rsidRDefault="00674692" w:rsidP="00571096">
      <w:r w:rsidRPr="00DE0D3B">
        <w:t xml:space="preserve">In patients treated with </w:t>
      </w:r>
      <w:r>
        <w:t>OPDIVO</w:t>
      </w:r>
      <w:r w:rsidRPr="00DE0D3B">
        <w:t xml:space="preserve"> in combination with </w:t>
      </w:r>
      <w:proofErr w:type="spellStart"/>
      <w:r w:rsidRPr="00DE0D3B">
        <w:t>ipilimumab</w:t>
      </w:r>
      <w:proofErr w:type="spellEnd"/>
      <w:r w:rsidRPr="00DE0D3B">
        <w:t xml:space="preserve">, the incidence of diarrhoea or colitis was 45.5% (204/448). Grade 2, Grade 3, and Grade 4 cases were reported in 13.2% (59/448), 15.4% (69/448), and 0.4% (2/448) of patients, respectively.  </w:t>
      </w:r>
      <w:r w:rsidRPr="00627151">
        <w:t xml:space="preserve">No deaths due to diarrhoea or colitis </w:t>
      </w:r>
      <w:r w:rsidRPr="005613C3">
        <w:t>were reported.</w:t>
      </w:r>
      <w:r w:rsidRPr="000779BF">
        <w:t xml:space="preserve"> </w:t>
      </w:r>
    </w:p>
    <w:p w14:paraId="2DD6B52C" w14:textId="77777777" w:rsidR="00674692" w:rsidRDefault="00674692" w:rsidP="00571096">
      <w:r w:rsidRPr="00DE0D3B">
        <w:t>Median time to onset was</w:t>
      </w:r>
      <w:r w:rsidRPr="00652B5D">
        <w:t xml:space="preserve"> </w:t>
      </w:r>
      <w:r>
        <w:t xml:space="preserve">4.9 weeks </w:t>
      </w:r>
      <w:r w:rsidRPr="000779BF">
        <w:t>(range</w:t>
      </w:r>
      <w:proofErr w:type="gramStart"/>
      <w:r w:rsidRPr="000779BF">
        <w:t>:</w:t>
      </w:r>
      <w:r>
        <w:t>1</w:t>
      </w:r>
      <w:proofErr w:type="gramEnd"/>
      <w:r>
        <w:t xml:space="preserve"> day-45.2 weeks)</w:t>
      </w:r>
      <w:r w:rsidRPr="00DE0D3B">
        <w:t xml:space="preserve">. Seventy-one patients (15.8%) required permanent discontinuation of </w:t>
      </w:r>
      <w:proofErr w:type="spellStart"/>
      <w:r w:rsidRPr="00DE0D3B">
        <w:t>nivolumab</w:t>
      </w:r>
      <w:proofErr w:type="spellEnd"/>
      <w:r w:rsidRPr="00DE0D3B">
        <w:t xml:space="preserve"> in combination with </w:t>
      </w:r>
      <w:proofErr w:type="spellStart"/>
      <w:r w:rsidRPr="00DE0D3B">
        <w:t>ipilimumab</w:t>
      </w:r>
      <w:proofErr w:type="spellEnd"/>
      <w:r w:rsidRPr="00DE0D3B">
        <w:t xml:space="preserve">. </w:t>
      </w:r>
    </w:p>
    <w:p w14:paraId="20F11AA0" w14:textId="77777777" w:rsidR="00674692" w:rsidRDefault="00674692" w:rsidP="00571096">
      <w:r w:rsidRPr="00DE0D3B">
        <w:t xml:space="preserve">Ninety-six patients received high-dose corticosteroids (at least 40 mg prednisone equivalents) at a median initial dose of 1.1 mg/kg (range: 0.3-12.5) for a median duration of 4.6 weeks (range: 0.1-50.7). </w:t>
      </w:r>
    </w:p>
    <w:p w14:paraId="2D50A0DC" w14:textId="77777777" w:rsidR="00674692" w:rsidRDefault="00674692" w:rsidP="00571096">
      <w:pPr>
        <w:rPr>
          <w:i/>
          <w:noProof/>
          <w:color w:val="000000" w:themeColor="text1"/>
        </w:rPr>
      </w:pPr>
      <w:r w:rsidRPr="00DE0D3B">
        <w:t>Resolution occurred in 184 patients (90.6%) with a median time to resolution of 3.0 weeks (range: 0.1-78.7).</w:t>
      </w:r>
    </w:p>
    <w:p w14:paraId="541F1E91" w14:textId="77777777" w:rsidR="00674692" w:rsidRPr="00DD212A" w:rsidRDefault="00674692" w:rsidP="003E47FA">
      <w:pPr>
        <w:pStyle w:val="Heading3"/>
      </w:pPr>
      <w:r w:rsidRPr="00DD212A">
        <w:t>Immune</w:t>
      </w:r>
      <w:r w:rsidRPr="00DD212A">
        <w:noBreakHyphen/>
        <w:t>related hepatitis</w:t>
      </w:r>
    </w:p>
    <w:p w14:paraId="03F460D2" w14:textId="77777777" w:rsidR="00674692" w:rsidRPr="00384722" w:rsidRDefault="00674692" w:rsidP="00BA0123">
      <w:pPr>
        <w:pStyle w:val="Heading4"/>
      </w:pPr>
      <w:r w:rsidRPr="00DD212A">
        <w:t>OPDIVO monotherapy</w:t>
      </w:r>
    </w:p>
    <w:p w14:paraId="51331C53" w14:textId="4C10E439" w:rsidR="00674692" w:rsidRPr="00384722" w:rsidRDefault="00674692" w:rsidP="00571096">
      <w:r w:rsidRPr="00384722">
        <w:t xml:space="preserve">In </w:t>
      </w:r>
      <w:r w:rsidR="00CC182B">
        <w:t xml:space="preserve">the pooled analysis in </w:t>
      </w:r>
      <w:r w:rsidRPr="00384722">
        <w:t xml:space="preserve">patients treated with </w:t>
      </w:r>
      <w:proofErr w:type="spellStart"/>
      <w:r w:rsidRPr="00384722">
        <w:t>nivolumab</w:t>
      </w:r>
      <w:proofErr w:type="spellEnd"/>
      <w:r w:rsidRPr="00384722">
        <w:t xml:space="preserve"> monotherapy, the incidence of liver function test abnormalities was </w:t>
      </w:r>
      <w:r w:rsidR="00E20837">
        <w:t>6.7% (173/2578)</w:t>
      </w:r>
      <w:r w:rsidRPr="00384722">
        <w:t xml:space="preserve">. The majority of cases were Grade 1 or 2 in severity reported in 3.5% </w:t>
      </w:r>
      <w:r w:rsidR="00E20837">
        <w:t>(91/2578)</w:t>
      </w:r>
      <w:r w:rsidRPr="00384722">
        <w:t xml:space="preserve"> and 1.2% </w:t>
      </w:r>
      <w:r w:rsidR="00E20837">
        <w:t>(32/2578</w:t>
      </w:r>
      <w:proofErr w:type="gramStart"/>
      <w:r w:rsidR="00E20837">
        <w:t xml:space="preserve">) </w:t>
      </w:r>
      <w:r w:rsidRPr="00384722">
        <w:t xml:space="preserve"> of</w:t>
      </w:r>
      <w:proofErr w:type="gramEnd"/>
      <w:r w:rsidRPr="00384722">
        <w:t xml:space="preserve"> patients respectively. Grade 3 and 4 cases were reported in </w:t>
      </w:r>
      <w:r w:rsidR="00E20837">
        <w:t>1.6% (41/2578)</w:t>
      </w:r>
      <w:r w:rsidRPr="00384722">
        <w:t xml:space="preserve"> and </w:t>
      </w:r>
      <w:r w:rsidR="00E20837">
        <w:t>0.3% (9/2578)</w:t>
      </w:r>
      <w:r w:rsidRPr="00384722">
        <w:t xml:space="preserve"> of patients, respectively.</w:t>
      </w:r>
      <w:r>
        <w:t xml:space="preserve"> </w:t>
      </w:r>
      <w:r w:rsidRPr="00384722">
        <w:t xml:space="preserve">No deaths due to liver function abnormalities were reported. </w:t>
      </w:r>
    </w:p>
    <w:p w14:paraId="149DE79B" w14:textId="3B879567" w:rsidR="00674692" w:rsidRPr="00384722" w:rsidRDefault="00674692" w:rsidP="00571096">
      <w:r w:rsidRPr="00384722">
        <w:t xml:space="preserve">Median time to onset was </w:t>
      </w:r>
      <w:r w:rsidR="00E20837">
        <w:t>2.1</w:t>
      </w:r>
      <w:r w:rsidRPr="00384722">
        <w:t xml:space="preserve"> months (range: </w:t>
      </w:r>
      <w:r w:rsidR="00E20837">
        <w:t>1</w:t>
      </w:r>
      <w:r w:rsidR="00B67800">
        <w:t xml:space="preserve"> </w:t>
      </w:r>
      <w:r w:rsidR="00E20837">
        <w:t>day</w:t>
      </w:r>
      <w:r w:rsidR="00B67800">
        <w:t xml:space="preserve"> </w:t>
      </w:r>
      <w:r w:rsidR="00E20837">
        <w:t>-</w:t>
      </w:r>
      <w:r w:rsidR="00B67800">
        <w:t xml:space="preserve"> </w:t>
      </w:r>
      <w:r w:rsidR="00E20837">
        <w:t>27.6 months</w:t>
      </w:r>
      <w:r w:rsidRPr="00384722">
        <w:t>). Twenty-</w:t>
      </w:r>
      <w:r w:rsidR="00E20837">
        <w:t>seven</w:t>
      </w:r>
      <w:r w:rsidRPr="00384722">
        <w:t xml:space="preserve"> (</w:t>
      </w:r>
      <w:r w:rsidR="00E20837">
        <w:t>1.0%</w:t>
      </w:r>
      <w:r w:rsidRPr="00384722">
        <w:t>)</w:t>
      </w:r>
      <w:r w:rsidR="00C3270F">
        <w:t xml:space="preserve"> </w:t>
      </w:r>
      <w:r w:rsidRPr="00384722">
        <w:t xml:space="preserve">required permanent discontinuation of </w:t>
      </w:r>
      <w:proofErr w:type="spellStart"/>
      <w:r w:rsidRPr="00384722">
        <w:t>nivolumab</w:t>
      </w:r>
      <w:proofErr w:type="spellEnd"/>
      <w:r w:rsidRPr="00384722">
        <w:t>.</w:t>
      </w:r>
    </w:p>
    <w:p w14:paraId="6816B242" w14:textId="28F39E8F" w:rsidR="00674692" w:rsidRPr="00384722" w:rsidRDefault="00B67800" w:rsidP="00571096">
      <w:proofErr w:type="spellStart"/>
      <w:r>
        <w:t>Thrity</w:t>
      </w:r>
      <w:proofErr w:type="spellEnd"/>
      <w:r>
        <w:t>-six</w:t>
      </w:r>
      <w:r w:rsidR="00674692" w:rsidRPr="00384722">
        <w:t xml:space="preserve"> patients received high-dose corticosteroids (at least 40 mg prednisone equivalents) at a median initial dose of </w:t>
      </w:r>
      <w:r>
        <w:t>1.2</w:t>
      </w:r>
      <w:r w:rsidR="00674692" w:rsidRPr="00384722">
        <w:t xml:space="preserve"> mg/kg (range: 0.4-4.7) for a median duration of </w:t>
      </w:r>
      <w:r>
        <w:t>2.6</w:t>
      </w:r>
      <w:r w:rsidR="00674692" w:rsidRPr="00384722">
        <w:t xml:space="preserve"> weeks (range: 0.41-8.9). </w:t>
      </w:r>
    </w:p>
    <w:p w14:paraId="5649E87D" w14:textId="2FA91D28" w:rsidR="00674692" w:rsidRPr="002D5929" w:rsidRDefault="00674692" w:rsidP="00571096">
      <w:pPr>
        <w:rPr>
          <w:i/>
          <w:noProof/>
        </w:rPr>
      </w:pPr>
      <w:r w:rsidRPr="002D5929">
        <w:t>Resolution occurred in </w:t>
      </w:r>
      <w:r w:rsidR="00B67800">
        <w:t>132</w:t>
      </w:r>
      <w:r w:rsidRPr="006A6D4B">
        <w:t xml:space="preserve"> </w:t>
      </w:r>
      <w:r w:rsidRPr="002D5929">
        <w:t>patients (</w:t>
      </w:r>
      <w:r w:rsidR="00B67800">
        <w:t>77%)</w:t>
      </w:r>
      <w:r w:rsidRPr="002D5929">
        <w:t xml:space="preserve"> with a median time to resolution of </w:t>
      </w:r>
      <w:r w:rsidR="00B67800">
        <w:t>9</w:t>
      </w:r>
      <w:r w:rsidRPr="002D5929">
        <w:t xml:space="preserve"> weeks (range: 0.1-82.6).</w:t>
      </w:r>
    </w:p>
    <w:p w14:paraId="6C68EC02" w14:textId="77777777" w:rsidR="00674692" w:rsidRPr="002D5929" w:rsidRDefault="00674692" w:rsidP="00BA0123">
      <w:pPr>
        <w:pStyle w:val="Heading4"/>
      </w:pPr>
      <w:r w:rsidRPr="002D5929">
        <w:t xml:space="preserve">OPDIVO in combination with </w:t>
      </w:r>
      <w:proofErr w:type="spellStart"/>
      <w:r w:rsidRPr="002D5929">
        <w:t>ipilimumab</w:t>
      </w:r>
      <w:proofErr w:type="spellEnd"/>
    </w:p>
    <w:p w14:paraId="1032F873" w14:textId="77777777" w:rsidR="00674692" w:rsidRDefault="00674692" w:rsidP="00571096">
      <w:r w:rsidRPr="006A6D4B">
        <w:t xml:space="preserve">In patients treated with OPDIVO in combination with </w:t>
      </w:r>
      <w:proofErr w:type="spellStart"/>
      <w:r w:rsidRPr="006A6D4B">
        <w:t>ipilimumab</w:t>
      </w:r>
      <w:proofErr w:type="spellEnd"/>
      <w:r w:rsidRPr="006A6D4B">
        <w:t>, the incidence of liver function test abnormalities was 27.9% (125/448). G</w:t>
      </w:r>
      <w:r w:rsidRPr="00DE0D3B">
        <w:t xml:space="preserve">rade 2, Grade 3, and Grade 4 cases were reported in 6.3% </w:t>
      </w:r>
      <w:r w:rsidRPr="00DE0D3B">
        <w:lastRenderedPageBreak/>
        <w:t xml:space="preserve">(28/448), 15.0% (67/448), and 1.8% (8/448) of patients, respectively. </w:t>
      </w:r>
      <w:r w:rsidRPr="00466B0E">
        <w:t>No deaths due to liver function abnormalities were reported.</w:t>
      </w:r>
    </w:p>
    <w:p w14:paraId="469025AA" w14:textId="77777777" w:rsidR="00674692" w:rsidRDefault="00674692" w:rsidP="00571096">
      <w:r w:rsidRPr="00DE0D3B">
        <w:t>Median time to onset was</w:t>
      </w:r>
      <w:r w:rsidRPr="00652B5D">
        <w:t xml:space="preserve"> 6.1 weeks (range</w:t>
      </w:r>
      <w:proofErr w:type="gramStart"/>
      <w:r w:rsidRPr="00652B5D">
        <w:t>:1</w:t>
      </w:r>
      <w:proofErr w:type="gramEnd"/>
      <w:r w:rsidRPr="00652B5D">
        <w:t xml:space="preserve"> day-47.8 weeks).</w:t>
      </w:r>
      <w:r w:rsidRPr="00DE0D3B">
        <w:t xml:space="preserve"> Forty-one patients (9.2%) required permanent discontinuation of </w:t>
      </w:r>
      <w:proofErr w:type="spellStart"/>
      <w:r w:rsidRPr="00DE0D3B">
        <w:t>nivolumab</w:t>
      </w:r>
      <w:proofErr w:type="spellEnd"/>
      <w:r w:rsidRPr="00DE0D3B">
        <w:t xml:space="preserve"> in combination with </w:t>
      </w:r>
      <w:proofErr w:type="spellStart"/>
      <w:r w:rsidRPr="00DE0D3B">
        <w:t>ipilimumab</w:t>
      </w:r>
      <w:proofErr w:type="spellEnd"/>
      <w:r w:rsidRPr="00DE0D3B">
        <w:t>.</w:t>
      </w:r>
    </w:p>
    <w:p w14:paraId="18699607" w14:textId="77777777" w:rsidR="00674692" w:rsidRDefault="00674692" w:rsidP="00571096">
      <w:r w:rsidRPr="00DE0D3B">
        <w:t>Fifty-eight patients received high-dose corticosteroids (at least 40 mg prednisone equivalents) at a median initial dose of 1.2 mg/kg (range: 0.4-</w:t>
      </w:r>
      <w:r w:rsidRPr="0005144D">
        <w:t>941.2) for</w:t>
      </w:r>
      <w:r w:rsidRPr="00DE0D3B">
        <w:t xml:space="preserve"> a median duration of 3.8 weeks (range: 0.1-57.6). </w:t>
      </w:r>
    </w:p>
    <w:p w14:paraId="0647686B" w14:textId="77777777" w:rsidR="00674692" w:rsidRDefault="00674692" w:rsidP="00571096">
      <w:pPr>
        <w:rPr>
          <w:i/>
          <w:noProof/>
        </w:rPr>
      </w:pPr>
      <w:r w:rsidRPr="00DE0D3B">
        <w:t>Resolution occurred in 116 patients (92.8%) with a median time to resolution of 5.0 weeks (range: 0.1-53.1).</w:t>
      </w:r>
    </w:p>
    <w:p w14:paraId="397A7506" w14:textId="77777777" w:rsidR="00674692" w:rsidRPr="00FB60D5" w:rsidRDefault="00674692" w:rsidP="003E47FA">
      <w:pPr>
        <w:pStyle w:val="Heading3"/>
      </w:pPr>
      <w:r w:rsidRPr="00FB60D5">
        <w:t>Immune</w:t>
      </w:r>
      <w:r w:rsidRPr="00FB60D5">
        <w:noBreakHyphen/>
        <w:t>related nephritis and renal dysfunction</w:t>
      </w:r>
    </w:p>
    <w:p w14:paraId="4E77C9F6" w14:textId="77777777" w:rsidR="00674692" w:rsidRPr="00384722" w:rsidRDefault="00674692" w:rsidP="00BA0123">
      <w:pPr>
        <w:pStyle w:val="Heading4"/>
      </w:pPr>
      <w:r w:rsidRPr="00384722">
        <w:t>OPDIVO monotherapy</w:t>
      </w:r>
    </w:p>
    <w:p w14:paraId="648BC4F9" w14:textId="69ACA1CF" w:rsidR="00674692" w:rsidRPr="00384722" w:rsidRDefault="00674692" w:rsidP="00571096">
      <w:r w:rsidRPr="00384722">
        <w:t xml:space="preserve">In </w:t>
      </w:r>
      <w:r w:rsidR="00B67800" w:rsidRPr="00B67800">
        <w:t xml:space="preserve">the pooled analysis in </w:t>
      </w:r>
      <w:r w:rsidRPr="00384722">
        <w:t xml:space="preserve">patients treated with </w:t>
      </w:r>
      <w:proofErr w:type="spellStart"/>
      <w:r w:rsidRPr="00384722">
        <w:t>nivolumab</w:t>
      </w:r>
      <w:proofErr w:type="spellEnd"/>
      <w:r w:rsidRPr="00384722">
        <w:t xml:space="preserve"> monotherapy, the incidence of nephritis and renal dysfunction was </w:t>
      </w:r>
      <w:r w:rsidR="00B67800">
        <w:t>2.8% (71/2578)</w:t>
      </w:r>
      <w:r w:rsidRPr="00384722">
        <w:t xml:space="preserve">. The majority of cases were Grade 1 or 2 in severity reported in </w:t>
      </w:r>
      <w:r w:rsidR="00B67800">
        <w:t>1.6% (41/2578)</w:t>
      </w:r>
      <w:r w:rsidRPr="00384722">
        <w:t xml:space="preserve"> and 0.7% (</w:t>
      </w:r>
      <w:r w:rsidR="00B67800">
        <w:t>18</w:t>
      </w:r>
      <w:r w:rsidRPr="00384722">
        <w:t>/</w:t>
      </w:r>
      <w:r w:rsidR="00B67800">
        <w:t>2578</w:t>
      </w:r>
      <w:r w:rsidRPr="00384722">
        <w:t>) of patients respectively. Grade 3 and 4 cases were reported in 0.4% (</w:t>
      </w:r>
      <w:r w:rsidR="00403212">
        <w:t>11</w:t>
      </w:r>
      <w:r w:rsidRPr="00384722">
        <w:t>/</w:t>
      </w:r>
      <w:r w:rsidR="00403212">
        <w:t>2578</w:t>
      </w:r>
      <w:r w:rsidRPr="00384722">
        <w:t>) and &lt;0.1% (1/</w:t>
      </w:r>
      <w:r w:rsidR="00403212">
        <w:t>2578</w:t>
      </w:r>
      <w:r w:rsidRPr="00384722">
        <w:t>) of patients, respectively. No Grade 5 nephritis or renal dysfunction was reported in these studies.</w:t>
      </w:r>
    </w:p>
    <w:p w14:paraId="4C37D8B2" w14:textId="44D8C6D2" w:rsidR="00674692" w:rsidRPr="00384722" w:rsidRDefault="00674692" w:rsidP="00571096">
      <w:r w:rsidRPr="00384722">
        <w:t xml:space="preserve">Median time to onset was 2.3 months (range: </w:t>
      </w:r>
      <w:r w:rsidR="00B67800">
        <w:t xml:space="preserve">1 day - </w:t>
      </w:r>
      <w:r w:rsidRPr="00384722">
        <w:t>18.2</w:t>
      </w:r>
      <w:r w:rsidR="00B67800">
        <w:t xml:space="preserve"> months</w:t>
      </w:r>
      <w:r w:rsidRPr="00384722">
        <w:t xml:space="preserve">). </w:t>
      </w:r>
      <w:proofErr w:type="gramStart"/>
      <w:r w:rsidR="00B67800">
        <w:t>Seven</w:t>
      </w:r>
      <w:r w:rsidRPr="00384722">
        <w:t xml:space="preserve"> patients (</w:t>
      </w:r>
      <w:r w:rsidR="00B67800">
        <w:t>0.3%</w:t>
      </w:r>
      <w:r w:rsidRPr="00384722">
        <w:t xml:space="preserve">), required permanent discontinuation of </w:t>
      </w:r>
      <w:proofErr w:type="spellStart"/>
      <w:r w:rsidRPr="00384722">
        <w:t>nivolumab</w:t>
      </w:r>
      <w:proofErr w:type="spellEnd"/>
      <w:r w:rsidRPr="00384722">
        <w:t>.</w:t>
      </w:r>
      <w:proofErr w:type="gramEnd"/>
      <w:r w:rsidRPr="00384722">
        <w:t xml:space="preserve"> </w:t>
      </w:r>
    </w:p>
    <w:p w14:paraId="0FC4B725" w14:textId="5E5A7EF2" w:rsidR="00674692" w:rsidRPr="00384722" w:rsidRDefault="00B67800" w:rsidP="00571096">
      <w:r>
        <w:t>Nineteen</w:t>
      </w:r>
      <w:r w:rsidR="00674692" w:rsidRPr="00384722">
        <w:t xml:space="preserve"> patients received high-dose corticosteroids (at least 40 mg prednisone equivalents) at a median initial dose of 0.8 mg/kg (range: 0.5-</w:t>
      </w:r>
      <w:r>
        <w:t>3.6</w:t>
      </w:r>
      <w:r w:rsidR="00674692" w:rsidRPr="00384722">
        <w:t xml:space="preserve">) for a median duration of 2.9 weeks (range: 0.1-67.0).  </w:t>
      </w:r>
    </w:p>
    <w:p w14:paraId="1E2500C2" w14:textId="1CB46DC9" w:rsidR="00674692" w:rsidRPr="00384722" w:rsidRDefault="00674692" w:rsidP="00571096">
      <w:pPr>
        <w:rPr>
          <w:i/>
        </w:rPr>
      </w:pPr>
      <w:r w:rsidRPr="00384722">
        <w:t xml:space="preserve">Resolution occurred in </w:t>
      </w:r>
      <w:r w:rsidR="00B67800">
        <w:t>42</w:t>
      </w:r>
      <w:r w:rsidRPr="00384722">
        <w:t xml:space="preserve"> patients (</w:t>
      </w:r>
      <w:r w:rsidR="00B67800">
        <w:t>62%</w:t>
      </w:r>
      <w:r w:rsidRPr="00384722">
        <w:t xml:space="preserve">) with a median time to resolution of 12.1 weeks (range: </w:t>
      </w:r>
      <w:r w:rsidR="00B67800">
        <w:t>0.3-79.1</w:t>
      </w:r>
      <w:r w:rsidRPr="00384722">
        <w:t>).</w:t>
      </w:r>
    </w:p>
    <w:p w14:paraId="0C9AE01B" w14:textId="77777777" w:rsidR="00674692" w:rsidRPr="00384722" w:rsidRDefault="00674692" w:rsidP="00BA0123">
      <w:pPr>
        <w:pStyle w:val="Heading4"/>
      </w:pPr>
      <w:r w:rsidRPr="00384722">
        <w:t xml:space="preserve">OPDIVO in combination with </w:t>
      </w:r>
      <w:proofErr w:type="spellStart"/>
      <w:r w:rsidRPr="00384722">
        <w:t>ipilimumab</w:t>
      </w:r>
      <w:proofErr w:type="spellEnd"/>
    </w:p>
    <w:p w14:paraId="2C94262E" w14:textId="77777777" w:rsidR="00674692" w:rsidRPr="00384722" w:rsidRDefault="00674692" w:rsidP="00571096">
      <w:r w:rsidRPr="00384722">
        <w:t xml:space="preserve">In patients treated with OPDIVO in combination with </w:t>
      </w:r>
      <w:proofErr w:type="spellStart"/>
      <w:r w:rsidRPr="00384722">
        <w:t>ipilimumab</w:t>
      </w:r>
      <w:proofErr w:type="spellEnd"/>
      <w:r w:rsidRPr="00384722">
        <w:t>, the incidence of nephritis and renal dysfunction was 4.2% (19/448). Grade 2, Grade 3, and Grade 4 cases were reported in 1.1% (5/448), 0.9% (4/448), and 0.7% (3/448) of patients, respectively. No deaths due to nephritis or renal dysfunction</w:t>
      </w:r>
      <w:r w:rsidRPr="00384722" w:rsidDel="00681D65">
        <w:t xml:space="preserve"> </w:t>
      </w:r>
      <w:r w:rsidRPr="00384722">
        <w:t>were reported.</w:t>
      </w:r>
    </w:p>
    <w:p w14:paraId="16FF1022" w14:textId="77777777" w:rsidR="00674692" w:rsidRPr="00384722" w:rsidRDefault="00674692" w:rsidP="00571096">
      <w:r w:rsidRPr="00384722">
        <w:t xml:space="preserve">Median time to onset was 11.1 weeks (range: 2.2-63.9). Four patients (0.9%) required permanent discontinuation of </w:t>
      </w:r>
      <w:proofErr w:type="spellStart"/>
      <w:r w:rsidRPr="00384722">
        <w:t>nivolumab</w:t>
      </w:r>
      <w:proofErr w:type="spellEnd"/>
      <w:r w:rsidRPr="00384722">
        <w:t xml:space="preserve"> in combination with </w:t>
      </w:r>
      <w:proofErr w:type="spellStart"/>
      <w:r w:rsidRPr="00384722">
        <w:t>ipilimumab</w:t>
      </w:r>
      <w:proofErr w:type="spellEnd"/>
      <w:r w:rsidRPr="00384722">
        <w:t xml:space="preserve">. </w:t>
      </w:r>
    </w:p>
    <w:p w14:paraId="65459E3E" w14:textId="717F2E22" w:rsidR="00674692" w:rsidRDefault="00674692" w:rsidP="00571096">
      <w:r w:rsidRPr="00384722">
        <w:t>Four patients received high-dose corticosteroids (at least 40 mg prednisone equivalents) at a median initial dose of 2.1 mg/kg (range: 1.2-6.6) for a median duration of 2.5 weeks (range: 0.1-4.1).</w:t>
      </w:r>
    </w:p>
    <w:p w14:paraId="3AD492FB" w14:textId="77777777" w:rsidR="00674692" w:rsidRPr="00384722" w:rsidRDefault="00674692" w:rsidP="00571096">
      <w:r w:rsidRPr="00384722">
        <w:t>Resolution occurred in 17 patients (89.5%) with a median time to resolution of 1.9 weeks (range: 0.4- 42.6).</w:t>
      </w:r>
    </w:p>
    <w:p w14:paraId="25A633FF" w14:textId="77777777" w:rsidR="00674692" w:rsidRPr="00FB60D5" w:rsidRDefault="00674692" w:rsidP="003E47FA">
      <w:pPr>
        <w:pStyle w:val="Heading3"/>
      </w:pPr>
      <w:r w:rsidRPr="00FB60D5">
        <w:t>Immune</w:t>
      </w:r>
      <w:r w:rsidRPr="00FB60D5">
        <w:noBreakHyphen/>
        <w:t>related endocrinopathies</w:t>
      </w:r>
    </w:p>
    <w:p w14:paraId="5CBBC855" w14:textId="77777777" w:rsidR="00674692" w:rsidRPr="00384722" w:rsidRDefault="00674692" w:rsidP="00BA0123">
      <w:pPr>
        <w:pStyle w:val="Heading4"/>
      </w:pPr>
      <w:r w:rsidRPr="00384722">
        <w:t>OPDIVO monotherapy</w:t>
      </w:r>
    </w:p>
    <w:p w14:paraId="2B015725" w14:textId="42BE2A88" w:rsidR="00674692" w:rsidRPr="00384722" w:rsidRDefault="00674692" w:rsidP="00571096">
      <w:r w:rsidRPr="00384722">
        <w:t xml:space="preserve">In </w:t>
      </w:r>
      <w:r w:rsidR="00B67800">
        <w:t xml:space="preserve">the pooled analysis in </w:t>
      </w:r>
      <w:r w:rsidRPr="00384722">
        <w:t xml:space="preserve">patients treated with </w:t>
      </w:r>
      <w:proofErr w:type="spellStart"/>
      <w:r w:rsidRPr="00384722">
        <w:t>nivolumab</w:t>
      </w:r>
      <w:proofErr w:type="spellEnd"/>
      <w:r w:rsidRPr="00384722">
        <w:t xml:space="preserve"> monotherapy, the incidence of thyroid disorders including hypothyroidism or </w:t>
      </w:r>
      <w:proofErr w:type="spellStart"/>
      <w:r w:rsidRPr="00384722">
        <w:t>hyperthryoidism</w:t>
      </w:r>
      <w:proofErr w:type="spellEnd"/>
      <w:r w:rsidRPr="00384722">
        <w:t xml:space="preserve"> was </w:t>
      </w:r>
      <w:r w:rsidR="00B67800">
        <w:t>9.6% (248/2578)</w:t>
      </w:r>
      <w:r w:rsidRPr="00384722">
        <w:t xml:space="preserve">.  The majority of cases were Grade 1 or 2 in severity reported in </w:t>
      </w:r>
      <w:r w:rsidR="00B67800">
        <w:t>4.2% (107/2578)</w:t>
      </w:r>
      <w:r w:rsidRPr="00384722">
        <w:t xml:space="preserve"> and </w:t>
      </w:r>
      <w:r w:rsidR="00B67800">
        <w:t>5.4% (139/2578)</w:t>
      </w:r>
      <w:r w:rsidRPr="00384722">
        <w:t xml:space="preserve"> of patients respectively. Grade 3 thyroid disorders were reported in </w:t>
      </w:r>
      <w:r w:rsidR="00B67800">
        <w:rPr>
          <w:color w:val="000000" w:themeColor="text1"/>
          <w:sz w:val="24"/>
        </w:rPr>
        <w:t>&lt;</w:t>
      </w:r>
      <w:r w:rsidRPr="00384722">
        <w:t>0.1% (2/</w:t>
      </w:r>
      <w:r w:rsidR="00B67800">
        <w:t>2578</w:t>
      </w:r>
      <w:r w:rsidRPr="00384722">
        <w:t xml:space="preserve">) of patients. </w:t>
      </w:r>
      <w:proofErr w:type="spellStart"/>
      <w:r w:rsidRPr="00384722">
        <w:t>Hypophysitis</w:t>
      </w:r>
      <w:proofErr w:type="spellEnd"/>
      <w:r w:rsidRPr="00384722">
        <w:t xml:space="preserve"> (1 Grade 1; </w:t>
      </w:r>
      <w:r w:rsidR="00B67800">
        <w:t>2</w:t>
      </w:r>
      <w:r w:rsidRPr="00384722">
        <w:t xml:space="preserve"> Grade 2, </w:t>
      </w:r>
      <w:r w:rsidR="00B67800">
        <w:t>5</w:t>
      </w:r>
      <w:r w:rsidRPr="00384722">
        <w:t xml:space="preserve"> Grade 3 and 1 Grade 4), hypopituitarism (4 Grade 2 and 1 Grade 3), adrenal </w:t>
      </w:r>
      <w:r w:rsidRPr="00384722">
        <w:lastRenderedPageBreak/>
        <w:t xml:space="preserve">insufficiency (1 Grade 1; </w:t>
      </w:r>
      <w:r w:rsidR="00B67800">
        <w:t>9</w:t>
      </w:r>
      <w:r w:rsidRPr="00384722">
        <w:t xml:space="preserve"> Grade 2; and 5 Grade 3), diabetes mellitus (</w:t>
      </w:r>
      <w:r w:rsidR="00B67800">
        <w:t>3</w:t>
      </w:r>
      <w:r w:rsidRPr="00384722">
        <w:t xml:space="preserve"> Grade 2</w:t>
      </w:r>
      <w:r w:rsidR="00B67800">
        <w:t xml:space="preserve"> and 1 Grade 3</w:t>
      </w:r>
      <w:r w:rsidRPr="00384722">
        <w:t xml:space="preserve">), and diabetic ketoacidosis (2 Grade 3) were </w:t>
      </w:r>
      <w:r w:rsidR="00B67800">
        <w:t xml:space="preserve">also </w:t>
      </w:r>
      <w:r w:rsidRPr="00384722">
        <w:t xml:space="preserve">reported. No Grade 5 </w:t>
      </w:r>
      <w:proofErr w:type="spellStart"/>
      <w:r w:rsidRPr="00384722">
        <w:t>endocrinopathies</w:t>
      </w:r>
      <w:proofErr w:type="spellEnd"/>
      <w:r w:rsidRPr="00384722">
        <w:t xml:space="preserve"> were reported.</w:t>
      </w:r>
    </w:p>
    <w:p w14:paraId="560F7BB3" w14:textId="058F5ED5" w:rsidR="00674692" w:rsidRPr="00384722" w:rsidRDefault="00674692" w:rsidP="00571096">
      <w:r w:rsidRPr="00384722">
        <w:t xml:space="preserve">Median time to onset of these </w:t>
      </w:r>
      <w:proofErr w:type="spellStart"/>
      <w:r w:rsidRPr="00384722">
        <w:t>endocrinopathies</w:t>
      </w:r>
      <w:proofErr w:type="spellEnd"/>
      <w:r w:rsidRPr="00384722">
        <w:t xml:space="preserve"> was 2.8 months (range: </w:t>
      </w:r>
      <w:r w:rsidR="00B67800">
        <w:t>0.3-29.1</w:t>
      </w:r>
      <w:r w:rsidRPr="00384722">
        <w:t xml:space="preserve">).  Three patients (0.1%) required permanent discontinuation of </w:t>
      </w:r>
      <w:proofErr w:type="spellStart"/>
      <w:r w:rsidRPr="00384722">
        <w:t>nivolumab</w:t>
      </w:r>
      <w:proofErr w:type="spellEnd"/>
      <w:r w:rsidRPr="00384722">
        <w:t xml:space="preserve">. </w:t>
      </w:r>
    </w:p>
    <w:p w14:paraId="2069AD15" w14:textId="35F38E27" w:rsidR="00674692" w:rsidRPr="00384722" w:rsidRDefault="00B67800" w:rsidP="00571096">
      <w:r>
        <w:t>Eighteen</w:t>
      </w:r>
      <w:r w:rsidR="00674692" w:rsidRPr="00384722">
        <w:t xml:space="preserve"> patients received high dose corticosteroids (at least 40 mg prednisone equivalents) at a median initial dose of 0.7 mg/kg (range: 0.4-2.2) for a median duration of </w:t>
      </w:r>
      <w:r>
        <w:t>2.4</w:t>
      </w:r>
      <w:r w:rsidR="00674692" w:rsidRPr="00384722">
        <w:t xml:space="preserve"> weeks (range 0.1-</w:t>
      </w:r>
      <w:r>
        <w:t>51.1</w:t>
      </w:r>
      <w:r w:rsidR="00674692" w:rsidRPr="00384722">
        <w:t>).</w:t>
      </w:r>
    </w:p>
    <w:p w14:paraId="5738AAC5" w14:textId="12CD2E94" w:rsidR="00674692" w:rsidRPr="00384722" w:rsidRDefault="00674692" w:rsidP="00571096">
      <w:r w:rsidRPr="00384722">
        <w:t xml:space="preserve">Resolution occurred in </w:t>
      </w:r>
      <w:r w:rsidR="00B67800">
        <w:t>117</w:t>
      </w:r>
      <w:r w:rsidRPr="00384722">
        <w:t xml:space="preserve"> patients (</w:t>
      </w:r>
      <w:r w:rsidR="00B67800">
        <w:t>43%</w:t>
      </w:r>
      <w:r w:rsidRPr="00384722">
        <w:t>)</w:t>
      </w:r>
      <w:r w:rsidR="00B67800">
        <w:t>.</w:t>
      </w:r>
      <w:r w:rsidRPr="00384722">
        <w:t xml:space="preserve"> </w:t>
      </w:r>
      <w:r w:rsidR="00B67800">
        <w:t>T</w:t>
      </w:r>
      <w:r w:rsidRPr="00384722">
        <w:t xml:space="preserve">ime to resolution </w:t>
      </w:r>
      <w:r w:rsidR="00B67800">
        <w:t>ranged from</w:t>
      </w:r>
      <w:r w:rsidRPr="00384722">
        <w:t xml:space="preserve"> </w:t>
      </w:r>
      <w:r w:rsidR="00D9074B">
        <w:t>0.4 to 144 weeks.</w:t>
      </w:r>
    </w:p>
    <w:p w14:paraId="6B695B24" w14:textId="77777777" w:rsidR="00674692" w:rsidRPr="00FB60D5" w:rsidRDefault="00674692" w:rsidP="00BA0123">
      <w:pPr>
        <w:pStyle w:val="Heading4"/>
      </w:pPr>
      <w:r w:rsidRPr="002D5929">
        <w:t>OPDIVO in co</w:t>
      </w:r>
      <w:r>
        <w:t xml:space="preserve">mbination with </w:t>
      </w:r>
      <w:proofErr w:type="spellStart"/>
      <w:r>
        <w:t>ipilimumab</w:t>
      </w:r>
      <w:proofErr w:type="spellEnd"/>
    </w:p>
    <w:p w14:paraId="43DA57A8" w14:textId="77777777" w:rsidR="00674692" w:rsidRDefault="00674692" w:rsidP="00571096">
      <w:r w:rsidRPr="00DE0D3B">
        <w:t xml:space="preserve">In patients treated with </w:t>
      </w:r>
      <w:r>
        <w:t>OPDIVO</w:t>
      </w:r>
      <w:r w:rsidRPr="00DE0D3B">
        <w:t xml:space="preserve"> in combination with </w:t>
      </w:r>
      <w:proofErr w:type="spellStart"/>
      <w:r w:rsidRPr="00DE0D3B">
        <w:t>ipilimumab</w:t>
      </w:r>
      <w:proofErr w:type="spellEnd"/>
      <w:r w:rsidRPr="00DE0D3B">
        <w:t xml:space="preserve">, the incidence of thyroid disorders was 23.7% (106/448). Grade 2 and Grade 3 thyroid disorders were reported in 13.4% (60/448) and 1.6% (7/448) of patients, respectively. Grade 2 and Grade 3 </w:t>
      </w:r>
      <w:proofErr w:type="spellStart"/>
      <w:r w:rsidRPr="00DE0D3B">
        <w:t>hypophysitis</w:t>
      </w:r>
      <w:proofErr w:type="spellEnd"/>
      <w:r w:rsidRPr="00DE0D3B">
        <w:t xml:space="preserve"> occurred in 6.0% (27/448) and 1.8% (8/448) of patients, respectively. Grade 2 and Grade 3 adrenal insufficiency each occurred in 1.1% (5/448), and Grade 4 adrenal insufficiency occurred in 0.2% (1/448) of patients. Grade 1 and Grade 2 diabetes mellitus and Grade 4 diabetic ketoacidosis were each reported in 0.2% (1/448) of patients. </w:t>
      </w:r>
      <w:r w:rsidRPr="00466B0E">
        <w:t xml:space="preserve">No deaths due to </w:t>
      </w:r>
      <w:proofErr w:type="spellStart"/>
      <w:r w:rsidRPr="00466B0E">
        <w:t>endocrinopathy</w:t>
      </w:r>
      <w:proofErr w:type="spellEnd"/>
      <w:r w:rsidRPr="00466B0E">
        <w:t xml:space="preserve"> were reported.</w:t>
      </w:r>
    </w:p>
    <w:p w14:paraId="00DBDF0C" w14:textId="77777777" w:rsidR="00674692" w:rsidRDefault="00674692" w:rsidP="00571096">
      <w:r w:rsidRPr="00DE0D3B">
        <w:t xml:space="preserve">Median time to onset of these </w:t>
      </w:r>
      <w:proofErr w:type="spellStart"/>
      <w:r w:rsidRPr="00DE0D3B">
        <w:t>endocrinopathies</w:t>
      </w:r>
      <w:proofErr w:type="spellEnd"/>
      <w:r w:rsidRPr="00DE0D3B">
        <w:t xml:space="preserve"> was</w:t>
      </w:r>
      <w:r w:rsidRPr="00C57499">
        <w:t xml:space="preserve"> 6.7 weeks (range:</w:t>
      </w:r>
      <w:r>
        <w:t xml:space="preserve"> </w:t>
      </w:r>
      <w:r w:rsidRPr="00C57499">
        <w:t>1 day-43.9 weeks).</w:t>
      </w:r>
      <w:r w:rsidRPr="00DE0D3B">
        <w:t xml:space="preserve"> Eleven patients (2.5%) required </w:t>
      </w:r>
      <w:r>
        <w:t>permanent</w:t>
      </w:r>
      <w:r w:rsidRPr="00DE0D3B">
        <w:t xml:space="preserve"> discontinuation of </w:t>
      </w:r>
      <w:proofErr w:type="spellStart"/>
      <w:r w:rsidRPr="00DE0D3B">
        <w:t>nivolumab</w:t>
      </w:r>
      <w:proofErr w:type="spellEnd"/>
      <w:r w:rsidRPr="00DE0D3B">
        <w:t xml:space="preserve"> in combination with </w:t>
      </w:r>
      <w:proofErr w:type="spellStart"/>
      <w:r w:rsidRPr="00DE0D3B">
        <w:t>ipilimumab</w:t>
      </w:r>
      <w:proofErr w:type="spellEnd"/>
      <w:r w:rsidRPr="00DE0D3B">
        <w:t xml:space="preserve">. </w:t>
      </w:r>
    </w:p>
    <w:p w14:paraId="76C126B9" w14:textId="77777777" w:rsidR="00674692" w:rsidRDefault="00674692" w:rsidP="00571096">
      <w:r w:rsidRPr="00DE0D3B">
        <w:t>Thirty-six patients received high dose corticosteroids (at least 40 mg prednisone equivalents) at an initial dose of 1.0 mg/kg (range: 0.4-9.3) for a median duration of 2.9 weeks (range: 0.1-12.7).</w:t>
      </w:r>
    </w:p>
    <w:p w14:paraId="3533A771" w14:textId="77777777" w:rsidR="00674692" w:rsidRPr="00DE0D3B" w:rsidRDefault="00674692" w:rsidP="00571096">
      <w:r w:rsidRPr="00DE0D3B">
        <w:t>Resolution occurred in 59 patients (45.0%). Time to resolution ranged from 0.4 to 74.4 weeks.</w:t>
      </w:r>
    </w:p>
    <w:p w14:paraId="7E157BB0" w14:textId="77777777" w:rsidR="00674692" w:rsidRPr="009A45BF" w:rsidRDefault="00674692" w:rsidP="003E47FA">
      <w:pPr>
        <w:pStyle w:val="Heading3"/>
      </w:pPr>
      <w:r w:rsidRPr="009A45BF">
        <w:t>Immune</w:t>
      </w:r>
      <w:r w:rsidRPr="009A45BF">
        <w:noBreakHyphen/>
        <w:t>related skin adverse reactions</w:t>
      </w:r>
    </w:p>
    <w:p w14:paraId="71BC9945" w14:textId="77777777" w:rsidR="00674692" w:rsidRPr="00384722" w:rsidRDefault="00674692" w:rsidP="00BA0123">
      <w:pPr>
        <w:pStyle w:val="Heading4"/>
      </w:pPr>
      <w:r w:rsidRPr="00384722">
        <w:t>OPDIVO monotherapy</w:t>
      </w:r>
    </w:p>
    <w:p w14:paraId="6B50D603" w14:textId="31F77DC9" w:rsidR="00674692" w:rsidRPr="00384722" w:rsidRDefault="00674692" w:rsidP="00356656">
      <w:r w:rsidRPr="00384722">
        <w:t xml:space="preserve">In </w:t>
      </w:r>
      <w:r w:rsidR="00D9074B">
        <w:t xml:space="preserve">the pooled analysis in </w:t>
      </w:r>
      <w:r w:rsidRPr="00384722">
        <w:t xml:space="preserve">patients treated with </w:t>
      </w:r>
      <w:proofErr w:type="spellStart"/>
      <w:r w:rsidRPr="00384722">
        <w:t>nivolumab</w:t>
      </w:r>
      <w:proofErr w:type="spellEnd"/>
      <w:r w:rsidRPr="00384722">
        <w:t xml:space="preserve"> monotherapy, the incidence of rash was </w:t>
      </w:r>
      <w:r w:rsidR="00D9074B">
        <w:t>26.4% (680/2578)</w:t>
      </w:r>
      <w:r w:rsidRPr="00384722">
        <w:t xml:space="preserve">. The majority of cases were Grade 1 in severity reported in </w:t>
      </w:r>
      <w:r w:rsidR="00D9074B">
        <w:t>20.1% (518/2578)</w:t>
      </w:r>
      <w:r w:rsidRPr="00384722">
        <w:t xml:space="preserve"> of patients. Grade 2 and Grade 3 cases were reported in </w:t>
      </w:r>
      <w:r w:rsidR="00D9074B">
        <w:t>5.1% (131/2578)</w:t>
      </w:r>
      <w:r w:rsidRPr="00384722">
        <w:t xml:space="preserve"> and </w:t>
      </w:r>
      <w:r w:rsidR="00D9074B">
        <w:t>1.2% (31/2578)</w:t>
      </w:r>
      <w:r w:rsidRPr="00384722">
        <w:t xml:space="preserve"> of patients, respectively. No Grade 4 or 5</w:t>
      </w:r>
      <w:r w:rsidRPr="00384722">
        <w:rPr>
          <w:rStyle w:val="CommentReference"/>
          <w:color w:val="000000" w:themeColor="text1"/>
          <w:sz w:val="24"/>
        </w:rPr>
        <w:t> </w:t>
      </w:r>
      <w:r w:rsidRPr="00384722">
        <w:t>cases were reported.</w:t>
      </w:r>
    </w:p>
    <w:p w14:paraId="079CE658" w14:textId="6C2A5668" w:rsidR="00674692" w:rsidRPr="00384722" w:rsidRDefault="00674692" w:rsidP="00356656">
      <w:r w:rsidRPr="00384722">
        <w:t xml:space="preserve">Median time to onset was 1.4 months (range: </w:t>
      </w:r>
      <w:r w:rsidR="00D9074B">
        <w:t>1 day - 27.9 months</w:t>
      </w:r>
      <w:r w:rsidRPr="00384722">
        <w:t xml:space="preserve">). </w:t>
      </w:r>
      <w:r w:rsidR="00D9074B">
        <w:t>Eight</w:t>
      </w:r>
      <w:r w:rsidRPr="00384722">
        <w:t xml:space="preserve"> patients (</w:t>
      </w:r>
      <w:r w:rsidR="00D9074B">
        <w:t>0.3%</w:t>
      </w:r>
      <w:r w:rsidRPr="00384722">
        <w:t xml:space="preserve">) required permanent discontinuation of </w:t>
      </w:r>
      <w:proofErr w:type="spellStart"/>
      <w:r w:rsidRPr="00384722">
        <w:t>nivolumab</w:t>
      </w:r>
      <w:proofErr w:type="spellEnd"/>
      <w:r w:rsidRPr="00384722">
        <w:t>.</w:t>
      </w:r>
    </w:p>
    <w:p w14:paraId="33DA23BC" w14:textId="0E4C70B3" w:rsidR="00674692" w:rsidRPr="00384722" w:rsidRDefault="00D9074B" w:rsidP="00356656">
      <w:r>
        <w:t>Twenty-eight</w:t>
      </w:r>
      <w:r w:rsidR="00674692" w:rsidRPr="00384722">
        <w:t xml:space="preserve"> patients received high</w:t>
      </w:r>
      <w:r w:rsidR="00674692" w:rsidRPr="00384722">
        <w:noBreakHyphen/>
        <w:t xml:space="preserve">dose corticosteroids (at least 40 mg prednisone equivalents) at a median initial dose of 0.9 mg/kg (range: 0.4-2.8) for a median duration of </w:t>
      </w:r>
      <w:r>
        <w:t>1.9</w:t>
      </w:r>
      <w:r w:rsidR="00674692" w:rsidRPr="00384722">
        <w:t xml:space="preserve"> weeks (range: 0.1-</w:t>
      </w:r>
      <w:r>
        <w:t>122.6</w:t>
      </w:r>
      <w:r w:rsidR="00674692" w:rsidRPr="00384722">
        <w:t xml:space="preserve">). </w:t>
      </w:r>
    </w:p>
    <w:p w14:paraId="6EE59A4A" w14:textId="40F29692" w:rsidR="00674692" w:rsidRPr="00384722" w:rsidRDefault="00674692" w:rsidP="00356656">
      <w:r w:rsidRPr="00384722">
        <w:t xml:space="preserve">Resolution occurred in </w:t>
      </w:r>
      <w:r w:rsidR="00D9074B">
        <w:t>428</w:t>
      </w:r>
      <w:r w:rsidRPr="00384722">
        <w:t xml:space="preserve"> patients (</w:t>
      </w:r>
      <w:r w:rsidR="00D9074B">
        <w:t>64%</w:t>
      </w:r>
      <w:r w:rsidRPr="00384722">
        <w:t xml:space="preserve">) with a median time to resolution of </w:t>
      </w:r>
      <w:r w:rsidR="00D9074B">
        <w:t>17.1</w:t>
      </w:r>
      <w:r w:rsidRPr="00384722">
        <w:t xml:space="preserve"> weeks (0.1-</w:t>
      </w:r>
      <w:r w:rsidR="00D9074B">
        <w:t>150.0</w:t>
      </w:r>
      <w:r w:rsidRPr="00384722">
        <w:t>).</w:t>
      </w:r>
    </w:p>
    <w:p w14:paraId="7FB41403" w14:textId="77777777" w:rsidR="00674692" w:rsidRPr="00384722" w:rsidRDefault="00674692" w:rsidP="00BA0123">
      <w:pPr>
        <w:pStyle w:val="Heading4"/>
      </w:pPr>
      <w:r w:rsidRPr="00384722">
        <w:t xml:space="preserve">OPDIVO in combination with </w:t>
      </w:r>
      <w:proofErr w:type="spellStart"/>
      <w:r w:rsidRPr="00384722">
        <w:t>ipilimumab</w:t>
      </w:r>
      <w:proofErr w:type="spellEnd"/>
    </w:p>
    <w:p w14:paraId="3A70A982" w14:textId="77777777" w:rsidR="00674692" w:rsidRPr="00384722" w:rsidRDefault="00674692" w:rsidP="00356656">
      <w:r w:rsidRPr="00384722">
        <w:t xml:space="preserve">In patients treated with OPDIVO in combination with </w:t>
      </w:r>
      <w:proofErr w:type="spellStart"/>
      <w:r w:rsidRPr="00384722">
        <w:t>ipilimumab</w:t>
      </w:r>
      <w:proofErr w:type="spellEnd"/>
      <w:r w:rsidRPr="00384722">
        <w:t>, the incidence of rash was 63.4% (284/448). Grade 2 and Grade 3 cases were reported in 19.2% (86/448) and 7.4% (33/448) of patients, respectively. No Grade 4 or 5</w:t>
      </w:r>
      <w:r w:rsidRPr="00384722">
        <w:rPr>
          <w:rStyle w:val="CommentReference"/>
          <w:color w:val="000000" w:themeColor="text1"/>
          <w:sz w:val="24"/>
        </w:rPr>
        <w:t> </w:t>
      </w:r>
      <w:r w:rsidRPr="00384722">
        <w:t>cases were reported.</w:t>
      </w:r>
    </w:p>
    <w:p w14:paraId="650299BF" w14:textId="77777777" w:rsidR="00674692" w:rsidRPr="00384722" w:rsidRDefault="00674692" w:rsidP="00356656">
      <w:r w:rsidRPr="00384722">
        <w:t>Median time to onset was 0.5 months (range: 0.0</w:t>
      </w:r>
      <w:r w:rsidRPr="00384722">
        <w:noBreakHyphen/>
        <w:t xml:space="preserve">9.7). Three patients (0.7%) required permanent discontinuation of </w:t>
      </w:r>
      <w:proofErr w:type="spellStart"/>
      <w:r w:rsidRPr="00384722">
        <w:t>nivolumab</w:t>
      </w:r>
      <w:proofErr w:type="spellEnd"/>
      <w:r w:rsidRPr="00384722">
        <w:t xml:space="preserve"> in combination with </w:t>
      </w:r>
      <w:proofErr w:type="spellStart"/>
      <w:r w:rsidRPr="00384722">
        <w:t>ipilimumab</w:t>
      </w:r>
      <w:proofErr w:type="spellEnd"/>
      <w:r w:rsidRPr="00384722">
        <w:t xml:space="preserve">. </w:t>
      </w:r>
    </w:p>
    <w:p w14:paraId="06AAA43D" w14:textId="77777777" w:rsidR="00674692" w:rsidRDefault="00674692" w:rsidP="00356656">
      <w:r w:rsidRPr="00DE0D3B">
        <w:t>Twenty patients received high</w:t>
      </w:r>
      <w:r w:rsidRPr="00DE0D3B">
        <w:noBreakHyphen/>
        <w:t>dose corticosteroids (at least 40 mg prednisone equivalents) at a median initial dose of 0.9 mg/kg (range: 0.3-1.8) for a median duration of 1.6 weeks (range: 0.3-15.6).</w:t>
      </w:r>
    </w:p>
    <w:p w14:paraId="1E0FD1DD" w14:textId="4E16798A" w:rsidR="00674692" w:rsidRPr="006214ED" w:rsidRDefault="00674692" w:rsidP="00356656">
      <w:r w:rsidRPr="00DE0D3B">
        <w:lastRenderedPageBreak/>
        <w:t>Resolution occurred in 192 patients (67.6%) with a median time to resolution of 10.4 weeks (range: 0.1-74.0).</w:t>
      </w:r>
    </w:p>
    <w:p w14:paraId="26B49885" w14:textId="77777777" w:rsidR="00674692" w:rsidRPr="00FB60D5" w:rsidRDefault="00674692" w:rsidP="003E47FA">
      <w:pPr>
        <w:pStyle w:val="Heading3"/>
      </w:pPr>
      <w:r w:rsidRPr="00FB60D5">
        <w:t>Infusion reactions</w:t>
      </w:r>
    </w:p>
    <w:p w14:paraId="70397808" w14:textId="77777777" w:rsidR="00674692" w:rsidRPr="00384722" w:rsidRDefault="00674692" w:rsidP="00BA0123">
      <w:pPr>
        <w:pStyle w:val="Heading4"/>
      </w:pPr>
      <w:r w:rsidRPr="00384722">
        <w:t>OPDIVO monotherapy</w:t>
      </w:r>
    </w:p>
    <w:p w14:paraId="67BECE1B" w14:textId="2138EEEB" w:rsidR="00674692" w:rsidRPr="00384722" w:rsidRDefault="00674692" w:rsidP="00356656">
      <w:r w:rsidRPr="00384722">
        <w:t xml:space="preserve">In </w:t>
      </w:r>
      <w:r w:rsidR="00E37C07">
        <w:t xml:space="preserve">the pooled analysis in </w:t>
      </w:r>
      <w:r w:rsidRPr="00384722">
        <w:t xml:space="preserve">patients treated with </w:t>
      </w:r>
      <w:proofErr w:type="spellStart"/>
      <w:r w:rsidRPr="00384722">
        <w:t>nivolumab</w:t>
      </w:r>
      <w:proofErr w:type="spellEnd"/>
      <w:r w:rsidRPr="00384722">
        <w:t xml:space="preserve"> monotherapy, the incidence of hypersensitivity/infusion reactions, including anaphylactic reaction, was </w:t>
      </w:r>
      <w:r w:rsidR="00E37C07">
        <w:t>4.7% (121/2578)</w:t>
      </w:r>
      <w:r w:rsidRPr="00384722">
        <w:t xml:space="preserve">, including </w:t>
      </w:r>
      <w:r w:rsidR="00E37C07">
        <w:t>6</w:t>
      </w:r>
      <w:r w:rsidRPr="00384722">
        <w:t xml:space="preserve"> Grade 3 </w:t>
      </w:r>
      <w:r w:rsidR="00E37C07">
        <w:t xml:space="preserve">(0.2%) </w:t>
      </w:r>
      <w:r w:rsidRPr="00384722">
        <w:t xml:space="preserve">and 2 Grade 4 </w:t>
      </w:r>
      <w:r w:rsidR="00E37C07">
        <w:t xml:space="preserve">(&lt;0.1%) </w:t>
      </w:r>
      <w:r w:rsidRPr="00384722">
        <w:t>cases. No deaths due to infusion reactions were reported.</w:t>
      </w:r>
    </w:p>
    <w:p w14:paraId="777D1D5A" w14:textId="77777777" w:rsidR="00674692" w:rsidRPr="00384722" w:rsidRDefault="00674692" w:rsidP="00BA0123">
      <w:pPr>
        <w:pStyle w:val="Heading4"/>
      </w:pPr>
      <w:r w:rsidRPr="00384722">
        <w:t xml:space="preserve">OPDIVO in combination with </w:t>
      </w:r>
      <w:proofErr w:type="spellStart"/>
      <w:r w:rsidRPr="00384722">
        <w:t>ipilimumab</w:t>
      </w:r>
      <w:proofErr w:type="spellEnd"/>
    </w:p>
    <w:p w14:paraId="15DC0527" w14:textId="77777777" w:rsidR="00674692" w:rsidRPr="00384722" w:rsidRDefault="00674692" w:rsidP="00356656">
      <w:r w:rsidRPr="00384722">
        <w:t xml:space="preserve">In patients treated with OPDIVO in combination with </w:t>
      </w:r>
      <w:proofErr w:type="spellStart"/>
      <w:r w:rsidRPr="00384722">
        <w:t>ipilimumab</w:t>
      </w:r>
      <w:proofErr w:type="spellEnd"/>
      <w:r w:rsidRPr="00384722">
        <w:t>, the incidence of hypersensitivity/infusion reactions was 3.8% (17/448); all were Grade 1 or 2 in severity. Grade 2 cases were reported in 2.2% (10/448) of patients. No Grade 3-5 cases were reported.</w:t>
      </w:r>
    </w:p>
    <w:p w14:paraId="62C305EF" w14:textId="77777777" w:rsidR="00674692" w:rsidRPr="00FB60D5" w:rsidRDefault="00674692" w:rsidP="003E47FA">
      <w:pPr>
        <w:pStyle w:val="Heading3"/>
      </w:pPr>
      <w:r w:rsidRPr="002D5929">
        <w:t>Immune</w:t>
      </w:r>
      <w:r w:rsidRPr="002D5929">
        <w:noBreakHyphen/>
        <w:t>related n</w:t>
      </w:r>
      <w:r w:rsidRPr="00FB60D5">
        <w:t>eurological adverse reactions</w:t>
      </w:r>
    </w:p>
    <w:p w14:paraId="7769C8B5" w14:textId="77777777" w:rsidR="00674692" w:rsidRPr="00FB60D5" w:rsidRDefault="00674692" w:rsidP="00356656">
      <w:r w:rsidRPr="00FB60D5">
        <w:t xml:space="preserve">The following adverse events observed across clinical trials of </w:t>
      </w:r>
      <w:proofErr w:type="spellStart"/>
      <w:r w:rsidRPr="00FB60D5">
        <w:t>nivolumab</w:t>
      </w:r>
      <w:proofErr w:type="spellEnd"/>
      <w:r w:rsidRPr="00FB60D5">
        <w:t xml:space="preserve"> or </w:t>
      </w:r>
      <w:proofErr w:type="spellStart"/>
      <w:r w:rsidRPr="00FB60D5">
        <w:t>nivolumab</w:t>
      </w:r>
      <w:proofErr w:type="spellEnd"/>
      <w:r w:rsidRPr="00FB60D5">
        <w:t xml:space="preserve"> on combination with </w:t>
      </w:r>
      <w:proofErr w:type="spellStart"/>
      <w:r w:rsidRPr="00FB60D5">
        <w:t>ipilimumab</w:t>
      </w:r>
      <w:proofErr w:type="spellEnd"/>
      <w:r w:rsidRPr="00FB60D5">
        <w:t xml:space="preserve"> were reported in less than 1% of patients: demyelination, autoimmune neuropathy (including facial and </w:t>
      </w:r>
      <w:proofErr w:type="spellStart"/>
      <w:r w:rsidRPr="00FB60D5">
        <w:t>abducens</w:t>
      </w:r>
      <w:proofErr w:type="spellEnd"/>
      <w:r w:rsidRPr="00FB60D5">
        <w:t xml:space="preserve"> nerve paresis), </w:t>
      </w:r>
      <w:proofErr w:type="spellStart"/>
      <w:r w:rsidRPr="00FB60D5">
        <w:t>Guillain</w:t>
      </w:r>
      <w:r w:rsidRPr="00FB60D5">
        <w:noBreakHyphen/>
        <w:t>Barré</w:t>
      </w:r>
      <w:proofErr w:type="spellEnd"/>
      <w:r w:rsidRPr="00FB60D5">
        <w:t xml:space="preserve"> syndrome, </w:t>
      </w:r>
      <w:proofErr w:type="spellStart"/>
      <w:r w:rsidRPr="00FB60D5">
        <w:t>myasthenic</w:t>
      </w:r>
      <w:proofErr w:type="spellEnd"/>
      <w:r w:rsidRPr="00FB60D5">
        <w:t xml:space="preserve"> syndrome</w:t>
      </w:r>
      <w:r>
        <w:t>/myasthenia gravis</w:t>
      </w:r>
      <w:r w:rsidRPr="00FB60D5">
        <w:t xml:space="preserve">, </w:t>
      </w:r>
      <w:r>
        <w:t xml:space="preserve">and </w:t>
      </w:r>
      <w:r w:rsidRPr="00FB60D5">
        <w:t>encephalitis.</w:t>
      </w:r>
    </w:p>
    <w:p w14:paraId="065C41B0" w14:textId="77777777" w:rsidR="00674692" w:rsidRPr="00CF7197" w:rsidRDefault="00674692" w:rsidP="003E47FA">
      <w:pPr>
        <w:pStyle w:val="Heading3"/>
      </w:pPr>
      <w:r w:rsidRPr="00CF7197">
        <w:t xml:space="preserve">Complications of allogeneic HSCT in classical Hodgkin Lymphoma </w:t>
      </w:r>
    </w:p>
    <w:p w14:paraId="1C509F42" w14:textId="75B8AD83" w:rsidR="00674692" w:rsidRDefault="00674692" w:rsidP="00356656">
      <w:r w:rsidRPr="00CF7197">
        <w:t xml:space="preserve">In 40 evaluated patients from two </w:t>
      </w:r>
      <w:proofErr w:type="spellStart"/>
      <w:r w:rsidRPr="00CF7197">
        <w:t>cHL</w:t>
      </w:r>
      <w:proofErr w:type="spellEnd"/>
      <w:r w:rsidRPr="00CF7197">
        <w:t xml:space="preserve"> studies who underwent allogeneic HSCT after discontinuing </w:t>
      </w:r>
      <w:proofErr w:type="spellStart"/>
      <w:r w:rsidRPr="00CF7197">
        <w:t>nivolumab</w:t>
      </w:r>
      <w:proofErr w:type="spellEnd"/>
      <w:r w:rsidRPr="00CF7197">
        <w:t xml:space="preserve"> monotherapy, Grade 3 or 4 acute GVHD was reported in 7/40 patients (17.5%). </w:t>
      </w:r>
      <w:proofErr w:type="spellStart"/>
      <w:r w:rsidRPr="00CF7197">
        <w:t>Hyperacute</w:t>
      </w:r>
      <w:proofErr w:type="spellEnd"/>
      <w:r w:rsidRPr="00CF7197">
        <w:t xml:space="preserve"> GVHD, defined as acute GVHD occurring within 14 days after stem cell infusion, was reported in two patients (5%). A steroid-requiring febrile syndrome, without an identified infectious cause, was reported in six patients (15%) within the first 6 weeks post-transplantation, with five patients responding to steroids. Hepatic </w:t>
      </w:r>
      <w:proofErr w:type="spellStart"/>
      <w:r w:rsidRPr="00CF7197">
        <w:t>veno</w:t>
      </w:r>
      <w:proofErr w:type="spellEnd"/>
      <w:r w:rsidRPr="00CF7197">
        <w:t xml:space="preserve">-occlusive disease occurred in one patient, who died of GVHD and multi-organ failure. Six of 40 patients (15%) died from complications of allogeneic HSCT after </w:t>
      </w:r>
      <w:proofErr w:type="spellStart"/>
      <w:r w:rsidRPr="00CF7197">
        <w:t>nivolumab</w:t>
      </w:r>
      <w:proofErr w:type="spellEnd"/>
      <w:r w:rsidRPr="00CF7197">
        <w:t>. The 40 patients had a median follow-up from subsequent allogeneic HSCT of 2.9 months (range: 0-22 months).</w:t>
      </w:r>
    </w:p>
    <w:p w14:paraId="62121D60" w14:textId="77777777" w:rsidR="00674692" w:rsidRPr="002D5929" w:rsidRDefault="00674692" w:rsidP="003E47FA">
      <w:pPr>
        <w:pStyle w:val="Heading3"/>
      </w:pPr>
      <w:r w:rsidRPr="00FB60D5">
        <w:t>Other I</w:t>
      </w:r>
      <w:r w:rsidRPr="002D5929">
        <w:t>mmune-related adverse reactions</w:t>
      </w:r>
    </w:p>
    <w:p w14:paraId="0290E3E8" w14:textId="77777777" w:rsidR="00674692" w:rsidRDefault="00674692" w:rsidP="00356656">
      <w:r w:rsidRPr="006A6D4B">
        <w:t>Other clinically significant immune-related adverse reactions have been observed.</w:t>
      </w:r>
      <w:r w:rsidRPr="006A6D4B">
        <w:rPr>
          <w:u w:val="double"/>
        </w:rPr>
        <w:t xml:space="preserve"> </w:t>
      </w:r>
      <w:r w:rsidRPr="006A6D4B">
        <w:t>Some of these have had fatal outcome.</w:t>
      </w:r>
      <w:r w:rsidRPr="002D5929">
        <w:t xml:space="preserve"> Across clinical trials of </w:t>
      </w:r>
      <w:proofErr w:type="spellStart"/>
      <w:r w:rsidRPr="002D5929">
        <w:t>nivolumab</w:t>
      </w:r>
      <w:proofErr w:type="spellEnd"/>
      <w:r w:rsidRPr="002D5929">
        <w:t xml:space="preserve"> or </w:t>
      </w:r>
      <w:proofErr w:type="spellStart"/>
      <w:r w:rsidRPr="002D5929">
        <w:t>nivolumab</w:t>
      </w:r>
      <w:proofErr w:type="spellEnd"/>
      <w:r w:rsidRPr="002D5929">
        <w:t xml:space="preserve"> in combination with </w:t>
      </w:r>
      <w:proofErr w:type="spellStart"/>
      <w:r w:rsidRPr="002D5929">
        <w:t>ipilimumab</w:t>
      </w:r>
      <w:proofErr w:type="spellEnd"/>
      <w:r w:rsidRPr="002D5929">
        <w:t xml:space="preserve"> investigating various doses and tumour types, the</w:t>
      </w:r>
      <w:r w:rsidRPr="006A6D4B">
        <w:t xml:space="preserve"> following immune-related adverse reactions were reported in less than 1% of patients: pancreatitis, uveitis, </w:t>
      </w:r>
      <w:r w:rsidRPr="002D5929">
        <w:t xml:space="preserve">gastritis, sarcoidosis, </w:t>
      </w:r>
      <w:proofErr w:type="spellStart"/>
      <w:r w:rsidRPr="002D5929">
        <w:t>duodenitis</w:t>
      </w:r>
      <w:proofErr w:type="spellEnd"/>
      <w:r w:rsidRPr="002D5929">
        <w:t>, myositis, myocarditis, and rhabdomyolysis.</w:t>
      </w:r>
    </w:p>
    <w:p w14:paraId="48FF4EA5" w14:textId="77777777" w:rsidR="00674692" w:rsidRPr="002F4A50" w:rsidRDefault="00674692" w:rsidP="003E47FA">
      <w:pPr>
        <w:pStyle w:val="Heading3"/>
        <w:rPr>
          <w:u w:val="double"/>
        </w:rPr>
      </w:pPr>
      <w:r w:rsidRPr="002F4A50">
        <w:t>Postmarketing Experience</w:t>
      </w:r>
    </w:p>
    <w:p w14:paraId="0826AC6E" w14:textId="08E57689" w:rsidR="00674692" w:rsidRPr="00151EB6" w:rsidRDefault="00674692" w:rsidP="00356656">
      <w:r w:rsidRPr="00151EB6">
        <w:t xml:space="preserve">The following event has been identified during post approval use of </w:t>
      </w:r>
      <w:proofErr w:type="spellStart"/>
      <w:r w:rsidRPr="00151EB6">
        <w:t>nivolumab</w:t>
      </w:r>
      <w:proofErr w:type="spellEnd"/>
      <w:r w:rsidRPr="00151EB6">
        <w:t xml:space="preserve"> or </w:t>
      </w:r>
      <w:proofErr w:type="spellStart"/>
      <w:r w:rsidRPr="00151EB6">
        <w:t>nivolumab</w:t>
      </w:r>
      <w:proofErr w:type="spellEnd"/>
      <w:r w:rsidRPr="00151EB6">
        <w:t xml:space="preserve"> in combination with </w:t>
      </w:r>
      <w:proofErr w:type="spellStart"/>
      <w:r w:rsidRPr="00151EB6">
        <w:t>ipilimumab</w:t>
      </w:r>
      <w:proofErr w:type="spellEnd"/>
      <w:r w:rsidRPr="00151EB6">
        <w:t>. Because reports are voluntary from a population of unknown size, an estimate of frequency cannot be made.</w:t>
      </w:r>
    </w:p>
    <w:p w14:paraId="11F38EE3" w14:textId="0CB67A61" w:rsidR="00674692" w:rsidRDefault="00674692" w:rsidP="00CF5818">
      <w:pPr>
        <w:rPr>
          <w:lang w:val="en-GB"/>
        </w:rPr>
      </w:pPr>
      <w:r w:rsidRPr="00151EB6">
        <w:rPr>
          <w:i/>
          <w:lang w:val="en-GB"/>
        </w:rPr>
        <w:t>Eye disorders:</w:t>
      </w:r>
      <w:r w:rsidRPr="00151EB6">
        <w:rPr>
          <w:lang w:val="en-GB"/>
        </w:rPr>
        <w:t xml:space="preserve"> Vogt-</w:t>
      </w:r>
      <w:proofErr w:type="spellStart"/>
      <w:r w:rsidRPr="00151EB6">
        <w:rPr>
          <w:lang w:val="en-GB"/>
        </w:rPr>
        <w:t>Koyanagi</w:t>
      </w:r>
      <w:proofErr w:type="spellEnd"/>
      <w:r w:rsidRPr="00151EB6">
        <w:rPr>
          <w:lang w:val="en-GB"/>
        </w:rPr>
        <w:t>-Harada syndrome</w:t>
      </w:r>
    </w:p>
    <w:p w14:paraId="4F818C8A" w14:textId="52B60104" w:rsidR="00662840" w:rsidRPr="00151EB6" w:rsidRDefault="00B929C7" w:rsidP="00B929C7">
      <w:pPr>
        <w:rPr>
          <w:lang w:val="en-GB"/>
        </w:rPr>
      </w:pPr>
      <w:r w:rsidRPr="00B929C7">
        <w:rPr>
          <w:i/>
          <w:lang w:val="en-GB"/>
        </w:rPr>
        <w:t>Immune-system disorders</w:t>
      </w:r>
      <w:r>
        <w:rPr>
          <w:lang w:val="en-GB"/>
        </w:rPr>
        <w:t>: solid organ transplant rejection, graft-versus-host-disease</w:t>
      </w:r>
    </w:p>
    <w:p w14:paraId="5B51CE7D" w14:textId="22004D15" w:rsidR="00517111" w:rsidRPr="00AC2BAA" w:rsidRDefault="00517111" w:rsidP="003E47FA">
      <w:pPr>
        <w:pStyle w:val="Heading3"/>
      </w:pPr>
      <w:r w:rsidRPr="00AC2BAA">
        <w:t xml:space="preserve">Reporting of suspected adverse reactions </w:t>
      </w:r>
    </w:p>
    <w:p w14:paraId="3D139680" w14:textId="536D0C90" w:rsidR="00B57C92" w:rsidRPr="00AE66E6" w:rsidRDefault="00B57C92" w:rsidP="00CF5818">
      <w:r w:rsidRPr="00AE66E6">
        <w:t xml:space="preserve">Reporting suspected adverse reactions after registration of the medicinal product is important. It allows continued monitoring of the benefit-risk balance of the medicinal product. </w:t>
      </w:r>
      <w:r w:rsidR="003D202A" w:rsidRPr="00AE66E6">
        <w:t xml:space="preserve">Healthcare </w:t>
      </w:r>
      <w:r w:rsidR="003D202A" w:rsidRPr="00AE66E6">
        <w:lastRenderedPageBreak/>
        <w:t>professionals are asked to report any suspected adverse reactions at http://www.tga.gov.au/reporting-problems.</w:t>
      </w:r>
    </w:p>
    <w:p w14:paraId="5B42C42B" w14:textId="77777777" w:rsidR="00517111" w:rsidRPr="009F1AAE" w:rsidRDefault="00517111" w:rsidP="003E47FA">
      <w:pPr>
        <w:pStyle w:val="Heading3"/>
      </w:pPr>
      <w:r w:rsidRPr="009F1AAE">
        <w:t>Immunogenicity</w:t>
      </w:r>
    </w:p>
    <w:p w14:paraId="2B6C8143" w14:textId="77777777" w:rsidR="00517111" w:rsidRDefault="00517111" w:rsidP="00356656">
      <w:r w:rsidRPr="00231175">
        <w:t xml:space="preserve">As with all therapeutic proteins, there is a potential for an </w:t>
      </w:r>
      <w:r>
        <w:t xml:space="preserve">immunogenic </w:t>
      </w:r>
      <w:r w:rsidRPr="00231175">
        <w:t xml:space="preserve">response to </w:t>
      </w:r>
      <w:proofErr w:type="spellStart"/>
      <w:r>
        <w:t>nivolumab</w:t>
      </w:r>
      <w:proofErr w:type="spellEnd"/>
      <w:r w:rsidRPr="00231175">
        <w:t xml:space="preserve">. </w:t>
      </w:r>
    </w:p>
    <w:p w14:paraId="7CA7A06F" w14:textId="77777777" w:rsidR="00517111" w:rsidRPr="006214ED" w:rsidRDefault="00517111" w:rsidP="00BA0123">
      <w:pPr>
        <w:pStyle w:val="Heading4"/>
      </w:pPr>
      <w:proofErr w:type="spellStart"/>
      <w:r>
        <w:t>Nivolumab</w:t>
      </w:r>
      <w:proofErr w:type="spellEnd"/>
      <w:r w:rsidRPr="00AB363C">
        <w:t xml:space="preserve"> Monotherapy</w:t>
      </w:r>
      <w:r w:rsidRPr="0086455C">
        <w:t xml:space="preserve">: </w:t>
      </w:r>
      <w:r w:rsidRPr="0035242F">
        <w:t xml:space="preserve"> </w:t>
      </w:r>
    </w:p>
    <w:p w14:paraId="45C2ABE6" w14:textId="5DBABC4E" w:rsidR="00517111" w:rsidRPr="006214ED" w:rsidRDefault="00517111" w:rsidP="00356656">
      <w:r w:rsidRPr="006214ED">
        <w:t>In a pooled an</w:t>
      </w:r>
      <w:r w:rsidRPr="002D5929">
        <w:t xml:space="preserve">alysis of </w:t>
      </w:r>
      <w:proofErr w:type="gramStart"/>
      <w:r w:rsidR="00B7751B">
        <w:t>2022</w:t>
      </w:r>
      <w:r>
        <w:t xml:space="preserve"> </w:t>
      </w:r>
      <w:r w:rsidRPr="002D5929">
        <w:t> patients</w:t>
      </w:r>
      <w:proofErr w:type="gramEnd"/>
      <w:r w:rsidRPr="002D5929">
        <w:t xml:space="preserve"> who were treated with </w:t>
      </w:r>
      <w:proofErr w:type="spellStart"/>
      <w:r w:rsidRPr="002D5929">
        <w:t>nivolumab</w:t>
      </w:r>
      <w:proofErr w:type="spellEnd"/>
      <w:r w:rsidRPr="002D5929">
        <w:t> 3 mg/kg every 2 weeks and evaluable for the presence of anti</w:t>
      </w:r>
      <w:r w:rsidRPr="002D5929">
        <w:noBreakHyphen/>
        <w:t>product</w:t>
      </w:r>
      <w:r w:rsidRPr="002D5929">
        <w:noBreakHyphen/>
        <w:t xml:space="preserve">antibodies, </w:t>
      </w:r>
      <w:r w:rsidR="00B7751B">
        <w:t>231</w:t>
      </w:r>
      <w:r>
        <w:t xml:space="preserve"> </w:t>
      </w:r>
      <w:r w:rsidRPr="0067671F">
        <w:t xml:space="preserve"> </w:t>
      </w:r>
      <w:r w:rsidRPr="002D5929">
        <w:t>patients (</w:t>
      </w:r>
      <w:r w:rsidR="00B7751B">
        <w:t>11.4%</w:t>
      </w:r>
      <w:r w:rsidRPr="002D5929">
        <w:t>) tested positive for treatment</w:t>
      </w:r>
      <w:r w:rsidRPr="002D5929">
        <w:noBreakHyphen/>
        <w:t>emergent anti</w:t>
      </w:r>
      <w:r w:rsidRPr="002D5929">
        <w:noBreakHyphen/>
        <w:t>product</w:t>
      </w:r>
      <w:r w:rsidRPr="002D5929">
        <w:noBreakHyphen/>
        <w:t xml:space="preserve">antibodies by an </w:t>
      </w:r>
      <w:proofErr w:type="spellStart"/>
      <w:r w:rsidRPr="002D5929">
        <w:t>electrochemiluminescent</w:t>
      </w:r>
      <w:proofErr w:type="spellEnd"/>
      <w:r w:rsidRPr="002D5929">
        <w:t xml:space="preserve"> (ECL) assay</w:t>
      </w:r>
      <w:r w:rsidRPr="002D5929">
        <w:rPr>
          <w:bCs/>
        </w:rPr>
        <w:t xml:space="preserve">. </w:t>
      </w:r>
      <w:r w:rsidRPr="002D5929">
        <w:t>Only 2 (0.1%) patients were persistent positive. N</w:t>
      </w:r>
      <w:r w:rsidRPr="002D5929">
        <w:rPr>
          <w:bCs/>
          <w:noProof/>
        </w:rPr>
        <w:t xml:space="preserve">eutralising antibodies were detected in only </w:t>
      </w:r>
      <w:r w:rsidR="00B7751B">
        <w:rPr>
          <w:bCs/>
          <w:noProof/>
        </w:rPr>
        <w:t>15</w:t>
      </w:r>
      <w:r w:rsidRPr="002D5929">
        <w:rPr>
          <w:bCs/>
          <w:noProof/>
        </w:rPr>
        <w:t> (</w:t>
      </w:r>
      <w:r w:rsidR="00B7751B">
        <w:rPr>
          <w:bCs/>
          <w:noProof/>
        </w:rPr>
        <w:t>0.7%</w:t>
      </w:r>
      <w:r w:rsidRPr="002D5929">
        <w:rPr>
          <w:bCs/>
          <w:noProof/>
        </w:rPr>
        <w:t xml:space="preserve"> of the total) of the positive anti</w:t>
      </w:r>
      <w:r w:rsidRPr="002D5929">
        <w:rPr>
          <w:bCs/>
          <w:noProof/>
        </w:rPr>
        <w:noBreakHyphen/>
        <w:t>product</w:t>
      </w:r>
      <w:r w:rsidRPr="002D5929">
        <w:rPr>
          <w:bCs/>
          <w:noProof/>
        </w:rPr>
        <w:noBreakHyphen/>
        <w:t xml:space="preserve">antibody patients. </w:t>
      </w:r>
      <w:r w:rsidRPr="002D5929">
        <w:rPr>
          <w:bCs/>
        </w:rPr>
        <w:t>There was no evidence of altered pharmacokinetic profile, or toxicity profile associated with anti</w:t>
      </w:r>
      <w:r w:rsidRPr="002D5929">
        <w:rPr>
          <w:bCs/>
        </w:rPr>
        <w:noBreakHyphen/>
        <w:t>product</w:t>
      </w:r>
      <w:r w:rsidRPr="002D5929">
        <w:rPr>
          <w:bCs/>
        </w:rPr>
        <w:noBreakHyphen/>
        <w:t>a</w:t>
      </w:r>
      <w:r w:rsidRPr="006214ED">
        <w:rPr>
          <w:bCs/>
        </w:rPr>
        <w:t xml:space="preserve">ntibody development. </w:t>
      </w:r>
      <w:r w:rsidRPr="006214ED">
        <w:t>Neutrali</w:t>
      </w:r>
      <w:r>
        <w:t>s</w:t>
      </w:r>
      <w:r w:rsidRPr="006214ED">
        <w:t>ing antibodies were not associated with loss of efficacy.</w:t>
      </w:r>
    </w:p>
    <w:p w14:paraId="1407E8C3" w14:textId="77777777" w:rsidR="00517111" w:rsidRPr="00776DB5" w:rsidRDefault="00517111" w:rsidP="00C903D1">
      <w:pPr>
        <w:pStyle w:val="Heading4"/>
        <w:rPr>
          <w:lang w:val="en-GB"/>
        </w:rPr>
      </w:pPr>
      <w:proofErr w:type="spellStart"/>
      <w:r w:rsidRPr="006D4B4C">
        <w:t>Nivolumab</w:t>
      </w:r>
      <w:proofErr w:type="spellEnd"/>
      <w:r w:rsidRPr="006D4B4C">
        <w:t xml:space="preserve"> in Combination with Ipilimumab: </w:t>
      </w:r>
    </w:p>
    <w:p w14:paraId="0E794CE5" w14:textId="77777777" w:rsidR="00517111" w:rsidRPr="00776DB5" w:rsidRDefault="00517111" w:rsidP="00356656">
      <w:pPr>
        <w:rPr>
          <w:i/>
          <w:lang w:val="en-GB"/>
        </w:rPr>
      </w:pPr>
      <w:r w:rsidRPr="00776DB5">
        <w:rPr>
          <w:lang w:val="en-GB"/>
        </w:rPr>
        <w:t xml:space="preserve">Of 394 patients who were treated with </w:t>
      </w:r>
      <w:proofErr w:type="spellStart"/>
      <w:r w:rsidRPr="00776DB5">
        <w:rPr>
          <w:lang w:val="en-GB"/>
        </w:rPr>
        <w:t>nivolumab</w:t>
      </w:r>
      <w:proofErr w:type="spellEnd"/>
      <w:r w:rsidRPr="00776DB5">
        <w:rPr>
          <w:lang w:val="en-GB"/>
        </w:rPr>
        <w:t xml:space="preserve"> in combination with </w:t>
      </w:r>
      <w:proofErr w:type="spellStart"/>
      <w:r w:rsidRPr="00776DB5">
        <w:rPr>
          <w:lang w:val="en-GB"/>
        </w:rPr>
        <w:t>ipilimumab</w:t>
      </w:r>
      <w:proofErr w:type="spellEnd"/>
      <w:r w:rsidRPr="00776DB5">
        <w:rPr>
          <w:lang w:val="en-GB"/>
        </w:rPr>
        <w:t xml:space="preserve"> and evaluable for the presence of anti-</w:t>
      </w:r>
      <w:proofErr w:type="spellStart"/>
      <w:r w:rsidRPr="00776DB5">
        <w:rPr>
          <w:lang w:val="en-GB"/>
        </w:rPr>
        <w:t>nivolumab</w:t>
      </w:r>
      <w:proofErr w:type="spellEnd"/>
      <w:r w:rsidRPr="00776DB5">
        <w:rPr>
          <w:lang w:val="en-GB"/>
        </w:rPr>
        <w:t xml:space="preserve"> antibodies, 149 patients (37.8%) tested positive for treatment</w:t>
      </w:r>
      <w:r w:rsidRPr="00776DB5">
        <w:rPr>
          <w:lang w:val="en-GB"/>
        </w:rPr>
        <w:noBreakHyphen/>
        <w:t>emergent anti-</w:t>
      </w:r>
      <w:proofErr w:type="spellStart"/>
      <w:r w:rsidRPr="00776DB5">
        <w:rPr>
          <w:lang w:val="en-GB"/>
        </w:rPr>
        <w:t>nivolumab</w:t>
      </w:r>
      <w:proofErr w:type="spellEnd"/>
      <w:r w:rsidRPr="00776DB5">
        <w:rPr>
          <w:lang w:val="en-GB"/>
        </w:rPr>
        <w:t xml:space="preserve"> antibodies by an ECL assay. N</w:t>
      </w:r>
      <w:r w:rsidRPr="00776DB5">
        <w:rPr>
          <w:bCs/>
          <w:lang w:val="en-GB"/>
        </w:rPr>
        <w:t>eutrali</w:t>
      </w:r>
      <w:r>
        <w:rPr>
          <w:bCs/>
          <w:lang w:val="en-GB"/>
        </w:rPr>
        <w:t>s</w:t>
      </w:r>
      <w:r w:rsidRPr="00776DB5">
        <w:rPr>
          <w:bCs/>
          <w:lang w:val="en-GB"/>
        </w:rPr>
        <w:t xml:space="preserve">ing antibodies were detected in 18 patients (4.6%). Of 391 patients </w:t>
      </w:r>
      <w:r w:rsidRPr="00776DB5">
        <w:rPr>
          <w:lang w:val="en-GB"/>
        </w:rPr>
        <w:t xml:space="preserve">who were treated with </w:t>
      </w:r>
      <w:proofErr w:type="spellStart"/>
      <w:r w:rsidRPr="00776DB5">
        <w:rPr>
          <w:lang w:val="en-GB"/>
        </w:rPr>
        <w:t>nivolumab</w:t>
      </w:r>
      <w:proofErr w:type="spellEnd"/>
      <w:r w:rsidRPr="00776DB5">
        <w:rPr>
          <w:lang w:val="en-GB"/>
        </w:rPr>
        <w:t xml:space="preserve"> in combination with </w:t>
      </w:r>
      <w:proofErr w:type="spellStart"/>
      <w:r w:rsidRPr="00776DB5">
        <w:rPr>
          <w:lang w:val="en-GB"/>
        </w:rPr>
        <w:t>ipilimumab</w:t>
      </w:r>
      <w:proofErr w:type="spellEnd"/>
      <w:r w:rsidRPr="00776DB5">
        <w:rPr>
          <w:lang w:val="en-GB"/>
        </w:rPr>
        <w:t xml:space="preserve"> and </w:t>
      </w:r>
      <w:r w:rsidRPr="00776DB5">
        <w:rPr>
          <w:bCs/>
          <w:lang w:val="en-GB"/>
        </w:rPr>
        <w:t>evaluable for the presence of anti-</w:t>
      </w:r>
      <w:proofErr w:type="spellStart"/>
      <w:r w:rsidRPr="00776DB5">
        <w:rPr>
          <w:bCs/>
          <w:lang w:val="en-GB"/>
        </w:rPr>
        <w:t>ipilimumab</w:t>
      </w:r>
      <w:proofErr w:type="spellEnd"/>
      <w:r w:rsidRPr="00776DB5">
        <w:rPr>
          <w:bCs/>
          <w:lang w:val="en-GB"/>
        </w:rPr>
        <w:t xml:space="preserve"> antibodies, 33 patients (8.4%) </w:t>
      </w:r>
      <w:r w:rsidRPr="00776DB5">
        <w:rPr>
          <w:lang w:val="en-GB"/>
        </w:rPr>
        <w:t>tested positive for treatment-emergent anti-</w:t>
      </w:r>
      <w:proofErr w:type="spellStart"/>
      <w:r w:rsidRPr="00776DB5">
        <w:rPr>
          <w:lang w:val="en-GB"/>
        </w:rPr>
        <w:t>ipilimumab</w:t>
      </w:r>
      <w:proofErr w:type="spellEnd"/>
      <w:r w:rsidRPr="00776DB5">
        <w:rPr>
          <w:lang w:val="en-GB"/>
        </w:rPr>
        <w:t xml:space="preserve"> antibodies by an ECL assay. One (0.3%) patient </w:t>
      </w:r>
      <w:r w:rsidRPr="00776DB5">
        <w:rPr>
          <w:bCs/>
          <w:lang w:val="en-GB"/>
        </w:rPr>
        <w:t>had neutrali</w:t>
      </w:r>
      <w:r>
        <w:rPr>
          <w:bCs/>
          <w:lang w:val="en-GB"/>
        </w:rPr>
        <w:t>s</w:t>
      </w:r>
      <w:r w:rsidRPr="00776DB5">
        <w:rPr>
          <w:bCs/>
          <w:lang w:val="en-GB"/>
        </w:rPr>
        <w:t>ing antibody detected. There was no evidence of altered toxicity profile associated with anti-product antibody development.</w:t>
      </w:r>
      <w:r w:rsidRPr="00776DB5">
        <w:rPr>
          <w:lang w:val="en-GB"/>
        </w:rPr>
        <w:t xml:space="preserve"> Neutrali</w:t>
      </w:r>
      <w:r>
        <w:rPr>
          <w:lang w:val="en-GB"/>
        </w:rPr>
        <w:t>s</w:t>
      </w:r>
      <w:r w:rsidRPr="00776DB5">
        <w:rPr>
          <w:lang w:val="en-GB"/>
        </w:rPr>
        <w:t>ing antibodies were not associated with loss of efficacy.</w:t>
      </w:r>
    </w:p>
    <w:p w14:paraId="6D047B41" w14:textId="274E57E2" w:rsidR="001A3992" w:rsidRDefault="001A3992" w:rsidP="00DB5FE1">
      <w:pPr>
        <w:pStyle w:val="Heading2"/>
      </w:pPr>
      <w:r w:rsidRPr="003B14A8">
        <w:t>Overdose</w:t>
      </w:r>
    </w:p>
    <w:p w14:paraId="4BADF301" w14:textId="2DD47B0A" w:rsidR="00674692" w:rsidRDefault="00674692" w:rsidP="00356656">
      <w:r w:rsidRPr="004F0466">
        <w:t xml:space="preserve">There is no information on </w:t>
      </w:r>
      <w:proofErr w:type="spellStart"/>
      <w:r w:rsidRPr="004F0466">
        <w:t>overdosage</w:t>
      </w:r>
      <w:proofErr w:type="spellEnd"/>
      <w:r w:rsidRPr="004F0466">
        <w:t xml:space="preserve"> with OPDIVO.</w:t>
      </w:r>
      <w:r w:rsidR="00CF7197">
        <w:t xml:space="preserve"> </w:t>
      </w:r>
      <w:r w:rsidRPr="004922A6">
        <w:t>Inadvertent rapid administration (over 30 minutes instead of 60 minutes) without adverse consequences</w:t>
      </w:r>
      <w:r>
        <w:t xml:space="preserve"> </w:t>
      </w:r>
      <w:r w:rsidRPr="004922A6">
        <w:t>has been reported in a small number of patients in the clinical studies</w:t>
      </w:r>
      <w:r>
        <w:t>.</w:t>
      </w:r>
    </w:p>
    <w:p w14:paraId="7F83C1AF" w14:textId="77777777" w:rsidR="00674692" w:rsidRPr="004F0466" w:rsidRDefault="00674692" w:rsidP="00356656">
      <w:r w:rsidRPr="004F0466">
        <w:t xml:space="preserve">In case of </w:t>
      </w:r>
      <w:proofErr w:type="spellStart"/>
      <w:r w:rsidRPr="004F0466">
        <w:t>overdosage</w:t>
      </w:r>
      <w:proofErr w:type="spellEnd"/>
      <w:r w:rsidRPr="004F0466">
        <w:t>, patients must be closely monitored for signs or symptoms of adverse reactions, and appropriate symptomatic treatment instituted.</w:t>
      </w:r>
    </w:p>
    <w:p w14:paraId="05AC03CA" w14:textId="39C587E2" w:rsidR="00CF7197" w:rsidRDefault="00CF7197" w:rsidP="00356656">
      <w:r w:rsidRPr="00674692">
        <w:t>For information on the management of overdose, contact the Poison Information Centre on 131126 (Australia).</w:t>
      </w:r>
    </w:p>
    <w:p w14:paraId="5FF95703" w14:textId="77777777" w:rsidR="001A3992" w:rsidRPr="003B14A8" w:rsidRDefault="001A3992" w:rsidP="004B6E16">
      <w:pPr>
        <w:pStyle w:val="Heading1"/>
      </w:pPr>
      <w:r w:rsidRPr="003B14A8">
        <w:t>Pharmacological properties</w:t>
      </w:r>
    </w:p>
    <w:p w14:paraId="7B8BE53A" w14:textId="1C0778EE" w:rsidR="001A3992" w:rsidRPr="003B14A8" w:rsidRDefault="00E61227" w:rsidP="00DB5FE1">
      <w:pPr>
        <w:pStyle w:val="Heading2"/>
      </w:pPr>
      <w:r>
        <w:t>Pharmacodynamic properties</w:t>
      </w:r>
    </w:p>
    <w:p w14:paraId="40E5EBCA" w14:textId="77777777" w:rsidR="001A3992" w:rsidRDefault="001A3992" w:rsidP="003E47FA">
      <w:pPr>
        <w:pStyle w:val="Heading3"/>
      </w:pPr>
      <w:r w:rsidRPr="003B14A8">
        <w:t>Mechanism of action</w:t>
      </w:r>
    </w:p>
    <w:p w14:paraId="42E967E0" w14:textId="77777777" w:rsidR="00517111" w:rsidRPr="009C6FF8" w:rsidRDefault="00517111" w:rsidP="004764A4">
      <w:proofErr w:type="spellStart"/>
      <w:r w:rsidRPr="009C6FF8">
        <w:t>Nivolumab</w:t>
      </w:r>
      <w:proofErr w:type="spellEnd"/>
      <w:r w:rsidRPr="009C6FF8">
        <w:t xml:space="preserve"> is a fully human immunoglobulin G4 (IgG4) monoclonal antibody (</w:t>
      </w:r>
      <w:proofErr w:type="spellStart"/>
      <w:r w:rsidRPr="009C6FF8">
        <w:t>HuMAb</w:t>
      </w:r>
      <w:proofErr w:type="spellEnd"/>
      <w:r w:rsidRPr="009C6FF8">
        <w:t xml:space="preserve">) which binds to programmed death-1 (PD-1) receptor and blocks its interaction with </w:t>
      </w:r>
      <w:r>
        <w:t xml:space="preserve">the ligands </w:t>
      </w:r>
      <w:r w:rsidRPr="009C6FF8">
        <w:t>PD</w:t>
      </w:r>
      <w:r w:rsidRPr="009C6FF8">
        <w:noBreakHyphen/>
        <w:t>L1 and PD</w:t>
      </w:r>
      <w:r w:rsidRPr="009C6FF8">
        <w:noBreakHyphen/>
        <w:t>L2. The PD-1 receptor is a negative regulator of T-cell activity</w:t>
      </w:r>
      <w:r>
        <w:t xml:space="preserve">. </w:t>
      </w:r>
      <w:r w:rsidRPr="009C6FF8">
        <w:t xml:space="preserve"> Engagement of PD-1 with PD-L1 and PD-L2, </w:t>
      </w:r>
      <w:r>
        <w:t xml:space="preserve">which are </w:t>
      </w:r>
      <w:r w:rsidRPr="009C6FF8">
        <w:t xml:space="preserve">expressed in antigen presenting cells and may be expressed by tumours or other cells in the tumour microenvironment, results in inhibition of T-cell proliferation and cytokine secretion. </w:t>
      </w:r>
      <w:proofErr w:type="spellStart"/>
      <w:r w:rsidRPr="009C6FF8">
        <w:t>Nivolumab</w:t>
      </w:r>
      <w:proofErr w:type="spellEnd"/>
      <w:r w:rsidRPr="009C6FF8">
        <w:t xml:space="preserve"> potentiates T-cell responses, including anti-tumour responses, through blockade of PD1 binding to PD-L1 and PD-L2 ligands. In syngeneic mouse models, blocking PD</w:t>
      </w:r>
      <w:r w:rsidRPr="009C6FF8">
        <w:noBreakHyphen/>
        <w:t>1 activity resulted in decreased tumour growth.</w:t>
      </w:r>
    </w:p>
    <w:p w14:paraId="0F4C6E3F" w14:textId="1444465E" w:rsidR="00517111" w:rsidRDefault="00517111" w:rsidP="004764A4">
      <w:pPr>
        <w:rPr>
          <w:lang w:val="en-US"/>
        </w:rPr>
      </w:pPr>
      <w:r w:rsidRPr="00214A47">
        <w:rPr>
          <w:lang w:val="en-US"/>
        </w:rPr>
        <w:t xml:space="preserve">Combined </w:t>
      </w:r>
      <w:proofErr w:type="spellStart"/>
      <w:r w:rsidRPr="00214A47">
        <w:rPr>
          <w:lang w:val="en-US"/>
        </w:rPr>
        <w:t>nivolumab</w:t>
      </w:r>
      <w:proofErr w:type="spellEnd"/>
      <w:r w:rsidRPr="00214A47">
        <w:rPr>
          <w:lang w:val="en-US"/>
        </w:rPr>
        <w:t xml:space="preserve"> (anti-PD-1) and </w:t>
      </w:r>
      <w:proofErr w:type="spellStart"/>
      <w:r w:rsidRPr="00214A47">
        <w:rPr>
          <w:lang w:val="en-US"/>
        </w:rPr>
        <w:t>ipilimumab</w:t>
      </w:r>
      <w:proofErr w:type="spellEnd"/>
      <w:r w:rsidRPr="00214A47">
        <w:rPr>
          <w:lang w:val="en-US"/>
        </w:rPr>
        <w:t xml:space="preserve"> (anti-CTLA-4) mediated inhibition results in enhanced T-cell function that is greater than the effects of either antibody alone, and results in </w:t>
      </w:r>
      <w:r w:rsidRPr="00214A47">
        <w:rPr>
          <w:lang w:val="en-US"/>
        </w:rPr>
        <w:lastRenderedPageBreak/>
        <w:t>improved anti-</w:t>
      </w:r>
      <w:proofErr w:type="spellStart"/>
      <w:r w:rsidRPr="00214A47">
        <w:rPr>
          <w:lang w:val="en-US"/>
        </w:rPr>
        <w:t>tumo</w:t>
      </w:r>
      <w:r>
        <w:rPr>
          <w:lang w:val="en-US"/>
        </w:rPr>
        <w:t>u</w:t>
      </w:r>
      <w:r w:rsidRPr="00214A47">
        <w:rPr>
          <w:lang w:val="en-US"/>
        </w:rPr>
        <w:t>r</w:t>
      </w:r>
      <w:proofErr w:type="spellEnd"/>
      <w:r w:rsidRPr="00214A47">
        <w:rPr>
          <w:lang w:val="en-US"/>
        </w:rPr>
        <w:t xml:space="preserve"> responses in metastatic melanoma. In murine syngeneic </w:t>
      </w:r>
      <w:proofErr w:type="spellStart"/>
      <w:r w:rsidRPr="00214A47">
        <w:rPr>
          <w:lang w:val="en-US"/>
        </w:rPr>
        <w:t>tumo</w:t>
      </w:r>
      <w:r>
        <w:rPr>
          <w:lang w:val="en-US"/>
        </w:rPr>
        <w:t>u</w:t>
      </w:r>
      <w:r w:rsidRPr="00214A47">
        <w:rPr>
          <w:lang w:val="en-US"/>
        </w:rPr>
        <w:t>r</w:t>
      </w:r>
      <w:proofErr w:type="spellEnd"/>
      <w:r w:rsidRPr="00214A47">
        <w:rPr>
          <w:lang w:val="en-US"/>
        </w:rPr>
        <w:t xml:space="preserve"> models, dual blockade of PD-1 and CTLA-4 resulted in synergistic anti-</w:t>
      </w:r>
      <w:proofErr w:type="spellStart"/>
      <w:r w:rsidRPr="00214A47">
        <w:rPr>
          <w:lang w:val="en-US"/>
        </w:rPr>
        <w:t>tumo</w:t>
      </w:r>
      <w:r>
        <w:rPr>
          <w:lang w:val="en-US"/>
        </w:rPr>
        <w:t>u</w:t>
      </w:r>
      <w:r w:rsidRPr="00214A47">
        <w:rPr>
          <w:lang w:val="en-US"/>
        </w:rPr>
        <w:t>r</w:t>
      </w:r>
      <w:proofErr w:type="spellEnd"/>
      <w:r w:rsidRPr="00214A47">
        <w:rPr>
          <w:lang w:val="en-US"/>
        </w:rPr>
        <w:t xml:space="preserve"> activity.</w:t>
      </w:r>
    </w:p>
    <w:p w14:paraId="4F9378D4" w14:textId="3DB20712" w:rsidR="001A3992" w:rsidRDefault="00E06492" w:rsidP="003E47FA">
      <w:pPr>
        <w:pStyle w:val="Heading3"/>
      </w:pPr>
      <w:r>
        <w:t>Clinical T</w:t>
      </w:r>
      <w:r w:rsidR="001A3992" w:rsidRPr="003B14A8">
        <w:t>rials</w:t>
      </w:r>
    </w:p>
    <w:p w14:paraId="792AC369" w14:textId="69F29D69" w:rsidR="00364CA1" w:rsidRPr="00DA3F91" w:rsidRDefault="00364CA1" w:rsidP="00DA3F91">
      <w:pPr>
        <w:pStyle w:val="Heading3"/>
      </w:pPr>
      <w:r w:rsidRPr="00DA3F91">
        <w:t>Completely resected stage III or stage IV melanoma.</w:t>
      </w:r>
    </w:p>
    <w:p w14:paraId="68AC3E48" w14:textId="77777777" w:rsidR="00364CA1" w:rsidRPr="00DA3F91" w:rsidRDefault="00364CA1" w:rsidP="00DA3F91">
      <w:pPr>
        <w:rPr>
          <w:b/>
        </w:rPr>
      </w:pPr>
      <w:r w:rsidRPr="00DA3F91">
        <w:rPr>
          <w:b/>
        </w:rPr>
        <w:t xml:space="preserve">Study CA209238. </w:t>
      </w:r>
      <w:proofErr w:type="gramStart"/>
      <w:r w:rsidRPr="00DA3F91">
        <w:rPr>
          <w:b/>
        </w:rPr>
        <w:t xml:space="preserve">A randomised phase 3 study comparing OPDIVO monotherapy to </w:t>
      </w:r>
      <w:proofErr w:type="spellStart"/>
      <w:r w:rsidRPr="00DA3F91">
        <w:rPr>
          <w:b/>
        </w:rPr>
        <w:t>ipilimumab</w:t>
      </w:r>
      <w:proofErr w:type="spellEnd"/>
      <w:r w:rsidRPr="00DA3F91">
        <w:rPr>
          <w:b/>
        </w:rPr>
        <w:t xml:space="preserve"> monotherapy (10 mg/kg) in patients with completely resected Stage III or Stage IV melanoma.</w:t>
      </w:r>
      <w:proofErr w:type="gramEnd"/>
      <w:r w:rsidRPr="00DA3F91">
        <w:rPr>
          <w:b/>
        </w:rPr>
        <w:t xml:space="preserve"> </w:t>
      </w:r>
    </w:p>
    <w:p w14:paraId="154AB045" w14:textId="57D8F9FF" w:rsidR="00364CA1" w:rsidRPr="00DA3F91" w:rsidRDefault="00364CA1" w:rsidP="00364CA1">
      <w:pPr>
        <w:rPr>
          <w:bCs/>
          <w:snapToGrid w:val="0"/>
          <w:color w:val="000000"/>
        </w:rPr>
      </w:pPr>
      <w:r w:rsidRPr="00DA3F91">
        <w:rPr>
          <w:bCs/>
          <w:snapToGrid w:val="0"/>
          <w:color w:val="000000"/>
        </w:rPr>
        <w:t xml:space="preserve">The safety and efficacy of </w:t>
      </w:r>
      <w:proofErr w:type="spellStart"/>
      <w:r w:rsidRPr="00DA3F91">
        <w:rPr>
          <w:bCs/>
          <w:snapToGrid w:val="0"/>
          <w:color w:val="000000"/>
        </w:rPr>
        <w:t>nivolumab</w:t>
      </w:r>
      <w:proofErr w:type="spellEnd"/>
      <w:r w:rsidRPr="00DA3F91">
        <w:rPr>
          <w:bCs/>
          <w:snapToGrid w:val="0"/>
          <w:color w:val="000000"/>
        </w:rPr>
        <w:t xml:space="preserve"> 3 mg/kg as a monotherapy for the treatment of patients with completely resected melanoma were evaluated in a phase 3, randomised, double-blind study (CA209238). The protocol allowed for the inclusion of patients (15 years or older)</w:t>
      </w:r>
      <w:r w:rsidR="00AB523B">
        <w:rPr>
          <w:bCs/>
          <w:snapToGrid w:val="0"/>
          <w:color w:val="000000"/>
        </w:rPr>
        <w:t xml:space="preserve">, </w:t>
      </w:r>
      <w:r w:rsidR="00AB523B" w:rsidRPr="00DA3F91">
        <w:rPr>
          <w:bCs/>
          <w:snapToGrid w:val="0"/>
          <w:color w:val="000000"/>
        </w:rPr>
        <w:t>who had an ECOG performance status score of 0 or 1</w:t>
      </w:r>
      <w:r w:rsidR="00AB523B">
        <w:rPr>
          <w:bCs/>
          <w:snapToGrid w:val="0"/>
          <w:color w:val="000000"/>
        </w:rPr>
        <w:t>,</w:t>
      </w:r>
      <w:r w:rsidRPr="00DA3F91">
        <w:rPr>
          <w:bCs/>
          <w:snapToGrid w:val="0"/>
          <w:color w:val="000000"/>
        </w:rPr>
        <w:t xml:space="preserve"> with Stage IIIB/C or Stage IV American Joint Committee on Cancer (</w:t>
      </w:r>
      <w:r w:rsidRPr="00E269E2">
        <w:rPr>
          <w:bCs/>
          <w:snapToGrid w:val="0"/>
          <w:color w:val="000000"/>
        </w:rPr>
        <w:t>AJCC)</w:t>
      </w:r>
      <w:r w:rsidR="00AB523B" w:rsidRPr="00E269E2">
        <w:rPr>
          <w:bCs/>
          <w:snapToGrid w:val="0"/>
          <w:color w:val="000000"/>
        </w:rPr>
        <w:t xml:space="preserve">, 7th edition, </w:t>
      </w:r>
      <w:r w:rsidRPr="00E269E2">
        <w:rPr>
          <w:bCs/>
          <w:snapToGrid w:val="0"/>
          <w:color w:val="000000"/>
        </w:rPr>
        <w:t>histologically confirmed melanoma that is completely surgically resected</w:t>
      </w:r>
      <w:r w:rsidR="00AB523B" w:rsidRPr="00E269E2">
        <w:rPr>
          <w:bCs/>
          <w:snapToGrid w:val="0"/>
          <w:color w:val="000000"/>
        </w:rPr>
        <w:t>. Per the AJCC 8th edition, this corresponds to patients with lymph node involvement (Stage III) or metastases (Stage IV).</w:t>
      </w:r>
      <w:r w:rsidRPr="00DA3F91">
        <w:rPr>
          <w:bCs/>
          <w:snapToGrid w:val="0"/>
          <w:color w:val="000000"/>
        </w:rPr>
        <w:t xml:space="preserve"> Patients were enrolled regardless of their tumour PD-L1 status. Patients with prior autoimmune disease, and any condition requiring systemic treatment with either corticosteroids (≥ 10 mg daily prednisone or equivalent) or other immunosuppressive medications, as well as patients with prior therapy for melanoma except surgery, adjuvant radiotherapy after neurosurgical resection for lesions of the central nervous system, and prior adjuvant interferon completed ≥6 months prior to randomisation were excluded from the study.</w:t>
      </w:r>
    </w:p>
    <w:p w14:paraId="0B34254A" w14:textId="77777777" w:rsidR="00364CA1" w:rsidRPr="00DA3F91" w:rsidRDefault="00364CA1" w:rsidP="00364CA1">
      <w:pPr>
        <w:rPr>
          <w:snapToGrid w:val="0"/>
        </w:rPr>
      </w:pPr>
      <w:r w:rsidRPr="00DA3F91">
        <w:rPr>
          <w:snapToGrid w:val="0"/>
        </w:rPr>
        <w:t xml:space="preserve">A total of 906 patients were randomised to receive either </w:t>
      </w:r>
      <w:proofErr w:type="spellStart"/>
      <w:r w:rsidRPr="00DA3F91">
        <w:rPr>
          <w:snapToGrid w:val="0"/>
        </w:rPr>
        <w:t>nivolumab</w:t>
      </w:r>
      <w:proofErr w:type="spellEnd"/>
      <w:r w:rsidRPr="00DA3F91">
        <w:rPr>
          <w:snapToGrid w:val="0"/>
        </w:rPr>
        <w:t xml:space="preserve"> 3 mg/kg (n = 453) administered  every 2 weeks or </w:t>
      </w:r>
      <w:proofErr w:type="spellStart"/>
      <w:r w:rsidRPr="00DA3F91">
        <w:rPr>
          <w:snapToGrid w:val="0"/>
        </w:rPr>
        <w:t>ipilimumab</w:t>
      </w:r>
      <w:proofErr w:type="spellEnd"/>
      <w:r w:rsidRPr="00DA3F91">
        <w:rPr>
          <w:snapToGrid w:val="0"/>
        </w:rPr>
        <w:t xml:space="preserve"> 10 mg/kg (n = 453) administered every 3 weeks for 4 doses then every 12 weeks beginning at week 24 for up to 1 year.</w:t>
      </w:r>
      <w:r w:rsidRPr="00DA3F91">
        <w:t xml:space="preserve"> Ipilimumab (10mg/kg) was chosen as the comparator as it has demonstrated a superior overall survival (OS) compared to standard of care after complete resection of high-risk stage III patients with melanoma (HR=0.72 95.1% CI: 0.58, 0.88; p=0.0013).</w:t>
      </w:r>
      <w:r w:rsidRPr="00DA3F91">
        <w:rPr>
          <w:snapToGrid w:val="0"/>
        </w:rPr>
        <w:t xml:space="preserve"> Randomisation was stratified by tumour PD-L1 expression (≥ 5% vs. &lt; 5%/indeterminate), and stage of disease per the AJCC staging system. Tumour assessments were conducted every 12 weeks for the first 2 years then every 6 months thereafter. </w:t>
      </w:r>
    </w:p>
    <w:p w14:paraId="62BD75EB" w14:textId="1B7F3F68" w:rsidR="00364CA1" w:rsidRPr="00DA3F91" w:rsidRDefault="00364CA1" w:rsidP="00364CA1">
      <w:pPr>
        <w:rPr>
          <w:snapToGrid w:val="0"/>
        </w:rPr>
      </w:pPr>
      <w:r w:rsidRPr="00DA3F91">
        <w:rPr>
          <w:snapToGrid w:val="0"/>
        </w:rPr>
        <w:t xml:space="preserve">The primary </w:t>
      </w:r>
      <w:r w:rsidR="008D08BA">
        <w:rPr>
          <w:snapToGrid w:val="0"/>
        </w:rPr>
        <w:t>endpoint</w:t>
      </w:r>
      <w:r w:rsidRPr="00DA3F91">
        <w:rPr>
          <w:snapToGrid w:val="0"/>
        </w:rPr>
        <w:t xml:space="preserve"> was recurrence-free survival (RFS). Key secondary </w:t>
      </w:r>
      <w:proofErr w:type="gramStart"/>
      <w:r w:rsidRPr="00DA3F91">
        <w:rPr>
          <w:snapToGrid w:val="0"/>
        </w:rPr>
        <w:t>endpoint were</w:t>
      </w:r>
      <w:proofErr w:type="gramEnd"/>
      <w:r w:rsidRPr="00DA3F91">
        <w:rPr>
          <w:snapToGrid w:val="0"/>
        </w:rPr>
        <w:t xml:space="preserve"> OS and </w:t>
      </w:r>
      <w:proofErr w:type="spellStart"/>
      <w:r w:rsidRPr="00DA3F91">
        <w:rPr>
          <w:snapToGrid w:val="0"/>
        </w:rPr>
        <w:t>QoL</w:t>
      </w:r>
      <w:proofErr w:type="spellEnd"/>
      <w:r w:rsidRPr="00DA3F91">
        <w:rPr>
          <w:snapToGrid w:val="0"/>
        </w:rPr>
        <w:t>.</w:t>
      </w:r>
      <w:r w:rsidR="007E5F98">
        <w:rPr>
          <w:snapToGrid w:val="0"/>
        </w:rPr>
        <w:t xml:space="preserve"> </w:t>
      </w:r>
    </w:p>
    <w:p w14:paraId="50862407" w14:textId="77777777" w:rsidR="00364CA1" w:rsidRPr="00DA3F91" w:rsidRDefault="00364CA1" w:rsidP="00364CA1">
      <w:pPr>
        <w:rPr>
          <w:snapToGrid w:val="0"/>
        </w:rPr>
      </w:pPr>
      <w:r w:rsidRPr="00DA3F91">
        <w:rPr>
          <w:snapToGrid w:val="0"/>
        </w:rPr>
        <w:t xml:space="preserve">RFS, assessed by investigator, was defined as the time between the date of randomisation and the date of first recurrence (local, regional, or distant metastasis), new primary melanoma, or death due to any cause, whichever occurred first. </w:t>
      </w:r>
    </w:p>
    <w:p w14:paraId="1EFE3E95" w14:textId="77777777" w:rsidR="00364CA1" w:rsidRPr="00DA3F91" w:rsidRDefault="00364CA1" w:rsidP="00364CA1">
      <w:pPr>
        <w:rPr>
          <w:strike/>
          <w:snapToGrid w:val="0"/>
        </w:rPr>
      </w:pPr>
      <w:r w:rsidRPr="00DA3F91">
        <w:rPr>
          <w:snapToGrid w:val="0"/>
        </w:rPr>
        <w:t xml:space="preserve">Baseline characteristics were generally balanced between the two groups. The median age was 55 years (range: 18-86), 58% were men, and 95% were white. Baseline ECOG performance status score was 0 (90%) or 1 (10%). The majority of patients had AJCC Stage III disease (81%), and 19% had Stage IV. Forty-two percent of patients were BRAF V600 mutation positive, 45% were BRAF wild type; and for 13% BRAF status was unknown. Among patients with quantifiable tumour PD-L1 expression (&gt;5%), the distribution of patients was balanced across the treatment groups. Tumour PD-L1 expression was determined using the PD-L1 IHC 28-8 </w:t>
      </w:r>
      <w:proofErr w:type="spellStart"/>
      <w:r w:rsidRPr="00DA3F91">
        <w:rPr>
          <w:snapToGrid w:val="0"/>
        </w:rPr>
        <w:t>pharmDx</w:t>
      </w:r>
      <w:proofErr w:type="spellEnd"/>
      <w:r w:rsidRPr="00DA3F91">
        <w:rPr>
          <w:snapToGrid w:val="0"/>
        </w:rPr>
        <w:t xml:space="preserve"> assay.</w:t>
      </w:r>
    </w:p>
    <w:p w14:paraId="79E6CFF4" w14:textId="3AFC01C4" w:rsidR="00364CA1" w:rsidRPr="00DA3F91" w:rsidRDefault="00364CA1" w:rsidP="00364CA1">
      <w:pPr>
        <w:rPr>
          <w:snapToGrid w:val="0"/>
        </w:rPr>
      </w:pPr>
      <w:r w:rsidRPr="00DA3F91">
        <w:rPr>
          <w:snapToGrid w:val="0"/>
        </w:rPr>
        <w:t xml:space="preserve">Minimum follow-up was approximately 18 months. </w:t>
      </w:r>
      <w:r w:rsidRPr="00DA3F91">
        <w:rPr>
          <w:rFonts w:eastAsia="Calibri"/>
        </w:rPr>
        <w:t xml:space="preserve">The trial demonstrated a statistically significant improvement in RFS for patients randomised to the </w:t>
      </w:r>
      <w:proofErr w:type="spellStart"/>
      <w:r w:rsidRPr="00DA3F91">
        <w:rPr>
          <w:rFonts w:eastAsia="Calibri"/>
        </w:rPr>
        <w:t>nivolumab</w:t>
      </w:r>
      <w:proofErr w:type="spellEnd"/>
      <w:r w:rsidRPr="00DA3F91">
        <w:rPr>
          <w:rFonts w:eastAsia="Calibri"/>
        </w:rPr>
        <w:t xml:space="preserve"> arm compared with the </w:t>
      </w:r>
      <w:proofErr w:type="spellStart"/>
      <w:r w:rsidRPr="00DA3F91">
        <w:rPr>
          <w:rFonts w:eastAsia="Calibri"/>
        </w:rPr>
        <w:t>ipilimumab</w:t>
      </w:r>
      <w:proofErr w:type="spellEnd"/>
      <w:r w:rsidRPr="00DA3F91">
        <w:rPr>
          <w:rFonts w:eastAsia="Calibri"/>
        </w:rPr>
        <w:t xml:space="preserve"> 10 mg/kg arm</w:t>
      </w:r>
      <w:r w:rsidR="006028ED">
        <w:rPr>
          <w:rFonts w:eastAsia="Calibri"/>
        </w:rPr>
        <w:t xml:space="preserve"> </w:t>
      </w:r>
      <w:r w:rsidR="006028ED" w:rsidRPr="001B3132">
        <w:rPr>
          <w:rFonts w:eastAsia="Calibri"/>
        </w:rPr>
        <w:t>based on a</w:t>
      </w:r>
      <w:r w:rsidR="009F0492" w:rsidRPr="001B3132">
        <w:rPr>
          <w:rFonts w:eastAsia="Calibri"/>
        </w:rPr>
        <w:t xml:space="preserve"> pre-specified</w:t>
      </w:r>
      <w:r w:rsidR="006028ED" w:rsidRPr="001B3132">
        <w:rPr>
          <w:rFonts w:eastAsia="Calibri"/>
        </w:rPr>
        <w:t xml:space="preserve"> interim analysis</w:t>
      </w:r>
      <w:r w:rsidRPr="001B3132">
        <w:rPr>
          <w:rFonts w:eastAsia="Calibri"/>
        </w:rPr>
        <w:t xml:space="preserve">. </w:t>
      </w:r>
      <w:r w:rsidR="006028ED" w:rsidRPr="001B3132">
        <w:rPr>
          <w:snapToGrid w:val="0"/>
        </w:rPr>
        <w:t xml:space="preserve">At the time the study reached its primary endpoint of RFS, the secondary endpoint of OS was not yet </w:t>
      </w:r>
      <w:r w:rsidR="009F0492" w:rsidRPr="001B3132">
        <w:rPr>
          <w:snapToGrid w:val="0"/>
        </w:rPr>
        <w:t>available</w:t>
      </w:r>
      <w:r w:rsidR="006028ED" w:rsidRPr="001B3132">
        <w:rPr>
          <w:snapToGrid w:val="0"/>
        </w:rPr>
        <w:t xml:space="preserve"> and subjects continue to be monitored.</w:t>
      </w:r>
      <w:r w:rsidRPr="00DA3F91">
        <w:rPr>
          <w:snapToGrid w:val="0"/>
        </w:rPr>
        <w:t xml:space="preserve"> RFS results are shown in Figure 1 and Table </w:t>
      </w:r>
      <w:r w:rsidR="00736CE8">
        <w:rPr>
          <w:snapToGrid w:val="0"/>
        </w:rPr>
        <w:t>4</w:t>
      </w:r>
      <w:r w:rsidRPr="00DA3F91">
        <w:rPr>
          <w:snapToGrid w:val="0"/>
        </w:rPr>
        <w:t xml:space="preserve"> (all randomised population).</w:t>
      </w:r>
    </w:p>
    <w:p w14:paraId="51601466" w14:textId="77777777" w:rsidR="00364CA1" w:rsidRPr="00DA3F91" w:rsidRDefault="00364CA1" w:rsidP="00364CA1">
      <w:pPr>
        <w:pStyle w:val="EMEABodyText"/>
        <w:keepNext/>
        <w:rPr>
          <w:b/>
          <w:sz w:val="24"/>
        </w:rPr>
      </w:pPr>
      <w:r w:rsidRPr="00DA3F91">
        <w:rPr>
          <w:b/>
          <w:sz w:val="24"/>
        </w:rPr>
        <w:t>Figure 1:</w:t>
      </w:r>
      <w:r w:rsidRPr="00DA3F91">
        <w:rPr>
          <w:sz w:val="24"/>
        </w:rPr>
        <w:tab/>
      </w:r>
      <w:r w:rsidRPr="00DA3F91">
        <w:rPr>
          <w:b/>
          <w:sz w:val="24"/>
          <w:lang w:val="en-US"/>
        </w:rPr>
        <w:t>Recurrence-free Survival (CA209238)</w:t>
      </w:r>
    </w:p>
    <w:p w14:paraId="6DFB7308" w14:textId="77777777" w:rsidR="00364CA1" w:rsidRPr="00DA3F91" w:rsidRDefault="00364CA1" w:rsidP="00364CA1">
      <w:pPr>
        <w:pStyle w:val="BMSBodyText"/>
        <w:spacing w:line="240" w:lineRule="auto"/>
        <w:jc w:val="left"/>
        <w:rPr>
          <w:rFonts w:eastAsia="TimesNewRoman"/>
        </w:rPr>
      </w:pPr>
    </w:p>
    <w:p w14:paraId="6278DBE9" w14:textId="77777777" w:rsidR="00364CA1" w:rsidRPr="00DA3F91" w:rsidRDefault="00364CA1" w:rsidP="00364CA1">
      <w:pPr>
        <w:pStyle w:val="BMSBodyText"/>
        <w:spacing w:line="240" w:lineRule="auto"/>
        <w:jc w:val="center"/>
        <w:rPr>
          <w:rFonts w:eastAsia="TimesNewRoman"/>
        </w:rPr>
      </w:pPr>
      <w:r w:rsidRPr="00DA3F91">
        <w:rPr>
          <w:rFonts w:eastAsia="TimesNewRoman"/>
          <w:noProof/>
          <w:lang w:val="en-AU" w:eastAsia="en-AU"/>
        </w:rPr>
        <w:lastRenderedPageBreak/>
        <mc:AlternateContent>
          <mc:Choice Requires="wps">
            <w:drawing>
              <wp:anchor distT="0" distB="0" distL="114300" distR="114300" simplePos="0" relativeHeight="251666432" behindDoc="0" locked="0" layoutInCell="1" allowOverlap="1" wp14:anchorId="588EB3C9" wp14:editId="26AEDC9D">
                <wp:simplePos x="0" y="0"/>
                <wp:positionH relativeFrom="column">
                  <wp:posOffset>270510</wp:posOffset>
                </wp:positionH>
                <wp:positionV relativeFrom="paragraph">
                  <wp:posOffset>6985</wp:posOffset>
                </wp:positionV>
                <wp:extent cx="337185" cy="2934335"/>
                <wp:effectExtent l="0" t="0" r="571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93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C7301" w14:textId="77777777" w:rsidR="00683B20" w:rsidRPr="00F54EDE" w:rsidRDefault="00683B20" w:rsidP="00364CA1">
                            <w:pPr>
                              <w:jc w:val="center"/>
                            </w:pPr>
                            <w:r>
                              <w:t>Probability of Recurrence-Free Survival</w:t>
                            </w:r>
                            <w:r>
                              <w:br/>
                              <w:t>F</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1.3pt;margin-top:.55pt;width:26.55pt;height:23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" stroked="f">
                <v:textbox style="layout-flow:vertical;mso-layout-flow-alt:bottom-to-top">
                  <w:txbxContent>
                    <w:p w14:paraId="148C7301" w14:textId="77777777" w:rsidR="00683B20" w:rsidRPr="00F54EDE" w:rsidRDefault="00683B20" w:rsidP="00364CA1">
                      <w:pPr>
                        <w:jc w:val="center"/>
                      </w:pPr>
                      <w:r>
                        <w:t>Probability of Recurrence-Free Survival</w:t>
                      </w:r>
                      <w:r>
                        <w:br/>
                        <w:t>F</w:t>
                      </w:r>
                    </w:p>
                  </w:txbxContent>
                </v:textbox>
              </v:shape>
            </w:pict>
          </mc:Fallback>
        </mc:AlternateContent>
      </w:r>
      <w:r w:rsidRPr="00DA3F91">
        <w:rPr>
          <w:b/>
          <w:noProof/>
          <w:lang w:val="en-AU" w:eastAsia="en-AU"/>
        </w:rPr>
        <w:drawing>
          <wp:inline distT="0" distB="0" distL="0" distR="0" wp14:anchorId="4B71F995" wp14:editId="6E80AA9C">
            <wp:extent cx="4297680" cy="2834640"/>
            <wp:effectExtent l="0" t="0" r="7620" b="3810"/>
            <wp:docPr id="3" name="Picture 3" descr="Kaplan Meier Plot of Recurrence Free Survival-EU_v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lan Meier Plot of Recurrence Free Survival-EU_v5 (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7680" cy="2834640"/>
                    </a:xfrm>
                    <a:prstGeom prst="rect">
                      <a:avLst/>
                    </a:prstGeom>
                    <a:noFill/>
                    <a:ln>
                      <a:noFill/>
                    </a:ln>
                  </pic:spPr>
                </pic:pic>
              </a:graphicData>
            </a:graphic>
          </wp:inline>
        </w:drawing>
      </w:r>
    </w:p>
    <w:p w14:paraId="519969F6" w14:textId="77777777" w:rsidR="00364CA1" w:rsidRPr="00DA3F91" w:rsidRDefault="00364CA1" w:rsidP="00364CA1">
      <w:pPr>
        <w:pStyle w:val="BMSBodyText"/>
        <w:spacing w:line="240" w:lineRule="auto"/>
        <w:jc w:val="left"/>
        <w:rPr>
          <w:rFonts w:eastAsia="TimesNewRoman"/>
        </w:rPr>
      </w:pPr>
      <w:r w:rsidRPr="00DA3F91">
        <w:rPr>
          <w:rFonts w:eastAsia="TimesNewRoman"/>
          <w:noProof/>
          <w:lang w:val="en-AU" w:eastAsia="en-AU"/>
        </w:rPr>
        <mc:AlternateContent>
          <mc:Choice Requires="wps">
            <w:drawing>
              <wp:anchor distT="45720" distB="45720" distL="114300" distR="114300" simplePos="0" relativeHeight="251667456" behindDoc="0" locked="0" layoutInCell="1" allowOverlap="1" wp14:anchorId="591E0893" wp14:editId="703BCA70">
                <wp:simplePos x="0" y="0"/>
                <wp:positionH relativeFrom="margin">
                  <wp:align>center</wp:align>
                </wp:positionH>
                <wp:positionV relativeFrom="paragraph">
                  <wp:posOffset>112395</wp:posOffset>
                </wp:positionV>
                <wp:extent cx="2295525" cy="252095"/>
                <wp:effectExtent l="0" t="0" r="9525"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A80DD7" w14:textId="77777777" w:rsidR="00683B20" w:rsidRDefault="00683B20" w:rsidP="00364CA1">
                            <w:r>
                              <w:t>Recurrence-Free Survival (Months)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9" o:spid="_x0000_s1027" type="#_x0000_t202" style="position:absolute;margin-left:0;margin-top:8.85pt;width:180.75pt;height:19.85pt;z-index:251667456;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" stroked="f">
                <v:textbox style="mso-fit-shape-to-text:t">
                  <w:txbxContent>
                    <w:p w14:paraId="79A80DD7" w14:textId="77777777" w:rsidR="00683B20" w:rsidRDefault="00683B20" w:rsidP="00364CA1">
                      <w:r>
                        <w:t>Recurrence-Free Survival (Months)</w:t>
                      </w:r>
                    </w:p>
                  </w:txbxContent>
                </v:textbox>
                <w10:wrap type="square" anchorx="margin"/>
              </v:shape>
            </w:pict>
          </mc:Fallback>
        </mc:AlternateContent>
      </w:r>
    </w:p>
    <w:tbl>
      <w:tblPr>
        <w:tblW w:w="7561" w:type="dxa"/>
        <w:tblInd w:w="675" w:type="dxa"/>
        <w:tblLayout w:type="fixed"/>
        <w:tblLook w:val="04A0" w:firstRow="1" w:lastRow="0" w:firstColumn="1" w:lastColumn="0" w:noHBand="0" w:noVBand="1"/>
      </w:tblPr>
      <w:tblGrid>
        <w:gridCol w:w="405"/>
        <w:gridCol w:w="696"/>
        <w:gridCol w:w="697"/>
        <w:gridCol w:w="696"/>
        <w:gridCol w:w="697"/>
        <w:gridCol w:w="697"/>
        <w:gridCol w:w="696"/>
        <w:gridCol w:w="697"/>
        <w:gridCol w:w="696"/>
        <w:gridCol w:w="697"/>
        <w:gridCol w:w="130"/>
        <w:gridCol w:w="567"/>
        <w:gridCol w:w="190"/>
      </w:tblGrid>
      <w:tr w:rsidR="00364CA1" w:rsidRPr="00DA3F91" w14:paraId="3406B9DA" w14:textId="77777777" w:rsidTr="00FA6FF1">
        <w:trPr>
          <w:trHeight w:val="259"/>
        </w:trPr>
        <w:tc>
          <w:tcPr>
            <w:tcW w:w="7561" w:type="dxa"/>
            <w:gridSpan w:val="13"/>
          </w:tcPr>
          <w:p w14:paraId="09E1BC70" w14:textId="77777777" w:rsidR="00364CA1" w:rsidRPr="00DA3F91" w:rsidRDefault="00364CA1" w:rsidP="00FA6FF1">
            <w:pPr>
              <w:pStyle w:val="EMEABodyText"/>
              <w:keepNext/>
              <w:keepLines/>
              <w:rPr>
                <w:sz w:val="18"/>
                <w:szCs w:val="18"/>
              </w:rPr>
            </w:pPr>
            <w:r w:rsidRPr="00DA3F91">
              <w:rPr>
                <w:sz w:val="18"/>
                <w:szCs w:val="18"/>
              </w:rPr>
              <w:t>Number of Subjects at Risk</w:t>
            </w:r>
          </w:p>
        </w:tc>
      </w:tr>
      <w:tr w:rsidR="00364CA1" w:rsidRPr="00DA3F91" w14:paraId="13BBB6BD" w14:textId="77777777" w:rsidTr="00FA6FF1">
        <w:tc>
          <w:tcPr>
            <w:tcW w:w="7561" w:type="dxa"/>
            <w:gridSpan w:val="13"/>
          </w:tcPr>
          <w:p w14:paraId="0114BDA3" w14:textId="77777777" w:rsidR="00364CA1" w:rsidRPr="00DA3F91" w:rsidRDefault="00364CA1" w:rsidP="00FA6FF1">
            <w:pPr>
              <w:pStyle w:val="EMEABodyText"/>
              <w:keepNext/>
              <w:keepLines/>
              <w:rPr>
                <w:sz w:val="18"/>
                <w:szCs w:val="18"/>
              </w:rPr>
            </w:pPr>
            <w:proofErr w:type="spellStart"/>
            <w:r w:rsidRPr="00DA3F91">
              <w:rPr>
                <w:sz w:val="18"/>
                <w:szCs w:val="18"/>
              </w:rPr>
              <w:t>Nivolumab</w:t>
            </w:r>
            <w:proofErr w:type="spellEnd"/>
            <w:r w:rsidRPr="00DA3F91">
              <w:rPr>
                <w:sz w:val="18"/>
                <w:szCs w:val="18"/>
              </w:rPr>
              <w:t xml:space="preserve"> </w:t>
            </w:r>
          </w:p>
        </w:tc>
      </w:tr>
      <w:tr w:rsidR="00364CA1" w:rsidRPr="00DA3F91" w14:paraId="0090AE6F" w14:textId="77777777" w:rsidTr="00FA6FF1">
        <w:trPr>
          <w:gridBefore w:val="1"/>
          <w:gridAfter w:val="1"/>
          <w:wBefore w:w="405" w:type="dxa"/>
          <w:wAfter w:w="190" w:type="dxa"/>
        </w:trPr>
        <w:tc>
          <w:tcPr>
            <w:tcW w:w="696" w:type="dxa"/>
            <w:vAlign w:val="center"/>
          </w:tcPr>
          <w:p w14:paraId="235E1DB2" w14:textId="77777777" w:rsidR="00364CA1" w:rsidRPr="00DA3F91" w:rsidRDefault="00364CA1" w:rsidP="00FA6FF1">
            <w:pPr>
              <w:pStyle w:val="EMEABodyText"/>
              <w:keepNext/>
              <w:jc w:val="right"/>
              <w:rPr>
                <w:sz w:val="18"/>
                <w:szCs w:val="18"/>
              </w:rPr>
            </w:pPr>
            <w:r w:rsidRPr="00DA3F91">
              <w:rPr>
                <w:sz w:val="18"/>
                <w:szCs w:val="18"/>
              </w:rPr>
              <w:t>453</w:t>
            </w:r>
          </w:p>
        </w:tc>
        <w:tc>
          <w:tcPr>
            <w:tcW w:w="697" w:type="dxa"/>
            <w:vAlign w:val="center"/>
          </w:tcPr>
          <w:p w14:paraId="6CA5FB02" w14:textId="77777777" w:rsidR="00364CA1" w:rsidRPr="00DA3F91" w:rsidRDefault="00364CA1" w:rsidP="00FA6FF1">
            <w:pPr>
              <w:pStyle w:val="EMEABodyText"/>
              <w:keepNext/>
              <w:jc w:val="right"/>
              <w:rPr>
                <w:sz w:val="18"/>
                <w:szCs w:val="18"/>
              </w:rPr>
            </w:pPr>
            <w:r w:rsidRPr="00DA3F91">
              <w:rPr>
                <w:sz w:val="18"/>
                <w:szCs w:val="18"/>
              </w:rPr>
              <w:t>399</w:t>
            </w:r>
          </w:p>
        </w:tc>
        <w:tc>
          <w:tcPr>
            <w:tcW w:w="696" w:type="dxa"/>
            <w:vAlign w:val="center"/>
          </w:tcPr>
          <w:p w14:paraId="369B6CE8" w14:textId="77777777" w:rsidR="00364CA1" w:rsidRPr="00DA3F91" w:rsidRDefault="00364CA1" w:rsidP="00FA6FF1">
            <w:pPr>
              <w:pStyle w:val="EMEABodyText"/>
              <w:keepNext/>
              <w:jc w:val="right"/>
              <w:rPr>
                <w:sz w:val="18"/>
                <w:szCs w:val="18"/>
              </w:rPr>
            </w:pPr>
            <w:r w:rsidRPr="00DA3F91">
              <w:rPr>
                <w:sz w:val="18"/>
                <w:szCs w:val="18"/>
              </w:rPr>
              <w:t>353</w:t>
            </w:r>
          </w:p>
        </w:tc>
        <w:tc>
          <w:tcPr>
            <w:tcW w:w="697" w:type="dxa"/>
            <w:vAlign w:val="center"/>
          </w:tcPr>
          <w:p w14:paraId="03ADD52E" w14:textId="77777777" w:rsidR="00364CA1" w:rsidRPr="00DA3F91" w:rsidRDefault="00364CA1" w:rsidP="00FA6FF1">
            <w:pPr>
              <w:pStyle w:val="EMEABodyText"/>
              <w:keepNext/>
              <w:jc w:val="right"/>
              <w:rPr>
                <w:sz w:val="18"/>
                <w:szCs w:val="18"/>
              </w:rPr>
            </w:pPr>
            <w:r w:rsidRPr="00DA3F91">
              <w:rPr>
                <w:sz w:val="18"/>
                <w:szCs w:val="18"/>
              </w:rPr>
              <w:t>332</w:t>
            </w:r>
          </w:p>
        </w:tc>
        <w:tc>
          <w:tcPr>
            <w:tcW w:w="697" w:type="dxa"/>
            <w:vAlign w:val="center"/>
          </w:tcPr>
          <w:p w14:paraId="3ED7F178" w14:textId="77777777" w:rsidR="00364CA1" w:rsidRPr="00DA3F91" w:rsidRDefault="00364CA1" w:rsidP="00FA6FF1">
            <w:pPr>
              <w:pStyle w:val="EMEABodyText"/>
              <w:keepNext/>
              <w:jc w:val="right"/>
              <w:rPr>
                <w:sz w:val="18"/>
                <w:szCs w:val="18"/>
              </w:rPr>
            </w:pPr>
            <w:r w:rsidRPr="00DA3F91">
              <w:rPr>
                <w:sz w:val="18"/>
                <w:szCs w:val="18"/>
              </w:rPr>
              <w:t>311</w:t>
            </w:r>
          </w:p>
        </w:tc>
        <w:tc>
          <w:tcPr>
            <w:tcW w:w="696" w:type="dxa"/>
            <w:vAlign w:val="center"/>
          </w:tcPr>
          <w:p w14:paraId="7D57656D" w14:textId="77777777" w:rsidR="00364CA1" w:rsidRPr="00DA3F91" w:rsidRDefault="00364CA1" w:rsidP="00FA6FF1">
            <w:pPr>
              <w:pStyle w:val="EMEABodyText"/>
              <w:keepNext/>
              <w:jc w:val="right"/>
              <w:rPr>
                <w:sz w:val="18"/>
                <w:szCs w:val="18"/>
              </w:rPr>
            </w:pPr>
            <w:r w:rsidRPr="00DA3F91">
              <w:rPr>
                <w:sz w:val="18"/>
                <w:szCs w:val="18"/>
              </w:rPr>
              <w:t>291</w:t>
            </w:r>
          </w:p>
        </w:tc>
        <w:tc>
          <w:tcPr>
            <w:tcW w:w="697" w:type="dxa"/>
            <w:vAlign w:val="center"/>
          </w:tcPr>
          <w:p w14:paraId="1CDB08D3" w14:textId="77777777" w:rsidR="00364CA1" w:rsidRPr="00DA3F91" w:rsidRDefault="00364CA1" w:rsidP="00FA6FF1">
            <w:pPr>
              <w:pStyle w:val="EMEABodyText"/>
              <w:keepNext/>
              <w:jc w:val="right"/>
              <w:rPr>
                <w:sz w:val="18"/>
                <w:szCs w:val="18"/>
              </w:rPr>
            </w:pPr>
            <w:r w:rsidRPr="00DA3F91">
              <w:rPr>
                <w:sz w:val="18"/>
                <w:szCs w:val="18"/>
              </w:rPr>
              <w:t>249</w:t>
            </w:r>
          </w:p>
        </w:tc>
        <w:tc>
          <w:tcPr>
            <w:tcW w:w="696" w:type="dxa"/>
          </w:tcPr>
          <w:p w14:paraId="19EE54CE" w14:textId="77777777" w:rsidR="00364CA1" w:rsidRPr="00DA3F91" w:rsidRDefault="00364CA1" w:rsidP="00FA6FF1">
            <w:pPr>
              <w:pStyle w:val="EMEABodyText"/>
              <w:keepNext/>
              <w:jc w:val="right"/>
              <w:rPr>
                <w:sz w:val="18"/>
                <w:szCs w:val="18"/>
              </w:rPr>
            </w:pPr>
            <w:r w:rsidRPr="00DA3F91">
              <w:rPr>
                <w:sz w:val="18"/>
                <w:szCs w:val="18"/>
              </w:rPr>
              <w:t>71</w:t>
            </w:r>
          </w:p>
        </w:tc>
        <w:tc>
          <w:tcPr>
            <w:tcW w:w="697" w:type="dxa"/>
          </w:tcPr>
          <w:p w14:paraId="6738279E" w14:textId="77777777" w:rsidR="00364CA1" w:rsidRPr="00DA3F91" w:rsidRDefault="00364CA1" w:rsidP="00FA6FF1">
            <w:pPr>
              <w:pStyle w:val="EMEABodyText"/>
              <w:keepNext/>
              <w:keepLines/>
              <w:jc w:val="right"/>
              <w:rPr>
                <w:sz w:val="18"/>
                <w:szCs w:val="18"/>
              </w:rPr>
            </w:pPr>
            <w:r w:rsidRPr="00DA3F91">
              <w:rPr>
                <w:sz w:val="18"/>
                <w:szCs w:val="18"/>
              </w:rPr>
              <w:t>5</w:t>
            </w:r>
          </w:p>
        </w:tc>
        <w:tc>
          <w:tcPr>
            <w:tcW w:w="697" w:type="dxa"/>
            <w:gridSpan w:val="2"/>
          </w:tcPr>
          <w:p w14:paraId="7054CEDC" w14:textId="77777777" w:rsidR="00364CA1" w:rsidRPr="00DA3F91" w:rsidRDefault="00364CA1" w:rsidP="00FA6FF1">
            <w:pPr>
              <w:pStyle w:val="EMEABodyText"/>
              <w:keepNext/>
              <w:keepLines/>
              <w:jc w:val="right"/>
              <w:rPr>
                <w:sz w:val="18"/>
                <w:szCs w:val="18"/>
              </w:rPr>
            </w:pPr>
            <w:r w:rsidRPr="00DA3F91">
              <w:rPr>
                <w:sz w:val="18"/>
                <w:szCs w:val="18"/>
              </w:rPr>
              <w:t>0</w:t>
            </w:r>
          </w:p>
        </w:tc>
      </w:tr>
      <w:tr w:rsidR="00364CA1" w:rsidRPr="00DA3F91" w14:paraId="633B0C3F" w14:textId="77777777" w:rsidTr="00FA6FF1">
        <w:trPr>
          <w:gridAfter w:val="2"/>
          <w:wAfter w:w="757" w:type="dxa"/>
        </w:trPr>
        <w:tc>
          <w:tcPr>
            <w:tcW w:w="6804" w:type="dxa"/>
            <w:gridSpan w:val="11"/>
            <w:vAlign w:val="center"/>
          </w:tcPr>
          <w:p w14:paraId="49808A00" w14:textId="77777777" w:rsidR="00364CA1" w:rsidRPr="00DA3F91" w:rsidRDefault="00364CA1" w:rsidP="00FA6FF1">
            <w:pPr>
              <w:pStyle w:val="EMEABodyText"/>
              <w:keepNext/>
              <w:keepLines/>
              <w:rPr>
                <w:sz w:val="18"/>
                <w:szCs w:val="18"/>
              </w:rPr>
            </w:pPr>
            <w:r w:rsidRPr="00DA3F91">
              <w:rPr>
                <w:sz w:val="18"/>
                <w:szCs w:val="18"/>
              </w:rPr>
              <w:t xml:space="preserve">Ipilimumab </w:t>
            </w:r>
          </w:p>
        </w:tc>
      </w:tr>
      <w:tr w:rsidR="00364CA1" w:rsidRPr="00DA3F91" w14:paraId="450B26CB" w14:textId="77777777" w:rsidTr="00FA6FF1">
        <w:trPr>
          <w:gridBefore w:val="1"/>
          <w:gridAfter w:val="1"/>
          <w:wBefore w:w="405" w:type="dxa"/>
          <w:wAfter w:w="190" w:type="dxa"/>
        </w:trPr>
        <w:tc>
          <w:tcPr>
            <w:tcW w:w="696" w:type="dxa"/>
            <w:vAlign w:val="center"/>
          </w:tcPr>
          <w:p w14:paraId="6B51C7EB" w14:textId="77777777" w:rsidR="00364CA1" w:rsidRPr="00DA3F91" w:rsidRDefault="00364CA1" w:rsidP="00FA6FF1">
            <w:pPr>
              <w:pStyle w:val="EMEABodyText"/>
              <w:keepNext/>
              <w:jc w:val="right"/>
              <w:rPr>
                <w:sz w:val="18"/>
                <w:szCs w:val="18"/>
              </w:rPr>
            </w:pPr>
            <w:r w:rsidRPr="00DA3F91">
              <w:rPr>
                <w:sz w:val="18"/>
                <w:szCs w:val="18"/>
              </w:rPr>
              <w:t>453</w:t>
            </w:r>
          </w:p>
        </w:tc>
        <w:tc>
          <w:tcPr>
            <w:tcW w:w="697" w:type="dxa"/>
            <w:vAlign w:val="center"/>
          </w:tcPr>
          <w:p w14:paraId="3B6F65F4" w14:textId="77777777" w:rsidR="00364CA1" w:rsidRPr="00DA3F91" w:rsidRDefault="00364CA1" w:rsidP="00FA6FF1">
            <w:pPr>
              <w:pStyle w:val="EMEABodyText"/>
              <w:keepNext/>
              <w:jc w:val="right"/>
              <w:rPr>
                <w:sz w:val="18"/>
                <w:szCs w:val="18"/>
              </w:rPr>
            </w:pPr>
            <w:r w:rsidRPr="00DA3F91">
              <w:rPr>
                <w:sz w:val="18"/>
                <w:szCs w:val="18"/>
              </w:rPr>
              <w:t>364</w:t>
            </w:r>
          </w:p>
        </w:tc>
        <w:tc>
          <w:tcPr>
            <w:tcW w:w="696" w:type="dxa"/>
            <w:vAlign w:val="center"/>
          </w:tcPr>
          <w:p w14:paraId="3BA7048D" w14:textId="77777777" w:rsidR="00364CA1" w:rsidRPr="00DA3F91" w:rsidRDefault="00364CA1" w:rsidP="00FA6FF1">
            <w:pPr>
              <w:pStyle w:val="EMEABodyText"/>
              <w:keepNext/>
              <w:jc w:val="right"/>
              <w:rPr>
                <w:sz w:val="18"/>
                <w:szCs w:val="18"/>
              </w:rPr>
            </w:pPr>
            <w:r w:rsidRPr="00DA3F91">
              <w:rPr>
                <w:sz w:val="18"/>
                <w:szCs w:val="18"/>
              </w:rPr>
              <w:t>314</w:t>
            </w:r>
          </w:p>
        </w:tc>
        <w:tc>
          <w:tcPr>
            <w:tcW w:w="697" w:type="dxa"/>
            <w:vAlign w:val="center"/>
          </w:tcPr>
          <w:p w14:paraId="116676EF" w14:textId="77777777" w:rsidR="00364CA1" w:rsidRPr="00DA3F91" w:rsidRDefault="00364CA1" w:rsidP="00FA6FF1">
            <w:pPr>
              <w:pStyle w:val="EMEABodyText"/>
              <w:keepNext/>
              <w:jc w:val="right"/>
              <w:rPr>
                <w:sz w:val="18"/>
                <w:szCs w:val="18"/>
              </w:rPr>
            </w:pPr>
            <w:r w:rsidRPr="00DA3F91">
              <w:rPr>
                <w:sz w:val="18"/>
                <w:szCs w:val="18"/>
              </w:rPr>
              <w:t>269</w:t>
            </w:r>
          </w:p>
        </w:tc>
        <w:tc>
          <w:tcPr>
            <w:tcW w:w="697" w:type="dxa"/>
            <w:vAlign w:val="center"/>
          </w:tcPr>
          <w:p w14:paraId="22ED5CE8" w14:textId="77777777" w:rsidR="00364CA1" w:rsidRPr="00DA3F91" w:rsidRDefault="00364CA1" w:rsidP="00FA6FF1">
            <w:pPr>
              <w:pStyle w:val="EMEABodyText"/>
              <w:keepNext/>
              <w:jc w:val="right"/>
              <w:rPr>
                <w:sz w:val="18"/>
                <w:szCs w:val="18"/>
              </w:rPr>
            </w:pPr>
            <w:r w:rsidRPr="00DA3F91">
              <w:rPr>
                <w:sz w:val="18"/>
                <w:szCs w:val="18"/>
              </w:rPr>
              <w:t>252</w:t>
            </w:r>
          </w:p>
        </w:tc>
        <w:tc>
          <w:tcPr>
            <w:tcW w:w="696" w:type="dxa"/>
            <w:vAlign w:val="center"/>
          </w:tcPr>
          <w:p w14:paraId="0711FEF6" w14:textId="77777777" w:rsidR="00364CA1" w:rsidRPr="00DA3F91" w:rsidRDefault="00364CA1" w:rsidP="00FA6FF1">
            <w:pPr>
              <w:pStyle w:val="EMEABodyText"/>
              <w:keepNext/>
              <w:jc w:val="right"/>
              <w:rPr>
                <w:sz w:val="18"/>
                <w:szCs w:val="18"/>
              </w:rPr>
            </w:pPr>
            <w:r w:rsidRPr="00DA3F91">
              <w:rPr>
                <w:sz w:val="18"/>
                <w:szCs w:val="18"/>
              </w:rPr>
              <w:t>225</w:t>
            </w:r>
          </w:p>
        </w:tc>
        <w:tc>
          <w:tcPr>
            <w:tcW w:w="697" w:type="dxa"/>
            <w:vAlign w:val="center"/>
          </w:tcPr>
          <w:p w14:paraId="586ECC34" w14:textId="77777777" w:rsidR="00364CA1" w:rsidRPr="00DA3F91" w:rsidRDefault="00364CA1" w:rsidP="00FA6FF1">
            <w:pPr>
              <w:pStyle w:val="EMEABodyText"/>
              <w:keepNext/>
              <w:jc w:val="right"/>
              <w:rPr>
                <w:sz w:val="18"/>
                <w:szCs w:val="18"/>
              </w:rPr>
            </w:pPr>
            <w:r w:rsidRPr="00DA3F91">
              <w:rPr>
                <w:sz w:val="18"/>
                <w:szCs w:val="18"/>
              </w:rPr>
              <w:t>184</w:t>
            </w:r>
          </w:p>
        </w:tc>
        <w:tc>
          <w:tcPr>
            <w:tcW w:w="696" w:type="dxa"/>
          </w:tcPr>
          <w:p w14:paraId="2D9CC082" w14:textId="77777777" w:rsidR="00364CA1" w:rsidRPr="00DA3F91" w:rsidRDefault="00364CA1" w:rsidP="00FA6FF1">
            <w:pPr>
              <w:pStyle w:val="EMEABodyText"/>
              <w:keepNext/>
              <w:jc w:val="right"/>
              <w:rPr>
                <w:sz w:val="18"/>
                <w:szCs w:val="18"/>
              </w:rPr>
            </w:pPr>
            <w:r w:rsidRPr="00DA3F91">
              <w:rPr>
                <w:sz w:val="18"/>
                <w:szCs w:val="18"/>
              </w:rPr>
              <w:t>56</w:t>
            </w:r>
          </w:p>
        </w:tc>
        <w:tc>
          <w:tcPr>
            <w:tcW w:w="697" w:type="dxa"/>
          </w:tcPr>
          <w:p w14:paraId="7191F7FE" w14:textId="77777777" w:rsidR="00364CA1" w:rsidRPr="00DA3F91" w:rsidRDefault="00364CA1" w:rsidP="00FA6FF1">
            <w:pPr>
              <w:pStyle w:val="EMEABodyText"/>
              <w:keepNext/>
              <w:keepLines/>
              <w:jc w:val="right"/>
              <w:rPr>
                <w:sz w:val="18"/>
                <w:szCs w:val="18"/>
              </w:rPr>
            </w:pPr>
            <w:r w:rsidRPr="00DA3F91">
              <w:rPr>
                <w:sz w:val="18"/>
                <w:szCs w:val="18"/>
              </w:rPr>
              <w:t>2</w:t>
            </w:r>
          </w:p>
        </w:tc>
        <w:tc>
          <w:tcPr>
            <w:tcW w:w="697" w:type="dxa"/>
            <w:gridSpan w:val="2"/>
          </w:tcPr>
          <w:p w14:paraId="07E3B108" w14:textId="77777777" w:rsidR="00364CA1" w:rsidRPr="00DA3F91" w:rsidRDefault="00364CA1" w:rsidP="00FA6FF1">
            <w:pPr>
              <w:pStyle w:val="EMEABodyText"/>
              <w:keepNext/>
              <w:keepLines/>
              <w:jc w:val="right"/>
              <w:rPr>
                <w:sz w:val="18"/>
                <w:szCs w:val="18"/>
              </w:rPr>
            </w:pPr>
            <w:r w:rsidRPr="00DA3F91">
              <w:rPr>
                <w:sz w:val="18"/>
                <w:szCs w:val="18"/>
              </w:rPr>
              <w:t>0</w:t>
            </w:r>
          </w:p>
        </w:tc>
      </w:tr>
    </w:tbl>
    <w:p w14:paraId="57DC1E00" w14:textId="77777777" w:rsidR="00364CA1" w:rsidRPr="00DA3F91" w:rsidRDefault="00364CA1" w:rsidP="00364CA1">
      <w:pPr>
        <w:spacing w:after="120" w:line="264" w:lineRule="auto"/>
        <w:ind w:firstLine="567"/>
        <w:rPr>
          <w:color w:val="000000"/>
          <w:sz w:val="18"/>
          <w:szCs w:val="18"/>
        </w:rPr>
      </w:pPr>
      <w:r w:rsidRPr="00DA3F91">
        <w:rPr>
          <w:sz w:val="18"/>
          <w:szCs w:val="18"/>
        </w:rPr>
        <w:t>──∆───</w:t>
      </w:r>
      <w:proofErr w:type="spellStart"/>
      <w:r w:rsidRPr="00DA3F91">
        <w:rPr>
          <w:sz w:val="18"/>
          <w:szCs w:val="18"/>
        </w:rPr>
        <w:t>Nivolumab</w:t>
      </w:r>
      <w:proofErr w:type="spellEnd"/>
      <w:r w:rsidRPr="00DA3F91">
        <w:rPr>
          <w:sz w:val="18"/>
          <w:szCs w:val="18"/>
        </w:rPr>
        <w:t xml:space="preserve">   - - - </w:t>
      </w:r>
      <w:r w:rsidRPr="00DA3F91">
        <w:rPr>
          <w:sz w:val="18"/>
          <w:szCs w:val="18"/>
        </w:rPr>
        <w:sym w:font="Wingdings" w:char="F0A6"/>
      </w:r>
      <w:r w:rsidRPr="00DA3F91">
        <w:rPr>
          <w:sz w:val="18"/>
          <w:szCs w:val="18"/>
        </w:rPr>
        <w:t>- - - Ipilimumab</w:t>
      </w:r>
    </w:p>
    <w:p w14:paraId="373B2A73" w14:textId="77777777" w:rsidR="00364CA1" w:rsidRPr="00DA3F91" w:rsidRDefault="00364CA1" w:rsidP="00364CA1">
      <w:pPr>
        <w:pStyle w:val="EMEABodyText"/>
        <w:rPr>
          <w:rFonts w:eastAsia="Calibri"/>
          <w:sz w:val="24"/>
          <w:szCs w:val="22"/>
          <w:lang w:val="en-US"/>
        </w:rPr>
      </w:pPr>
    </w:p>
    <w:tbl>
      <w:tblPr>
        <w:tblW w:w="0" w:type="auto"/>
        <w:tblLook w:val="04A0" w:firstRow="1" w:lastRow="0" w:firstColumn="1" w:lastColumn="0" w:noHBand="0" w:noVBand="1"/>
      </w:tblPr>
      <w:tblGrid>
        <w:gridCol w:w="2951"/>
        <w:gridCol w:w="1542"/>
        <w:gridCol w:w="1531"/>
        <w:gridCol w:w="1512"/>
        <w:gridCol w:w="1536"/>
      </w:tblGrid>
      <w:tr w:rsidR="00364CA1" w:rsidRPr="00DA3F91" w14:paraId="07F69305" w14:textId="77777777" w:rsidTr="00FA6FF1">
        <w:tc>
          <w:tcPr>
            <w:tcW w:w="9072" w:type="dxa"/>
            <w:gridSpan w:val="5"/>
            <w:tcBorders>
              <w:bottom w:val="single" w:sz="4" w:space="0" w:color="auto"/>
            </w:tcBorders>
          </w:tcPr>
          <w:p w14:paraId="4DF69673" w14:textId="7F530241" w:rsidR="00364CA1" w:rsidRPr="00DA3F91" w:rsidRDefault="00364CA1" w:rsidP="001B3132">
            <w:pPr>
              <w:pStyle w:val="EMEABodyText"/>
              <w:keepNext/>
              <w:rPr>
                <w:b/>
                <w:szCs w:val="22"/>
              </w:rPr>
            </w:pPr>
            <w:r w:rsidRPr="00DA3F91">
              <w:rPr>
                <w:b/>
                <w:szCs w:val="22"/>
              </w:rPr>
              <w:t>Table </w:t>
            </w:r>
            <w:r w:rsidR="00736CE8">
              <w:rPr>
                <w:b/>
                <w:szCs w:val="22"/>
              </w:rPr>
              <w:t>4</w:t>
            </w:r>
            <w:r w:rsidRPr="00DA3F91">
              <w:rPr>
                <w:b/>
                <w:szCs w:val="22"/>
              </w:rPr>
              <w:t>:</w:t>
            </w:r>
            <w:r w:rsidRPr="00DA3F91">
              <w:rPr>
                <w:b/>
                <w:szCs w:val="22"/>
              </w:rPr>
              <w:tab/>
              <w:t>Efficacy results (CA209238)</w:t>
            </w:r>
          </w:p>
        </w:tc>
      </w:tr>
      <w:tr w:rsidR="00364CA1" w:rsidRPr="00DA3F91" w14:paraId="33C0A9BD" w14:textId="77777777" w:rsidTr="00FA6FF1">
        <w:tc>
          <w:tcPr>
            <w:tcW w:w="2951" w:type="dxa"/>
            <w:tcBorders>
              <w:top w:val="single" w:sz="4" w:space="0" w:color="auto"/>
              <w:bottom w:val="single" w:sz="4" w:space="0" w:color="auto"/>
            </w:tcBorders>
          </w:tcPr>
          <w:p w14:paraId="1972E71C" w14:textId="77777777" w:rsidR="00364CA1" w:rsidRPr="00DA3F91" w:rsidRDefault="00364CA1" w:rsidP="00FA6FF1">
            <w:pPr>
              <w:keepNext/>
              <w:keepLines/>
              <w:jc w:val="center"/>
              <w:rPr>
                <w:b/>
                <w:sz w:val="20"/>
                <w:szCs w:val="20"/>
              </w:rPr>
            </w:pPr>
          </w:p>
        </w:tc>
        <w:tc>
          <w:tcPr>
            <w:tcW w:w="3073" w:type="dxa"/>
            <w:gridSpan w:val="2"/>
            <w:tcBorders>
              <w:top w:val="single" w:sz="4" w:space="0" w:color="auto"/>
              <w:bottom w:val="single" w:sz="4" w:space="0" w:color="auto"/>
            </w:tcBorders>
          </w:tcPr>
          <w:p w14:paraId="6818CACD" w14:textId="77777777" w:rsidR="00364CA1" w:rsidRPr="00DA3F91" w:rsidRDefault="00364CA1" w:rsidP="00FA6FF1">
            <w:pPr>
              <w:keepNext/>
              <w:keepLines/>
              <w:jc w:val="center"/>
              <w:rPr>
                <w:b/>
                <w:sz w:val="20"/>
                <w:szCs w:val="20"/>
              </w:rPr>
            </w:pPr>
            <w:proofErr w:type="spellStart"/>
            <w:r w:rsidRPr="00DA3F91">
              <w:rPr>
                <w:b/>
                <w:sz w:val="20"/>
                <w:szCs w:val="20"/>
              </w:rPr>
              <w:t>nivolumab</w:t>
            </w:r>
            <w:proofErr w:type="spellEnd"/>
            <w:r w:rsidRPr="00DA3F91">
              <w:rPr>
                <w:b/>
                <w:sz w:val="20"/>
                <w:szCs w:val="20"/>
              </w:rPr>
              <w:br/>
              <w:t>(n = 453)</w:t>
            </w:r>
          </w:p>
        </w:tc>
        <w:tc>
          <w:tcPr>
            <w:tcW w:w="3048" w:type="dxa"/>
            <w:gridSpan w:val="2"/>
            <w:tcBorders>
              <w:top w:val="single" w:sz="4" w:space="0" w:color="auto"/>
              <w:bottom w:val="single" w:sz="4" w:space="0" w:color="auto"/>
            </w:tcBorders>
          </w:tcPr>
          <w:p w14:paraId="1A290C11" w14:textId="77777777" w:rsidR="00364CA1" w:rsidRPr="00DA3F91" w:rsidRDefault="00364CA1" w:rsidP="00FA6FF1">
            <w:pPr>
              <w:keepNext/>
              <w:keepLines/>
              <w:jc w:val="center"/>
              <w:rPr>
                <w:b/>
                <w:sz w:val="20"/>
                <w:szCs w:val="20"/>
              </w:rPr>
            </w:pPr>
            <w:proofErr w:type="spellStart"/>
            <w:r w:rsidRPr="00DA3F91">
              <w:rPr>
                <w:b/>
                <w:sz w:val="20"/>
                <w:szCs w:val="20"/>
              </w:rPr>
              <w:t>ipilimumab</w:t>
            </w:r>
            <w:proofErr w:type="spellEnd"/>
            <w:r w:rsidRPr="00DA3F91">
              <w:rPr>
                <w:b/>
                <w:sz w:val="20"/>
                <w:szCs w:val="20"/>
              </w:rPr>
              <w:t xml:space="preserve"> 10 mg/</w:t>
            </w:r>
            <w:proofErr w:type="spellStart"/>
            <w:r w:rsidRPr="00DA3F91">
              <w:rPr>
                <w:b/>
                <w:sz w:val="20"/>
                <w:szCs w:val="20"/>
              </w:rPr>
              <w:t>kg</w:t>
            </w:r>
            <w:r w:rsidRPr="00DA3F91">
              <w:rPr>
                <w:b/>
                <w:sz w:val="20"/>
                <w:szCs w:val="20"/>
                <w:vertAlign w:val="superscript"/>
              </w:rPr>
              <w:t>c</w:t>
            </w:r>
            <w:proofErr w:type="spellEnd"/>
            <w:r w:rsidRPr="00DA3F91">
              <w:rPr>
                <w:b/>
                <w:sz w:val="20"/>
                <w:szCs w:val="20"/>
              </w:rPr>
              <w:br/>
              <w:t>(n = 453)</w:t>
            </w:r>
          </w:p>
        </w:tc>
      </w:tr>
      <w:tr w:rsidR="00364CA1" w:rsidRPr="00DA3F91" w14:paraId="2C53F6BF" w14:textId="77777777" w:rsidTr="00FA6FF1">
        <w:tc>
          <w:tcPr>
            <w:tcW w:w="2951" w:type="dxa"/>
            <w:tcBorders>
              <w:top w:val="single" w:sz="4" w:space="0" w:color="auto"/>
            </w:tcBorders>
          </w:tcPr>
          <w:p w14:paraId="013C8F08" w14:textId="77777777" w:rsidR="00364CA1" w:rsidRPr="00DA3F91" w:rsidRDefault="00364CA1" w:rsidP="00FA6FF1">
            <w:pPr>
              <w:keepNext/>
              <w:keepLines/>
              <w:rPr>
                <w:b/>
                <w:sz w:val="20"/>
                <w:szCs w:val="20"/>
              </w:rPr>
            </w:pPr>
            <w:r w:rsidRPr="00DA3F91">
              <w:rPr>
                <w:b/>
                <w:sz w:val="20"/>
                <w:szCs w:val="20"/>
                <w:lang w:eastAsia="x-none"/>
              </w:rPr>
              <w:t>Recurrence-free Survival</w:t>
            </w:r>
          </w:p>
        </w:tc>
        <w:tc>
          <w:tcPr>
            <w:tcW w:w="1542" w:type="dxa"/>
            <w:tcBorders>
              <w:top w:val="single" w:sz="4" w:space="0" w:color="auto"/>
            </w:tcBorders>
          </w:tcPr>
          <w:p w14:paraId="0B47D171" w14:textId="77777777" w:rsidR="00364CA1" w:rsidRPr="00DA3F91" w:rsidRDefault="00364CA1" w:rsidP="00FA6FF1">
            <w:pPr>
              <w:keepNext/>
              <w:keepLines/>
              <w:jc w:val="right"/>
              <w:rPr>
                <w:sz w:val="20"/>
                <w:szCs w:val="20"/>
              </w:rPr>
            </w:pPr>
          </w:p>
        </w:tc>
        <w:tc>
          <w:tcPr>
            <w:tcW w:w="1531" w:type="dxa"/>
            <w:tcBorders>
              <w:top w:val="single" w:sz="4" w:space="0" w:color="auto"/>
            </w:tcBorders>
          </w:tcPr>
          <w:p w14:paraId="5D3AA3FB" w14:textId="77777777" w:rsidR="00364CA1" w:rsidRPr="00DA3F91" w:rsidRDefault="00364CA1" w:rsidP="00FA6FF1">
            <w:pPr>
              <w:keepNext/>
              <w:keepLines/>
              <w:rPr>
                <w:sz w:val="20"/>
                <w:szCs w:val="20"/>
              </w:rPr>
            </w:pPr>
          </w:p>
        </w:tc>
        <w:tc>
          <w:tcPr>
            <w:tcW w:w="1512" w:type="dxa"/>
            <w:tcBorders>
              <w:top w:val="single" w:sz="4" w:space="0" w:color="auto"/>
            </w:tcBorders>
          </w:tcPr>
          <w:p w14:paraId="2DB1C7E9" w14:textId="77777777" w:rsidR="00364CA1" w:rsidRPr="00DA3F91" w:rsidRDefault="00364CA1" w:rsidP="00FA6FF1">
            <w:pPr>
              <w:keepNext/>
              <w:keepLines/>
              <w:jc w:val="right"/>
              <w:rPr>
                <w:sz w:val="20"/>
                <w:szCs w:val="20"/>
              </w:rPr>
            </w:pPr>
          </w:p>
        </w:tc>
        <w:tc>
          <w:tcPr>
            <w:tcW w:w="1536" w:type="dxa"/>
            <w:tcBorders>
              <w:top w:val="single" w:sz="4" w:space="0" w:color="auto"/>
            </w:tcBorders>
          </w:tcPr>
          <w:p w14:paraId="184F1136" w14:textId="77777777" w:rsidR="00364CA1" w:rsidRPr="00DA3F91" w:rsidRDefault="00364CA1" w:rsidP="00FA6FF1">
            <w:pPr>
              <w:keepNext/>
              <w:keepLines/>
              <w:rPr>
                <w:sz w:val="20"/>
                <w:szCs w:val="20"/>
              </w:rPr>
            </w:pPr>
          </w:p>
        </w:tc>
      </w:tr>
      <w:tr w:rsidR="00364CA1" w:rsidRPr="00DA3F91" w14:paraId="71645DCC" w14:textId="77777777" w:rsidTr="00FA6FF1">
        <w:tc>
          <w:tcPr>
            <w:tcW w:w="2951" w:type="dxa"/>
          </w:tcPr>
          <w:p w14:paraId="2C2DC4B8" w14:textId="77777777" w:rsidR="00364CA1" w:rsidRPr="00DA3F91" w:rsidRDefault="00364CA1" w:rsidP="00FA6FF1">
            <w:pPr>
              <w:keepNext/>
              <w:keepLines/>
              <w:tabs>
                <w:tab w:val="left" w:pos="201"/>
              </w:tabs>
              <w:rPr>
                <w:sz w:val="20"/>
                <w:szCs w:val="20"/>
              </w:rPr>
            </w:pPr>
            <w:r w:rsidRPr="00DA3F91">
              <w:rPr>
                <w:sz w:val="20"/>
                <w:szCs w:val="20"/>
              </w:rPr>
              <w:tab/>
              <w:t>Events</w:t>
            </w:r>
          </w:p>
        </w:tc>
        <w:tc>
          <w:tcPr>
            <w:tcW w:w="3073" w:type="dxa"/>
            <w:gridSpan w:val="2"/>
            <w:vAlign w:val="center"/>
          </w:tcPr>
          <w:p w14:paraId="72E09DAF" w14:textId="77777777" w:rsidR="00364CA1" w:rsidRPr="00DA3F91" w:rsidRDefault="00364CA1" w:rsidP="00FA6FF1">
            <w:pPr>
              <w:keepNext/>
              <w:keepLines/>
              <w:jc w:val="center"/>
              <w:rPr>
                <w:sz w:val="20"/>
                <w:szCs w:val="20"/>
              </w:rPr>
            </w:pPr>
            <w:r w:rsidRPr="00DA3F91">
              <w:rPr>
                <w:sz w:val="20"/>
                <w:szCs w:val="20"/>
              </w:rPr>
              <w:t>154 (34.0%)</w:t>
            </w:r>
          </w:p>
        </w:tc>
        <w:tc>
          <w:tcPr>
            <w:tcW w:w="3048" w:type="dxa"/>
            <w:gridSpan w:val="2"/>
            <w:vAlign w:val="center"/>
          </w:tcPr>
          <w:p w14:paraId="2E0E306C" w14:textId="77777777" w:rsidR="00364CA1" w:rsidRPr="00DA3F91" w:rsidRDefault="00364CA1" w:rsidP="00FA6FF1">
            <w:pPr>
              <w:keepNext/>
              <w:keepLines/>
              <w:jc w:val="center"/>
              <w:rPr>
                <w:sz w:val="20"/>
                <w:szCs w:val="20"/>
              </w:rPr>
            </w:pPr>
            <w:r w:rsidRPr="00DA3F91">
              <w:rPr>
                <w:sz w:val="20"/>
                <w:szCs w:val="20"/>
              </w:rPr>
              <w:t>206 (45.5%)</w:t>
            </w:r>
          </w:p>
        </w:tc>
      </w:tr>
      <w:tr w:rsidR="00364CA1" w:rsidRPr="00DA3F91" w14:paraId="09E726E9" w14:textId="77777777" w:rsidTr="00FA6FF1">
        <w:tc>
          <w:tcPr>
            <w:tcW w:w="2951" w:type="dxa"/>
          </w:tcPr>
          <w:p w14:paraId="326F4EA6" w14:textId="77777777" w:rsidR="00364CA1" w:rsidRPr="00DA3F91" w:rsidRDefault="00364CA1" w:rsidP="00FA6FF1">
            <w:pPr>
              <w:keepNext/>
              <w:keepLines/>
              <w:tabs>
                <w:tab w:val="left" w:pos="180"/>
              </w:tabs>
              <w:jc w:val="center"/>
              <w:rPr>
                <w:sz w:val="20"/>
                <w:szCs w:val="20"/>
              </w:rPr>
            </w:pPr>
            <w:r w:rsidRPr="00DA3F91">
              <w:rPr>
                <w:sz w:val="20"/>
                <w:szCs w:val="20"/>
              </w:rPr>
              <w:t xml:space="preserve">Hazard </w:t>
            </w:r>
            <w:proofErr w:type="spellStart"/>
            <w:r w:rsidRPr="00DA3F91">
              <w:rPr>
                <w:sz w:val="20"/>
                <w:szCs w:val="20"/>
              </w:rPr>
              <w:t>ratio</w:t>
            </w:r>
            <w:r w:rsidRPr="00DA3F91">
              <w:rPr>
                <w:sz w:val="20"/>
                <w:szCs w:val="20"/>
                <w:vertAlign w:val="superscript"/>
              </w:rPr>
              <w:t>a</w:t>
            </w:r>
            <w:proofErr w:type="spellEnd"/>
            <w:r w:rsidRPr="00DA3F91">
              <w:rPr>
                <w:sz w:val="20"/>
                <w:szCs w:val="20"/>
              </w:rPr>
              <w:t xml:space="preserve"> </w:t>
            </w:r>
          </w:p>
        </w:tc>
        <w:tc>
          <w:tcPr>
            <w:tcW w:w="6121" w:type="dxa"/>
            <w:gridSpan w:val="4"/>
          </w:tcPr>
          <w:p w14:paraId="732913BD" w14:textId="77777777" w:rsidR="00364CA1" w:rsidRPr="00DA3F91" w:rsidRDefault="00364CA1" w:rsidP="00FA6FF1">
            <w:pPr>
              <w:keepNext/>
              <w:keepLines/>
              <w:jc w:val="center"/>
              <w:rPr>
                <w:sz w:val="20"/>
                <w:szCs w:val="20"/>
              </w:rPr>
            </w:pPr>
            <w:r w:rsidRPr="00DA3F91">
              <w:rPr>
                <w:sz w:val="20"/>
                <w:szCs w:val="20"/>
              </w:rPr>
              <w:t>0.65</w:t>
            </w:r>
          </w:p>
        </w:tc>
      </w:tr>
      <w:tr w:rsidR="00364CA1" w:rsidRPr="00DA3F91" w14:paraId="542E9566" w14:textId="77777777" w:rsidTr="00FA6FF1">
        <w:tc>
          <w:tcPr>
            <w:tcW w:w="2951" w:type="dxa"/>
          </w:tcPr>
          <w:p w14:paraId="03CC65D5" w14:textId="77777777" w:rsidR="00364CA1" w:rsidRPr="00DA3F91" w:rsidRDefault="00364CA1" w:rsidP="00FA6FF1">
            <w:pPr>
              <w:keepNext/>
              <w:keepLines/>
              <w:tabs>
                <w:tab w:val="left" w:pos="180"/>
              </w:tabs>
              <w:jc w:val="center"/>
              <w:rPr>
                <w:sz w:val="20"/>
                <w:szCs w:val="20"/>
              </w:rPr>
            </w:pPr>
            <w:r w:rsidRPr="00DA3F91">
              <w:rPr>
                <w:color w:val="000000"/>
                <w:sz w:val="20"/>
                <w:szCs w:val="20"/>
              </w:rPr>
              <w:t>97.56% CI</w:t>
            </w:r>
          </w:p>
        </w:tc>
        <w:tc>
          <w:tcPr>
            <w:tcW w:w="6121" w:type="dxa"/>
            <w:gridSpan w:val="4"/>
          </w:tcPr>
          <w:p w14:paraId="536B3DCC" w14:textId="77777777" w:rsidR="00364CA1" w:rsidRPr="00DA3F91" w:rsidRDefault="00364CA1" w:rsidP="00FA6FF1">
            <w:pPr>
              <w:keepNext/>
              <w:keepLines/>
              <w:jc w:val="center"/>
              <w:rPr>
                <w:sz w:val="20"/>
                <w:szCs w:val="20"/>
              </w:rPr>
            </w:pPr>
            <w:r w:rsidRPr="00DA3F91">
              <w:rPr>
                <w:sz w:val="20"/>
                <w:szCs w:val="20"/>
              </w:rPr>
              <w:t>(0.51, 0.83)</w:t>
            </w:r>
          </w:p>
        </w:tc>
      </w:tr>
      <w:tr w:rsidR="00364CA1" w:rsidRPr="00DA3F91" w14:paraId="1B86DD91" w14:textId="77777777" w:rsidTr="00FA6FF1">
        <w:tc>
          <w:tcPr>
            <w:tcW w:w="2951" w:type="dxa"/>
          </w:tcPr>
          <w:p w14:paraId="1A263F2D" w14:textId="77777777" w:rsidR="00364CA1" w:rsidRPr="00DA3F91" w:rsidRDefault="00364CA1" w:rsidP="00FA6FF1">
            <w:pPr>
              <w:keepNext/>
              <w:keepLines/>
              <w:tabs>
                <w:tab w:val="left" w:pos="180"/>
              </w:tabs>
              <w:jc w:val="center"/>
              <w:rPr>
                <w:sz w:val="20"/>
                <w:szCs w:val="20"/>
              </w:rPr>
            </w:pPr>
            <w:r w:rsidRPr="00DA3F91">
              <w:rPr>
                <w:sz w:val="20"/>
                <w:szCs w:val="20"/>
              </w:rPr>
              <w:t>p-</w:t>
            </w:r>
            <w:proofErr w:type="spellStart"/>
            <w:r w:rsidRPr="00DA3F91">
              <w:rPr>
                <w:sz w:val="20"/>
                <w:szCs w:val="20"/>
              </w:rPr>
              <w:t>value</w:t>
            </w:r>
            <w:r w:rsidRPr="00DA3F91">
              <w:rPr>
                <w:sz w:val="20"/>
                <w:szCs w:val="20"/>
                <w:vertAlign w:val="superscript"/>
              </w:rPr>
              <w:t>b</w:t>
            </w:r>
            <w:proofErr w:type="spellEnd"/>
          </w:p>
        </w:tc>
        <w:tc>
          <w:tcPr>
            <w:tcW w:w="6121" w:type="dxa"/>
            <w:gridSpan w:val="4"/>
          </w:tcPr>
          <w:p w14:paraId="48526203" w14:textId="77777777" w:rsidR="00364CA1" w:rsidRPr="00DA3F91" w:rsidRDefault="00364CA1" w:rsidP="00FA6FF1">
            <w:pPr>
              <w:keepNext/>
              <w:keepLines/>
              <w:jc w:val="center"/>
              <w:rPr>
                <w:sz w:val="20"/>
                <w:szCs w:val="20"/>
              </w:rPr>
            </w:pPr>
            <w:r w:rsidRPr="00DA3F91">
              <w:rPr>
                <w:sz w:val="20"/>
                <w:szCs w:val="20"/>
              </w:rPr>
              <w:t>p&lt;0.0001</w:t>
            </w:r>
          </w:p>
        </w:tc>
      </w:tr>
      <w:tr w:rsidR="00364CA1" w:rsidRPr="00DA3F91" w14:paraId="0025222F" w14:textId="77777777" w:rsidTr="00FA6FF1">
        <w:tc>
          <w:tcPr>
            <w:tcW w:w="2951" w:type="dxa"/>
          </w:tcPr>
          <w:p w14:paraId="1FEEBA4D" w14:textId="77777777" w:rsidR="00364CA1" w:rsidRPr="00DA3F91" w:rsidRDefault="00364CA1" w:rsidP="00FA6FF1">
            <w:pPr>
              <w:keepNext/>
              <w:keepLines/>
              <w:tabs>
                <w:tab w:val="left" w:pos="180"/>
              </w:tabs>
              <w:rPr>
                <w:sz w:val="20"/>
                <w:szCs w:val="20"/>
              </w:rPr>
            </w:pPr>
          </w:p>
        </w:tc>
        <w:tc>
          <w:tcPr>
            <w:tcW w:w="1542" w:type="dxa"/>
          </w:tcPr>
          <w:p w14:paraId="246DDF69" w14:textId="77777777" w:rsidR="00364CA1" w:rsidRPr="00DA3F91" w:rsidRDefault="00364CA1" w:rsidP="00FA6FF1">
            <w:pPr>
              <w:keepNext/>
              <w:keepLines/>
              <w:jc w:val="right"/>
              <w:rPr>
                <w:sz w:val="20"/>
                <w:szCs w:val="20"/>
              </w:rPr>
            </w:pPr>
          </w:p>
        </w:tc>
        <w:tc>
          <w:tcPr>
            <w:tcW w:w="1531" w:type="dxa"/>
          </w:tcPr>
          <w:p w14:paraId="262084E8" w14:textId="77777777" w:rsidR="00364CA1" w:rsidRPr="00DA3F91" w:rsidRDefault="00364CA1" w:rsidP="00FA6FF1">
            <w:pPr>
              <w:keepNext/>
              <w:keepLines/>
              <w:jc w:val="center"/>
              <w:rPr>
                <w:sz w:val="20"/>
                <w:szCs w:val="20"/>
              </w:rPr>
            </w:pPr>
          </w:p>
        </w:tc>
        <w:tc>
          <w:tcPr>
            <w:tcW w:w="1512" w:type="dxa"/>
          </w:tcPr>
          <w:p w14:paraId="48976FE1" w14:textId="77777777" w:rsidR="00364CA1" w:rsidRPr="00DA3F91" w:rsidRDefault="00364CA1" w:rsidP="00FA6FF1">
            <w:pPr>
              <w:keepNext/>
              <w:keepLines/>
              <w:jc w:val="right"/>
              <w:rPr>
                <w:sz w:val="20"/>
                <w:szCs w:val="20"/>
              </w:rPr>
            </w:pPr>
          </w:p>
        </w:tc>
        <w:tc>
          <w:tcPr>
            <w:tcW w:w="1536" w:type="dxa"/>
          </w:tcPr>
          <w:p w14:paraId="74ABDC08" w14:textId="77777777" w:rsidR="00364CA1" w:rsidRPr="00DA3F91" w:rsidRDefault="00364CA1" w:rsidP="00FA6FF1">
            <w:pPr>
              <w:keepNext/>
              <w:keepLines/>
              <w:jc w:val="center"/>
              <w:rPr>
                <w:sz w:val="20"/>
                <w:szCs w:val="20"/>
              </w:rPr>
            </w:pPr>
          </w:p>
        </w:tc>
      </w:tr>
      <w:tr w:rsidR="00364CA1" w:rsidRPr="00DA3F91" w14:paraId="59B99765" w14:textId="77777777" w:rsidTr="00FA6FF1">
        <w:tc>
          <w:tcPr>
            <w:tcW w:w="2951" w:type="dxa"/>
          </w:tcPr>
          <w:p w14:paraId="2B9D218B" w14:textId="77777777" w:rsidR="00364CA1" w:rsidRPr="00DA3F91" w:rsidRDefault="00364CA1" w:rsidP="00FA6FF1">
            <w:pPr>
              <w:keepNext/>
              <w:keepLines/>
              <w:tabs>
                <w:tab w:val="left" w:pos="180"/>
              </w:tabs>
              <w:rPr>
                <w:sz w:val="20"/>
                <w:szCs w:val="20"/>
              </w:rPr>
            </w:pPr>
            <w:r w:rsidRPr="00DA3F91">
              <w:rPr>
                <w:sz w:val="20"/>
                <w:szCs w:val="20"/>
              </w:rPr>
              <w:tab/>
              <w:t>Median (95% CI) months</w:t>
            </w:r>
          </w:p>
        </w:tc>
        <w:tc>
          <w:tcPr>
            <w:tcW w:w="3073" w:type="dxa"/>
            <w:gridSpan w:val="2"/>
            <w:vAlign w:val="center"/>
          </w:tcPr>
          <w:p w14:paraId="461C9B60" w14:textId="77777777" w:rsidR="00364CA1" w:rsidRPr="00DA3F91" w:rsidRDefault="00364CA1" w:rsidP="00FA6FF1">
            <w:pPr>
              <w:pStyle w:val="BMSTableText"/>
              <w:spacing w:before="0" w:after="0"/>
            </w:pPr>
            <w:r w:rsidRPr="00DA3F91">
              <w:t>Not Reached</w:t>
            </w:r>
          </w:p>
          <w:p w14:paraId="52819DD9" w14:textId="77777777" w:rsidR="00364CA1" w:rsidRPr="00DA3F91" w:rsidRDefault="00364CA1" w:rsidP="00FA6FF1">
            <w:pPr>
              <w:pStyle w:val="BMSTableText"/>
              <w:spacing w:before="0" w:after="0"/>
            </w:pPr>
          </w:p>
          <w:p w14:paraId="51915DDB" w14:textId="77777777" w:rsidR="00364CA1" w:rsidRPr="00DA3F91" w:rsidRDefault="00364CA1" w:rsidP="00FA6FF1">
            <w:pPr>
              <w:pStyle w:val="BMSTableText"/>
              <w:spacing w:before="0" w:after="0"/>
            </w:pPr>
          </w:p>
        </w:tc>
        <w:tc>
          <w:tcPr>
            <w:tcW w:w="3048" w:type="dxa"/>
            <w:gridSpan w:val="2"/>
            <w:vAlign w:val="center"/>
          </w:tcPr>
          <w:p w14:paraId="50CA7419" w14:textId="77777777" w:rsidR="00364CA1" w:rsidRPr="00DA3F91" w:rsidRDefault="00364CA1" w:rsidP="00FA6FF1">
            <w:pPr>
              <w:pStyle w:val="BMSTableText"/>
              <w:spacing w:before="0" w:after="0"/>
            </w:pPr>
            <w:r w:rsidRPr="00DA3F91">
              <w:t>Not Reached</w:t>
            </w:r>
            <w:r w:rsidRPr="00DA3F91" w:rsidDel="0033412A">
              <w:t xml:space="preserve"> </w:t>
            </w:r>
            <w:r w:rsidRPr="00DA3F91">
              <w:br/>
              <w:t>(16.56, NR)</w:t>
            </w:r>
          </w:p>
          <w:p w14:paraId="01D4BF3F" w14:textId="77777777" w:rsidR="00364CA1" w:rsidRPr="00DA3F91" w:rsidRDefault="00364CA1" w:rsidP="00FA6FF1">
            <w:pPr>
              <w:pStyle w:val="BMSTableText"/>
              <w:spacing w:before="0" w:after="0"/>
            </w:pPr>
          </w:p>
        </w:tc>
      </w:tr>
      <w:tr w:rsidR="00364CA1" w:rsidRPr="00DA3F91" w14:paraId="21474206" w14:textId="77777777" w:rsidTr="00FA6FF1">
        <w:tc>
          <w:tcPr>
            <w:tcW w:w="2951" w:type="dxa"/>
          </w:tcPr>
          <w:p w14:paraId="3FF1F0C9" w14:textId="77777777" w:rsidR="00364CA1" w:rsidRPr="00DA3F91" w:rsidRDefault="00364CA1" w:rsidP="00FA6FF1">
            <w:pPr>
              <w:keepNext/>
              <w:keepLines/>
              <w:tabs>
                <w:tab w:val="left" w:pos="180"/>
              </w:tabs>
              <w:rPr>
                <w:sz w:val="20"/>
                <w:szCs w:val="20"/>
              </w:rPr>
            </w:pPr>
            <w:r w:rsidRPr="00DA3F91">
              <w:rPr>
                <w:sz w:val="20"/>
                <w:szCs w:val="20"/>
              </w:rPr>
              <w:tab/>
              <w:t>Rate (95% CI) at 12 months</w:t>
            </w:r>
          </w:p>
        </w:tc>
        <w:tc>
          <w:tcPr>
            <w:tcW w:w="3073" w:type="dxa"/>
            <w:gridSpan w:val="2"/>
          </w:tcPr>
          <w:p w14:paraId="3FAF1980" w14:textId="77777777" w:rsidR="00364CA1" w:rsidRPr="00DA3F91" w:rsidRDefault="00364CA1" w:rsidP="00FA6FF1">
            <w:pPr>
              <w:tabs>
                <w:tab w:val="left" w:pos="360"/>
              </w:tabs>
              <w:jc w:val="center"/>
              <w:rPr>
                <w:sz w:val="20"/>
                <w:szCs w:val="20"/>
              </w:rPr>
            </w:pPr>
            <w:r w:rsidRPr="00DA3F91">
              <w:rPr>
                <w:sz w:val="20"/>
                <w:szCs w:val="20"/>
              </w:rPr>
              <w:t>70.5 (66.1, 74.5)</w:t>
            </w:r>
          </w:p>
        </w:tc>
        <w:tc>
          <w:tcPr>
            <w:tcW w:w="3048" w:type="dxa"/>
            <w:gridSpan w:val="2"/>
          </w:tcPr>
          <w:p w14:paraId="3B720C1B" w14:textId="77777777" w:rsidR="00364CA1" w:rsidRPr="00DA3F91" w:rsidRDefault="00364CA1" w:rsidP="00FA6FF1">
            <w:pPr>
              <w:tabs>
                <w:tab w:val="left" w:pos="360"/>
              </w:tabs>
              <w:jc w:val="center"/>
              <w:rPr>
                <w:sz w:val="20"/>
                <w:szCs w:val="20"/>
              </w:rPr>
            </w:pPr>
            <w:r w:rsidRPr="00DA3F91">
              <w:rPr>
                <w:sz w:val="20"/>
                <w:szCs w:val="20"/>
              </w:rPr>
              <w:t>60.8 (56.0, 65.2)</w:t>
            </w:r>
          </w:p>
        </w:tc>
      </w:tr>
      <w:tr w:rsidR="00364CA1" w:rsidRPr="00DA3F91" w14:paraId="2FCEE624" w14:textId="77777777" w:rsidTr="00FA6FF1">
        <w:tc>
          <w:tcPr>
            <w:tcW w:w="2951" w:type="dxa"/>
            <w:tcBorders>
              <w:bottom w:val="single" w:sz="4" w:space="0" w:color="auto"/>
            </w:tcBorders>
          </w:tcPr>
          <w:p w14:paraId="45BCAE54" w14:textId="77777777" w:rsidR="00364CA1" w:rsidRPr="00DA3F91" w:rsidRDefault="00364CA1" w:rsidP="00FA6FF1">
            <w:pPr>
              <w:keepNext/>
              <w:keepLines/>
              <w:tabs>
                <w:tab w:val="left" w:pos="180"/>
              </w:tabs>
              <w:rPr>
                <w:sz w:val="20"/>
                <w:szCs w:val="20"/>
              </w:rPr>
            </w:pPr>
            <w:r w:rsidRPr="00DA3F91">
              <w:rPr>
                <w:sz w:val="20"/>
                <w:szCs w:val="20"/>
              </w:rPr>
              <w:tab/>
              <w:t>Rate (95% CI) at 18 months</w:t>
            </w:r>
          </w:p>
        </w:tc>
        <w:tc>
          <w:tcPr>
            <w:tcW w:w="3073" w:type="dxa"/>
            <w:gridSpan w:val="2"/>
            <w:tcBorders>
              <w:bottom w:val="single" w:sz="4" w:space="0" w:color="auto"/>
            </w:tcBorders>
          </w:tcPr>
          <w:p w14:paraId="7278B7A9" w14:textId="77777777" w:rsidR="00364CA1" w:rsidRPr="00DA3F91" w:rsidRDefault="00364CA1" w:rsidP="00FA6FF1">
            <w:pPr>
              <w:keepNext/>
              <w:keepLines/>
              <w:jc w:val="center"/>
              <w:rPr>
                <w:sz w:val="20"/>
                <w:szCs w:val="20"/>
              </w:rPr>
            </w:pPr>
            <w:r w:rsidRPr="00DA3F91">
              <w:rPr>
                <w:sz w:val="20"/>
                <w:szCs w:val="20"/>
              </w:rPr>
              <w:t>66.4 (61.8, 70.6)</w:t>
            </w:r>
          </w:p>
        </w:tc>
        <w:tc>
          <w:tcPr>
            <w:tcW w:w="3048" w:type="dxa"/>
            <w:gridSpan w:val="2"/>
            <w:tcBorders>
              <w:bottom w:val="single" w:sz="4" w:space="0" w:color="auto"/>
            </w:tcBorders>
          </w:tcPr>
          <w:p w14:paraId="1C2AC4DC" w14:textId="77777777" w:rsidR="00364CA1" w:rsidRPr="00DA3F91" w:rsidRDefault="00364CA1" w:rsidP="00FA6FF1">
            <w:pPr>
              <w:keepNext/>
              <w:keepLines/>
              <w:jc w:val="center"/>
              <w:rPr>
                <w:sz w:val="20"/>
                <w:szCs w:val="20"/>
              </w:rPr>
            </w:pPr>
            <w:r w:rsidRPr="00DA3F91">
              <w:rPr>
                <w:sz w:val="20"/>
                <w:szCs w:val="20"/>
              </w:rPr>
              <w:t>52.7 (47.8, 57.4)</w:t>
            </w:r>
          </w:p>
        </w:tc>
      </w:tr>
    </w:tbl>
    <w:p w14:paraId="6A4C262A" w14:textId="4988D2E0" w:rsidR="00364CA1" w:rsidRPr="00DA3F91" w:rsidRDefault="00364CA1" w:rsidP="00364CA1">
      <w:pPr>
        <w:spacing w:after="0"/>
        <w:jc w:val="left"/>
        <w:rPr>
          <w:sz w:val="18"/>
          <w:szCs w:val="18"/>
        </w:rPr>
      </w:pPr>
      <w:proofErr w:type="gramStart"/>
      <w:r w:rsidRPr="00DA3F91">
        <w:rPr>
          <w:sz w:val="18"/>
          <w:szCs w:val="18"/>
          <w:vertAlign w:val="superscript"/>
        </w:rPr>
        <w:t>a</w:t>
      </w:r>
      <w:proofErr w:type="gramEnd"/>
      <w:r w:rsidRPr="00DA3F91">
        <w:rPr>
          <w:sz w:val="18"/>
          <w:szCs w:val="18"/>
        </w:rPr>
        <w:t xml:space="preserve"> Derived from a stratified proportional hazards model.</w:t>
      </w:r>
    </w:p>
    <w:p w14:paraId="0A0B7C20" w14:textId="5F4B76D9" w:rsidR="00364CA1" w:rsidRPr="00DA3F91" w:rsidRDefault="00364CA1" w:rsidP="00364CA1">
      <w:pPr>
        <w:spacing w:after="0"/>
        <w:jc w:val="left"/>
        <w:rPr>
          <w:sz w:val="18"/>
          <w:szCs w:val="18"/>
        </w:rPr>
      </w:pPr>
      <w:proofErr w:type="gramStart"/>
      <w:r w:rsidRPr="00DA3F91">
        <w:rPr>
          <w:sz w:val="18"/>
          <w:szCs w:val="18"/>
          <w:vertAlign w:val="superscript"/>
        </w:rPr>
        <w:t>b</w:t>
      </w:r>
      <w:proofErr w:type="gramEnd"/>
      <w:r w:rsidRPr="00DA3F91">
        <w:rPr>
          <w:sz w:val="18"/>
          <w:szCs w:val="18"/>
        </w:rPr>
        <w:t xml:space="preserve"> P-value is derived from a log-rank test stratified by tumour PD-L1 expression and stage of disease; the corresponding O’Brien-Fleming efficacy boundary significance level is 0.0244.</w:t>
      </w:r>
    </w:p>
    <w:p w14:paraId="75A57AD7" w14:textId="7300CBC8" w:rsidR="00364CA1" w:rsidRPr="00DA3F91" w:rsidRDefault="00364CA1" w:rsidP="00364CA1">
      <w:pPr>
        <w:rPr>
          <w:sz w:val="18"/>
          <w:szCs w:val="18"/>
        </w:rPr>
      </w:pPr>
      <w:proofErr w:type="gramStart"/>
      <w:r w:rsidRPr="00DA3F91">
        <w:rPr>
          <w:sz w:val="18"/>
          <w:szCs w:val="18"/>
          <w:vertAlign w:val="superscript"/>
        </w:rPr>
        <w:t>c</w:t>
      </w:r>
      <w:proofErr w:type="gramEnd"/>
      <w:r w:rsidRPr="00DA3F91">
        <w:rPr>
          <w:sz w:val="18"/>
          <w:szCs w:val="18"/>
        </w:rPr>
        <w:t xml:space="preserve"> Not registered in Australia</w:t>
      </w:r>
    </w:p>
    <w:p w14:paraId="09D626FB" w14:textId="77777777" w:rsidR="00364CA1" w:rsidRPr="000916E1" w:rsidRDefault="00364CA1" w:rsidP="00364CA1">
      <w:pPr>
        <w:rPr>
          <w:rFonts w:eastAsia="Calibri"/>
        </w:rPr>
      </w:pPr>
      <w:r w:rsidRPr="000916E1">
        <w:rPr>
          <w:rFonts w:eastAsia="Calibri"/>
        </w:rPr>
        <w:t>RFS benefit was consistently demonstrated across subgroups, including tumour PD-L1 expression, BRAF status, and stage of disease.</w:t>
      </w:r>
    </w:p>
    <w:p w14:paraId="240E6D95" w14:textId="77777777" w:rsidR="00364CA1" w:rsidRDefault="00364CA1" w:rsidP="00364CA1">
      <w:pPr>
        <w:rPr>
          <w:rFonts w:eastAsia="Calibri"/>
        </w:rPr>
      </w:pPr>
      <w:r w:rsidRPr="00DA3F91">
        <w:rPr>
          <w:rFonts w:eastAsia="Calibri"/>
        </w:rPr>
        <w:lastRenderedPageBreak/>
        <w:t>Quality of life (</w:t>
      </w:r>
      <w:proofErr w:type="spellStart"/>
      <w:r w:rsidRPr="00DA3F91">
        <w:rPr>
          <w:rFonts w:eastAsia="Calibri"/>
        </w:rPr>
        <w:t>QoL</w:t>
      </w:r>
      <w:proofErr w:type="spellEnd"/>
      <w:r w:rsidRPr="00DA3F91">
        <w:rPr>
          <w:rFonts w:eastAsia="Calibri"/>
        </w:rPr>
        <w:t xml:space="preserve">) with </w:t>
      </w:r>
      <w:proofErr w:type="spellStart"/>
      <w:r w:rsidRPr="00DA3F91">
        <w:rPr>
          <w:rFonts w:eastAsia="Calibri"/>
        </w:rPr>
        <w:t>nivolumab</w:t>
      </w:r>
      <w:proofErr w:type="spellEnd"/>
      <w:r w:rsidRPr="00DA3F91">
        <w:rPr>
          <w:rFonts w:eastAsia="Calibri"/>
        </w:rPr>
        <w:t xml:space="preserve"> remained stable and close to baseline values during treatment, as assessed by valid and reliable scales like the European Organization for Research and Treatment of Cancer (EORTC) QLQ-C30 and the EQ-5D utility index and visual </w:t>
      </w:r>
      <w:proofErr w:type="spellStart"/>
      <w:r w:rsidRPr="00DA3F91">
        <w:rPr>
          <w:rFonts w:eastAsia="Calibri"/>
        </w:rPr>
        <w:t>analog</w:t>
      </w:r>
      <w:proofErr w:type="spellEnd"/>
      <w:r w:rsidRPr="00DA3F91">
        <w:rPr>
          <w:rFonts w:eastAsia="Calibri"/>
        </w:rPr>
        <w:t xml:space="preserve"> scale (VAS).</w:t>
      </w:r>
    </w:p>
    <w:p w14:paraId="77C2F831" w14:textId="15503AAD" w:rsidR="00C659AE" w:rsidRPr="00815937" w:rsidRDefault="00FE53C0" w:rsidP="003E47FA">
      <w:pPr>
        <w:pStyle w:val="Heading3"/>
      </w:pPr>
      <w:r>
        <w:t xml:space="preserve">Unresectable or metastatic melanoma </w:t>
      </w:r>
    </w:p>
    <w:p w14:paraId="0DB85BDA" w14:textId="40810BF6" w:rsidR="00C659AE" w:rsidRPr="003F65AB" w:rsidRDefault="00FE53C0" w:rsidP="003F65AB">
      <w:pPr>
        <w:pStyle w:val="Heading4"/>
      </w:pPr>
      <w:r w:rsidRPr="003F65AB">
        <w:t xml:space="preserve">OPDIVO Monotherapy </w:t>
      </w:r>
    </w:p>
    <w:p w14:paraId="74A86AF9" w14:textId="77777777" w:rsidR="00C659AE" w:rsidRPr="009045DE" w:rsidRDefault="00C659AE" w:rsidP="009045DE">
      <w:pPr>
        <w:rPr>
          <w:b/>
        </w:rPr>
      </w:pPr>
      <w:r w:rsidRPr="009045DE">
        <w:rPr>
          <w:b/>
        </w:rPr>
        <w:t xml:space="preserve">Study CA209066. </w:t>
      </w:r>
      <w:proofErr w:type="gramStart"/>
      <w:r w:rsidRPr="009045DE">
        <w:rPr>
          <w:b/>
        </w:rPr>
        <w:t xml:space="preserve">A randomised phase 3 study comparing OPDIVO monotherapy to </w:t>
      </w:r>
      <w:proofErr w:type="spellStart"/>
      <w:r w:rsidRPr="009045DE">
        <w:rPr>
          <w:b/>
        </w:rPr>
        <w:t>dacarbazine</w:t>
      </w:r>
      <w:proofErr w:type="spellEnd"/>
      <w:r w:rsidRPr="009045DE">
        <w:rPr>
          <w:b/>
        </w:rPr>
        <w:t xml:space="preserve"> in subjects with previously untreated </w:t>
      </w:r>
      <w:proofErr w:type="spellStart"/>
      <w:r w:rsidRPr="009045DE">
        <w:rPr>
          <w:b/>
        </w:rPr>
        <w:t>unresectable</w:t>
      </w:r>
      <w:proofErr w:type="spellEnd"/>
      <w:r w:rsidRPr="009045DE">
        <w:rPr>
          <w:b/>
        </w:rPr>
        <w:t xml:space="preserve"> or metastatic melanoma.</w:t>
      </w:r>
      <w:proofErr w:type="gramEnd"/>
      <w:r w:rsidRPr="009045DE">
        <w:rPr>
          <w:b/>
        </w:rPr>
        <w:t xml:space="preserve"> </w:t>
      </w:r>
    </w:p>
    <w:p w14:paraId="7477C101" w14:textId="77777777" w:rsidR="00C659AE" w:rsidRPr="005B06BC" w:rsidRDefault="00C659AE" w:rsidP="008F1577">
      <w:r w:rsidRPr="005B06BC">
        <w:t xml:space="preserve">The safety and efficacy of </w:t>
      </w:r>
      <w:proofErr w:type="spellStart"/>
      <w:r w:rsidRPr="005B06BC">
        <w:t>nivolumab</w:t>
      </w:r>
      <w:proofErr w:type="spellEnd"/>
      <w:r w:rsidRPr="005B06BC">
        <w:t xml:space="preserve"> 3 mg/kg </w:t>
      </w:r>
      <w:r>
        <w:t xml:space="preserve">as </w:t>
      </w:r>
      <w:r w:rsidRPr="00C94758">
        <w:t>monotherapy</w:t>
      </w:r>
      <w:r>
        <w:t xml:space="preserve"> </w:t>
      </w:r>
      <w:r w:rsidRPr="005B06BC">
        <w:t>for the treatment of advanced (</w:t>
      </w:r>
      <w:proofErr w:type="spellStart"/>
      <w:r w:rsidRPr="005B06BC">
        <w:t>unresectable</w:t>
      </w:r>
      <w:proofErr w:type="spellEnd"/>
      <w:r w:rsidRPr="005B06BC">
        <w:t xml:space="preserve"> or metastatic) melanoma were evaluated in a phase 3, randomised, double-blind study (CA209066). The study included adult patients (18 years or older) with confirmed, treatment-naive, Stage III or IV BRAF wild-type melanoma and an ECOG performance-status score of 0 or 1. Patients with active autoimmune disease, ocular melanoma, or active brain or leptomeningeal metastases were excluded from the study.</w:t>
      </w:r>
    </w:p>
    <w:p w14:paraId="3B677690" w14:textId="782201F8" w:rsidR="00C659AE" w:rsidRDefault="00C659AE" w:rsidP="00C66A9C">
      <w:r w:rsidRPr="005B06BC">
        <w:t xml:space="preserve">A total of 418 patients were randomised to receive either </w:t>
      </w:r>
      <w:proofErr w:type="spellStart"/>
      <w:r w:rsidRPr="005B06BC">
        <w:t>nivolumab</w:t>
      </w:r>
      <w:proofErr w:type="spellEnd"/>
      <w:r w:rsidRPr="005B06BC">
        <w:t xml:space="preserve"> (n = 210) administered intravenously over 60</w:t>
      </w:r>
      <w:r w:rsidR="00242A03">
        <w:t xml:space="preserve"> </w:t>
      </w:r>
      <w:r w:rsidRPr="005B06BC">
        <w:t xml:space="preserve">minutes at 3 mg/kg every 2 weeks or </w:t>
      </w:r>
      <w:proofErr w:type="spellStart"/>
      <w:r w:rsidRPr="005B06BC">
        <w:t>dacarbazine</w:t>
      </w:r>
      <w:proofErr w:type="spellEnd"/>
      <w:r w:rsidRPr="005B06BC">
        <w:t> (n = 208) at 1000 mg/m</w:t>
      </w:r>
      <w:r w:rsidRPr="005B06BC">
        <w:rPr>
          <w:rStyle w:val="BMSSuperscript"/>
          <w:rFonts w:eastAsia="Calibri"/>
          <w:sz w:val="24"/>
        </w:rPr>
        <w:t xml:space="preserve">2 </w:t>
      </w:r>
      <w:r w:rsidRPr="00242A03">
        <w:rPr>
          <w:rStyle w:val="BMSSuperscript"/>
          <w:rFonts w:eastAsia="Calibri"/>
          <w:sz w:val="24"/>
          <w:vertAlign w:val="baseline"/>
        </w:rPr>
        <w:t>every 3</w:t>
      </w:r>
      <w:r w:rsidR="00242A03">
        <w:rPr>
          <w:rStyle w:val="BMSSuperscript"/>
          <w:rFonts w:eastAsia="Calibri"/>
          <w:sz w:val="24"/>
          <w:vertAlign w:val="baseline"/>
        </w:rPr>
        <w:t xml:space="preserve"> </w:t>
      </w:r>
      <w:r w:rsidRPr="00242A03">
        <w:rPr>
          <w:rStyle w:val="BMSSuperscript"/>
          <w:rFonts w:eastAsia="Calibri"/>
          <w:sz w:val="24"/>
          <w:vertAlign w:val="baseline"/>
        </w:rPr>
        <w:t>weeks.</w:t>
      </w:r>
      <w:r w:rsidRPr="005B06BC">
        <w:t xml:space="preserve"> Randomisation was stratified by tumour PD-L1 status and M stage (M0/M1a/M1b versus M1c). Treatment was continued as long as clinical benefit was observed or until treatment was no longer tolerated. Treatment after disease progression was permitted for patients who had a clinical benefit and did not have substantial adverse effects with the study drug, as determined by the investigator. Tumour assessments, according to the Response Evaluation Criteria in Solid Tumours (RECIST), version 1.1, were conducted 9 weeks after randomisation and continued every 6 weeks for the first year and then every 12 weeks thereafter. The primary efficacy outcome measure was overall survival (OS). Key secondary efficacy outcome measures were investigator-assessed </w:t>
      </w:r>
      <w:r>
        <w:t>progression free survival (</w:t>
      </w:r>
      <w:r w:rsidRPr="005B06BC">
        <w:t>PFS</w:t>
      </w:r>
      <w:r>
        <w:t>)</w:t>
      </w:r>
      <w:r w:rsidRPr="005B06BC">
        <w:t xml:space="preserve"> and objective response rate (ORR).</w:t>
      </w:r>
    </w:p>
    <w:p w14:paraId="23A6E151" w14:textId="3E1FF5F5" w:rsidR="00C659AE" w:rsidRDefault="00C659AE" w:rsidP="009045DE">
      <w:r w:rsidRPr="005B06BC">
        <w:t>Baseline characteristics were balanced between the two groups. The median age was 65 years (range: 18-87), 59% were men, and 99.5% were white. Most patients had ECOG performance score of 0 (64%) or 1 (34%). Sixty-one percent of patients had M1c stage disease at study entry. Seventy-four percent of patients had cutaneous melanoma, and 11% had mucosal melanoma; 35% of patients had PD-L1 positive melanoma (</w:t>
      </w:r>
      <w:r w:rsidRPr="005B06BC">
        <w:rPr>
          <w:u w:val="single"/>
        </w:rPr>
        <w:t>&gt;</w:t>
      </w:r>
      <w:r w:rsidRPr="005B06BC">
        <w:t>5% tumour cell membrane expression). Sixteen percent of patients had received prior adjuvant therapy; the most common adjuvant treatment was interferon (9%). Four percent of patients had a history of brain metastasis, and 37% of patients had a baseline LDH level greater than ULN at study entry.</w:t>
      </w:r>
    </w:p>
    <w:p w14:paraId="541E9CAB" w14:textId="4A1A9CEE" w:rsidR="00C659AE" w:rsidRDefault="00C659AE" w:rsidP="009045DE">
      <w:r w:rsidRPr="006D4B4C">
        <w:t xml:space="preserve">The observed OS </w:t>
      </w:r>
      <w:r>
        <w:t xml:space="preserve">(Figure </w:t>
      </w:r>
      <w:r w:rsidR="00777194">
        <w:t>2</w:t>
      </w:r>
      <w:r>
        <w:t xml:space="preserve">, Table </w:t>
      </w:r>
      <w:r w:rsidR="00736CE8">
        <w:t>5</w:t>
      </w:r>
      <w:r>
        <w:t xml:space="preserve">) </w:t>
      </w:r>
      <w:r w:rsidRPr="006D4B4C">
        <w:t>benefit was consistently demonstrated across subgroups of patients including baseline ECOG performance status, M stage, history of brain metastases, and baseline LDH level. Survival benefit was observed regardless of whether PD</w:t>
      </w:r>
      <w:r w:rsidRPr="006D4B4C">
        <w:noBreakHyphen/>
        <w:t>L1 expression was above or below a PD</w:t>
      </w:r>
      <w:r w:rsidRPr="006D4B4C">
        <w:noBreakHyphen/>
        <w:t>L1 tumour membrane expression cut</w:t>
      </w:r>
      <w:r w:rsidRPr="006D4B4C">
        <w:noBreakHyphen/>
        <w:t>off of 5% or 10%.</w:t>
      </w:r>
    </w:p>
    <w:p w14:paraId="356D2776" w14:textId="7BCB0C49" w:rsidR="00C659AE" w:rsidRPr="00BA0123" w:rsidRDefault="00C659AE" w:rsidP="004D7D64">
      <w:pPr>
        <w:pStyle w:val="BMSFigureCaption"/>
        <w:widowControl w:val="0"/>
        <w:rPr>
          <w:sz w:val="22"/>
          <w:szCs w:val="22"/>
        </w:rPr>
      </w:pPr>
      <w:r w:rsidRPr="00BA0123">
        <w:rPr>
          <w:sz w:val="22"/>
          <w:szCs w:val="22"/>
        </w:rPr>
        <w:lastRenderedPageBreak/>
        <w:t xml:space="preserve">Figure </w:t>
      </w:r>
      <w:r w:rsidR="00777194">
        <w:rPr>
          <w:sz w:val="22"/>
          <w:szCs w:val="22"/>
        </w:rPr>
        <w:t>2</w:t>
      </w:r>
      <w:r w:rsidRPr="00BA0123">
        <w:rPr>
          <w:sz w:val="22"/>
          <w:szCs w:val="22"/>
        </w:rPr>
        <w:t>:</w:t>
      </w:r>
      <w:r w:rsidRPr="00BA0123">
        <w:rPr>
          <w:sz w:val="22"/>
          <w:szCs w:val="22"/>
        </w:rPr>
        <w:tab/>
        <w:t>Kaplan-Meier Curves of OS (CA209066)</w:t>
      </w:r>
    </w:p>
    <w:p w14:paraId="7F498ABD" w14:textId="77777777" w:rsidR="002B019E" w:rsidRDefault="002B019E" w:rsidP="004D7D64">
      <w:pPr>
        <w:pStyle w:val="EMEABodyText"/>
        <w:keepNext/>
        <w:keepLines/>
        <w:widowControl w:val="0"/>
        <w:rPr>
          <w:sz w:val="20"/>
          <w:szCs w:val="20"/>
        </w:rPr>
      </w:pPr>
    </w:p>
    <w:p w14:paraId="34FA3864" w14:textId="294F610A" w:rsidR="002B019E" w:rsidRDefault="002B019E" w:rsidP="004D7D64">
      <w:pPr>
        <w:pStyle w:val="EMEABodyText"/>
        <w:keepNext/>
        <w:keepLines/>
        <w:widowControl w:val="0"/>
        <w:jc w:val="center"/>
        <w:rPr>
          <w:sz w:val="20"/>
          <w:szCs w:val="20"/>
        </w:rPr>
      </w:pPr>
      <w:r>
        <w:rPr>
          <w:noProof/>
          <w:lang w:val="en-AU" w:eastAsia="en-AU"/>
        </w:rPr>
        <w:drawing>
          <wp:inline distT="0" distB="0" distL="0" distR="0" wp14:anchorId="654A890F" wp14:editId="7778E8C6">
            <wp:extent cx="4581525" cy="405765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b="13570"/>
                    <a:stretch>
                      <a:fillRect/>
                    </a:stretch>
                  </pic:blipFill>
                  <pic:spPr bwMode="auto">
                    <a:xfrm>
                      <a:off x="0" y="0"/>
                      <a:ext cx="4581525" cy="4057650"/>
                    </a:xfrm>
                    <a:prstGeom prst="rect">
                      <a:avLst/>
                    </a:prstGeom>
                    <a:noFill/>
                    <a:ln w="9525">
                      <a:noFill/>
                      <a:miter lim="800000"/>
                      <a:headEnd/>
                      <a:tailEnd/>
                    </a:ln>
                  </pic:spPr>
                </pic:pic>
              </a:graphicData>
            </a:graphic>
          </wp:inline>
        </w:drawing>
      </w:r>
    </w:p>
    <w:p w14:paraId="098BF46B" w14:textId="5440B8B1" w:rsidR="002B019E" w:rsidRDefault="002B019E" w:rsidP="004D7D64">
      <w:pPr>
        <w:pStyle w:val="EMEABodyText"/>
        <w:keepNext/>
        <w:keepLines/>
        <w:widowControl w:val="0"/>
        <w:rPr>
          <w:sz w:val="20"/>
          <w:szCs w:val="20"/>
        </w:rPr>
      </w:pPr>
    </w:p>
    <w:p w14:paraId="6E7574C0" w14:textId="77777777" w:rsidR="002B019E" w:rsidRPr="002B019E" w:rsidRDefault="002B019E" w:rsidP="004D7D64">
      <w:pPr>
        <w:pStyle w:val="EMEABodyText"/>
        <w:keepNext/>
        <w:keepLines/>
        <w:widowControl w:val="0"/>
        <w:rPr>
          <w:sz w:val="20"/>
          <w:szCs w:val="20"/>
        </w:rPr>
      </w:pPr>
      <w:r w:rsidRPr="002B019E">
        <w:rPr>
          <w:sz w:val="20"/>
          <w:szCs w:val="20"/>
        </w:rPr>
        <w:t xml:space="preserve">──∆─── </w:t>
      </w:r>
      <w:proofErr w:type="spellStart"/>
      <w:r w:rsidRPr="002B019E">
        <w:rPr>
          <w:sz w:val="20"/>
          <w:szCs w:val="20"/>
        </w:rPr>
        <w:t>Nivolumab</w:t>
      </w:r>
      <w:proofErr w:type="spellEnd"/>
      <w:r w:rsidRPr="002B019E">
        <w:rPr>
          <w:sz w:val="20"/>
          <w:szCs w:val="20"/>
        </w:rPr>
        <w:t xml:space="preserve"> (events: 50/210), median and 95% CI: N.A.</w:t>
      </w:r>
    </w:p>
    <w:p w14:paraId="51FA2F26" w14:textId="2B0CC9BC" w:rsidR="002B019E" w:rsidRDefault="002B019E" w:rsidP="004D7D64">
      <w:pPr>
        <w:pStyle w:val="EMEABodyText"/>
        <w:keepNext/>
        <w:keepLines/>
        <w:widowControl w:val="0"/>
        <w:rPr>
          <w:sz w:val="20"/>
          <w:szCs w:val="20"/>
        </w:rPr>
      </w:pPr>
      <w:r w:rsidRPr="002B019E">
        <w:rPr>
          <w:sz w:val="20"/>
          <w:szCs w:val="20"/>
        </w:rPr>
        <w:t>- - -</w:t>
      </w:r>
      <w:r w:rsidRPr="002B019E">
        <w:rPr>
          <w:sz w:val="20"/>
          <w:szCs w:val="20"/>
        </w:rPr>
        <w:t xml:space="preserve">- - - </w:t>
      </w:r>
      <w:proofErr w:type="spellStart"/>
      <w:r w:rsidRPr="002B019E">
        <w:rPr>
          <w:sz w:val="20"/>
          <w:szCs w:val="20"/>
        </w:rPr>
        <w:t>Dacarbazine</w:t>
      </w:r>
      <w:proofErr w:type="spellEnd"/>
      <w:r w:rsidRPr="002B019E">
        <w:rPr>
          <w:sz w:val="20"/>
          <w:szCs w:val="20"/>
        </w:rPr>
        <w:t xml:space="preserve"> (events: 96/208), median 10.84 months 95% CI: (9.33, 12.09)</w:t>
      </w:r>
    </w:p>
    <w:p w14:paraId="30DFA4BD" w14:textId="49FC1C36" w:rsidR="002B019E" w:rsidRDefault="002B019E" w:rsidP="00AE66E6">
      <w:pPr>
        <w:pStyle w:val="EMEABodyText"/>
        <w:rPr>
          <w:sz w:val="20"/>
          <w:szCs w:val="20"/>
        </w:rPr>
      </w:pPr>
    </w:p>
    <w:tbl>
      <w:tblPr>
        <w:tblW w:w="0" w:type="auto"/>
        <w:tblLook w:val="04A0" w:firstRow="1" w:lastRow="0" w:firstColumn="1" w:lastColumn="0" w:noHBand="0" w:noVBand="1"/>
      </w:tblPr>
      <w:tblGrid>
        <w:gridCol w:w="2934"/>
        <w:gridCol w:w="1534"/>
        <w:gridCol w:w="1523"/>
        <w:gridCol w:w="1500"/>
        <w:gridCol w:w="1535"/>
      </w:tblGrid>
      <w:tr w:rsidR="00792B3D" w:rsidRPr="00792B3D" w14:paraId="06BBDE64" w14:textId="77777777" w:rsidTr="00792B3D">
        <w:trPr>
          <w:trHeight w:val="227"/>
        </w:trPr>
        <w:tc>
          <w:tcPr>
            <w:tcW w:w="9026" w:type="dxa"/>
            <w:gridSpan w:val="5"/>
            <w:tcBorders>
              <w:left w:val="nil"/>
              <w:bottom w:val="single" w:sz="4" w:space="0" w:color="auto"/>
              <w:right w:val="nil"/>
            </w:tcBorders>
          </w:tcPr>
          <w:p w14:paraId="1C2D08EB" w14:textId="0243F19C" w:rsidR="00792B3D" w:rsidRPr="00E942C4" w:rsidRDefault="00792B3D" w:rsidP="00736CE8">
            <w:pPr>
              <w:keepNext/>
              <w:keepLines/>
              <w:spacing w:after="0"/>
              <w:ind w:left="2866" w:hanging="2866"/>
              <w:rPr>
                <w:rFonts w:eastAsia="Times New Roman" w:cs="Times New Roman"/>
                <w:b/>
                <w:highlight w:val="yellow"/>
                <w:lang w:val="en-US"/>
              </w:rPr>
            </w:pPr>
            <w:r w:rsidRPr="00E942C4">
              <w:rPr>
                <w:rFonts w:eastAsia="Times New Roman" w:cs="Times New Roman"/>
                <w:b/>
                <w:lang w:val="en-US"/>
              </w:rPr>
              <w:lastRenderedPageBreak/>
              <w:t xml:space="preserve">Table </w:t>
            </w:r>
            <w:r w:rsidR="00736CE8">
              <w:rPr>
                <w:rFonts w:eastAsia="Times New Roman" w:cs="Times New Roman"/>
                <w:b/>
                <w:lang w:val="en-US"/>
              </w:rPr>
              <w:t>5</w:t>
            </w:r>
            <w:r w:rsidRPr="00E942C4">
              <w:rPr>
                <w:rFonts w:eastAsia="Times New Roman" w:cs="Times New Roman"/>
                <w:b/>
                <w:lang w:val="en-US"/>
              </w:rPr>
              <w:t>: Efficacy Results (CA209066)</w:t>
            </w:r>
          </w:p>
        </w:tc>
      </w:tr>
      <w:tr w:rsidR="00792B3D" w:rsidRPr="00792B3D" w14:paraId="073AED84" w14:textId="77777777" w:rsidTr="00792B3D">
        <w:trPr>
          <w:trHeight w:val="227"/>
        </w:trPr>
        <w:tc>
          <w:tcPr>
            <w:tcW w:w="2934" w:type="dxa"/>
            <w:tcBorders>
              <w:top w:val="single" w:sz="4" w:space="0" w:color="auto"/>
              <w:left w:val="nil"/>
              <w:bottom w:val="single" w:sz="4" w:space="0" w:color="auto"/>
              <w:right w:val="nil"/>
            </w:tcBorders>
          </w:tcPr>
          <w:p w14:paraId="226B3147" w14:textId="2DDA18F9" w:rsidR="00792B3D" w:rsidRPr="00E942C4" w:rsidRDefault="00792B3D" w:rsidP="00792B3D">
            <w:pPr>
              <w:keepNext/>
              <w:keepLines/>
              <w:spacing w:after="0"/>
              <w:jc w:val="center"/>
              <w:rPr>
                <w:rFonts w:eastAsia="Times New Roman" w:cs="Times New Roman"/>
                <w:b/>
                <w:sz w:val="20"/>
                <w:szCs w:val="20"/>
                <w:lang w:val="en-US"/>
              </w:rPr>
            </w:pPr>
          </w:p>
        </w:tc>
        <w:tc>
          <w:tcPr>
            <w:tcW w:w="3057" w:type="dxa"/>
            <w:gridSpan w:val="2"/>
            <w:tcBorders>
              <w:top w:val="single" w:sz="4" w:space="0" w:color="auto"/>
              <w:left w:val="nil"/>
              <w:bottom w:val="single" w:sz="4" w:space="0" w:color="auto"/>
              <w:right w:val="nil"/>
            </w:tcBorders>
            <w:hideMark/>
          </w:tcPr>
          <w:p w14:paraId="054E37D4" w14:textId="77777777" w:rsidR="00792B3D" w:rsidRPr="00E942C4" w:rsidRDefault="00792B3D" w:rsidP="00792B3D">
            <w:pPr>
              <w:keepNext/>
              <w:keepLines/>
              <w:spacing w:after="0"/>
              <w:jc w:val="center"/>
              <w:rPr>
                <w:rFonts w:eastAsia="Times New Roman" w:cs="Times New Roman"/>
                <w:b/>
                <w:sz w:val="20"/>
                <w:szCs w:val="20"/>
                <w:lang w:val="en-US"/>
              </w:rPr>
            </w:pPr>
            <w:proofErr w:type="spellStart"/>
            <w:r w:rsidRPr="00E942C4">
              <w:rPr>
                <w:rFonts w:eastAsia="Times New Roman" w:cs="Times New Roman"/>
                <w:b/>
                <w:sz w:val="20"/>
                <w:szCs w:val="20"/>
                <w:lang w:val="en-US"/>
              </w:rPr>
              <w:t>nivolumab</w:t>
            </w:r>
            <w:proofErr w:type="spellEnd"/>
            <w:r w:rsidRPr="00E942C4">
              <w:rPr>
                <w:rFonts w:eastAsia="Times New Roman" w:cs="Times New Roman"/>
                <w:b/>
                <w:sz w:val="20"/>
                <w:szCs w:val="20"/>
                <w:lang w:val="en-US"/>
              </w:rPr>
              <w:br/>
              <w:t>(n = 210)</w:t>
            </w:r>
          </w:p>
        </w:tc>
        <w:tc>
          <w:tcPr>
            <w:tcW w:w="3035" w:type="dxa"/>
            <w:gridSpan w:val="2"/>
            <w:tcBorders>
              <w:top w:val="single" w:sz="4" w:space="0" w:color="auto"/>
              <w:left w:val="nil"/>
              <w:bottom w:val="single" w:sz="4" w:space="0" w:color="auto"/>
              <w:right w:val="nil"/>
            </w:tcBorders>
            <w:hideMark/>
          </w:tcPr>
          <w:p w14:paraId="24C07AFC" w14:textId="77777777" w:rsidR="00792B3D" w:rsidRPr="00E942C4" w:rsidRDefault="00792B3D" w:rsidP="00792B3D">
            <w:pPr>
              <w:keepNext/>
              <w:keepLines/>
              <w:spacing w:after="0"/>
              <w:jc w:val="center"/>
              <w:rPr>
                <w:rFonts w:eastAsia="Times New Roman" w:cs="Times New Roman"/>
                <w:b/>
                <w:sz w:val="20"/>
                <w:szCs w:val="20"/>
                <w:lang w:val="en-US"/>
              </w:rPr>
            </w:pPr>
            <w:proofErr w:type="spellStart"/>
            <w:r w:rsidRPr="00E942C4">
              <w:rPr>
                <w:rFonts w:eastAsia="Times New Roman" w:cs="Times New Roman"/>
                <w:b/>
                <w:sz w:val="20"/>
                <w:szCs w:val="20"/>
                <w:lang w:val="en-US"/>
              </w:rPr>
              <w:t>dacarbazine</w:t>
            </w:r>
            <w:proofErr w:type="spellEnd"/>
            <w:r w:rsidRPr="00E942C4">
              <w:rPr>
                <w:rFonts w:eastAsia="Times New Roman" w:cs="Times New Roman"/>
                <w:b/>
                <w:sz w:val="20"/>
                <w:szCs w:val="20"/>
                <w:lang w:val="en-US"/>
              </w:rPr>
              <w:br/>
              <w:t>(n = 208)</w:t>
            </w:r>
          </w:p>
        </w:tc>
      </w:tr>
      <w:tr w:rsidR="00792B3D" w:rsidRPr="00792B3D" w14:paraId="4AD34156" w14:textId="77777777" w:rsidTr="00792B3D">
        <w:tc>
          <w:tcPr>
            <w:tcW w:w="9026" w:type="dxa"/>
            <w:gridSpan w:val="5"/>
            <w:tcBorders>
              <w:top w:val="single" w:sz="4" w:space="0" w:color="auto"/>
              <w:left w:val="nil"/>
              <w:bottom w:val="nil"/>
              <w:right w:val="nil"/>
            </w:tcBorders>
            <w:hideMark/>
          </w:tcPr>
          <w:p w14:paraId="7AB69DDE"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 xml:space="preserve">Overall survival </w:t>
            </w:r>
          </w:p>
        </w:tc>
      </w:tr>
      <w:tr w:rsidR="00792B3D" w:rsidRPr="00792B3D" w14:paraId="007D1522" w14:textId="77777777" w:rsidTr="00792B3D">
        <w:trPr>
          <w:trHeight w:val="230"/>
        </w:trPr>
        <w:tc>
          <w:tcPr>
            <w:tcW w:w="2934" w:type="dxa"/>
            <w:hideMark/>
          </w:tcPr>
          <w:p w14:paraId="257E6B77" w14:textId="77777777" w:rsidR="00792B3D" w:rsidRPr="00E942C4" w:rsidRDefault="00792B3D" w:rsidP="00792B3D">
            <w:pPr>
              <w:keepNext/>
              <w:keepLines/>
              <w:tabs>
                <w:tab w:val="left" w:pos="201"/>
              </w:tabs>
              <w:spacing w:after="0"/>
              <w:rPr>
                <w:rFonts w:eastAsia="Times New Roman" w:cs="Times New Roman"/>
                <w:sz w:val="20"/>
                <w:szCs w:val="20"/>
                <w:lang w:val="en-US"/>
              </w:rPr>
            </w:pPr>
            <w:r w:rsidRPr="00E942C4">
              <w:rPr>
                <w:rFonts w:eastAsia="Times New Roman" w:cs="Times New Roman"/>
                <w:sz w:val="20"/>
                <w:szCs w:val="20"/>
                <w:lang w:val="en-US"/>
              </w:rPr>
              <w:tab/>
              <w:t>Events</w:t>
            </w:r>
          </w:p>
        </w:tc>
        <w:tc>
          <w:tcPr>
            <w:tcW w:w="3057" w:type="dxa"/>
            <w:gridSpan w:val="2"/>
            <w:hideMark/>
          </w:tcPr>
          <w:p w14:paraId="7DED8B4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50 (23.8%)</w:t>
            </w:r>
          </w:p>
        </w:tc>
        <w:tc>
          <w:tcPr>
            <w:tcW w:w="3035" w:type="dxa"/>
            <w:gridSpan w:val="2"/>
            <w:hideMark/>
          </w:tcPr>
          <w:p w14:paraId="1D05BF00"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96 (46.2%)</w:t>
            </w:r>
          </w:p>
        </w:tc>
      </w:tr>
      <w:tr w:rsidR="00792B3D" w:rsidRPr="00792B3D" w14:paraId="155E63CD" w14:textId="77777777" w:rsidTr="00792B3D">
        <w:trPr>
          <w:trHeight w:val="230"/>
        </w:trPr>
        <w:tc>
          <w:tcPr>
            <w:tcW w:w="2934" w:type="dxa"/>
            <w:hideMark/>
          </w:tcPr>
          <w:p w14:paraId="59A05A5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 xml:space="preserve">Hazard ratio </w:t>
            </w:r>
          </w:p>
        </w:tc>
        <w:tc>
          <w:tcPr>
            <w:tcW w:w="6092" w:type="dxa"/>
            <w:gridSpan w:val="4"/>
            <w:hideMark/>
          </w:tcPr>
          <w:p w14:paraId="77B5D2A1"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0.42</w:t>
            </w:r>
          </w:p>
        </w:tc>
      </w:tr>
      <w:tr w:rsidR="00792B3D" w:rsidRPr="00792B3D" w14:paraId="7F1C304A" w14:textId="77777777" w:rsidTr="00792B3D">
        <w:tc>
          <w:tcPr>
            <w:tcW w:w="2934" w:type="dxa"/>
            <w:hideMark/>
          </w:tcPr>
          <w:p w14:paraId="612765F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99.79% CI</w:t>
            </w:r>
          </w:p>
        </w:tc>
        <w:tc>
          <w:tcPr>
            <w:tcW w:w="6092" w:type="dxa"/>
            <w:gridSpan w:val="4"/>
            <w:hideMark/>
          </w:tcPr>
          <w:p w14:paraId="3F7ED0C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(0.25, 0.73)</w:t>
            </w:r>
          </w:p>
        </w:tc>
      </w:tr>
      <w:tr w:rsidR="00792B3D" w:rsidRPr="00792B3D" w14:paraId="7FA1784C" w14:textId="77777777" w:rsidTr="00792B3D">
        <w:tc>
          <w:tcPr>
            <w:tcW w:w="2934" w:type="dxa"/>
            <w:hideMark/>
          </w:tcPr>
          <w:p w14:paraId="77758A74"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95% CI</w:t>
            </w:r>
          </w:p>
        </w:tc>
        <w:tc>
          <w:tcPr>
            <w:tcW w:w="6092" w:type="dxa"/>
            <w:gridSpan w:val="4"/>
            <w:hideMark/>
          </w:tcPr>
          <w:p w14:paraId="734D82D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(0.30, 0.60)</w:t>
            </w:r>
          </w:p>
        </w:tc>
      </w:tr>
      <w:tr w:rsidR="00792B3D" w:rsidRPr="00792B3D" w14:paraId="56E18933" w14:textId="77777777" w:rsidTr="00792B3D">
        <w:tc>
          <w:tcPr>
            <w:tcW w:w="2934" w:type="dxa"/>
            <w:hideMark/>
          </w:tcPr>
          <w:p w14:paraId="70910819"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06F0971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2AAB2608" w14:textId="77777777" w:rsidTr="00792B3D">
        <w:tc>
          <w:tcPr>
            <w:tcW w:w="2934" w:type="dxa"/>
          </w:tcPr>
          <w:p w14:paraId="255951AE"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6E9F461E"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F51D8CB"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31F6D32A"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50FCFFE"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4DA1F249" w14:textId="77777777" w:rsidTr="00792B3D">
        <w:tc>
          <w:tcPr>
            <w:tcW w:w="2934" w:type="dxa"/>
            <w:hideMark/>
          </w:tcPr>
          <w:p w14:paraId="02DEC3D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Median (95% CI)</w:t>
            </w:r>
          </w:p>
        </w:tc>
        <w:tc>
          <w:tcPr>
            <w:tcW w:w="3057" w:type="dxa"/>
            <w:gridSpan w:val="2"/>
            <w:hideMark/>
          </w:tcPr>
          <w:p w14:paraId="370B0AA2"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Not reached</w:t>
            </w:r>
          </w:p>
        </w:tc>
        <w:tc>
          <w:tcPr>
            <w:tcW w:w="3035" w:type="dxa"/>
            <w:gridSpan w:val="2"/>
            <w:hideMark/>
          </w:tcPr>
          <w:p w14:paraId="3DA3BD4C"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10.8 (9.33, 12.09)</w:t>
            </w:r>
          </w:p>
        </w:tc>
      </w:tr>
      <w:tr w:rsidR="00792B3D" w:rsidRPr="00792B3D" w14:paraId="206D91E2" w14:textId="77777777" w:rsidTr="00792B3D">
        <w:tc>
          <w:tcPr>
            <w:tcW w:w="2934" w:type="dxa"/>
            <w:hideMark/>
          </w:tcPr>
          <w:p w14:paraId="58D8C704"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Rate % (95% CI)</w:t>
            </w:r>
          </w:p>
        </w:tc>
        <w:tc>
          <w:tcPr>
            <w:tcW w:w="1534" w:type="dxa"/>
          </w:tcPr>
          <w:p w14:paraId="0F57BEE5"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344313E2"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0C5EA3E4"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25C20CB0"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1CC2E7FA" w14:textId="77777777" w:rsidTr="00792B3D">
        <w:tc>
          <w:tcPr>
            <w:tcW w:w="2934" w:type="dxa"/>
            <w:hideMark/>
          </w:tcPr>
          <w:p w14:paraId="26824BB1"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6 months</w:t>
            </w:r>
          </w:p>
        </w:tc>
        <w:tc>
          <w:tcPr>
            <w:tcW w:w="3057" w:type="dxa"/>
            <w:gridSpan w:val="2"/>
            <w:hideMark/>
          </w:tcPr>
          <w:p w14:paraId="6F9E8EC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84.1 (78.3, 88.5)</w:t>
            </w:r>
          </w:p>
        </w:tc>
        <w:tc>
          <w:tcPr>
            <w:tcW w:w="3035" w:type="dxa"/>
            <w:gridSpan w:val="2"/>
            <w:hideMark/>
          </w:tcPr>
          <w:p w14:paraId="30D955F2"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71.8 (64.9, 77.6)</w:t>
            </w:r>
          </w:p>
        </w:tc>
      </w:tr>
      <w:tr w:rsidR="00792B3D" w:rsidRPr="00792B3D" w14:paraId="01A910F7" w14:textId="77777777" w:rsidTr="00792B3D">
        <w:tc>
          <w:tcPr>
            <w:tcW w:w="2934" w:type="dxa"/>
            <w:hideMark/>
          </w:tcPr>
          <w:p w14:paraId="7C4A2B19"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12 months</w:t>
            </w:r>
          </w:p>
        </w:tc>
        <w:tc>
          <w:tcPr>
            <w:tcW w:w="3057" w:type="dxa"/>
            <w:gridSpan w:val="2"/>
            <w:hideMark/>
          </w:tcPr>
          <w:p w14:paraId="446450A6"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72.9 (65.5, 78.9)</w:t>
            </w:r>
          </w:p>
        </w:tc>
        <w:tc>
          <w:tcPr>
            <w:tcW w:w="3035" w:type="dxa"/>
            <w:gridSpan w:val="2"/>
            <w:hideMark/>
          </w:tcPr>
          <w:p w14:paraId="5776BFCD"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42.1 (33.0, 50.9)</w:t>
            </w:r>
          </w:p>
        </w:tc>
      </w:tr>
      <w:tr w:rsidR="00792B3D" w:rsidRPr="00792B3D" w14:paraId="0D45B8DC" w14:textId="77777777" w:rsidTr="00792B3D">
        <w:tc>
          <w:tcPr>
            <w:tcW w:w="2934" w:type="dxa"/>
            <w:hideMark/>
          </w:tcPr>
          <w:p w14:paraId="4DFC8003"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Progression-free survival</w:t>
            </w:r>
          </w:p>
        </w:tc>
        <w:tc>
          <w:tcPr>
            <w:tcW w:w="1534" w:type="dxa"/>
          </w:tcPr>
          <w:p w14:paraId="6AC7DA57"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0102C73"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57860088"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4ACF498E"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16D5FD9D" w14:textId="77777777" w:rsidTr="00792B3D">
        <w:tc>
          <w:tcPr>
            <w:tcW w:w="2934" w:type="dxa"/>
            <w:hideMark/>
          </w:tcPr>
          <w:p w14:paraId="46D19575" w14:textId="77777777" w:rsidR="00792B3D" w:rsidRPr="00E942C4" w:rsidRDefault="00792B3D" w:rsidP="00792B3D">
            <w:pPr>
              <w:keepNext/>
              <w:keepLines/>
              <w:tabs>
                <w:tab w:val="left" w:pos="201"/>
              </w:tabs>
              <w:spacing w:after="0"/>
              <w:rPr>
                <w:rFonts w:eastAsia="Times New Roman" w:cs="Times New Roman"/>
                <w:sz w:val="20"/>
                <w:szCs w:val="20"/>
                <w:lang w:val="en-US"/>
              </w:rPr>
            </w:pPr>
            <w:r w:rsidRPr="00E942C4">
              <w:rPr>
                <w:rFonts w:eastAsia="Times New Roman" w:cs="Times New Roman"/>
                <w:sz w:val="20"/>
                <w:szCs w:val="20"/>
                <w:lang w:val="en-US"/>
              </w:rPr>
              <w:tab/>
              <w:t>Events</w:t>
            </w:r>
          </w:p>
        </w:tc>
        <w:tc>
          <w:tcPr>
            <w:tcW w:w="3057" w:type="dxa"/>
            <w:gridSpan w:val="2"/>
            <w:hideMark/>
          </w:tcPr>
          <w:p w14:paraId="715F728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108 (51.4%)</w:t>
            </w:r>
          </w:p>
        </w:tc>
        <w:tc>
          <w:tcPr>
            <w:tcW w:w="3035" w:type="dxa"/>
            <w:gridSpan w:val="2"/>
            <w:hideMark/>
          </w:tcPr>
          <w:p w14:paraId="75BAB59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163 (78.4%)</w:t>
            </w:r>
          </w:p>
        </w:tc>
      </w:tr>
      <w:tr w:rsidR="00792B3D" w:rsidRPr="00792B3D" w14:paraId="3071ACBA" w14:textId="77777777" w:rsidTr="00792B3D">
        <w:tc>
          <w:tcPr>
            <w:tcW w:w="2934" w:type="dxa"/>
            <w:hideMark/>
          </w:tcPr>
          <w:p w14:paraId="2A6F1EB8"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 xml:space="preserve">Hazard ratio </w:t>
            </w:r>
          </w:p>
        </w:tc>
        <w:tc>
          <w:tcPr>
            <w:tcW w:w="6092" w:type="dxa"/>
            <w:gridSpan w:val="4"/>
            <w:hideMark/>
          </w:tcPr>
          <w:p w14:paraId="03FA328B"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0.43</w:t>
            </w:r>
          </w:p>
        </w:tc>
      </w:tr>
      <w:tr w:rsidR="00792B3D" w:rsidRPr="00792B3D" w14:paraId="10CD4F46" w14:textId="77777777" w:rsidTr="00792B3D">
        <w:tc>
          <w:tcPr>
            <w:tcW w:w="2934" w:type="dxa"/>
            <w:hideMark/>
          </w:tcPr>
          <w:p w14:paraId="13FC382F"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95% CI</w:t>
            </w:r>
          </w:p>
        </w:tc>
        <w:tc>
          <w:tcPr>
            <w:tcW w:w="6092" w:type="dxa"/>
            <w:gridSpan w:val="4"/>
            <w:hideMark/>
          </w:tcPr>
          <w:p w14:paraId="4E042A08"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(0.34, 0.56)</w:t>
            </w:r>
          </w:p>
        </w:tc>
      </w:tr>
      <w:tr w:rsidR="00792B3D" w:rsidRPr="00792B3D" w14:paraId="02382EC1" w14:textId="77777777" w:rsidTr="00792B3D">
        <w:tc>
          <w:tcPr>
            <w:tcW w:w="2934" w:type="dxa"/>
            <w:hideMark/>
          </w:tcPr>
          <w:p w14:paraId="2F66E628"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19984913"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311AF584" w14:textId="77777777" w:rsidTr="00792B3D">
        <w:tc>
          <w:tcPr>
            <w:tcW w:w="2934" w:type="dxa"/>
          </w:tcPr>
          <w:p w14:paraId="40665537"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30DFF42D"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AA740FC"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D74C6D6"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23FCB791"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312BE82A" w14:textId="77777777" w:rsidTr="00792B3D">
        <w:tc>
          <w:tcPr>
            <w:tcW w:w="2934" w:type="dxa"/>
            <w:hideMark/>
          </w:tcPr>
          <w:p w14:paraId="72499980"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Median (95% CI)</w:t>
            </w:r>
          </w:p>
        </w:tc>
        <w:tc>
          <w:tcPr>
            <w:tcW w:w="3057" w:type="dxa"/>
            <w:gridSpan w:val="2"/>
            <w:hideMark/>
          </w:tcPr>
          <w:p w14:paraId="0C92A775"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5.1 (3.48, 10.81)</w:t>
            </w:r>
          </w:p>
        </w:tc>
        <w:tc>
          <w:tcPr>
            <w:tcW w:w="3035" w:type="dxa"/>
            <w:gridSpan w:val="2"/>
            <w:hideMark/>
          </w:tcPr>
          <w:p w14:paraId="712EF2F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2.2 (2.10, 2.40)</w:t>
            </w:r>
          </w:p>
        </w:tc>
      </w:tr>
      <w:tr w:rsidR="00792B3D" w:rsidRPr="00792B3D" w14:paraId="4DC1CEE9" w14:textId="77777777" w:rsidTr="00792B3D">
        <w:tc>
          <w:tcPr>
            <w:tcW w:w="2934" w:type="dxa"/>
            <w:hideMark/>
          </w:tcPr>
          <w:p w14:paraId="7C76659A"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Rate % (95% CI)</w:t>
            </w:r>
          </w:p>
        </w:tc>
        <w:tc>
          <w:tcPr>
            <w:tcW w:w="1534" w:type="dxa"/>
          </w:tcPr>
          <w:p w14:paraId="6524B6AF"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4C814D96"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78A508E"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304121FE"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CCEEC30" w14:textId="77777777" w:rsidTr="00792B3D">
        <w:tc>
          <w:tcPr>
            <w:tcW w:w="2934" w:type="dxa"/>
            <w:hideMark/>
          </w:tcPr>
          <w:p w14:paraId="1F2B9EFB"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6 months</w:t>
            </w:r>
          </w:p>
        </w:tc>
        <w:tc>
          <w:tcPr>
            <w:tcW w:w="3057" w:type="dxa"/>
            <w:gridSpan w:val="2"/>
            <w:hideMark/>
          </w:tcPr>
          <w:p w14:paraId="677ED0F5"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48.0 (40.8, 54.9)</w:t>
            </w:r>
          </w:p>
        </w:tc>
        <w:tc>
          <w:tcPr>
            <w:tcW w:w="3035" w:type="dxa"/>
            <w:gridSpan w:val="2"/>
            <w:hideMark/>
          </w:tcPr>
          <w:p w14:paraId="072335AD"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18.5 (13.1, 24.6)</w:t>
            </w:r>
          </w:p>
        </w:tc>
      </w:tr>
      <w:tr w:rsidR="00792B3D" w:rsidRPr="00792B3D" w14:paraId="7D230EDA" w14:textId="77777777" w:rsidTr="00792B3D">
        <w:tc>
          <w:tcPr>
            <w:tcW w:w="2934" w:type="dxa"/>
            <w:hideMark/>
          </w:tcPr>
          <w:p w14:paraId="5947CC1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r>
            <w:r w:rsidRPr="00E942C4">
              <w:rPr>
                <w:rFonts w:eastAsia="Times New Roman" w:cs="Times New Roman"/>
                <w:sz w:val="20"/>
                <w:szCs w:val="20"/>
                <w:lang w:val="en-US"/>
              </w:rPr>
              <w:tab/>
              <w:t>At 12 months</w:t>
            </w:r>
          </w:p>
        </w:tc>
        <w:tc>
          <w:tcPr>
            <w:tcW w:w="3057" w:type="dxa"/>
            <w:gridSpan w:val="2"/>
            <w:hideMark/>
          </w:tcPr>
          <w:p w14:paraId="326CB844"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41.8 (34.0, 49.3)</w:t>
            </w:r>
          </w:p>
        </w:tc>
        <w:tc>
          <w:tcPr>
            <w:tcW w:w="3035" w:type="dxa"/>
            <w:gridSpan w:val="2"/>
            <w:hideMark/>
          </w:tcPr>
          <w:p w14:paraId="0FE5C77F"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color w:val="000000"/>
                <w:sz w:val="20"/>
                <w:szCs w:val="20"/>
                <w:lang w:val="en-US"/>
              </w:rPr>
              <w:t>NA</w:t>
            </w:r>
          </w:p>
        </w:tc>
      </w:tr>
      <w:tr w:rsidR="00792B3D" w:rsidRPr="00792B3D" w14:paraId="4819CE91" w14:textId="77777777" w:rsidTr="00792B3D">
        <w:tc>
          <w:tcPr>
            <w:tcW w:w="2934" w:type="dxa"/>
          </w:tcPr>
          <w:p w14:paraId="44FDB87B"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549B271E"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5F387AF8"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4D26A77"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74B200F"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3596C7C" w14:textId="77777777" w:rsidTr="00792B3D">
        <w:tc>
          <w:tcPr>
            <w:tcW w:w="2934" w:type="dxa"/>
            <w:hideMark/>
          </w:tcPr>
          <w:p w14:paraId="211678D4" w14:textId="77777777" w:rsidR="00792B3D" w:rsidRPr="00E942C4" w:rsidRDefault="00792B3D" w:rsidP="00792B3D">
            <w:pPr>
              <w:keepNext/>
              <w:keepLines/>
              <w:spacing w:after="0"/>
              <w:rPr>
                <w:rFonts w:eastAsia="Times New Roman" w:cs="Times New Roman"/>
                <w:b/>
                <w:sz w:val="20"/>
                <w:szCs w:val="20"/>
                <w:lang w:val="en-US"/>
              </w:rPr>
            </w:pPr>
            <w:r w:rsidRPr="00E942C4">
              <w:rPr>
                <w:rFonts w:eastAsia="Times New Roman" w:cs="Times New Roman"/>
                <w:b/>
                <w:sz w:val="20"/>
                <w:szCs w:val="20"/>
                <w:lang w:val="en-US"/>
              </w:rPr>
              <w:t xml:space="preserve">Objective response </w:t>
            </w:r>
          </w:p>
        </w:tc>
        <w:tc>
          <w:tcPr>
            <w:tcW w:w="1534" w:type="dxa"/>
            <w:hideMark/>
          </w:tcPr>
          <w:p w14:paraId="762622EC"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84</w:t>
            </w:r>
          </w:p>
        </w:tc>
        <w:tc>
          <w:tcPr>
            <w:tcW w:w="1523" w:type="dxa"/>
            <w:hideMark/>
          </w:tcPr>
          <w:p w14:paraId="3016A3A2"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(40.0%)</w:t>
            </w:r>
          </w:p>
        </w:tc>
        <w:tc>
          <w:tcPr>
            <w:tcW w:w="1500" w:type="dxa"/>
            <w:hideMark/>
          </w:tcPr>
          <w:p w14:paraId="6F9046E7"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29</w:t>
            </w:r>
          </w:p>
        </w:tc>
        <w:tc>
          <w:tcPr>
            <w:tcW w:w="1535" w:type="dxa"/>
            <w:hideMark/>
          </w:tcPr>
          <w:p w14:paraId="0CFD0FF2"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(13.9%)</w:t>
            </w:r>
          </w:p>
        </w:tc>
      </w:tr>
      <w:tr w:rsidR="00792B3D" w:rsidRPr="00792B3D" w14:paraId="4E3CD48A" w14:textId="77777777" w:rsidTr="00792B3D">
        <w:tc>
          <w:tcPr>
            <w:tcW w:w="2934" w:type="dxa"/>
            <w:hideMark/>
          </w:tcPr>
          <w:p w14:paraId="78A3CC60"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(95% CI)</w:t>
            </w:r>
          </w:p>
        </w:tc>
        <w:tc>
          <w:tcPr>
            <w:tcW w:w="3057" w:type="dxa"/>
            <w:gridSpan w:val="2"/>
            <w:hideMark/>
          </w:tcPr>
          <w:p w14:paraId="3EE47E54"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(33.3, 47.0)</w:t>
            </w:r>
          </w:p>
        </w:tc>
        <w:tc>
          <w:tcPr>
            <w:tcW w:w="3035" w:type="dxa"/>
            <w:gridSpan w:val="2"/>
            <w:hideMark/>
          </w:tcPr>
          <w:p w14:paraId="5ECF354E"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(9.5, 19.4)</w:t>
            </w:r>
          </w:p>
        </w:tc>
      </w:tr>
      <w:tr w:rsidR="00792B3D" w:rsidRPr="00792B3D" w14:paraId="0A7284D4" w14:textId="77777777" w:rsidTr="00792B3D">
        <w:tc>
          <w:tcPr>
            <w:tcW w:w="2934" w:type="dxa"/>
            <w:hideMark/>
          </w:tcPr>
          <w:p w14:paraId="0EB29EDB"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Odds ratio (95% CI)</w:t>
            </w:r>
          </w:p>
        </w:tc>
        <w:tc>
          <w:tcPr>
            <w:tcW w:w="6092" w:type="dxa"/>
            <w:gridSpan w:val="4"/>
            <w:hideMark/>
          </w:tcPr>
          <w:p w14:paraId="75850089"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4.06 (2.52, 6.54)</w:t>
            </w:r>
          </w:p>
        </w:tc>
      </w:tr>
      <w:tr w:rsidR="00792B3D" w:rsidRPr="00792B3D" w14:paraId="26A0ACD7" w14:textId="77777777" w:rsidTr="00792B3D">
        <w:tc>
          <w:tcPr>
            <w:tcW w:w="2934" w:type="dxa"/>
            <w:hideMark/>
          </w:tcPr>
          <w:p w14:paraId="665E72A2"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r w:rsidRPr="00E942C4">
              <w:rPr>
                <w:rFonts w:eastAsia="Times New Roman" w:cs="Times New Roman"/>
                <w:sz w:val="20"/>
                <w:szCs w:val="20"/>
                <w:lang w:val="en-US"/>
              </w:rPr>
              <w:t>p-value</w:t>
            </w:r>
          </w:p>
        </w:tc>
        <w:tc>
          <w:tcPr>
            <w:tcW w:w="6092" w:type="dxa"/>
            <w:gridSpan w:val="4"/>
            <w:hideMark/>
          </w:tcPr>
          <w:p w14:paraId="5060A4D7" w14:textId="77777777" w:rsidR="00792B3D" w:rsidRPr="00E942C4" w:rsidRDefault="00792B3D" w:rsidP="00792B3D">
            <w:pPr>
              <w:keepNext/>
              <w:keepLines/>
              <w:spacing w:after="0"/>
              <w:jc w:val="center"/>
              <w:rPr>
                <w:rFonts w:eastAsia="Times New Roman" w:cs="Times New Roman"/>
                <w:sz w:val="20"/>
                <w:szCs w:val="20"/>
                <w:lang w:val="en-US"/>
              </w:rPr>
            </w:pPr>
            <w:r w:rsidRPr="00E942C4">
              <w:rPr>
                <w:rFonts w:eastAsia="Times New Roman" w:cs="Times New Roman"/>
                <w:sz w:val="20"/>
                <w:szCs w:val="20"/>
                <w:lang w:val="en-US"/>
              </w:rPr>
              <w:t>&lt; 0.0001</w:t>
            </w:r>
          </w:p>
        </w:tc>
      </w:tr>
      <w:tr w:rsidR="00792B3D" w:rsidRPr="00792B3D" w14:paraId="3419A52F" w14:textId="77777777" w:rsidTr="00792B3D">
        <w:tc>
          <w:tcPr>
            <w:tcW w:w="2934" w:type="dxa"/>
          </w:tcPr>
          <w:p w14:paraId="7D137AAF" w14:textId="77777777" w:rsidR="00792B3D" w:rsidRPr="00E942C4" w:rsidRDefault="00792B3D" w:rsidP="00792B3D">
            <w:pPr>
              <w:keepNext/>
              <w:keepLines/>
              <w:tabs>
                <w:tab w:val="left" w:pos="180"/>
              </w:tabs>
              <w:spacing w:after="0"/>
              <w:jc w:val="center"/>
              <w:rPr>
                <w:rFonts w:eastAsia="Times New Roman" w:cs="Times New Roman"/>
                <w:sz w:val="20"/>
                <w:szCs w:val="20"/>
                <w:lang w:val="en-US"/>
              </w:rPr>
            </w:pPr>
          </w:p>
        </w:tc>
        <w:tc>
          <w:tcPr>
            <w:tcW w:w="1534" w:type="dxa"/>
          </w:tcPr>
          <w:p w14:paraId="6F568FD2"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6D85C0E" w14:textId="77777777" w:rsidR="00792B3D" w:rsidRPr="00E942C4" w:rsidRDefault="00792B3D" w:rsidP="00792B3D">
            <w:pPr>
              <w:keepNext/>
              <w:keepLines/>
              <w:spacing w:after="0"/>
              <w:jc w:val="center"/>
              <w:rPr>
                <w:rFonts w:eastAsia="Times New Roman" w:cs="Times New Roman"/>
                <w:sz w:val="20"/>
                <w:szCs w:val="20"/>
                <w:lang w:val="en-US"/>
              </w:rPr>
            </w:pPr>
          </w:p>
        </w:tc>
        <w:tc>
          <w:tcPr>
            <w:tcW w:w="1500" w:type="dxa"/>
          </w:tcPr>
          <w:p w14:paraId="15506D2A"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4978A333" w14:textId="77777777" w:rsidR="00792B3D" w:rsidRPr="00E942C4" w:rsidRDefault="00792B3D" w:rsidP="00792B3D">
            <w:pPr>
              <w:keepNext/>
              <w:keepLines/>
              <w:spacing w:after="0"/>
              <w:jc w:val="center"/>
              <w:rPr>
                <w:rFonts w:eastAsia="Times New Roman" w:cs="Times New Roman"/>
                <w:sz w:val="20"/>
                <w:szCs w:val="20"/>
                <w:lang w:val="en-US"/>
              </w:rPr>
            </w:pPr>
          </w:p>
        </w:tc>
      </w:tr>
      <w:tr w:rsidR="00792B3D" w:rsidRPr="00792B3D" w14:paraId="6E05FD0F" w14:textId="77777777" w:rsidTr="00792B3D">
        <w:tc>
          <w:tcPr>
            <w:tcW w:w="2934" w:type="dxa"/>
            <w:hideMark/>
          </w:tcPr>
          <w:p w14:paraId="56E2C4C1"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Complete response (CR)</w:t>
            </w:r>
          </w:p>
        </w:tc>
        <w:tc>
          <w:tcPr>
            <w:tcW w:w="1534" w:type="dxa"/>
            <w:hideMark/>
          </w:tcPr>
          <w:p w14:paraId="54A3014B"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16</w:t>
            </w:r>
          </w:p>
        </w:tc>
        <w:tc>
          <w:tcPr>
            <w:tcW w:w="1523" w:type="dxa"/>
            <w:hideMark/>
          </w:tcPr>
          <w:p w14:paraId="0C758AA4"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(7.6%)</w:t>
            </w:r>
          </w:p>
        </w:tc>
        <w:tc>
          <w:tcPr>
            <w:tcW w:w="1500" w:type="dxa"/>
            <w:hideMark/>
          </w:tcPr>
          <w:p w14:paraId="14547ABD"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2 </w:t>
            </w:r>
          </w:p>
        </w:tc>
        <w:tc>
          <w:tcPr>
            <w:tcW w:w="1535" w:type="dxa"/>
            <w:hideMark/>
          </w:tcPr>
          <w:p w14:paraId="07F5713E"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(1.0%)</w:t>
            </w:r>
          </w:p>
        </w:tc>
      </w:tr>
      <w:tr w:rsidR="00792B3D" w:rsidRPr="00792B3D" w14:paraId="2092CECC" w14:textId="77777777" w:rsidTr="00792B3D">
        <w:tc>
          <w:tcPr>
            <w:tcW w:w="2934" w:type="dxa"/>
            <w:hideMark/>
          </w:tcPr>
          <w:p w14:paraId="76CA28B9"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Partial response (PR)</w:t>
            </w:r>
          </w:p>
        </w:tc>
        <w:tc>
          <w:tcPr>
            <w:tcW w:w="1534" w:type="dxa"/>
            <w:hideMark/>
          </w:tcPr>
          <w:p w14:paraId="44894036"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68</w:t>
            </w:r>
          </w:p>
        </w:tc>
        <w:tc>
          <w:tcPr>
            <w:tcW w:w="1523" w:type="dxa"/>
            <w:hideMark/>
          </w:tcPr>
          <w:p w14:paraId="60712CF5"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(32.4%)</w:t>
            </w:r>
          </w:p>
        </w:tc>
        <w:tc>
          <w:tcPr>
            <w:tcW w:w="1500" w:type="dxa"/>
            <w:hideMark/>
          </w:tcPr>
          <w:p w14:paraId="70D6AEEF"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27 </w:t>
            </w:r>
          </w:p>
        </w:tc>
        <w:tc>
          <w:tcPr>
            <w:tcW w:w="1535" w:type="dxa"/>
            <w:hideMark/>
          </w:tcPr>
          <w:p w14:paraId="7701F14B"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(13.0%)</w:t>
            </w:r>
          </w:p>
        </w:tc>
      </w:tr>
      <w:tr w:rsidR="00792B3D" w:rsidRPr="00792B3D" w14:paraId="1B7F0958" w14:textId="77777777" w:rsidTr="00792B3D">
        <w:tc>
          <w:tcPr>
            <w:tcW w:w="2934" w:type="dxa"/>
            <w:hideMark/>
          </w:tcPr>
          <w:p w14:paraId="3B142806"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Stable disease (SD)</w:t>
            </w:r>
          </w:p>
        </w:tc>
        <w:tc>
          <w:tcPr>
            <w:tcW w:w="1534" w:type="dxa"/>
            <w:hideMark/>
          </w:tcPr>
          <w:p w14:paraId="0F5045B3"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35</w:t>
            </w:r>
          </w:p>
        </w:tc>
        <w:tc>
          <w:tcPr>
            <w:tcW w:w="1523" w:type="dxa"/>
            <w:hideMark/>
          </w:tcPr>
          <w:p w14:paraId="158E9D80"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(16.7%)</w:t>
            </w:r>
          </w:p>
        </w:tc>
        <w:tc>
          <w:tcPr>
            <w:tcW w:w="1500" w:type="dxa"/>
            <w:hideMark/>
          </w:tcPr>
          <w:p w14:paraId="1B3CF731"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 xml:space="preserve">46 </w:t>
            </w:r>
          </w:p>
        </w:tc>
        <w:tc>
          <w:tcPr>
            <w:tcW w:w="1535" w:type="dxa"/>
            <w:hideMark/>
          </w:tcPr>
          <w:p w14:paraId="0CE3D56A"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(22.1%)</w:t>
            </w:r>
          </w:p>
        </w:tc>
      </w:tr>
      <w:tr w:rsidR="00792B3D" w:rsidRPr="00792B3D" w14:paraId="76466D2D" w14:textId="77777777" w:rsidTr="00792B3D">
        <w:tc>
          <w:tcPr>
            <w:tcW w:w="2934" w:type="dxa"/>
          </w:tcPr>
          <w:p w14:paraId="73963388"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6443DBF2"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A59B05A"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7DCF3393"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10FA882A"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0ADF9515" w14:textId="77777777" w:rsidTr="00792B3D">
        <w:tc>
          <w:tcPr>
            <w:tcW w:w="9026" w:type="dxa"/>
            <w:gridSpan w:val="5"/>
            <w:hideMark/>
          </w:tcPr>
          <w:p w14:paraId="06D740DA"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b/>
                <w:sz w:val="20"/>
                <w:szCs w:val="20"/>
                <w:lang w:val="en-US"/>
              </w:rPr>
              <w:t xml:space="preserve">Median duration of response </w:t>
            </w:r>
          </w:p>
        </w:tc>
      </w:tr>
      <w:tr w:rsidR="00792B3D" w:rsidRPr="00792B3D" w14:paraId="61941337" w14:textId="77777777" w:rsidTr="00792B3D">
        <w:tc>
          <w:tcPr>
            <w:tcW w:w="2934" w:type="dxa"/>
            <w:hideMark/>
          </w:tcPr>
          <w:p w14:paraId="3E670EB6"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Months (range)</w:t>
            </w:r>
          </w:p>
        </w:tc>
        <w:tc>
          <w:tcPr>
            <w:tcW w:w="1534" w:type="dxa"/>
            <w:hideMark/>
          </w:tcPr>
          <w:p w14:paraId="12AC2BEB"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Not reached</w:t>
            </w:r>
          </w:p>
        </w:tc>
        <w:tc>
          <w:tcPr>
            <w:tcW w:w="1523" w:type="dxa"/>
            <w:hideMark/>
          </w:tcPr>
          <w:p w14:paraId="721D9B01"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(0</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- 12.5</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w:t>
            </w:r>
          </w:p>
        </w:tc>
        <w:tc>
          <w:tcPr>
            <w:tcW w:w="1500" w:type="dxa"/>
            <w:hideMark/>
          </w:tcPr>
          <w:p w14:paraId="74D05DE3"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noProof/>
                <w:sz w:val="20"/>
                <w:szCs w:val="20"/>
                <w:lang w:val="en-US"/>
              </w:rPr>
              <w:t>6.0</w:t>
            </w:r>
          </w:p>
        </w:tc>
        <w:tc>
          <w:tcPr>
            <w:tcW w:w="1535" w:type="dxa"/>
            <w:hideMark/>
          </w:tcPr>
          <w:p w14:paraId="78AEB649"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(1.1 - 10.0</w:t>
            </w:r>
            <w:r w:rsidRPr="00E942C4">
              <w:rPr>
                <w:rFonts w:eastAsia="Times New Roman" w:cs="Times New Roman"/>
                <w:noProof/>
                <w:sz w:val="20"/>
                <w:szCs w:val="20"/>
                <w:vertAlign w:val="superscript"/>
                <w:lang w:val="en-US"/>
              </w:rPr>
              <w:t>+</w:t>
            </w:r>
            <w:r w:rsidRPr="00E942C4">
              <w:rPr>
                <w:rFonts w:eastAsia="Times New Roman" w:cs="Times New Roman"/>
                <w:noProof/>
                <w:sz w:val="20"/>
                <w:szCs w:val="20"/>
                <w:lang w:val="en-US"/>
              </w:rPr>
              <w:t>)</w:t>
            </w:r>
          </w:p>
        </w:tc>
      </w:tr>
      <w:tr w:rsidR="00792B3D" w:rsidRPr="00792B3D" w14:paraId="329F1490" w14:textId="77777777" w:rsidTr="00792B3D">
        <w:tc>
          <w:tcPr>
            <w:tcW w:w="2934" w:type="dxa"/>
          </w:tcPr>
          <w:p w14:paraId="08B21933" w14:textId="77777777" w:rsidR="00792B3D" w:rsidRPr="00E942C4" w:rsidRDefault="00792B3D" w:rsidP="00792B3D">
            <w:pPr>
              <w:keepNext/>
              <w:keepLines/>
              <w:tabs>
                <w:tab w:val="left" w:pos="180"/>
              </w:tabs>
              <w:spacing w:after="0"/>
              <w:rPr>
                <w:rFonts w:eastAsia="Times New Roman" w:cs="Times New Roman"/>
                <w:sz w:val="20"/>
                <w:szCs w:val="20"/>
                <w:lang w:val="en-US"/>
              </w:rPr>
            </w:pPr>
          </w:p>
        </w:tc>
        <w:tc>
          <w:tcPr>
            <w:tcW w:w="1534" w:type="dxa"/>
          </w:tcPr>
          <w:p w14:paraId="337D6270"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6C364345"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78BF8D13"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6793F807"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5CF1AD89" w14:textId="77777777" w:rsidTr="00792B3D">
        <w:tc>
          <w:tcPr>
            <w:tcW w:w="2934" w:type="dxa"/>
            <w:hideMark/>
          </w:tcPr>
          <w:p w14:paraId="1BE4A0FF" w14:textId="77777777" w:rsidR="00792B3D" w:rsidRPr="00E942C4" w:rsidRDefault="00792B3D" w:rsidP="00792B3D">
            <w:pPr>
              <w:keepNext/>
              <w:keepLines/>
              <w:tabs>
                <w:tab w:val="left" w:pos="180"/>
              </w:tabs>
              <w:spacing w:after="0"/>
              <w:rPr>
                <w:rFonts w:eastAsia="Times New Roman" w:cs="Times New Roman"/>
                <w:b/>
                <w:sz w:val="20"/>
                <w:szCs w:val="20"/>
                <w:lang w:val="en-US"/>
              </w:rPr>
            </w:pPr>
            <w:r w:rsidRPr="00E942C4">
              <w:rPr>
                <w:rFonts w:eastAsia="Times New Roman" w:cs="Times New Roman"/>
                <w:b/>
                <w:sz w:val="20"/>
                <w:szCs w:val="20"/>
                <w:lang w:val="en-US"/>
              </w:rPr>
              <w:t>Median time to response</w:t>
            </w:r>
          </w:p>
        </w:tc>
        <w:tc>
          <w:tcPr>
            <w:tcW w:w="1534" w:type="dxa"/>
          </w:tcPr>
          <w:p w14:paraId="2D011175" w14:textId="77777777" w:rsidR="00792B3D" w:rsidRPr="00E942C4" w:rsidRDefault="00792B3D" w:rsidP="00792B3D">
            <w:pPr>
              <w:keepNext/>
              <w:keepLines/>
              <w:spacing w:after="0"/>
              <w:jc w:val="right"/>
              <w:rPr>
                <w:rFonts w:eastAsia="Times New Roman" w:cs="Times New Roman"/>
                <w:sz w:val="20"/>
                <w:szCs w:val="20"/>
                <w:lang w:val="en-US"/>
              </w:rPr>
            </w:pPr>
          </w:p>
        </w:tc>
        <w:tc>
          <w:tcPr>
            <w:tcW w:w="1523" w:type="dxa"/>
          </w:tcPr>
          <w:p w14:paraId="1D077F89" w14:textId="77777777" w:rsidR="00792B3D" w:rsidRPr="00E942C4" w:rsidRDefault="00792B3D" w:rsidP="00792B3D">
            <w:pPr>
              <w:keepNext/>
              <w:keepLines/>
              <w:spacing w:after="0"/>
              <w:rPr>
                <w:rFonts w:eastAsia="Times New Roman" w:cs="Times New Roman"/>
                <w:sz w:val="20"/>
                <w:szCs w:val="20"/>
                <w:lang w:val="en-US"/>
              </w:rPr>
            </w:pPr>
          </w:p>
        </w:tc>
        <w:tc>
          <w:tcPr>
            <w:tcW w:w="1500" w:type="dxa"/>
          </w:tcPr>
          <w:p w14:paraId="43B46FEE" w14:textId="77777777" w:rsidR="00792B3D" w:rsidRPr="00E942C4" w:rsidRDefault="00792B3D" w:rsidP="00792B3D">
            <w:pPr>
              <w:keepNext/>
              <w:keepLines/>
              <w:spacing w:after="0"/>
              <w:jc w:val="right"/>
              <w:rPr>
                <w:rFonts w:eastAsia="Times New Roman" w:cs="Times New Roman"/>
                <w:sz w:val="20"/>
                <w:szCs w:val="20"/>
                <w:lang w:val="en-US"/>
              </w:rPr>
            </w:pPr>
          </w:p>
        </w:tc>
        <w:tc>
          <w:tcPr>
            <w:tcW w:w="1535" w:type="dxa"/>
          </w:tcPr>
          <w:p w14:paraId="7C36CA09" w14:textId="77777777" w:rsidR="00792B3D" w:rsidRPr="00E942C4" w:rsidRDefault="00792B3D" w:rsidP="00792B3D">
            <w:pPr>
              <w:keepNext/>
              <w:keepLines/>
              <w:spacing w:after="0"/>
              <w:rPr>
                <w:rFonts w:eastAsia="Times New Roman" w:cs="Times New Roman"/>
                <w:sz w:val="20"/>
                <w:szCs w:val="20"/>
                <w:lang w:val="en-US"/>
              </w:rPr>
            </w:pPr>
          </w:p>
        </w:tc>
      </w:tr>
      <w:tr w:rsidR="00792B3D" w:rsidRPr="00792B3D" w14:paraId="54F04D50" w14:textId="77777777" w:rsidTr="00792B3D">
        <w:trPr>
          <w:trHeight w:val="261"/>
        </w:trPr>
        <w:tc>
          <w:tcPr>
            <w:tcW w:w="2934" w:type="dxa"/>
            <w:tcBorders>
              <w:top w:val="nil"/>
              <w:left w:val="nil"/>
              <w:bottom w:val="single" w:sz="4" w:space="0" w:color="auto"/>
              <w:right w:val="nil"/>
            </w:tcBorders>
            <w:hideMark/>
          </w:tcPr>
          <w:p w14:paraId="3E9B3AC2" w14:textId="77777777" w:rsidR="00792B3D" w:rsidRPr="00E942C4" w:rsidRDefault="00792B3D" w:rsidP="00792B3D">
            <w:pPr>
              <w:keepNext/>
              <w:keepLines/>
              <w:tabs>
                <w:tab w:val="left" w:pos="180"/>
              </w:tabs>
              <w:spacing w:after="0"/>
              <w:rPr>
                <w:rFonts w:eastAsia="Times New Roman" w:cs="Times New Roman"/>
                <w:sz w:val="20"/>
                <w:szCs w:val="20"/>
                <w:lang w:val="en-US"/>
              </w:rPr>
            </w:pPr>
            <w:r w:rsidRPr="00E942C4">
              <w:rPr>
                <w:rFonts w:eastAsia="Times New Roman" w:cs="Times New Roman"/>
                <w:sz w:val="20"/>
                <w:szCs w:val="20"/>
                <w:lang w:val="en-US"/>
              </w:rPr>
              <w:tab/>
              <w:t>Months (range)</w:t>
            </w:r>
          </w:p>
        </w:tc>
        <w:tc>
          <w:tcPr>
            <w:tcW w:w="1534" w:type="dxa"/>
            <w:tcBorders>
              <w:top w:val="nil"/>
              <w:left w:val="nil"/>
              <w:bottom w:val="single" w:sz="4" w:space="0" w:color="auto"/>
              <w:right w:val="nil"/>
            </w:tcBorders>
            <w:hideMark/>
          </w:tcPr>
          <w:p w14:paraId="642A0415"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sz w:val="20"/>
                <w:szCs w:val="20"/>
                <w:lang w:val="en-US"/>
              </w:rPr>
              <w:t>2.1</w:t>
            </w:r>
          </w:p>
        </w:tc>
        <w:tc>
          <w:tcPr>
            <w:tcW w:w="1523" w:type="dxa"/>
            <w:tcBorders>
              <w:top w:val="nil"/>
              <w:left w:val="nil"/>
              <w:bottom w:val="single" w:sz="4" w:space="0" w:color="auto"/>
              <w:right w:val="nil"/>
            </w:tcBorders>
            <w:hideMark/>
          </w:tcPr>
          <w:p w14:paraId="3AEB9124"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sz w:val="20"/>
                <w:szCs w:val="20"/>
                <w:lang w:val="en-US"/>
              </w:rPr>
              <w:t>(1.2 - 7.6)</w:t>
            </w:r>
          </w:p>
        </w:tc>
        <w:tc>
          <w:tcPr>
            <w:tcW w:w="1500" w:type="dxa"/>
            <w:tcBorders>
              <w:top w:val="nil"/>
              <w:left w:val="nil"/>
              <w:bottom w:val="single" w:sz="4" w:space="0" w:color="auto"/>
              <w:right w:val="nil"/>
            </w:tcBorders>
            <w:hideMark/>
          </w:tcPr>
          <w:p w14:paraId="7A2BE10D" w14:textId="77777777" w:rsidR="00792B3D" w:rsidRPr="00E942C4" w:rsidRDefault="00792B3D" w:rsidP="00792B3D">
            <w:pPr>
              <w:keepNext/>
              <w:keepLines/>
              <w:spacing w:after="0"/>
              <w:jc w:val="right"/>
              <w:rPr>
                <w:rFonts w:eastAsia="Times New Roman" w:cs="Times New Roman"/>
                <w:sz w:val="20"/>
                <w:szCs w:val="20"/>
                <w:lang w:val="en-US"/>
              </w:rPr>
            </w:pPr>
            <w:r w:rsidRPr="00E942C4">
              <w:rPr>
                <w:rFonts w:eastAsia="Times New Roman" w:cs="Times New Roman"/>
                <w:noProof/>
                <w:sz w:val="20"/>
                <w:szCs w:val="20"/>
                <w:lang w:val="en-US"/>
              </w:rPr>
              <w:t>2.1</w:t>
            </w:r>
          </w:p>
        </w:tc>
        <w:tc>
          <w:tcPr>
            <w:tcW w:w="1535" w:type="dxa"/>
            <w:tcBorders>
              <w:top w:val="nil"/>
              <w:left w:val="nil"/>
              <w:bottom w:val="single" w:sz="4" w:space="0" w:color="auto"/>
              <w:right w:val="nil"/>
            </w:tcBorders>
            <w:hideMark/>
          </w:tcPr>
          <w:p w14:paraId="00659ACD" w14:textId="77777777" w:rsidR="00792B3D" w:rsidRPr="00E942C4" w:rsidRDefault="00792B3D" w:rsidP="00792B3D">
            <w:pPr>
              <w:keepNext/>
              <w:keepLines/>
              <w:spacing w:after="0"/>
              <w:rPr>
                <w:rFonts w:eastAsia="Times New Roman" w:cs="Times New Roman"/>
                <w:sz w:val="20"/>
                <w:szCs w:val="20"/>
                <w:lang w:val="en-US"/>
              </w:rPr>
            </w:pPr>
            <w:r w:rsidRPr="00E942C4">
              <w:rPr>
                <w:rFonts w:eastAsia="Times New Roman" w:cs="Times New Roman"/>
                <w:noProof/>
                <w:sz w:val="20"/>
                <w:szCs w:val="20"/>
                <w:lang w:val="en-US"/>
              </w:rPr>
              <w:t>(1.8-3.6)</w:t>
            </w:r>
          </w:p>
        </w:tc>
      </w:tr>
    </w:tbl>
    <w:p w14:paraId="4C3A4636" w14:textId="77777777" w:rsidR="00C659AE" w:rsidRPr="0094339C" w:rsidRDefault="00C659AE" w:rsidP="00C659AE">
      <w:pPr>
        <w:pStyle w:val="EMEABodyText"/>
        <w:rPr>
          <w:sz w:val="24"/>
        </w:rPr>
      </w:pPr>
    </w:p>
    <w:p w14:paraId="72A4509E" w14:textId="77777777" w:rsidR="00C659AE" w:rsidRPr="009045DE" w:rsidRDefault="00C659AE" w:rsidP="009045DE">
      <w:pPr>
        <w:spacing w:before="240"/>
        <w:rPr>
          <w:b/>
        </w:rPr>
      </w:pPr>
      <w:r w:rsidRPr="009045DE">
        <w:rPr>
          <w:b/>
        </w:rPr>
        <w:t xml:space="preserve">Study CA209037. </w:t>
      </w:r>
      <w:proofErr w:type="gramStart"/>
      <w:r w:rsidRPr="009045DE">
        <w:rPr>
          <w:b/>
        </w:rPr>
        <w:t xml:space="preserve">A randomised phase 3 study comparing OPDIVO monotherapy to chemotherapy in subjects with </w:t>
      </w:r>
      <w:proofErr w:type="spellStart"/>
      <w:r w:rsidRPr="009045DE">
        <w:rPr>
          <w:b/>
        </w:rPr>
        <w:t>unresectable</w:t>
      </w:r>
      <w:proofErr w:type="spellEnd"/>
      <w:r w:rsidRPr="009045DE">
        <w:rPr>
          <w:b/>
        </w:rPr>
        <w:t xml:space="preserve"> or metastatic melanoma following progression on anti-CTLA-4 therapy.</w:t>
      </w:r>
      <w:proofErr w:type="gramEnd"/>
      <w:r w:rsidRPr="009045DE">
        <w:rPr>
          <w:b/>
        </w:rPr>
        <w:t xml:space="preserve"> </w:t>
      </w:r>
    </w:p>
    <w:p w14:paraId="6A31FA62" w14:textId="77777777" w:rsidR="00C659AE" w:rsidRPr="0094339C" w:rsidRDefault="00C659AE" w:rsidP="009045DE">
      <w:r w:rsidRPr="0094339C">
        <w:t xml:space="preserve">The safety and efficacy of </w:t>
      </w:r>
      <w:r>
        <w:t>OPDIVO</w:t>
      </w:r>
      <w:r w:rsidRPr="0094339C">
        <w:t xml:space="preserve"> 3 mg/kg as </w:t>
      </w:r>
      <w:r>
        <w:t xml:space="preserve">monotherapy </w:t>
      </w:r>
      <w:r w:rsidRPr="0094339C">
        <w:t>for the treatment of advanced (</w:t>
      </w:r>
      <w:proofErr w:type="spellStart"/>
      <w:r w:rsidRPr="0094339C">
        <w:t>unresectable</w:t>
      </w:r>
      <w:proofErr w:type="spellEnd"/>
      <w:r w:rsidRPr="0094339C">
        <w:t xml:space="preserve"> or metastatic) melanoma were evaluated in a phase 3, randomi</w:t>
      </w:r>
      <w:r>
        <w:t>s</w:t>
      </w:r>
      <w:r w:rsidRPr="0094339C">
        <w:t xml:space="preserve">ed, open-label study (CA209037). The study included adult patients who had progressed on or after </w:t>
      </w:r>
      <w:proofErr w:type="spellStart"/>
      <w:r w:rsidRPr="0094339C">
        <w:t>ipilimumab</w:t>
      </w:r>
      <w:proofErr w:type="spellEnd"/>
      <w:r w:rsidRPr="0094339C">
        <w:t xml:space="preserve"> and if BRAF V600 mutation positive had also progressed on or after BRAF kinase inhibitor therapy. Patients with active autoimmune disease, ocular melanoma, or a known history of prior </w:t>
      </w:r>
      <w:proofErr w:type="spellStart"/>
      <w:r w:rsidRPr="0094339C">
        <w:t>ipilimumab</w:t>
      </w:r>
      <w:proofErr w:type="spellEnd"/>
      <w:r w:rsidRPr="0094339C">
        <w:t xml:space="preserve">-related high-grade (Grade 4 per CTCAE v4.0) adverse reactions except for resolved nausea, fatigue, infusion reactions, or </w:t>
      </w:r>
      <w:proofErr w:type="spellStart"/>
      <w:r w:rsidRPr="0094339C">
        <w:t>endocrinopathies</w:t>
      </w:r>
      <w:proofErr w:type="spellEnd"/>
      <w:r w:rsidRPr="0094339C">
        <w:t xml:space="preserve"> were excluded from the study.</w:t>
      </w:r>
    </w:p>
    <w:p w14:paraId="5BA7BD28" w14:textId="77777777" w:rsidR="00C659AE" w:rsidRDefault="00C659AE" w:rsidP="009045DE">
      <w:r w:rsidRPr="00B44F1B">
        <w:t xml:space="preserve">A total of 405 patients were randomised to receive either </w:t>
      </w:r>
      <w:proofErr w:type="spellStart"/>
      <w:r w:rsidRPr="00B44F1B">
        <w:t>nivolumab</w:t>
      </w:r>
      <w:proofErr w:type="spellEnd"/>
      <w:r w:rsidRPr="00B44F1B">
        <w:t xml:space="preserve"> (n = 272) administered</w:t>
      </w:r>
      <w:r>
        <w:t xml:space="preserve"> </w:t>
      </w:r>
      <w:r w:rsidRPr="00B44F1B">
        <w:t>intravenously over 60 minutes at 3 mg/kg every 2 weeks or chemotherapy (n = 133) which consisted</w:t>
      </w:r>
      <w:r>
        <w:t xml:space="preserve"> </w:t>
      </w:r>
      <w:r w:rsidRPr="00B44F1B">
        <w:t xml:space="preserve">of the investigator’s choice of either </w:t>
      </w:r>
      <w:proofErr w:type="spellStart"/>
      <w:r w:rsidRPr="00B44F1B">
        <w:t>dacarbazine</w:t>
      </w:r>
      <w:proofErr w:type="spellEnd"/>
      <w:r w:rsidRPr="00B44F1B">
        <w:t xml:space="preserve"> (1000 mg/m</w:t>
      </w:r>
      <w:r w:rsidRPr="0067671F">
        <w:rPr>
          <w:vertAlign w:val="superscript"/>
        </w:rPr>
        <w:t>2</w:t>
      </w:r>
      <w:r w:rsidRPr="00B44F1B">
        <w:t xml:space="preserve"> every 3 weeks) or carboplatin</w:t>
      </w:r>
      <w:r>
        <w:t xml:space="preserve"> </w:t>
      </w:r>
      <w:r w:rsidRPr="00B44F1B">
        <w:t>(AUC 6 every 3 weeks) and paclitaxel (175 mg/m</w:t>
      </w:r>
      <w:r w:rsidRPr="0067671F">
        <w:rPr>
          <w:vertAlign w:val="superscript"/>
        </w:rPr>
        <w:t>2</w:t>
      </w:r>
      <w:r w:rsidRPr="00B44F1B">
        <w:t xml:space="preserve"> every 3 weeks). Randomisation was stratified by</w:t>
      </w:r>
      <w:r>
        <w:t xml:space="preserve"> </w:t>
      </w:r>
      <w:r w:rsidRPr="00B44F1B">
        <w:t xml:space="preserve">BRAF and tumour PD-L1 status and best response to prior </w:t>
      </w:r>
      <w:proofErr w:type="spellStart"/>
      <w:r w:rsidRPr="00B44F1B">
        <w:t>ipilimumab</w:t>
      </w:r>
      <w:proofErr w:type="spellEnd"/>
      <w:r w:rsidRPr="00B44F1B">
        <w:t>.</w:t>
      </w:r>
    </w:p>
    <w:p w14:paraId="0D2BCC18" w14:textId="77777777" w:rsidR="00C659AE" w:rsidRDefault="00C659AE" w:rsidP="009045DE">
      <w:r w:rsidRPr="00B44F1B">
        <w:lastRenderedPageBreak/>
        <w:t>The co-primary efficacy outcome measures were confirmed ORR in the first 120 patients treated with</w:t>
      </w:r>
      <w:r>
        <w:t xml:space="preserve"> </w:t>
      </w:r>
      <w:proofErr w:type="spellStart"/>
      <w:r w:rsidRPr="00B44F1B">
        <w:t>nivolumab</w:t>
      </w:r>
      <w:proofErr w:type="spellEnd"/>
      <w:r w:rsidRPr="00B44F1B">
        <w:t xml:space="preserve">, as measured by independent radiology review committee (IRRC) using RECIST </w:t>
      </w:r>
      <w:proofErr w:type="gramStart"/>
      <w:r w:rsidRPr="00B44F1B">
        <w:t>1.1,</w:t>
      </w:r>
      <w:proofErr w:type="gramEnd"/>
      <w:r w:rsidRPr="00B44F1B">
        <w:t xml:space="preserve"> and</w:t>
      </w:r>
      <w:r>
        <w:t xml:space="preserve"> </w:t>
      </w:r>
      <w:r w:rsidRPr="00B44F1B">
        <w:t xml:space="preserve">comparison of OS of </w:t>
      </w:r>
      <w:proofErr w:type="spellStart"/>
      <w:r w:rsidRPr="00B44F1B">
        <w:t>nivolumab</w:t>
      </w:r>
      <w:proofErr w:type="spellEnd"/>
      <w:r w:rsidRPr="00B44F1B">
        <w:t xml:space="preserve"> to chemotherapy. Additional outcome measures included duration</w:t>
      </w:r>
      <w:r>
        <w:t xml:space="preserve"> </w:t>
      </w:r>
      <w:r w:rsidRPr="00B44F1B">
        <w:t>and timing of response.</w:t>
      </w:r>
    </w:p>
    <w:p w14:paraId="3AC8C909" w14:textId="77777777" w:rsidR="00C659AE" w:rsidRDefault="00C659AE" w:rsidP="009045DE">
      <w:r w:rsidRPr="00B44F1B">
        <w:t>The median age was 60 years (range: 23-88). Sixty-four percent of patients were men and 98% were</w:t>
      </w:r>
      <w:r>
        <w:t xml:space="preserve"> </w:t>
      </w:r>
      <w:r w:rsidRPr="00B44F1B">
        <w:t>white. ECOG performance scores were 0 for 61% of patients and 1 for 39% of patients. The majority</w:t>
      </w:r>
      <w:r>
        <w:t xml:space="preserve"> </w:t>
      </w:r>
      <w:r w:rsidRPr="00B44F1B">
        <w:t>(75%) of patients had M1c stage disease at study entry. Seventy-three percent of patients had</w:t>
      </w:r>
      <w:r>
        <w:t xml:space="preserve"> </w:t>
      </w:r>
      <w:r w:rsidRPr="00B44F1B">
        <w:t>cutaneous melanoma and 10% had mucosal melanoma. The number of prior systemic regimen</w:t>
      </w:r>
      <w:r>
        <w:t xml:space="preserve"> </w:t>
      </w:r>
      <w:r w:rsidRPr="00B44F1B">
        <w:t>received was 1 for 27% of patients, 2 for 51% of patients, and &gt; 2 for 21% of patients. Twenty-two</w:t>
      </w:r>
      <w:r>
        <w:t xml:space="preserve"> </w:t>
      </w:r>
      <w:r w:rsidRPr="00B44F1B">
        <w:t>percent of patients had tumours that tested BRAF mutation positive and 50% of patients had tumours</w:t>
      </w:r>
      <w:r>
        <w:t xml:space="preserve"> </w:t>
      </w:r>
      <w:r w:rsidRPr="00B44F1B">
        <w:t>that were considered PD-L1 positive. Sixty-four percent of patients had no prior clinical benefit</w:t>
      </w:r>
      <w:r>
        <w:t xml:space="preserve"> </w:t>
      </w:r>
      <w:r w:rsidRPr="00B44F1B">
        <w:t xml:space="preserve">(CR/PR or SD) on </w:t>
      </w:r>
      <w:proofErr w:type="spellStart"/>
      <w:r w:rsidRPr="00B44F1B">
        <w:t>ipilimumab</w:t>
      </w:r>
      <w:proofErr w:type="spellEnd"/>
      <w:r w:rsidRPr="00B44F1B">
        <w:t>. Baseline characteristics were balanced between groups except for the</w:t>
      </w:r>
      <w:r>
        <w:t xml:space="preserve"> </w:t>
      </w:r>
      <w:r w:rsidRPr="00B44F1B">
        <w:t xml:space="preserve">proportions of patients who had a history of brain metastasis (19% and 13% in the </w:t>
      </w:r>
      <w:proofErr w:type="spellStart"/>
      <w:r w:rsidRPr="00B44F1B">
        <w:t>nivolumab</w:t>
      </w:r>
      <w:proofErr w:type="spellEnd"/>
      <w:r w:rsidRPr="00B44F1B">
        <w:t xml:space="preserve"> group</w:t>
      </w:r>
      <w:r>
        <w:t xml:space="preserve"> </w:t>
      </w:r>
      <w:r w:rsidRPr="00B44F1B">
        <w:t>and chemotherapy group, respectively) and patients with LDH greater than ULN at baseline (51% and</w:t>
      </w:r>
      <w:r>
        <w:t xml:space="preserve"> </w:t>
      </w:r>
      <w:r w:rsidRPr="00B44F1B">
        <w:t>35%, respectively).</w:t>
      </w:r>
    </w:p>
    <w:p w14:paraId="676BA99B" w14:textId="35F70667" w:rsidR="00C659AE" w:rsidRDefault="00C659AE" w:rsidP="009045DE">
      <w:r w:rsidRPr="00B44F1B">
        <w:t xml:space="preserve">At the time of this final ORR analysis, results from 120 </w:t>
      </w:r>
      <w:proofErr w:type="spellStart"/>
      <w:r w:rsidRPr="00B44F1B">
        <w:t>nivolumab</w:t>
      </w:r>
      <w:proofErr w:type="spellEnd"/>
      <w:r w:rsidRPr="00B44F1B">
        <w:t>-treated patients and</w:t>
      </w:r>
      <w:r>
        <w:t xml:space="preserve"> </w:t>
      </w:r>
      <w:r w:rsidRPr="00B44F1B">
        <w:t>47 chemotherapy-treated patients who had a minimum of 6 months of follow-up were analy</w:t>
      </w:r>
      <w:r>
        <w:t>s</w:t>
      </w:r>
      <w:r w:rsidRPr="00B44F1B">
        <w:t>ed.</w:t>
      </w:r>
      <w:r>
        <w:t xml:space="preserve"> </w:t>
      </w:r>
      <w:r w:rsidRPr="00B44F1B">
        <w:t xml:space="preserve">Efficacy results are presented in Table </w:t>
      </w:r>
      <w:r w:rsidR="00736CE8">
        <w:t>6</w:t>
      </w:r>
      <w:r w:rsidRPr="00B44F1B">
        <w:t>.</w:t>
      </w:r>
    </w:p>
    <w:tbl>
      <w:tblPr>
        <w:tblW w:w="0" w:type="auto"/>
        <w:tblLook w:val="04A0" w:firstRow="1" w:lastRow="0" w:firstColumn="1" w:lastColumn="0" w:noHBand="0" w:noVBand="1"/>
      </w:tblPr>
      <w:tblGrid>
        <w:gridCol w:w="3325"/>
        <w:gridCol w:w="341"/>
        <w:gridCol w:w="2651"/>
        <w:gridCol w:w="1090"/>
        <w:gridCol w:w="1619"/>
      </w:tblGrid>
      <w:tr w:rsidR="00C659AE" w:rsidRPr="005842CA" w14:paraId="23110096" w14:textId="77777777" w:rsidTr="009045DE">
        <w:trPr>
          <w:tblHeader/>
        </w:trPr>
        <w:tc>
          <w:tcPr>
            <w:tcW w:w="9026" w:type="dxa"/>
            <w:gridSpan w:val="5"/>
            <w:tcBorders>
              <w:bottom w:val="double" w:sz="4" w:space="0" w:color="auto"/>
            </w:tcBorders>
            <w:shd w:val="clear" w:color="auto" w:fill="auto"/>
          </w:tcPr>
          <w:p w14:paraId="1D4960BD" w14:textId="6910D908" w:rsidR="00C659AE" w:rsidRPr="00E942C4" w:rsidRDefault="00C659AE" w:rsidP="004D7D64">
            <w:pPr>
              <w:pStyle w:val="BMSTableTitle"/>
              <w:rPr>
                <w:sz w:val="22"/>
                <w:szCs w:val="22"/>
              </w:rPr>
            </w:pPr>
            <w:r w:rsidRPr="00E942C4">
              <w:rPr>
                <w:sz w:val="22"/>
                <w:szCs w:val="22"/>
              </w:rPr>
              <w:t xml:space="preserve">Table </w:t>
            </w:r>
            <w:r w:rsidR="00736CE8">
              <w:rPr>
                <w:sz w:val="22"/>
                <w:szCs w:val="22"/>
              </w:rPr>
              <w:t>6</w:t>
            </w:r>
            <w:r w:rsidRPr="00E942C4">
              <w:rPr>
                <w:sz w:val="22"/>
                <w:szCs w:val="22"/>
              </w:rPr>
              <w:t>:</w:t>
            </w:r>
            <w:r w:rsidRPr="00E942C4">
              <w:rPr>
                <w:sz w:val="22"/>
                <w:szCs w:val="22"/>
              </w:rPr>
              <w:tab/>
              <w:t xml:space="preserve">Best overall response, time, and duration of response </w:t>
            </w:r>
            <w:r w:rsidRPr="00E942C4">
              <w:rPr>
                <w:bCs/>
                <w:iCs/>
                <w:sz w:val="22"/>
                <w:szCs w:val="22"/>
              </w:rPr>
              <w:t>(CA209037)</w:t>
            </w:r>
          </w:p>
        </w:tc>
      </w:tr>
      <w:tr w:rsidR="00C659AE" w:rsidRPr="005842CA" w14:paraId="4F613F87" w14:textId="77777777" w:rsidTr="009045DE">
        <w:tc>
          <w:tcPr>
            <w:tcW w:w="3666" w:type="dxa"/>
            <w:gridSpan w:val="2"/>
            <w:tcBorders>
              <w:top w:val="double" w:sz="4" w:space="0" w:color="auto"/>
              <w:bottom w:val="single" w:sz="4" w:space="0" w:color="auto"/>
            </w:tcBorders>
            <w:shd w:val="clear" w:color="auto" w:fill="auto"/>
          </w:tcPr>
          <w:p w14:paraId="5E5050BC" w14:textId="77777777" w:rsidR="00C659AE" w:rsidRPr="00E942C4" w:rsidRDefault="00C659AE" w:rsidP="004D7D64">
            <w:pPr>
              <w:pStyle w:val="BMSTableHeader"/>
              <w:keepNext/>
              <w:keepLines/>
            </w:pPr>
          </w:p>
        </w:tc>
        <w:tc>
          <w:tcPr>
            <w:tcW w:w="2651" w:type="dxa"/>
            <w:tcBorders>
              <w:top w:val="double" w:sz="4" w:space="0" w:color="auto"/>
              <w:bottom w:val="single" w:sz="4" w:space="0" w:color="auto"/>
            </w:tcBorders>
            <w:shd w:val="clear" w:color="auto" w:fill="auto"/>
          </w:tcPr>
          <w:p w14:paraId="4A3618C2" w14:textId="77777777" w:rsidR="00C659AE" w:rsidRPr="00E942C4" w:rsidRDefault="00C659AE" w:rsidP="004D7D64">
            <w:pPr>
              <w:pStyle w:val="BMSTableHeader"/>
              <w:keepNext/>
              <w:keepLines/>
            </w:pPr>
            <w:proofErr w:type="spellStart"/>
            <w:r w:rsidRPr="00E942C4">
              <w:t>nivolumab</w:t>
            </w:r>
            <w:proofErr w:type="spellEnd"/>
            <w:r w:rsidRPr="00E942C4">
              <w:br/>
              <w:t>(n=120)</w:t>
            </w:r>
          </w:p>
        </w:tc>
        <w:tc>
          <w:tcPr>
            <w:tcW w:w="2709" w:type="dxa"/>
            <w:gridSpan w:val="2"/>
            <w:tcBorders>
              <w:top w:val="double" w:sz="4" w:space="0" w:color="auto"/>
              <w:bottom w:val="single" w:sz="4" w:space="0" w:color="auto"/>
            </w:tcBorders>
            <w:shd w:val="clear" w:color="auto" w:fill="auto"/>
          </w:tcPr>
          <w:p w14:paraId="1860A9DD" w14:textId="77777777" w:rsidR="00C659AE" w:rsidRPr="00E942C4" w:rsidRDefault="00C659AE" w:rsidP="004D7D64">
            <w:pPr>
              <w:pStyle w:val="BMSTableHeader"/>
              <w:keepNext/>
              <w:keepLines/>
            </w:pPr>
            <w:r w:rsidRPr="00E942C4">
              <w:t>chemotherapy</w:t>
            </w:r>
            <w:r w:rsidRPr="00E942C4">
              <w:br/>
              <w:t>(n=47)</w:t>
            </w:r>
          </w:p>
        </w:tc>
      </w:tr>
      <w:tr w:rsidR="00C659AE" w:rsidRPr="005842CA" w14:paraId="151CE726" w14:textId="77777777" w:rsidTr="009045DE">
        <w:tc>
          <w:tcPr>
            <w:tcW w:w="3666" w:type="dxa"/>
            <w:gridSpan w:val="2"/>
            <w:tcBorders>
              <w:top w:val="single" w:sz="4" w:space="0" w:color="auto"/>
            </w:tcBorders>
            <w:shd w:val="clear" w:color="auto" w:fill="auto"/>
          </w:tcPr>
          <w:p w14:paraId="60CEF961" w14:textId="77777777" w:rsidR="00C659AE" w:rsidRPr="00E942C4" w:rsidRDefault="00C659AE" w:rsidP="004D7D64">
            <w:pPr>
              <w:pStyle w:val="BMSTableText"/>
              <w:keepNext/>
              <w:keepLines/>
              <w:jc w:val="left"/>
            </w:pPr>
            <w:r w:rsidRPr="00E942C4">
              <w:rPr>
                <w:b/>
              </w:rPr>
              <w:t>Confirmed Objective Response</w:t>
            </w:r>
            <w:r w:rsidRPr="00E942C4">
              <w:t xml:space="preserve"> (IRRC)</w:t>
            </w:r>
          </w:p>
        </w:tc>
        <w:tc>
          <w:tcPr>
            <w:tcW w:w="2651" w:type="dxa"/>
            <w:tcBorders>
              <w:top w:val="single" w:sz="4" w:space="0" w:color="auto"/>
            </w:tcBorders>
            <w:shd w:val="clear" w:color="auto" w:fill="auto"/>
          </w:tcPr>
          <w:p w14:paraId="7F41E82F" w14:textId="77777777" w:rsidR="00C659AE" w:rsidRPr="00E942C4" w:rsidRDefault="00C659AE" w:rsidP="004D7D64">
            <w:pPr>
              <w:pStyle w:val="BMSTableText"/>
              <w:keepNext/>
              <w:keepLines/>
            </w:pPr>
            <w:r w:rsidRPr="00E942C4">
              <w:t>38 (31.7%)</w:t>
            </w:r>
          </w:p>
        </w:tc>
        <w:tc>
          <w:tcPr>
            <w:tcW w:w="2709" w:type="dxa"/>
            <w:gridSpan w:val="2"/>
            <w:tcBorders>
              <w:top w:val="single" w:sz="4" w:space="0" w:color="auto"/>
            </w:tcBorders>
            <w:shd w:val="clear" w:color="auto" w:fill="auto"/>
          </w:tcPr>
          <w:p w14:paraId="1E754D23" w14:textId="77777777" w:rsidR="00C659AE" w:rsidRPr="00E942C4" w:rsidRDefault="00C659AE" w:rsidP="004D7D64">
            <w:pPr>
              <w:pStyle w:val="BMSTableText"/>
              <w:keepNext/>
              <w:keepLines/>
            </w:pPr>
            <w:r w:rsidRPr="00E942C4">
              <w:t>5 (10.6%)</w:t>
            </w:r>
          </w:p>
        </w:tc>
      </w:tr>
      <w:tr w:rsidR="00C659AE" w:rsidRPr="005842CA" w14:paraId="30439AED" w14:textId="77777777" w:rsidTr="009045DE">
        <w:tc>
          <w:tcPr>
            <w:tcW w:w="3666" w:type="dxa"/>
            <w:gridSpan w:val="2"/>
            <w:shd w:val="clear" w:color="auto" w:fill="auto"/>
          </w:tcPr>
          <w:p w14:paraId="10DC4F76" w14:textId="77777777" w:rsidR="00C659AE" w:rsidRPr="00E942C4" w:rsidRDefault="00C659AE" w:rsidP="004D7D64">
            <w:pPr>
              <w:pStyle w:val="BMSTableText"/>
              <w:keepNext/>
              <w:keepLines/>
            </w:pPr>
            <w:r w:rsidRPr="00E942C4">
              <w:t>(95% CI)</w:t>
            </w:r>
          </w:p>
        </w:tc>
        <w:tc>
          <w:tcPr>
            <w:tcW w:w="2651" w:type="dxa"/>
            <w:shd w:val="clear" w:color="auto" w:fill="auto"/>
          </w:tcPr>
          <w:p w14:paraId="6EE10D40" w14:textId="77777777" w:rsidR="00C659AE" w:rsidRPr="00E942C4" w:rsidRDefault="00C659AE" w:rsidP="004D7D64">
            <w:pPr>
              <w:pStyle w:val="BMSTableText"/>
              <w:keepNext/>
              <w:keepLines/>
              <w:tabs>
                <w:tab w:val="center" w:pos="1244"/>
              </w:tabs>
              <w:jc w:val="left"/>
            </w:pPr>
            <w:r w:rsidRPr="00E942C4">
              <w:tab/>
            </w:r>
            <w:r w:rsidRPr="00E942C4">
              <w:tab/>
              <w:t>(23.5, 40.8)</w:t>
            </w:r>
          </w:p>
        </w:tc>
        <w:tc>
          <w:tcPr>
            <w:tcW w:w="2709" w:type="dxa"/>
            <w:gridSpan w:val="2"/>
            <w:shd w:val="clear" w:color="auto" w:fill="auto"/>
          </w:tcPr>
          <w:p w14:paraId="4AC6309C" w14:textId="77777777" w:rsidR="00C659AE" w:rsidRPr="00E942C4" w:rsidRDefault="00C659AE" w:rsidP="004D7D64">
            <w:pPr>
              <w:pStyle w:val="BMSTableText"/>
              <w:keepNext/>
              <w:keepLines/>
            </w:pPr>
            <w:r w:rsidRPr="00E942C4">
              <w:t>(3.5, 23.1)</w:t>
            </w:r>
          </w:p>
        </w:tc>
      </w:tr>
      <w:tr w:rsidR="00C659AE" w:rsidRPr="005842CA" w14:paraId="385E3BE6"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2C9B502A" w14:textId="77777777" w:rsidR="00C659AE" w:rsidRPr="00E942C4" w:rsidRDefault="00C659AE" w:rsidP="004D7D64">
            <w:pPr>
              <w:pStyle w:val="BMSTableText"/>
              <w:keepNext/>
              <w:keepLines/>
              <w:jc w:val="left"/>
            </w:pPr>
            <w:r w:rsidRPr="00E942C4">
              <w:tab/>
              <w:t>Complete Response (CR)</w:t>
            </w:r>
          </w:p>
        </w:tc>
        <w:tc>
          <w:tcPr>
            <w:tcW w:w="2651" w:type="dxa"/>
            <w:tcBorders>
              <w:top w:val="nil"/>
              <w:left w:val="nil"/>
              <w:bottom w:val="nil"/>
              <w:right w:val="nil"/>
            </w:tcBorders>
            <w:shd w:val="clear" w:color="auto" w:fill="auto"/>
          </w:tcPr>
          <w:p w14:paraId="5D5F1B78" w14:textId="77777777" w:rsidR="00C659AE" w:rsidRPr="00E942C4" w:rsidRDefault="00C659AE" w:rsidP="004D7D64">
            <w:pPr>
              <w:pStyle w:val="BMSTableText"/>
              <w:keepNext/>
              <w:keepLines/>
            </w:pPr>
            <w:r w:rsidRPr="00E942C4">
              <w:t>4 (3.3%)</w:t>
            </w:r>
          </w:p>
        </w:tc>
        <w:tc>
          <w:tcPr>
            <w:tcW w:w="2709" w:type="dxa"/>
            <w:gridSpan w:val="2"/>
            <w:tcBorders>
              <w:top w:val="nil"/>
              <w:left w:val="nil"/>
              <w:bottom w:val="nil"/>
              <w:right w:val="nil"/>
            </w:tcBorders>
            <w:shd w:val="clear" w:color="auto" w:fill="auto"/>
          </w:tcPr>
          <w:p w14:paraId="24ADBDFC" w14:textId="77777777" w:rsidR="00C659AE" w:rsidRPr="00E942C4" w:rsidRDefault="00C659AE" w:rsidP="004D7D64">
            <w:pPr>
              <w:pStyle w:val="BMSTableText"/>
              <w:keepNext/>
              <w:keepLines/>
            </w:pPr>
            <w:r w:rsidRPr="00E942C4">
              <w:t>0</w:t>
            </w:r>
          </w:p>
        </w:tc>
      </w:tr>
      <w:tr w:rsidR="00C659AE" w:rsidRPr="005842CA" w14:paraId="3987D2DD"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122CA7BF" w14:textId="77777777" w:rsidR="00C659AE" w:rsidRPr="00E942C4" w:rsidRDefault="00C659AE" w:rsidP="004D7D64">
            <w:pPr>
              <w:pStyle w:val="BMSTableText"/>
              <w:keepNext/>
              <w:keepLines/>
              <w:jc w:val="left"/>
            </w:pPr>
            <w:r w:rsidRPr="00E942C4">
              <w:tab/>
              <w:t>Partial Response (PR)</w:t>
            </w:r>
          </w:p>
        </w:tc>
        <w:tc>
          <w:tcPr>
            <w:tcW w:w="2651" w:type="dxa"/>
            <w:tcBorders>
              <w:top w:val="nil"/>
              <w:left w:val="nil"/>
              <w:bottom w:val="nil"/>
              <w:right w:val="nil"/>
            </w:tcBorders>
            <w:shd w:val="clear" w:color="auto" w:fill="auto"/>
          </w:tcPr>
          <w:p w14:paraId="562BFEE9" w14:textId="77777777" w:rsidR="00C659AE" w:rsidRPr="00E942C4" w:rsidRDefault="00C659AE" w:rsidP="004D7D64">
            <w:pPr>
              <w:pStyle w:val="BMSTableText"/>
              <w:keepNext/>
              <w:keepLines/>
            </w:pPr>
            <w:r w:rsidRPr="00E942C4">
              <w:t>34 (28.3%)</w:t>
            </w:r>
          </w:p>
        </w:tc>
        <w:tc>
          <w:tcPr>
            <w:tcW w:w="2709" w:type="dxa"/>
            <w:gridSpan w:val="2"/>
            <w:tcBorders>
              <w:top w:val="nil"/>
              <w:left w:val="nil"/>
              <w:bottom w:val="nil"/>
              <w:right w:val="nil"/>
            </w:tcBorders>
            <w:shd w:val="clear" w:color="auto" w:fill="auto"/>
          </w:tcPr>
          <w:p w14:paraId="70DF1725" w14:textId="77777777" w:rsidR="00C659AE" w:rsidRPr="00E942C4" w:rsidRDefault="00C659AE" w:rsidP="004D7D64">
            <w:pPr>
              <w:pStyle w:val="BMSTableText"/>
              <w:keepNext/>
              <w:keepLines/>
            </w:pPr>
            <w:r w:rsidRPr="00E942C4">
              <w:t>5 (10.6%)</w:t>
            </w:r>
          </w:p>
        </w:tc>
      </w:tr>
      <w:tr w:rsidR="00C659AE" w:rsidRPr="005842CA" w14:paraId="12A23545"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2AB13BD5" w14:textId="77777777" w:rsidR="00C659AE" w:rsidRPr="00E942C4" w:rsidRDefault="00C659AE" w:rsidP="004D7D64">
            <w:pPr>
              <w:pStyle w:val="BMSTableText"/>
              <w:keepNext/>
              <w:keepLines/>
              <w:jc w:val="left"/>
            </w:pPr>
            <w:r w:rsidRPr="00E942C4">
              <w:tab/>
              <w:t>Stable Disease (SD)</w:t>
            </w:r>
          </w:p>
        </w:tc>
        <w:tc>
          <w:tcPr>
            <w:tcW w:w="2651" w:type="dxa"/>
            <w:tcBorders>
              <w:top w:val="nil"/>
              <w:left w:val="nil"/>
              <w:bottom w:val="nil"/>
              <w:right w:val="nil"/>
            </w:tcBorders>
            <w:shd w:val="clear" w:color="auto" w:fill="auto"/>
          </w:tcPr>
          <w:p w14:paraId="6C512228" w14:textId="77777777" w:rsidR="00C659AE" w:rsidRPr="00E942C4" w:rsidRDefault="00C659AE" w:rsidP="004D7D64">
            <w:pPr>
              <w:pStyle w:val="BMSTableText"/>
              <w:keepNext/>
              <w:keepLines/>
            </w:pPr>
            <w:r w:rsidRPr="00E942C4">
              <w:t>28 (23.3%)</w:t>
            </w:r>
          </w:p>
        </w:tc>
        <w:tc>
          <w:tcPr>
            <w:tcW w:w="2709" w:type="dxa"/>
            <w:gridSpan w:val="2"/>
            <w:tcBorders>
              <w:top w:val="nil"/>
              <w:left w:val="nil"/>
              <w:bottom w:val="nil"/>
              <w:right w:val="nil"/>
            </w:tcBorders>
            <w:shd w:val="clear" w:color="auto" w:fill="auto"/>
          </w:tcPr>
          <w:p w14:paraId="7F98592E" w14:textId="77777777" w:rsidR="00C659AE" w:rsidRPr="00E942C4" w:rsidRDefault="00C659AE" w:rsidP="004D7D64">
            <w:pPr>
              <w:pStyle w:val="BMSTableText"/>
              <w:keepNext/>
              <w:keepLines/>
            </w:pPr>
            <w:r w:rsidRPr="00E942C4">
              <w:t>16 (34.0%)</w:t>
            </w:r>
          </w:p>
        </w:tc>
      </w:tr>
      <w:tr w:rsidR="00C659AE" w:rsidRPr="005842CA" w14:paraId="04FC0DD0"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73E25FC5" w14:textId="77777777" w:rsidR="00C659AE" w:rsidRPr="00E942C4" w:rsidRDefault="00C659AE" w:rsidP="004D7D64">
            <w:pPr>
              <w:pStyle w:val="BMSTableText"/>
              <w:keepNext/>
              <w:keepLines/>
              <w:jc w:val="left"/>
              <w:rPr>
                <w:b/>
              </w:rPr>
            </w:pPr>
            <w:r w:rsidRPr="00E942C4">
              <w:rPr>
                <w:b/>
              </w:rPr>
              <w:t xml:space="preserve">Median Duration of Response </w:t>
            </w:r>
          </w:p>
        </w:tc>
        <w:tc>
          <w:tcPr>
            <w:tcW w:w="2651" w:type="dxa"/>
            <w:tcBorders>
              <w:top w:val="nil"/>
              <w:left w:val="nil"/>
              <w:bottom w:val="nil"/>
              <w:right w:val="nil"/>
            </w:tcBorders>
            <w:shd w:val="clear" w:color="auto" w:fill="auto"/>
          </w:tcPr>
          <w:p w14:paraId="4E810240" w14:textId="77777777" w:rsidR="00C659AE" w:rsidRPr="00E942C4" w:rsidRDefault="00C659AE" w:rsidP="004D7D64">
            <w:pPr>
              <w:pStyle w:val="BMSTableText"/>
              <w:keepNext/>
              <w:keepLines/>
            </w:pPr>
          </w:p>
        </w:tc>
        <w:tc>
          <w:tcPr>
            <w:tcW w:w="1090" w:type="dxa"/>
            <w:tcBorders>
              <w:top w:val="nil"/>
              <w:left w:val="nil"/>
              <w:bottom w:val="nil"/>
              <w:right w:val="nil"/>
            </w:tcBorders>
            <w:shd w:val="clear" w:color="auto" w:fill="auto"/>
          </w:tcPr>
          <w:p w14:paraId="46402A7D" w14:textId="77777777" w:rsidR="00C659AE" w:rsidRPr="00E942C4" w:rsidRDefault="00C659AE" w:rsidP="004D7D64">
            <w:pPr>
              <w:pStyle w:val="BMSTableText"/>
              <w:keepNext/>
              <w:keepLines/>
            </w:pPr>
          </w:p>
        </w:tc>
        <w:tc>
          <w:tcPr>
            <w:tcW w:w="1619" w:type="dxa"/>
            <w:tcBorders>
              <w:top w:val="nil"/>
              <w:left w:val="nil"/>
              <w:bottom w:val="nil"/>
              <w:right w:val="nil"/>
            </w:tcBorders>
            <w:shd w:val="clear" w:color="auto" w:fill="auto"/>
          </w:tcPr>
          <w:p w14:paraId="26AAE410" w14:textId="77777777" w:rsidR="00C659AE" w:rsidRPr="00E942C4" w:rsidRDefault="00C659AE" w:rsidP="004D7D64">
            <w:pPr>
              <w:pStyle w:val="BMSTableText"/>
              <w:keepNext/>
              <w:keepLines/>
            </w:pPr>
          </w:p>
        </w:tc>
      </w:tr>
      <w:tr w:rsidR="00C659AE" w:rsidRPr="005842CA" w14:paraId="0966EC42"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325" w:type="dxa"/>
            <w:tcBorders>
              <w:top w:val="nil"/>
              <w:left w:val="nil"/>
              <w:bottom w:val="nil"/>
              <w:right w:val="nil"/>
            </w:tcBorders>
            <w:shd w:val="clear" w:color="auto" w:fill="auto"/>
          </w:tcPr>
          <w:p w14:paraId="54AA896D" w14:textId="77777777" w:rsidR="00C659AE" w:rsidRPr="00E942C4" w:rsidRDefault="00C659AE" w:rsidP="004D7D64">
            <w:pPr>
              <w:pStyle w:val="BMSTableText"/>
              <w:keepNext/>
              <w:keepLines/>
              <w:jc w:val="left"/>
            </w:pPr>
            <w:r w:rsidRPr="00E942C4">
              <w:t xml:space="preserve"> </w:t>
            </w:r>
            <w:r w:rsidRPr="00E942C4">
              <w:tab/>
              <w:t>Months (range)</w:t>
            </w:r>
          </w:p>
        </w:tc>
        <w:tc>
          <w:tcPr>
            <w:tcW w:w="2992" w:type="dxa"/>
            <w:gridSpan w:val="2"/>
            <w:tcBorders>
              <w:top w:val="nil"/>
              <w:left w:val="nil"/>
              <w:bottom w:val="nil"/>
              <w:right w:val="nil"/>
            </w:tcBorders>
            <w:shd w:val="clear" w:color="auto" w:fill="auto"/>
          </w:tcPr>
          <w:p w14:paraId="2D670286" w14:textId="77777777" w:rsidR="00C659AE" w:rsidRPr="00E942C4" w:rsidRDefault="00C659AE" w:rsidP="004D7D64">
            <w:pPr>
              <w:pStyle w:val="BMSTableText"/>
              <w:keepNext/>
              <w:keepLines/>
            </w:pPr>
            <w:r w:rsidRPr="00E942C4">
              <w:t>Not Reached</w:t>
            </w:r>
          </w:p>
        </w:tc>
        <w:tc>
          <w:tcPr>
            <w:tcW w:w="2709" w:type="dxa"/>
            <w:gridSpan w:val="2"/>
            <w:tcBorders>
              <w:top w:val="nil"/>
              <w:left w:val="nil"/>
              <w:bottom w:val="nil"/>
              <w:right w:val="nil"/>
            </w:tcBorders>
            <w:shd w:val="clear" w:color="auto" w:fill="auto"/>
          </w:tcPr>
          <w:p w14:paraId="63D8A60B" w14:textId="77777777" w:rsidR="00C659AE" w:rsidRPr="00E942C4" w:rsidRDefault="00C659AE" w:rsidP="004D7D64">
            <w:pPr>
              <w:pStyle w:val="BMSTableText"/>
              <w:keepNext/>
              <w:keepLines/>
            </w:pPr>
            <w:r w:rsidRPr="00E942C4">
              <w:t xml:space="preserve">3.6  </w:t>
            </w:r>
            <w:r w:rsidRPr="00E942C4">
              <w:rPr>
                <w:noProof/>
              </w:rPr>
              <w:t>(Not available)</w:t>
            </w:r>
          </w:p>
        </w:tc>
      </w:tr>
      <w:tr w:rsidR="00C659AE" w:rsidRPr="005842CA" w14:paraId="2053C824"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666" w:type="dxa"/>
            <w:gridSpan w:val="2"/>
            <w:tcBorders>
              <w:top w:val="nil"/>
              <w:left w:val="nil"/>
              <w:bottom w:val="nil"/>
              <w:right w:val="nil"/>
            </w:tcBorders>
            <w:shd w:val="clear" w:color="auto" w:fill="auto"/>
          </w:tcPr>
          <w:p w14:paraId="4C8267E8" w14:textId="77777777" w:rsidR="00C659AE" w:rsidRPr="00E942C4" w:rsidRDefault="00C659AE" w:rsidP="004D7D64">
            <w:pPr>
              <w:pStyle w:val="BMSTableText"/>
              <w:keepNext/>
              <w:keepLines/>
              <w:jc w:val="left"/>
              <w:rPr>
                <w:b/>
              </w:rPr>
            </w:pPr>
            <w:r w:rsidRPr="00E942C4">
              <w:rPr>
                <w:b/>
              </w:rPr>
              <w:t>Median Time to Response</w:t>
            </w:r>
          </w:p>
        </w:tc>
        <w:tc>
          <w:tcPr>
            <w:tcW w:w="2651" w:type="dxa"/>
            <w:tcBorders>
              <w:top w:val="nil"/>
              <w:left w:val="nil"/>
              <w:bottom w:val="nil"/>
              <w:right w:val="nil"/>
            </w:tcBorders>
            <w:shd w:val="clear" w:color="auto" w:fill="auto"/>
          </w:tcPr>
          <w:p w14:paraId="41D91782" w14:textId="77777777" w:rsidR="00C659AE" w:rsidRPr="00E942C4" w:rsidRDefault="00C659AE" w:rsidP="004D7D64">
            <w:pPr>
              <w:pStyle w:val="BMSTableText"/>
              <w:keepNext/>
              <w:keepLines/>
            </w:pPr>
          </w:p>
        </w:tc>
        <w:tc>
          <w:tcPr>
            <w:tcW w:w="1090" w:type="dxa"/>
            <w:tcBorders>
              <w:top w:val="nil"/>
              <w:left w:val="nil"/>
              <w:bottom w:val="nil"/>
              <w:right w:val="nil"/>
            </w:tcBorders>
            <w:shd w:val="clear" w:color="auto" w:fill="auto"/>
          </w:tcPr>
          <w:p w14:paraId="4067A31A" w14:textId="77777777" w:rsidR="00C659AE" w:rsidRPr="00E942C4" w:rsidRDefault="00C659AE" w:rsidP="004D7D64">
            <w:pPr>
              <w:pStyle w:val="BMSTableText"/>
              <w:keepNext/>
              <w:keepLines/>
            </w:pPr>
          </w:p>
        </w:tc>
        <w:tc>
          <w:tcPr>
            <w:tcW w:w="1619" w:type="dxa"/>
            <w:tcBorders>
              <w:top w:val="nil"/>
              <w:left w:val="nil"/>
              <w:bottom w:val="nil"/>
              <w:right w:val="nil"/>
            </w:tcBorders>
            <w:shd w:val="clear" w:color="auto" w:fill="auto"/>
          </w:tcPr>
          <w:p w14:paraId="62E90438" w14:textId="77777777" w:rsidR="00C659AE" w:rsidRPr="00E942C4" w:rsidRDefault="00C659AE" w:rsidP="004D7D64">
            <w:pPr>
              <w:pStyle w:val="BMSTableText"/>
              <w:keepNext/>
              <w:keepLines/>
            </w:pPr>
          </w:p>
        </w:tc>
      </w:tr>
      <w:tr w:rsidR="00C659AE" w:rsidRPr="005842CA" w14:paraId="0CD02F30" w14:textId="77777777" w:rsidTr="009045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666" w:type="dxa"/>
            <w:gridSpan w:val="2"/>
            <w:tcBorders>
              <w:top w:val="nil"/>
              <w:left w:val="nil"/>
              <w:bottom w:val="double" w:sz="4" w:space="0" w:color="auto"/>
              <w:right w:val="nil"/>
            </w:tcBorders>
            <w:shd w:val="clear" w:color="auto" w:fill="auto"/>
          </w:tcPr>
          <w:p w14:paraId="4931C0DA" w14:textId="77777777" w:rsidR="00C659AE" w:rsidRPr="00E942C4" w:rsidRDefault="00C659AE" w:rsidP="004D7D64">
            <w:pPr>
              <w:pStyle w:val="BMSTableText"/>
              <w:keepNext/>
              <w:keepLines/>
              <w:jc w:val="left"/>
            </w:pPr>
            <w:r w:rsidRPr="00E942C4">
              <w:tab/>
              <w:t>Months (range)</w:t>
            </w:r>
          </w:p>
        </w:tc>
        <w:tc>
          <w:tcPr>
            <w:tcW w:w="2651" w:type="dxa"/>
            <w:tcBorders>
              <w:top w:val="nil"/>
              <w:left w:val="nil"/>
              <w:bottom w:val="double" w:sz="4" w:space="0" w:color="auto"/>
              <w:right w:val="nil"/>
            </w:tcBorders>
            <w:shd w:val="clear" w:color="auto" w:fill="auto"/>
          </w:tcPr>
          <w:p w14:paraId="14C058BE" w14:textId="77777777" w:rsidR="00C659AE" w:rsidRPr="00E942C4" w:rsidRDefault="00C659AE" w:rsidP="004D7D64">
            <w:pPr>
              <w:pStyle w:val="BMSTableText"/>
              <w:keepNext/>
              <w:keepLines/>
            </w:pPr>
            <w:r w:rsidRPr="00E942C4">
              <w:t>2.1 (1.6</w:t>
            </w:r>
            <w:r w:rsidRPr="00E942C4">
              <w:noBreakHyphen/>
              <w:t>7.4)</w:t>
            </w:r>
          </w:p>
        </w:tc>
        <w:tc>
          <w:tcPr>
            <w:tcW w:w="2709" w:type="dxa"/>
            <w:gridSpan w:val="2"/>
            <w:tcBorders>
              <w:top w:val="nil"/>
              <w:left w:val="nil"/>
              <w:bottom w:val="double" w:sz="4" w:space="0" w:color="auto"/>
              <w:right w:val="nil"/>
            </w:tcBorders>
            <w:shd w:val="clear" w:color="auto" w:fill="auto"/>
          </w:tcPr>
          <w:p w14:paraId="321939EE" w14:textId="77777777" w:rsidR="00C659AE" w:rsidRPr="00E942C4" w:rsidRDefault="00C659AE" w:rsidP="004D7D64">
            <w:pPr>
              <w:pStyle w:val="BMSTableText"/>
              <w:keepNext/>
              <w:keepLines/>
            </w:pPr>
            <w:r w:rsidRPr="00E942C4">
              <w:t>3.5 </w:t>
            </w:r>
            <w:r w:rsidRPr="00E942C4">
              <w:rPr>
                <w:noProof/>
              </w:rPr>
              <w:t>(</w:t>
            </w:r>
            <w:r w:rsidRPr="00E942C4">
              <w:t>2.1</w:t>
            </w:r>
            <w:r w:rsidRPr="00E942C4">
              <w:noBreakHyphen/>
              <w:t>6.1</w:t>
            </w:r>
            <w:r w:rsidRPr="00E942C4">
              <w:rPr>
                <w:noProof/>
              </w:rPr>
              <w:t>)</w:t>
            </w:r>
          </w:p>
        </w:tc>
      </w:tr>
    </w:tbl>
    <w:p w14:paraId="39F08C18" w14:textId="77777777" w:rsidR="00C659AE" w:rsidRDefault="00C659AE" w:rsidP="009045DE">
      <w:pPr>
        <w:spacing w:before="240"/>
      </w:pPr>
      <w:r w:rsidRPr="00755325">
        <w:t xml:space="preserve">Objective responses to </w:t>
      </w:r>
      <w:proofErr w:type="spellStart"/>
      <w:r w:rsidRPr="00755325">
        <w:t>nivolumab</w:t>
      </w:r>
      <w:proofErr w:type="spellEnd"/>
      <w:r w:rsidRPr="00755325">
        <w:t xml:space="preserve"> (according to the definition of the co-primary endpoint) were</w:t>
      </w:r>
      <w:r>
        <w:t xml:space="preserve"> </w:t>
      </w:r>
      <w:r w:rsidRPr="00755325">
        <w:t>observed in patients with or without BRAF mutation-positive melanoma. Of the patients who received</w:t>
      </w:r>
      <w:r>
        <w:t xml:space="preserve"> </w:t>
      </w:r>
      <w:proofErr w:type="spellStart"/>
      <w:r w:rsidRPr="00755325">
        <w:t>nivolumab</w:t>
      </w:r>
      <w:proofErr w:type="spellEnd"/>
      <w:r w:rsidRPr="00755325">
        <w:t>, the ORR in the BRAF mutation-positive subgroup (n</w:t>
      </w:r>
      <w:r>
        <w:t xml:space="preserve"> </w:t>
      </w:r>
      <w:r w:rsidRPr="00755325">
        <w:t>=</w:t>
      </w:r>
      <w:r>
        <w:t xml:space="preserve"> </w:t>
      </w:r>
      <w:r w:rsidRPr="00755325">
        <w:t>26) was 23% (95% CI: 9.0, 43.6),</w:t>
      </w:r>
      <w:r>
        <w:t xml:space="preserve"> </w:t>
      </w:r>
      <w:r w:rsidRPr="00755325">
        <w:t>and 34% (95% CI: 24.6, 44.5) in patients whose tumours were BRAF wild-type (n</w:t>
      </w:r>
      <w:r>
        <w:t xml:space="preserve"> </w:t>
      </w:r>
      <w:r w:rsidRPr="00755325">
        <w:t>=</w:t>
      </w:r>
      <w:r>
        <w:t xml:space="preserve"> </w:t>
      </w:r>
      <w:r w:rsidRPr="00755325">
        <w:t>94). Objective</w:t>
      </w:r>
      <w:r>
        <w:t xml:space="preserve"> </w:t>
      </w:r>
      <w:r w:rsidRPr="00755325">
        <w:t xml:space="preserve">responses to </w:t>
      </w:r>
      <w:proofErr w:type="spellStart"/>
      <w:r w:rsidRPr="00755325">
        <w:t>nivolumab</w:t>
      </w:r>
      <w:proofErr w:type="spellEnd"/>
      <w:r w:rsidRPr="00755325">
        <w:t xml:space="preserve"> were observed regardless of whether patients had tumours that were</w:t>
      </w:r>
      <w:r>
        <w:t xml:space="preserve"> </w:t>
      </w:r>
      <w:r w:rsidRPr="00755325">
        <w:t>designated PD-L1 negative or PD-L1 positive (tumour membrane expression cut off of 5% or 10%).</w:t>
      </w:r>
      <w:r>
        <w:t xml:space="preserve"> </w:t>
      </w:r>
      <w:r w:rsidRPr="00755325">
        <w:t>However, the role of this biomarker (tumour PD-L1 expression) has not been fully elucidated.</w:t>
      </w:r>
    </w:p>
    <w:p w14:paraId="66AF7EBF" w14:textId="77777777" w:rsidR="00C659AE" w:rsidRDefault="00C659AE" w:rsidP="009045DE">
      <w:r w:rsidRPr="00755325">
        <w:t>The OS data were not mature at the time of the PFS analysis. There was no statistically significant</w:t>
      </w:r>
      <w:r>
        <w:t xml:space="preserve"> </w:t>
      </w:r>
      <w:r w:rsidRPr="00755325">
        <w:t xml:space="preserve">difference between </w:t>
      </w:r>
      <w:proofErr w:type="spellStart"/>
      <w:r w:rsidRPr="00755325">
        <w:t>nivolumab</w:t>
      </w:r>
      <w:proofErr w:type="spellEnd"/>
      <w:r w:rsidRPr="00755325">
        <w:t xml:space="preserve"> and chemotherapy in the preliminary OS analysis that was not adjusted</w:t>
      </w:r>
      <w:r>
        <w:t xml:space="preserve"> </w:t>
      </w:r>
      <w:r w:rsidRPr="00755325">
        <w:t>for the potentially confounding effects of subsequent therapy. It is of note that 42 (31.6%) patients in</w:t>
      </w:r>
      <w:r>
        <w:t xml:space="preserve"> </w:t>
      </w:r>
      <w:r w:rsidRPr="00755325">
        <w:t>the chemotherapy arm subsequently received an anti-PD1 treatment.</w:t>
      </w:r>
      <w:r>
        <w:t xml:space="preserve"> </w:t>
      </w:r>
    </w:p>
    <w:p w14:paraId="0EEF7342" w14:textId="57E28D91" w:rsidR="00927F62" w:rsidRDefault="00C659AE" w:rsidP="009045DE">
      <w:r w:rsidRPr="00755325">
        <w:t xml:space="preserve">PFS numerically favoured the </w:t>
      </w:r>
      <w:proofErr w:type="spellStart"/>
      <w:r w:rsidRPr="00755325">
        <w:t>nivolumab</w:t>
      </w:r>
      <w:proofErr w:type="spellEnd"/>
      <w:r w:rsidRPr="00755325">
        <w:t xml:space="preserve"> group vs. the chemotherapy group in all randomised</w:t>
      </w:r>
      <w:r>
        <w:t xml:space="preserve"> </w:t>
      </w:r>
      <w:r w:rsidRPr="00755325">
        <w:t>patients, BRAF mutation positive patients, and BRAF wild-type patients (HRs 0.74 [95% CI: 0.57,</w:t>
      </w:r>
      <w:r w:rsidR="00792B3D">
        <w:t xml:space="preserve"> </w:t>
      </w:r>
      <w:r w:rsidRPr="00755325">
        <w:t>0.97], 0.98 [95% CI: 0.56, 1.70], and 0.63 [95% CI: 0.47, 0.85], respectively).</w:t>
      </w:r>
    </w:p>
    <w:p w14:paraId="295DD6F5" w14:textId="77777777" w:rsidR="00927F62" w:rsidRDefault="00927F62">
      <w:pPr>
        <w:spacing w:line="276" w:lineRule="auto"/>
        <w:jc w:val="left"/>
      </w:pPr>
      <w:r>
        <w:lastRenderedPageBreak/>
        <w:br w:type="page"/>
      </w:r>
    </w:p>
    <w:p w14:paraId="1A8306E1" w14:textId="6D236467" w:rsidR="00C659AE" w:rsidRPr="000671A0" w:rsidRDefault="00C659AE" w:rsidP="000671A0">
      <w:pPr>
        <w:rPr>
          <w:b/>
        </w:rPr>
      </w:pPr>
      <w:r w:rsidRPr="000671A0">
        <w:rPr>
          <w:b/>
        </w:rPr>
        <w:lastRenderedPageBreak/>
        <w:t xml:space="preserve">Study </w:t>
      </w:r>
      <w:r w:rsidR="00403212">
        <w:rPr>
          <w:b/>
        </w:rPr>
        <w:t>CA209003</w:t>
      </w:r>
      <w:r w:rsidRPr="000671A0">
        <w:rPr>
          <w:b/>
        </w:rPr>
        <w:t xml:space="preserve">. Open-label phase 1 dose-escalation study </w:t>
      </w:r>
    </w:p>
    <w:p w14:paraId="64330F62" w14:textId="77777777" w:rsidR="00C659AE" w:rsidRDefault="00C659AE" w:rsidP="009045DE">
      <w:r w:rsidRPr="0094339C">
        <w:t xml:space="preserve">The safety and tolerability of </w:t>
      </w:r>
      <w:r>
        <w:t>OPDIVO</w:t>
      </w:r>
      <w:r w:rsidRPr="0094339C">
        <w:t xml:space="preserve"> were investigated in a phase 1, open-label dose-escalation study in various tumour types, including malignant melanoma. Of the 306 patients enrolled in the study, 107 had melanoma and received </w:t>
      </w:r>
      <w:r>
        <w:t>OPDIVO</w:t>
      </w:r>
      <w:r w:rsidRPr="0094339C">
        <w:t xml:space="preserve"> at a dose of 0.1 mg/kg, 0.3 mg/kg, </w:t>
      </w:r>
      <w:r>
        <w:t xml:space="preserve">1 mg/kg, </w:t>
      </w:r>
      <w:r w:rsidRPr="0094339C">
        <w:t>3 mg/kg, or 10 mg/kg</w:t>
      </w:r>
      <w:r>
        <w:t xml:space="preserve"> for a maximum of 2 years</w:t>
      </w:r>
      <w:r w:rsidRPr="0094339C">
        <w:t>. In this patient population, objective response was reported in 33 patients (31%) with a median duration of response of 22.9 months (95% CI: 17.0, NR). The median PFS was 3.7 months (95% CI: 1.9, 9.3). The median OS was 17.3 months (95% CI: 12.5, 36.7), and the estimated OS rates were 63% (95% CI: 53, 71) at 1 year, 48% (95% CI: 38, 57) at 2 years, and 41% (95% CI: 31, 51) at 3 years.</w:t>
      </w:r>
    </w:p>
    <w:p w14:paraId="1ED130D9" w14:textId="3AFCD781" w:rsidR="00C659AE" w:rsidRPr="0094339C" w:rsidRDefault="00E942C4" w:rsidP="00E942C4">
      <w:pPr>
        <w:pStyle w:val="Heading4"/>
      </w:pPr>
      <w:proofErr w:type="spellStart"/>
      <w:r>
        <w:t>Opdivo</w:t>
      </w:r>
      <w:proofErr w:type="spellEnd"/>
      <w:r>
        <w:t xml:space="preserve"> in combination with </w:t>
      </w:r>
      <w:r w:rsidR="00C659AE">
        <w:t>YERVOY (</w:t>
      </w:r>
      <w:proofErr w:type="spellStart"/>
      <w:r w:rsidR="00C659AE">
        <w:t>ipilimumab</w:t>
      </w:r>
      <w:proofErr w:type="spellEnd"/>
      <w:r w:rsidR="00C659AE">
        <w:t>)</w:t>
      </w:r>
    </w:p>
    <w:p w14:paraId="24F77FB1" w14:textId="5A47A4BD" w:rsidR="00C659AE" w:rsidRPr="000671A0" w:rsidRDefault="00C659AE" w:rsidP="000671A0">
      <w:pPr>
        <w:rPr>
          <w:b/>
        </w:rPr>
      </w:pPr>
      <w:r w:rsidRPr="000671A0">
        <w:rPr>
          <w:b/>
        </w:rPr>
        <w:t xml:space="preserve">Study CA209067 Randomised phase 3 study of </w:t>
      </w:r>
      <w:proofErr w:type="spellStart"/>
      <w:r w:rsidRPr="000671A0">
        <w:rPr>
          <w:b/>
        </w:rPr>
        <w:t>nivolumab</w:t>
      </w:r>
      <w:proofErr w:type="spellEnd"/>
      <w:r w:rsidRPr="000671A0">
        <w:rPr>
          <w:b/>
        </w:rPr>
        <w:t xml:space="preserve"> in combination with </w:t>
      </w:r>
      <w:proofErr w:type="spellStart"/>
      <w:r w:rsidRPr="000671A0">
        <w:rPr>
          <w:b/>
        </w:rPr>
        <w:t>ipilimumab</w:t>
      </w:r>
      <w:proofErr w:type="spellEnd"/>
      <w:r w:rsidRPr="000671A0">
        <w:rPr>
          <w:b/>
        </w:rPr>
        <w:t xml:space="preserve"> or </w:t>
      </w:r>
      <w:proofErr w:type="spellStart"/>
      <w:r w:rsidRPr="000671A0">
        <w:rPr>
          <w:b/>
        </w:rPr>
        <w:t>nivolumab</w:t>
      </w:r>
      <w:proofErr w:type="spellEnd"/>
      <w:r w:rsidRPr="000671A0">
        <w:rPr>
          <w:b/>
        </w:rPr>
        <w:t xml:space="preserve"> as monotherapy versus </w:t>
      </w:r>
      <w:proofErr w:type="spellStart"/>
      <w:r w:rsidRPr="000671A0">
        <w:rPr>
          <w:b/>
        </w:rPr>
        <w:t>ipilimumab</w:t>
      </w:r>
      <w:proofErr w:type="spellEnd"/>
      <w:r w:rsidR="00471C1A" w:rsidRPr="000671A0">
        <w:rPr>
          <w:b/>
        </w:rPr>
        <w:t>.</w:t>
      </w:r>
      <w:r w:rsidRPr="000671A0">
        <w:rPr>
          <w:b/>
        </w:rPr>
        <w:t xml:space="preserve"> </w:t>
      </w:r>
    </w:p>
    <w:p w14:paraId="4BB6A74D" w14:textId="77777777" w:rsidR="00C659AE" w:rsidRPr="00AC44FC" w:rsidRDefault="00C659AE" w:rsidP="009045DE">
      <w:r w:rsidRPr="00193F59">
        <w:t xml:space="preserve">The safety and efficacy of </w:t>
      </w:r>
      <w:proofErr w:type="spellStart"/>
      <w:r w:rsidRPr="00193F59">
        <w:t>nivolumab</w:t>
      </w:r>
      <w:proofErr w:type="spellEnd"/>
      <w:r w:rsidRPr="00193F59">
        <w:t xml:space="preserve"> in combination with </w:t>
      </w:r>
      <w:proofErr w:type="spellStart"/>
      <w:r w:rsidRPr="00193F59">
        <w:t>ipilimumab</w:t>
      </w:r>
      <w:proofErr w:type="spellEnd"/>
      <w:r w:rsidRPr="00193F59">
        <w:t xml:space="preserve"> and </w:t>
      </w:r>
      <w:proofErr w:type="spellStart"/>
      <w:r w:rsidRPr="00193F59">
        <w:t>nivolumab</w:t>
      </w:r>
      <w:proofErr w:type="spellEnd"/>
      <w:r w:rsidRPr="00193F59">
        <w:t> monotherapy for the treatment of advanced (</w:t>
      </w:r>
      <w:proofErr w:type="spellStart"/>
      <w:r w:rsidRPr="00193F59">
        <w:t>unresectable</w:t>
      </w:r>
      <w:proofErr w:type="spellEnd"/>
      <w:r w:rsidRPr="00193F59">
        <w:t xml:space="preserve"> or metastatic) melanoma were evaluated in a phase 3, randomised, double</w:t>
      </w:r>
      <w:r w:rsidRPr="00193F59">
        <w:noBreakHyphen/>
        <w:t xml:space="preserve">blind study (CA209067). The study included adult patients (18 years or older) with confirmed </w:t>
      </w:r>
      <w:proofErr w:type="spellStart"/>
      <w:r w:rsidRPr="00193F59">
        <w:t>unresectable</w:t>
      </w:r>
      <w:proofErr w:type="spellEnd"/>
      <w:r w:rsidRPr="00193F59">
        <w:t xml:space="preserve"> Stage III or Stage IV melanoma, regardless of PD-L1 expression.  Patients were to have ECOG performance status score of 0 or 1. Patients who had not received prior systemic anticancer therapy for </w:t>
      </w:r>
      <w:proofErr w:type="spellStart"/>
      <w:r w:rsidRPr="00193F59">
        <w:t>unresectable</w:t>
      </w:r>
      <w:proofErr w:type="spellEnd"/>
      <w:r w:rsidRPr="00193F59">
        <w:t xml:space="preserve"> or metastatic melanoma were enrolled. Prior adjuvant or neoadjuvant therapy was allowed if it was completed at least 6 weeks prior to randomi</w:t>
      </w:r>
      <w:r>
        <w:t>s</w:t>
      </w:r>
      <w:r w:rsidRPr="00193F59">
        <w:t>ation. Patients with active autoimmune disease, ocular/uveal melanoma, or active brain or leptomeningeal metastases were excluded from the study.</w:t>
      </w:r>
    </w:p>
    <w:p w14:paraId="753A8112" w14:textId="2B4592D7" w:rsidR="00C659AE" w:rsidRDefault="00C659AE" w:rsidP="009045DE">
      <w:pPr>
        <w:rPr>
          <w:rFonts w:eastAsia="Times New Roman" w:cs="Times New Roman"/>
          <w:szCs w:val="24"/>
          <w:lang w:val="en-GB"/>
        </w:rPr>
      </w:pPr>
      <w:r w:rsidRPr="00AE66E6">
        <w:rPr>
          <w:rFonts w:eastAsia="Times New Roman" w:cs="Times New Roman"/>
          <w:szCs w:val="24"/>
          <w:lang w:val="en-GB"/>
        </w:rPr>
        <w:t xml:space="preserve">A total of 945 patients were randomised to receive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in combination with </w:t>
      </w:r>
      <w:proofErr w:type="spellStart"/>
      <w:r w:rsidRPr="00AE66E6">
        <w:rPr>
          <w:rFonts w:eastAsia="Times New Roman" w:cs="Times New Roman"/>
          <w:szCs w:val="24"/>
          <w:lang w:val="en-GB"/>
        </w:rPr>
        <w:t>ipilimumab</w:t>
      </w:r>
      <w:proofErr w:type="spellEnd"/>
      <w:r w:rsidRPr="00AE66E6">
        <w:rPr>
          <w:rFonts w:eastAsia="Times New Roman" w:cs="Times New Roman"/>
          <w:szCs w:val="24"/>
          <w:lang w:val="en-GB"/>
        </w:rPr>
        <w:t xml:space="preserve"> (n = 314),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as monotherapy (n = 316), or </w:t>
      </w:r>
      <w:proofErr w:type="spellStart"/>
      <w:r w:rsidRPr="00AE66E6">
        <w:rPr>
          <w:rFonts w:eastAsia="Times New Roman" w:cs="Times New Roman"/>
          <w:szCs w:val="24"/>
          <w:lang w:val="en-GB"/>
        </w:rPr>
        <w:t>ipilimumab</w:t>
      </w:r>
      <w:proofErr w:type="spellEnd"/>
      <w:r w:rsidRPr="00AE66E6">
        <w:rPr>
          <w:rFonts w:eastAsia="Times New Roman" w:cs="Times New Roman"/>
          <w:szCs w:val="24"/>
          <w:lang w:val="en-GB"/>
        </w:rPr>
        <w:t xml:space="preserve"> alone (n = 315). Patients in the combination arm received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1 mg/kg over 60 minutes and </w:t>
      </w:r>
      <w:proofErr w:type="spellStart"/>
      <w:r w:rsidRPr="00AE66E6">
        <w:rPr>
          <w:rFonts w:eastAsia="Times New Roman" w:cs="Times New Roman"/>
          <w:szCs w:val="24"/>
          <w:lang w:val="en-GB"/>
        </w:rPr>
        <w:t>ipilimumab</w:t>
      </w:r>
      <w:proofErr w:type="spellEnd"/>
      <w:r w:rsidRPr="00AE66E6">
        <w:rPr>
          <w:rFonts w:eastAsia="Times New Roman" w:cs="Times New Roman"/>
          <w:szCs w:val="24"/>
          <w:lang w:val="en-GB"/>
        </w:rPr>
        <w:t xml:space="preserve"> 3 mg/kg over 90 minutes administered intravenously every 3 weeks for the first 4 doses, followed by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3 mg/kg as monotherapy every 2 weeks. Patients in the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monotherapy arm received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 3 mg/kg every 2 weeks. Patients in the comparator arm received </w:t>
      </w:r>
      <w:proofErr w:type="spellStart"/>
      <w:r w:rsidRPr="00AE66E6">
        <w:rPr>
          <w:rFonts w:eastAsia="Times New Roman" w:cs="Times New Roman"/>
          <w:szCs w:val="24"/>
          <w:lang w:val="en-GB"/>
        </w:rPr>
        <w:t>ipilimumab</w:t>
      </w:r>
      <w:proofErr w:type="spellEnd"/>
      <w:r w:rsidRPr="00AE66E6">
        <w:rPr>
          <w:rFonts w:eastAsia="Times New Roman" w:cs="Times New Roman"/>
          <w:szCs w:val="24"/>
          <w:lang w:val="en-GB"/>
        </w:rPr>
        <w:t xml:space="preserve"> 3 mg/kg and </w:t>
      </w:r>
      <w:proofErr w:type="spellStart"/>
      <w:r w:rsidRPr="00AE66E6">
        <w:rPr>
          <w:rFonts w:eastAsia="Times New Roman" w:cs="Times New Roman"/>
          <w:szCs w:val="24"/>
          <w:lang w:val="en-GB"/>
        </w:rPr>
        <w:t>nivolumab</w:t>
      </w:r>
      <w:proofErr w:type="spellEnd"/>
      <w:r w:rsidRPr="00AE66E6">
        <w:rPr>
          <w:rFonts w:eastAsia="Times New Roman" w:cs="Times New Roman"/>
          <w:szCs w:val="24"/>
          <w:lang w:val="en-GB"/>
        </w:rPr>
        <w:t xml:space="preserve">-matched placebo intravenously every 3 weeks for 4 doses followed by placebo every 2 weeks. Randomisation was stratified by PD-L1 expression (≥5% vs. &lt;5% tumour cell membrane expression), BRAF status, and M stage per the American Joint Committee on Cancer (AJCC) staging system. Treatment was continued as long as clinical benefit was observed or until treatment was no longer tolerated. Tumour assessments were conducted 12 weeks after randomisation then every 6 weeks for the first year, and every 12 weeks thereafter. The co-primary outcome measures were PFS and OS. ORR and the duration of response were also assessed. This study evaluated whether PD-L1 expression was </w:t>
      </w:r>
      <w:r w:rsidRPr="00151EB6">
        <w:rPr>
          <w:rFonts w:eastAsia="Times New Roman" w:cs="Times New Roman"/>
          <w:szCs w:val="24"/>
          <w:lang w:val="en-GB"/>
        </w:rPr>
        <w:t xml:space="preserve">a predictive biomarker for the co-primary endpoints.  The efficacy of </w:t>
      </w:r>
      <w:proofErr w:type="spellStart"/>
      <w:r w:rsidRPr="00151EB6">
        <w:rPr>
          <w:rFonts w:eastAsia="Times New Roman" w:cs="Times New Roman"/>
          <w:szCs w:val="24"/>
          <w:lang w:val="en-GB"/>
        </w:rPr>
        <w:t>nivolumab</w:t>
      </w:r>
      <w:proofErr w:type="spellEnd"/>
      <w:r w:rsidRPr="00151EB6">
        <w:rPr>
          <w:rFonts w:eastAsia="Times New Roman" w:cs="Times New Roman"/>
          <w:szCs w:val="24"/>
          <w:lang w:val="en-GB"/>
        </w:rPr>
        <w:t xml:space="preserve"> in combination with </w:t>
      </w:r>
      <w:proofErr w:type="spellStart"/>
      <w:r w:rsidRPr="00151EB6">
        <w:rPr>
          <w:rFonts w:eastAsia="Times New Roman" w:cs="Times New Roman"/>
          <w:szCs w:val="24"/>
          <w:lang w:val="en-GB"/>
        </w:rPr>
        <w:t>ipilimumab</w:t>
      </w:r>
      <w:proofErr w:type="spellEnd"/>
      <w:r w:rsidRPr="00151EB6">
        <w:rPr>
          <w:rFonts w:eastAsia="Times New Roman" w:cs="Times New Roman"/>
          <w:szCs w:val="24"/>
          <w:lang w:val="en-GB"/>
        </w:rPr>
        <w:t xml:space="preserve"> and </w:t>
      </w:r>
      <w:proofErr w:type="spellStart"/>
      <w:r w:rsidRPr="00151EB6">
        <w:rPr>
          <w:rFonts w:eastAsia="Times New Roman" w:cs="Times New Roman"/>
          <w:szCs w:val="24"/>
          <w:lang w:val="en-GB"/>
        </w:rPr>
        <w:t>nivolumab</w:t>
      </w:r>
      <w:proofErr w:type="spellEnd"/>
      <w:r w:rsidRPr="00151EB6">
        <w:rPr>
          <w:rFonts w:eastAsia="Times New Roman" w:cs="Times New Roman"/>
          <w:szCs w:val="24"/>
          <w:lang w:val="en-GB"/>
        </w:rPr>
        <w:t xml:space="preserve"> monotherapy was each compared with that of </w:t>
      </w:r>
      <w:proofErr w:type="spellStart"/>
      <w:r w:rsidRPr="00151EB6">
        <w:rPr>
          <w:rFonts w:eastAsia="Times New Roman" w:cs="Times New Roman"/>
          <w:szCs w:val="24"/>
          <w:lang w:val="en-GB"/>
        </w:rPr>
        <w:t>ipilimumab</w:t>
      </w:r>
      <w:proofErr w:type="spellEnd"/>
      <w:r w:rsidRPr="00151EB6">
        <w:rPr>
          <w:rFonts w:eastAsia="Times New Roman" w:cs="Times New Roman"/>
          <w:szCs w:val="24"/>
          <w:lang w:val="en-GB"/>
        </w:rPr>
        <w:t>.  In addition, the differences between the two OPDIVO</w:t>
      </w:r>
      <w:r w:rsidRPr="00151EB6">
        <w:rPr>
          <w:rFonts w:eastAsia="Times New Roman" w:cs="Times New Roman"/>
          <w:szCs w:val="24"/>
          <w:lang w:val="en-GB"/>
        </w:rPr>
        <w:noBreakHyphen/>
        <w:t>containing groups were evaluated descriptively, but not included in formal hypothesis testing.</w:t>
      </w:r>
    </w:p>
    <w:p w14:paraId="3C7B801E" w14:textId="116B50FE" w:rsidR="00C659AE" w:rsidRPr="00AC44FC" w:rsidRDefault="00C659AE" w:rsidP="009045DE">
      <w:r w:rsidRPr="00AC44FC">
        <w:t xml:space="preserve">Baseline characteristics were balanced across the three treatment groups. The median age was 61 years (range: 18 to 90 years), 65% of patients were men, and 97% were white. ECOG performance status score was 0 (73%) or 1 (27%). The majority of the patients had AJCC Stage IV disease (93%); 58% had M1c disease at study entry. Twenty-two percent of patients had received prior adjuvant therapy. Thirty-two percent of patients had BRAF mutation-positive melanoma; 26.5% of patients had PD-L1 ≥5% tumour cell membrane expression. Four percent of patients had a history of brain metastasis, and 36% of patients had a baseline LDH level greater than ULN at study entry. </w:t>
      </w:r>
    </w:p>
    <w:p w14:paraId="2CF2485C" w14:textId="110232DD" w:rsidR="00DB5FE1" w:rsidRDefault="00C659AE" w:rsidP="009045DE">
      <w:r w:rsidRPr="00AC44FC">
        <w:t xml:space="preserve">Median duration of follow up was approximately 12 months. Overall survival was not mature at time of this analysis.  Efficacy results are shown in </w:t>
      </w:r>
      <w:r w:rsidRPr="00FD23DA">
        <w:t xml:space="preserve">Table </w:t>
      </w:r>
      <w:r w:rsidR="00736CE8">
        <w:t>7</w:t>
      </w:r>
      <w:r w:rsidR="00DC742F" w:rsidRPr="00FD23DA">
        <w:t xml:space="preserve"> </w:t>
      </w:r>
      <w:r w:rsidRPr="00FD23DA">
        <w:t xml:space="preserve">and Figure </w:t>
      </w:r>
      <w:r w:rsidR="00777194">
        <w:t>3</w:t>
      </w:r>
      <w:r w:rsidRPr="00FD23DA">
        <w:t>.</w:t>
      </w:r>
    </w:p>
    <w:p w14:paraId="4938FC6F" w14:textId="010A995C" w:rsidR="00C659AE" w:rsidRPr="00E942C4" w:rsidRDefault="00C659AE" w:rsidP="004D7D64">
      <w:pPr>
        <w:keepNext/>
        <w:keepLines/>
        <w:rPr>
          <w:b/>
        </w:rPr>
      </w:pPr>
      <w:r w:rsidRPr="00E942C4">
        <w:rPr>
          <w:b/>
        </w:rPr>
        <w:lastRenderedPageBreak/>
        <w:t xml:space="preserve">Table </w:t>
      </w:r>
      <w:r w:rsidR="00736CE8">
        <w:rPr>
          <w:b/>
        </w:rPr>
        <w:t>7</w:t>
      </w:r>
      <w:r w:rsidRPr="00E942C4">
        <w:rPr>
          <w:b/>
        </w:rPr>
        <w:t>:</w:t>
      </w:r>
      <w:r w:rsidRPr="00E942C4">
        <w:rPr>
          <w:b/>
        </w:rPr>
        <w:tab/>
        <w:t>Efficacy results (CA209067)</w:t>
      </w:r>
    </w:p>
    <w:tbl>
      <w:tblPr>
        <w:tblW w:w="5119" w:type="pct"/>
        <w:tblBorders>
          <w:bottom w:val="double" w:sz="4" w:space="0" w:color="auto"/>
        </w:tblBorders>
        <w:tblLayout w:type="fixed"/>
        <w:tblLook w:val="0000" w:firstRow="0" w:lastRow="0" w:firstColumn="0" w:lastColumn="0" w:noHBand="0" w:noVBand="0"/>
      </w:tblPr>
      <w:tblGrid>
        <w:gridCol w:w="3668"/>
        <w:gridCol w:w="1930"/>
        <w:gridCol w:w="1932"/>
        <w:gridCol w:w="1932"/>
      </w:tblGrid>
      <w:tr w:rsidR="00C659AE" w:rsidRPr="00DF1405" w14:paraId="3EC2E35D" w14:textId="77777777" w:rsidTr="00C659AE">
        <w:trPr>
          <w:trHeight w:val="312"/>
          <w:tblHeader/>
        </w:trPr>
        <w:tc>
          <w:tcPr>
            <w:tcW w:w="1938" w:type="pct"/>
            <w:tcBorders>
              <w:top w:val="double" w:sz="4" w:space="0" w:color="auto"/>
              <w:bottom w:val="single" w:sz="4" w:space="0" w:color="auto"/>
            </w:tcBorders>
            <w:vAlign w:val="center"/>
          </w:tcPr>
          <w:p w14:paraId="69F519AD" w14:textId="77777777" w:rsidR="00C659AE" w:rsidRPr="00E942C4" w:rsidRDefault="00C659AE" w:rsidP="004D7D64">
            <w:pPr>
              <w:pStyle w:val="BMSTableHeader"/>
              <w:keepNext/>
              <w:keepLines/>
              <w:spacing w:before="0" w:after="0"/>
            </w:pPr>
          </w:p>
        </w:tc>
        <w:tc>
          <w:tcPr>
            <w:tcW w:w="1020" w:type="pct"/>
            <w:tcBorders>
              <w:top w:val="double" w:sz="4" w:space="0" w:color="auto"/>
              <w:bottom w:val="single" w:sz="4" w:space="0" w:color="auto"/>
            </w:tcBorders>
          </w:tcPr>
          <w:p w14:paraId="7AE6F456" w14:textId="77777777" w:rsidR="00C659AE" w:rsidRPr="00E942C4" w:rsidRDefault="00C659AE" w:rsidP="004D7D64">
            <w:pPr>
              <w:pStyle w:val="BMSTableHeader"/>
              <w:keepNext/>
              <w:keepLines/>
              <w:spacing w:before="0" w:after="0"/>
            </w:pPr>
          </w:p>
          <w:p w14:paraId="09387611" w14:textId="77777777" w:rsidR="00C659AE" w:rsidRPr="00E942C4" w:rsidRDefault="00C659AE" w:rsidP="004D7D64">
            <w:pPr>
              <w:pStyle w:val="BMSTableHeader"/>
              <w:keepNext/>
              <w:keepLines/>
              <w:spacing w:before="0" w:after="0"/>
              <w:rPr>
                <w:b w:val="0"/>
              </w:rPr>
            </w:pPr>
            <w:r w:rsidRPr="00E942C4">
              <w:t xml:space="preserve">OPDIVO </w:t>
            </w:r>
            <w:r w:rsidRPr="00E942C4">
              <w:br/>
              <w:t>(n=316)</w:t>
            </w:r>
          </w:p>
        </w:tc>
        <w:tc>
          <w:tcPr>
            <w:tcW w:w="1021" w:type="pct"/>
            <w:tcBorders>
              <w:top w:val="double" w:sz="4" w:space="0" w:color="auto"/>
              <w:bottom w:val="single" w:sz="4" w:space="0" w:color="auto"/>
            </w:tcBorders>
          </w:tcPr>
          <w:p w14:paraId="5616102A" w14:textId="77777777" w:rsidR="00C659AE" w:rsidRPr="00E942C4" w:rsidRDefault="00C659AE" w:rsidP="004D7D64">
            <w:pPr>
              <w:pStyle w:val="BMSTableHeader"/>
              <w:keepNext/>
              <w:keepLines/>
              <w:spacing w:before="0" w:after="0"/>
            </w:pPr>
            <w:r w:rsidRPr="00E942C4">
              <w:t>OPDIVO +</w:t>
            </w:r>
            <w:r w:rsidRPr="00E942C4">
              <w:br/>
              <w:t xml:space="preserve">Ipilimumab </w:t>
            </w:r>
            <w:r w:rsidRPr="00E942C4">
              <w:br/>
              <w:t>(n=314)</w:t>
            </w:r>
          </w:p>
        </w:tc>
        <w:tc>
          <w:tcPr>
            <w:tcW w:w="1021" w:type="pct"/>
            <w:tcBorders>
              <w:top w:val="double" w:sz="4" w:space="0" w:color="auto"/>
              <w:bottom w:val="single" w:sz="4" w:space="0" w:color="auto"/>
            </w:tcBorders>
          </w:tcPr>
          <w:p w14:paraId="2776F89F" w14:textId="77777777" w:rsidR="00C659AE" w:rsidRPr="00E942C4" w:rsidRDefault="00C659AE" w:rsidP="004D7D64">
            <w:pPr>
              <w:pStyle w:val="BMSTableHeader"/>
              <w:keepNext/>
              <w:keepLines/>
              <w:spacing w:before="0" w:after="0"/>
            </w:pPr>
          </w:p>
          <w:p w14:paraId="1A2CABAE" w14:textId="77777777" w:rsidR="00C659AE" w:rsidRPr="00E942C4" w:rsidRDefault="00C659AE" w:rsidP="004D7D64">
            <w:pPr>
              <w:pStyle w:val="BMSTableHeader"/>
              <w:keepNext/>
              <w:keepLines/>
              <w:spacing w:before="0" w:after="0"/>
              <w:rPr>
                <w:b w:val="0"/>
              </w:rPr>
            </w:pPr>
            <w:r w:rsidRPr="00E942C4">
              <w:t xml:space="preserve">Ipilimumab </w:t>
            </w:r>
            <w:r w:rsidRPr="00E942C4">
              <w:br/>
              <w:t>(n=315)</w:t>
            </w:r>
          </w:p>
        </w:tc>
      </w:tr>
      <w:tr w:rsidR="00C659AE" w:rsidRPr="00536CC5" w14:paraId="21B89ECA" w14:textId="77777777" w:rsidTr="00C659AE">
        <w:trPr>
          <w:trHeight w:val="243"/>
        </w:trPr>
        <w:tc>
          <w:tcPr>
            <w:tcW w:w="1938" w:type="pct"/>
            <w:tcBorders>
              <w:top w:val="single" w:sz="4" w:space="0" w:color="auto"/>
              <w:bottom w:val="nil"/>
            </w:tcBorders>
            <w:vAlign w:val="center"/>
          </w:tcPr>
          <w:p w14:paraId="5599469E" w14:textId="77777777" w:rsidR="00C659AE" w:rsidRPr="00E942C4" w:rsidRDefault="00C659AE" w:rsidP="004D7D64">
            <w:pPr>
              <w:pStyle w:val="BMSTableText"/>
              <w:keepNext/>
              <w:keepLines/>
              <w:tabs>
                <w:tab w:val="right" w:pos="2880"/>
              </w:tabs>
              <w:spacing w:before="0" w:after="40"/>
              <w:jc w:val="left"/>
              <w:rPr>
                <w:b/>
              </w:rPr>
            </w:pPr>
            <w:r w:rsidRPr="00E942C4">
              <w:rPr>
                <w:b/>
              </w:rPr>
              <w:t>Progression-free survival</w:t>
            </w:r>
          </w:p>
        </w:tc>
        <w:tc>
          <w:tcPr>
            <w:tcW w:w="1020" w:type="pct"/>
            <w:tcBorders>
              <w:top w:val="single" w:sz="4" w:space="0" w:color="auto"/>
              <w:bottom w:val="nil"/>
            </w:tcBorders>
            <w:shd w:val="clear" w:color="auto" w:fill="auto"/>
            <w:vAlign w:val="center"/>
          </w:tcPr>
          <w:p w14:paraId="74370173" w14:textId="77777777" w:rsidR="00C659AE" w:rsidRPr="00E942C4" w:rsidRDefault="00C659AE" w:rsidP="004D7D64">
            <w:pPr>
              <w:pStyle w:val="BMSTableText"/>
              <w:keepNext/>
              <w:keepLines/>
              <w:spacing w:before="0" w:after="40"/>
            </w:pPr>
          </w:p>
        </w:tc>
        <w:tc>
          <w:tcPr>
            <w:tcW w:w="1021" w:type="pct"/>
            <w:tcBorders>
              <w:top w:val="single" w:sz="4" w:space="0" w:color="auto"/>
              <w:bottom w:val="nil"/>
            </w:tcBorders>
            <w:vAlign w:val="center"/>
          </w:tcPr>
          <w:p w14:paraId="7D3F81C0" w14:textId="77777777" w:rsidR="00C659AE" w:rsidRPr="00E942C4" w:rsidRDefault="00C659AE" w:rsidP="004D7D64">
            <w:pPr>
              <w:pStyle w:val="BMSTableText"/>
              <w:keepNext/>
              <w:keepLines/>
              <w:spacing w:after="40"/>
            </w:pPr>
          </w:p>
        </w:tc>
        <w:tc>
          <w:tcPr>
            <w:tcW w:w="1021" w:type="pct"/>
            <w:tcBorders>
              <w:top w:val="single" w:sz="4" w:space="0" w:color="auto"/>
              <w:bottom w:val="nil"/>
            </w:tcBorders>
            <w:shd w:val="clear" w:color="auto" w:fill="auto"/>
            <w:vAlign w:val="center"/>
          </w:tcPr>
          <w:p w14:paraId="08618F06" w14:textId="77777777" w:rsidR="00C659AE" w:rsidRPr="00E942C4" w:rsidRDefault="00C659AE" w:rsidP="004D7D64">
            <w:pPr>
              <w:pStyle w:val="BMSTableText"/>
              <w:keepNext/>
              <w:keepLines/>
              <w:spacing w:after="40"/>
            </w:pPr>
          </w:p>
        </w:tc>
      </w:tr>
      <w:tr w:rsidR="00C659AE" w:rsidRPr="008D64FF" w14:paraId="4F5CCBE5" w14:textId="77777777" w:rsidTr="00C659AE">
        <w:trPr>
          <w:trHeight w:val="243"/>
        </w:trPr>
        <w:tc>
          <w:tcPr>
            <w:tcW w:w="1938" w:type="pct"/>
            <w:tcBorders>
              <w:top w:val="nil"/>
              <w:bottom w:val="nil"/>
            </w:tcBorders>
            <w:vAlign w:val="center"/>
          </w:tcPr>
          <w:p w14:paraId="42B07B68"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Events, n (%)</w:t>
            </w:r>
          </w:p>
        </w:tc>
        <w:tc>
          <w:tcPr>
            <w:tcW w:w="1020" w:type="pct"/>
            <w:tcBorders>
              <w:top w:val="nil"/>
              <w:bottom w:val="nil"/>
            </w:tcBorders>
            <w:shd w:val="clear" w:color="auto" w:fill="auto"/>
            <w:vAlign w:val="center"/>
          </w:tcPr>
          <w:p w14:paraId="077B1E53" w14:textId="77777777" w:rsidR="00C659AE" w:rsidRPr="00E942C4" w:rsidRDefault="00C659AE" w:rsidP="004D7D64">
            <w:pPr>
              <w:pStyle w:val="BMSTableText"/>
              <w:keepNext/>
              <w:keepLines/>
              <w:spacing w:before="0" w:after="40"/>
            </w:pPr>
            <w:r w:rsidRPr="00E942C4">
              <w:t>174 (55%)</w:t>
            </w:r>
          </w:p>
        </w:tc>
        <w:tc>
          <w:tcPr>
            <w:tcW w:w="1021" w:type="pct"/>
            <w:tcBorders>
              <w:top w:val="nil"/>
              <w:bottom w:val="nil"/>
            </w:tcBorders>
            <w:vAlign w:val="center"/>
          </w:tcPr>
          <w:p w14:paraId="19470BF4" w14:textId="77777777" w:rsidR="00C659AE" w:rsidRPr="00E942C4" w:rsidRDefault="00C659AE" w:rsidP="004D7D64">
            <w:pPr>
              <w:pStyle w:val="BMSTableText"/>
              <w:keepNext/>
              <w:keepLines/>
              <w:spacing w:after="40"/>
            </w:pPr>
            <w:r w:rsidRPr="00E942C4">
              <w:t>151 (48%)</w:t>
            </w:r>
          </w:p>
        </w:tc>
        <w:tc>
          <w:tcPr>
            <w:tcW w:w="1021" w:type="pct"/>
            <w:tcBorders>
              <w:top w:val="nil"/>
              <w:bottom w:val="nil"/>
            </w:tcBorders>
            <w:shd w:val="clear" w:color="auto" w:fill="auto"/>
            <w:vAlign w:val="center"/>
          </w:tcPr>
          <w:p w14:paraId="55A25326" w14:textId="77777777" w:rsidR="00C659AE" w:rsidRPr="00E942C4" w:rsidRDefault="00C659AE" w:rsidP="004D7D64">
            <w:pPr>
              <w:pStyle w:val="BMSTableText"/>
              <w:keepNext/>
              <w:keepLines/>
              <w:spacing w:after="40"/>
            </w:pPr>
            <w:r w:rsidRPr="00E942C4">
              <w:t>234 (74%)</w:t>
            </w:r>
          </w:p>
        </w:tc>
      </w:tr>
      <w:tr w:rsidR="00C659AE" w:rsidRPr="008D64FF" w14:paraId="36B9D810" w14:textId="77777777" w:rsidTr="00C659AE">
        <w:trPr>
          <w:trHeight w:val="243"/>
        </w:trPr>
        <w:tc>
          <w:tcPr>
            <w:tcW w:w="1938" w:type="pct"/>
            <w:tcBorders>
              <w:top w:val="nil"/>
              <w:bottom w:val="nil"/>
            </w:tcBorders>
            <w:vAlign w:val="center"/>
          </w:tcPr>
          <w:p w14:paraId="3606EA08"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 xml:space="preserve">Hazard ratio (vs. </w:t>
            </w:r>
            <w:proofErr w:type="spellStart"/>
            <w:r w:rsidRPr="00E942C4">
              <w:rPr>
                <w:sz w:val="20"/>
                <w:szCs w:val="20"/>
              </w:rPr>
              <w:t>ipilimumab</w:t>
            </w:r>
            <w:proofErr w:type="spellEnd"/>
            <w:r w:rsidRPr="00E942C4">
              <w:rPr>
                <w:sz w:val="20"/>
                <w:szCs w:val="20"/>
              </w:rPr>
              <w:t>)</w:t>
            </w:r>
          </w:p>
          <w:p w14:paraId="424D0694" w14:textId="77777777" w:rsidR="00C659AE" w:rsidRPr="00E942C4" w:rsidRDefault="00C659AE" w:rsidP="004D7D64">
            <w:pPr>
              <w:pStyle w:val="BMSTableText"/>
              <w:keepNext/>
              <w:keepLines/>
              <w:tabs>
                <w:tab w:val="left" w:pos="739"/>
                <w:tab w:val="right" w:pos="2880"/>
              </w:tabs>
              <w:spacing w:before="0" w:after="40"/>
              <w:jc w:val="left"/>
            </w:pPr>
            <w:r w:rsidRPr="00E942C4">
              <w:tab/>
            </w:r>
            <w:r w:rsidRPr="00E942C4">
              <w:tab/>
              <w:t>(99.5% CI)</w:t>
            </w:r>
          </w:p>
        </w:tc>
        <w:tc>
          <w:tcPr>
            <w:tcW w:w="1020" w:type="pct"/>
            <w:tcBorders>
              <w:top w:val="nil"/>
            </w:tcBorders>
            <w:shd w:val="clear" w:color="auto" w:fill="auto"/>
            <w:vAlign w:val="center"/>
          </w:tcPr>
          <w:p w14:paraId="20023528" w14:textId="77777777" w:rsidR="00C659AE" w:rsidRPr="00E942C4" w:rsidRDefault="00C659AE" w:rsidP="004D7D64">
            <w:pPr>
              <w:keepNext/>
              <w:keepLines/>
              <w:tabs>
                <w:tab w:val="left" w:pos="360"/>
              </w:tabs>
              <w:autoSpaceDE w:val="0"/>
              <w:autoSpaceDN w:val="0"/>
              <w:adjustRightInd w:val="0"/>
              <w:spacing w:before="60" w:after="40"/>
              <w:jc w:val="center"/>
              <w:rPr>
                <w:sz w:val="20"/>
                <w:szCs w:val="20"/>
              </w:rPr>
            </w:pPr>
            <w:r w:rsidRPr="00E942C4">
              <w:rPr>
                <w:sz w:val="20"/>
                <w:szCs w:val="20"/>
              </w:rPr>
              <w:t>0.57</w:t>
            </w:r>
          </w:p>
          <w:p w14:paraId="0FBE0DC2" w14:textId="77777777" w:rsidR="00C659AE" w:rsidRPr="00E942C4" w:rsidRDefault="00C659AE" w:rsidP="004D7D64">
            <w:pPr>
              <w:pStyle w:val="BMSTableText"/>
              <w:keepNext/>
              <w:keepLines/>
              <w:spacing w:before="0" w:after="40"/>
            </w:pPr>
            <w:r w:rsidRPr="00E942C4">
              <w:t>(0.43, 0.76)</w:t>
            </w:r>
          </w:p>
        </w:tc>
        <w:tc>
          <w:tcPr>
            <w:tcW w:w="1021" w:type="pct"/>
            <w:tcBorders>
              <w:top w:val="nil"/>
            </w:tcBorders>
            <w:vAlign w:val="center"/>
          </w:tcPr>
          <w:p w14:paraId="0922973C" w14:textId="77777777" w:rsidR="00C659AE" w:rsidRPr="00E942C4" w:rsidRDefault="00C659AE" w:rsidP="004D7D64">
            <w:pPr>
              <w:keepNext/>
              <w:keepLines/>
              <w:tabs>
                <w:tab w:val="left" w:pos="360"/>
              </w:tabs>
              <w:autoSpaceDE w:val="0"/>
              <w:autoSpaceDN w:val="0"/>
              <w:adjustRightInd w:val="0"/>
              <w:spacing w:before="60" w:after="40"/>
              <w:jc w:val="center"/>
              <w:rPr>
                <w:sz w:val="20"/>
                <w:szCs w:val="20"/>
              </w:rPr>
            </w:pPr>
            <w:r w:rsidRPr="00E942C4">
              <w:rPr>
                <w:sz w:val="20"/>
                <w:szCs w:val="20"/>
              </w:rPr>
              <w:t>0.42</w:t>
            </w:r>
          </w:p>
          <w:p w14:paraId="0F107E6A" w14:textId="77777777" w:rsidR="00C659AE" w:rsidRPr="00E942C4" w:rsidRDefault="00C659AE" w:rsidP="004D7D64">
            <w:pPr>
              <w:pStyle w:val="BMSTableText"/>
              <w:keepNext/>
              <w:keepLines/>
              <w:spacing w:after="40"/>
            </w:pPr>
            <w:r w:rsidRPr="00E942C4">
              <w:t>(0.31, 0.57)</w:t>
            </w:r>
          </w:p>
        </w:tc>
        <w:tc>
          <w:tcPr>
            <w:tcW w:w="1021" w:type="pct"/>
            <w:tcBorders>
              <w:top w:val="nil"/>
            </w:tcBorders>
            <w:shd w:val="clear" w:color="auto" w:fill="auto"/>
            <w:vAlign w:val="center"/>
          </w:tcPr>
          <w:p w14:paraId="06CE6308" w14:textId="77777777" w:rsidR="00C659AE" w:rsidRPr="00E942C4" w:rsidRDefault="00C659AE" w:rsidP="004D7D64">
            <w:pPr>
              <w:pStyle w:val="BMSTableText"/>
              <w:keepNext/>
              <w:keepLines/>
              <w:spacing w:after="40"/>
            </w:pPr>
          </w:p>
        </w:tc>
      </w:tr>
      <w:tr w:rsidR="00C659AE" w:rsidRPr="008D64FF" w14:paraId="4C415260" w14:textId="77777777" w:rsidTr="00C659AE">
        <w:trPr>
          <w:trHeight w:val="243"/>
        </w:trPr>
        <w:tc>
          <w:tcPr>
            <w:tcW w:w="1938" w:type="pct"/>
            <w:tcBorders>
              <w:top w:val="nil"/>
              <w:bottom w:val="nil"/>
            </w:tcBorders>
            <w:vAlign w:val="center"/>
          </w:tcPr>
          <w:p w14:paraId="12A2B375" w14:textId="77777777" w:rsidR="00C659AE" w:rsidRPr="00E942C4" w:rsidRDefault="00C659AE" w:rsidP="004D7D64">
            <w:pPr>
              <w:keepNext/>
              <w:keepLines/>
              <w:tabs>
                <w:tab w:val="left" w:pos="360"/>
              </w:tabs>
              <w:autoSpaceDE w:val="0"/>
              <w:autoSpaceDN w:val="0"/>
              <w:adjustRightInd w:val="0"/>
              <w:spacing w:after="40"/>
              <w:rPr>
                <w:sz w:val="20"/>
                <w:szCs w:val="20"/>
              </w:rPr>
            </w:pPr>
            <w:r w:rsidRPr="00E942C4">
              <w:rPr>
                <w:sz w:val="20"/>
                <w:szCs w:val="20"/>
              </w:rPr>
              <w:tab/>
            </w:r>
            <w:r w:rsidRPr="00E942C4">
              <w:rPr>
                <w:sz w:val="20"/>
                <w:szCs w:val="20"/>
              </w:rPr>
              <w:tab/>
              <w:t>p-value</w:t>
            </w:r>
          </w:p>
        </w:tc>
        <w:tc>
          <w:tcPr>
            <w:tcW w:w="1020" w:type="pct"/>
            <w:tcBorders>
              <w:top w:val="nil"/>
              <w:bottom w:val="nil"/>
            </w:tcBorders>
            <w:shd w:val="clear" w:color="auto" w:fill="auto"/>
            <w:vAlign w:val="center"/>
          </w:tcPr>
          <w:p w14:paraId="06CB5A96" w14:textId="77777777" w:rsidR="00C659AE" w:rsidRPr="00E942C4" w:rsidRDefault="00C659AE" w:rsidP="004D7D64">
            <w:pPr>
              <w:keepNext/>
              <w:keepLines/>
              <w:tabs>
                <w:tab w:val="left" w:pos="360"/>
              </w:tabs>
              <w:autoSpaceDE w:val="0"/>
              <w:autoSpaceDN w:val="0"/>
              <w:adjustRightInd w:val="0"/>
              <w:spacing w:after="40"/>
              <w:jc w:val="center"/>
              <w:rPr>
                <w:sz w:val="20"/>
                <w:szCs w:val="20"/>
              </w:rPr>
            </w:pPr>
            <w:r w:rsidRPr="00E942C4">
              <w:rPr>
                <w:sz w:val="20"/>
                <w:szCs w:val="20"/>
              </w:rPr>
              <w:t>p&lt;0.0001</w:t>
            </w:r>
          </w:p>
        </w:tc>
        <w:tc>
          <w:tcPr>
            <w:tcW w:w="1021" w:type="pct"/>
            <w:tcBorders>
              <w:top w:val="nil"/>
              <w:bottom w:val="nil"/>
            </w:tcBorders>
            <w:vAlign w:val="center"/>
          </w:tcPr>
          <w:p w14:paraId="425EE01E" w14:textId="77777777" w:rsidR="00C659AE" w:rsidRPr="00E942C4" w:rsidRDefault="00C659AE" w:rsidP="004D7D64">
            <w:pPr>
              <w:pStyle w:val="BMSTableText"/>
              <w:keepNext/>
              <w:keepLines/>
              <w:spacing w:after="40"/>
            </w:pPr>
            <w:r w:rsidRPr="00E942C4">
              <w:t>p&lt;0.0001</w:t>
            </w:r>
          </w:p>
        </w:tc>
        <w:tc>
          <w:tcPr>
            <w:tcW w:w="1021" w:type="pct"/>
            <w:tcBorders>
              <w:top w:val="nil"/>
              <w:bottom w:val="nil"/>
            </w:tcBorders>
            <w:shd w:val="clear" w:color="auto" w:fill="auto"/>
            <w:vAlign w:val="center"/>
          </w:tcPr>
          <w:p w14:paraId="4CC8BE82" w14:textId="77777777" w:rsidR="00C659AE" w:rsidRPr="00E942C4" w:rsidRDefault="00C659AE" w:rsidP="004D7D64">
            <w:pPr>
              <w:pStyle w:val="BMSTableText"/>
              <w:keepNext/>
              <w:keepLines/>
              <w:spacing w:after="40"/>
            </w:pPr>
          </w:p>
        </w:tc>
      </w:tr>
      <w:tr w:rsidR="00C659AE" w:rsidRPr="008D64FF" w14:paraId="36B5F443" w14:textId="77777777" w:rsidTr="00C659AE">
        <w:trPr>
          <w:trHeight w:val="243"/>
        </w:trPr>
        <w:tc>
          <w:tcPr>
            <w:tcW w:w="1938" w:type="pct"/>
            <w:tcBorders>
              <w:top w:val="nil"/>
              <w:bottom w:val="nil"/>
            </w:tcBorders>
            <w:vAlign w:val="center"/>
          </w:tcPr>
          <w:p w14:paraId="0101FBDB" w14:textId="77777777" w:rsidR="00C659AE" w:rsidRPr="00E942C4" w:rsidRDefault="00C659AE" w:rsidP="004D7D64">
            <w:pPr>
              <w:keepNext/>
              <w:keepLines/>
              <w:tabs>
                <w:tab w:val="left" w:pos="360"/>
              </w:tabs>
              <w:autoSpaceDE w:val="0"/>
              <w:autoSpaceDN w:val="0"/>
              <w:adjustRightInd w:val="0"/>
              <w:spacing w:before="60" w:after="40"/>
              <w:ind w:left="360" w:hanging="360"/>
              <w:rPr>
                <w:sz w:val="20"/>
                <w:szCs w:val="20"/>
              </w:rPr>
            </w:pPr>
            <w:r w:rsidRPr="00E942C4">
              <w:rPr>
                <w:sz w:val="20"/>
                <w:szCs w:val="20"/>
              </w:rPr>
              <w:tab/>
              <w:t xml:space="preserve">Hazard ratio (vs. </w:t>
            </w:r>
            <w:proofErr w:type="spellStart"/>
            <w:r w:rsidRPr="00E942C4">
              <w:rPr>
                <w:sz w:val="20"/>
                <w:szCs w:val="20"/>
              </w:rPr>
              <w:t>nivolumab</w:t>
            </w:r>
            <w:proofErr w:type="spellEnd"/>
            <w:r w:rsidRPr="00E942C4">
              <w:rPr>
                <w:sz w:val="20"/>
                <w:szCs w:val="20"/>
              </w:rPr>
              <w:t xml:space="preserve"> monotherapy)</w:t>
            </w:r>
          </w:p>
          <w:p w14:paraId="44279EE8" w14:textId="77777777" w:rsidR="00C659AE" w:rsidRPr="00E942C4" w:rsidRDefault="00C659AE" w:rsidP="004D7D64">
            <w:pPr>
              <w:pStyle w:val="BMSTableText"/>
              <w:keepNext/>
              <w:keepLines/>
              <w:tabs>
                <w:tab w:val="left" w:pos="726"/>
                <w:tab w:val="right" w:pos="2880"/>
              </w:tabs>
              <w:spacing w:before="0" w:after="40"/>
              <w:jc w:val="left"/>
            </w:pPr>
            <w:r w:rsidRPr="00E942C4">
              <w:tab/>
            </w:r>
            <w:r w:rsidRPr="00E942C4">
              <w:tab/>
              <w:t>(95% CI)</w:t>
            </w:r>
          </w:p>
        </w:tc>
        <w:tc>
          <w:tcPr>
            <w:tcW w:w="1020" w:type="pct"/>
            <w:tcBorders>
              <w:top w:val="nil"/>
              <w:bottom w:val="nil"/>
            </w:tcBorders>
            <w:shd w:val="clear" w:color="auto" w:fill="auto"/>
            <w:vAlign w:val="center"/>
          </w:tcPr>
          <w:p w14:paraId="3F07F36A" w14:textId="77777777" w:rsidR="00C659AE" w:rsidRPr="00E942C4" w:rsidRDefault="00C659AE" w:rsidP="004D7D64">
            <w:pPr>
              <w:pStyle w:val="BMSTableText"/>
              <w:keepNext/>
              <w:keepLines/>
              <w:spacing w:before="0" w:after="40"/>
            </w:pPr>
          </w:p>
        </w:tc>
        <w:tc>
          <w:tcPr>
            <w:tcW w:w="1021" w:type="pct"/>
            <w:tcBorders>
              <w:top w:val="nil"/>
              <w:bottom w:val="nil"/>
            </w:tcBorders>
            <w:vAlign w:val="center"/>
          </w:tcPr>
          <w:p w14:paraId="2F11F33D" w14:textId="77777777" w:rsidR="00C659AE" w:rsidRPr="00E942C4" w:rsidRDefault="00C659AE" w:rsidP="004D7D64">
            <w:pPr>
              <w:pStyle w:val="BMSTableText"/>
              <w:keepNext/>
              <w:keepLines/>
              <w:spacing w:after="40"/>
            </w:pPr>
            <w:r w:rsidRPr="00E942C4">
              <w:br/>
              <w:t>0.74</w:t>
            </w:r>
            <w:r w:rsidRPr="00E942C4">
              <w:br/>
              <w:t xml:space="preserve">(0.60, 0.92) </w:t>
            </w:r>
          </w:p>
        </w:tc>
        <w:tc>
          <w:tcPr>
            <w:tcW w:w="1021" w:type="pct"/>
            <w:tcBorders>
              <w:top w:val="nil"/>
              <w:bottom w:val="nil"/>
            </w:tcBorders>
            <w:shd w:val="clear" w:color="auto" w:fill="auto"/>
            <w:vAlign w:val="center"/>
          </w:tcPr>
          <w:p w14:paraId="5EAD3ACF" w14:textId="77777777" w:rsidR="00C659AE" w:rsidRPr="00E942C4" w:rsidRDefault="00C659AE" w:rsidP="004D7D64">
            <w:pPr>
              <w:pStyle w:val="BMSTableText"/>
              <w:keepNext/>
              <w:keepLines/>
              <w:spacing w:after="40"/>
            </w:pPr>
          </w:p>
        </w:tc>
      </w:tr>
      <w:tr w:rsidR="00C659AE" w:rsidRPr="008D64FF" w14:paraId="361DF8DD" w14:textId="77777777" w:rsidTr="00C659AE">
        <w:trPr>
          <w:trHeight w:val="243"/>
        </w:trPr>
        <w:tc>
          <w:tcPr>
            <w:tcW w:w="1938" w:type="pct"/>
            <w:tcBorders>
              <w:top w:val="nil"/>
              <w:bottom w:val="nil"/>
            </w:tcBorders>
            <w:vAlign w:val="center"/>
          </w:tcPr>
          <w:p w14:paraId="7D6878BD"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Median months</w:t>
            </w:r>
          </w:p>
          <w:p w14:paraId="2BECF907" w14:textId="77777777" w:rsidR="00C659AE" w:rsidRPr="00E942C4" w:rsidRDefault="00C659AE" w:rsidP="004D7D64">
            <w:pPr>
              <w:pStyle w:val="BMSTableText"/>
              <w:keepNext/>
              <w:keepLines/>
              <w:tabs>
                <w:tab w:val="left" w:pos="726"/>
                <w:tab w:val="right" w:pos="2880"/>
              </w:tabs>
              <w:spacing w:before="0" w:after="40"/>
              <w:jc w:val="left"/>
            </w:pPr>
            <w:r w:rsidRPr="00E942C4">
              <w:tab/>
            </w:r>
            <w:r w:rsidRPr="00E942C4">
              <w:tab/>
              <w:t>(95% CI)</w:t>
            </w:r>
          </w:p>
        </w:tc>
        <w:tc>
          <w:tcPr>
            <w:tcW w:w="1020" w:type="pct"/>
            <w:tcBorders>
              <w:top w:val="nil"/>
              <w:bottom w:val="nil"/>
            </w:tcBorders>
            <w:shd w:val="clear" w:color="auto" w:fill="auto"/>
            <w:vAlign w:val="center"/>
          </w:tcPr>
          <w:p w14:paraId="3D1A3984" w14:textId="77777777" w:rsidR="00C659AE" w:rsidRPr="00E942C4" w:rsidRDefault="00C659AE" w:rsidP="004D7D64">
            <w:pPr>
              <w:pStyle w:val="BMSTableText"/>
              <w:keepNext/>
              <w:keepLines/>
              <w:spacing w:before="0" w:after="40"/>
            </w:pPr>
            <w:r w:rsidRPr="00E942C4">
              <w:t>6.9</w:t>
            </w:r>
            <w:r w:rsidRPr="00E942C4">
              <w:br/>
              <w:t>(4.3, 9.5)</w:t>
            </w:r>
          </w:p>
        </w:tc>
        <w:tc>
          <w:tcPr>
            <w:tcW w:w="1021" w:type="pct"/>
            <w:tcBorders>
              <w:top w:val="nil"/>
              <w:bottom w:val="nil"/>
            </w:tcBorders>
            <w:vAlign w:val="center"/>
          </w:tcPr>
          <w:p w14:paraId="321D4ABB" w14:textId="77777777" w:rsidR="00C659AE" w:rsidRPr="00E942C4" w:rsidRDefault="00C659AE" w:rsidP="004D7D64">
            <w:pPr>
              <w:pStyle w:val="BMSTableText"/>
              <w:keepNext/>
              <w:keepLines/>
              <w:spacing w:before="0" w:after="40"/>
            </w:pPr>
            <w:r w:rsidRPr="00E942C4">
              <w:t>11.5</w:t>
            </w:r>
            <w:r w:rsidRPr="00E942C4">
              <w:br/>
              <w:t>(8.9, 16.7)</w:t>
            </w:r>
          </w:p>
        </w:tc>
        <w:tc>
          <w:tcPr>
            <w:tcW w:w="1021" w:type="pct"/>
            <w:tcBorders>
              <w:top w:val="nil"/>
              <w:bottom w:val="nil"/>
            </w:tcBorders>
            <w:shd w:val="clear" w:color="auto" w:fill="auto"/>
            <w:vAlign w:val="center"/>
          </w:tcPr>
          <w:p w14:paraId="28C8B03E" w14:textId="77777777" w:rsidR="00C659AE" w:rsidRPr="00E942C4" w:rsidRDefault="00C659AE" w:rsidP="004D7D64">
            <w:pPr>
              <w:pStyle w:val="BMSTableText"/>
              <w:keepNext/>
              <w:keepLines/>
              <w:spacing w:before="0" w:after="40"/>
            </w:pPr>
            <w:r w:rsidRPr="00E942C4">
              <w:t>2.9</w:t>
            </w:r>
            <w:r w:rsidRPr="00E942C4">
              <w:br/>
              <w:t>(2.8, 3.4)</w:t>
            </w:r>
          </w:p>
        </w:tc>
      </w:tr>
      <w:tr w:rsidR="00C659AE" w:rsidRPr="008D64FF" w14:paraId="37C8104F" w14:textId="77777777" w:rsidTr="00C659AE">
        <w:trPr>
          <w:trHeight w:val="243"/>
        </w:trPr>
        <w:tc>
          <w:tcPr>
            <w:tcW w:w="1938" w:type="pct"/>
            <w:tcBorders>
              <w:top w:val="nil"/>
              <w:bottom w:val="nil"/>
            </w:tcBorders>
            <w:vAlign w:val="center"/>
          </w:tcPr>
          <w:p w14:paraId="36E114EC"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Rate % (95% CI)</w:t>
            </w:r>
          </w:p>
        </w:tc>
        <w:tc>
          <w:tcPr>
            <w:tcW w:w="1020" w:type="pct"/>
            <w:tcBorders>
              <w:top w:val="nil"/>
              <w:bottom w:val="nil"/>
            </w:tcBorders>
            <w:shd w:val="clear" w:color="auto" w:fill="auto"/>
            <w:vAlign w:val="center"/>
          </w:tcPr>
          <w:p w14:paraId="73EC6504" w14:textId="77777777" w:rsidR="00C659AE" w:rsidRPr="00E942C4" w:rsidRDefault="00C659AE" w:rsidP="004D7D64">
            <w:pPr>
              <w:pStyle w:val="BMSTableText"/>
              <w:keepNext/>
              <w:keepLines/>
              <w:spacing w:before="0" w:after="40"/>
            </w:pPr>
          </w:p>
        </w:tc>
        <w:tc>
          <w:tcPr>
            <w:tcW w:w="1021" w:type="pct"/>
            <w:tcBorders>
              <w:top w:val="nil"/>
              <w:bottom w:val="nil"/>
            </w:tcBorders>
            <w:vAlign w:val="center"/>
          </w:tcPr>
          <w:p w14:paraId="4EEC4F00" w14:textId="77777777" w:rsidR="00C659AE" w:rsidRPr="00E942C4" w:rsidRDefault="00C659AE" w:rsidP="004D7D64">
            <w:pPr>
              <w:pStyle w:val="BMSTableText"/>
              <w:keepNext/>
              <w:keepLines/>
              <w:spacing w:before="0" w:after="40"/>
            </w:pPr>
          </w:p>
        </w:tc>
        <w:tc>
          <w:tcPr>
            <w:tcW w:w="1021" w:type="pct"/>
            <w:tcBorders>
              <w:top w:val="nil"/>
              <w:bottom w:val="nil"/>
            </w:tcBorders>
            <w:shd w:val="clear" w:color="auto" w:fill="auto"/>
            <w:vAlign w:val="center"/>
          </w:tcPr>
          <w:p w14:paraId="5A9F9947" w14:textId="77777777" w:rsidR="00C659AE" w:rsidRPr="00E942C4" w:rsidRDefault="00C659AE" w:rsidP="004D7D64">
            <w:pPr>
              <w:pStyle w:val="BMSTableText"/>
              <w:keepNext/>
              <w:keepLines/>
              <w:spacing w:before="0" w:after="40"/>
            </w:pPr>
          </w:p>
        </w:tc>
      </w:tr>
      <w:tr w:rsidR="00C659AE" w:rsidRPr="008D64FF" w14:paraId="76FE12E1" w14:textId="77777777" w:rsidTr="00C659AE">
        <w:trPr>
          <w:trHeight w:val="243"/>
        </w:trPr>
        <w:tc>
          <w:tcPr>
            <w:tcW w:w="1938" w:type="pct"/>
            <w:tcBorders>
              <w:top w:val="nil"/>
              <w:bottom w:val="nil"/>
            </w:tcBorders>
            <w:vAlign w:val="center"/>
          </w:tcPr>
          <w:p w14:paraId="11268689"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r>
            <w:r w:rsidRPr="00E942C4">
              <w:rPr>
                <w:sz w:val="20"/>
                <w:szCs w:val="20"/>
              </w:rPr>
              <w:tab/>
              <w:t>At 6 months</w:t>
            </w:r>
          </w:p>
        </w:tc>
        <w:tc>
          <w:tcPr>
            <w:tcW w:w="1020" w:type="pct"/>
            <w:tcBorders>
              <w:top w:val="nil"/>
              <w:bottom w:val="nil"/>
            </w:tcBorders>
            <w:shd w:val="clear" w:color="auto" w:fill="auto"/>
            <w:vAlign w:val="center"/>
          </w:tcPr>
          <w:p w14:paraId="0E03F576" w14:textId="77777777" w:rsidR="00C659AE" w:rsidRPr="00E942C4" w:rsidRDefault="00C659AE" w:rsidP="004D7D64">
            <w:pPr>
              <w:pStyle w:val="BMSTableText"/>
              <w:keepNext/>
              <w:keepLines/>
              <w:spacing w:before="0" w:after="40"/>
            </w:pPr>
            <w:r w:rsidRPr="00E942C4">
              <w:t>52 (46,57)</w:t>
            </w:r>
          </w:p>
        </w:tc>
        <w:tc>
          <w:tcPr>
            <w:tcW w:w="1021" w:type="pct"/>
            <w:tcBorders>
              <w:top w:val="nil"/>
              <w:bottom w:val="nil"/>
            </w:tcBorders>
            <w:vAlign w:val="center"/>
          </w:tcPr>
          <w:p w14:paraId="48EC727A" w14:textId="77777777" w:rsidR="00C659AE" w:rsidRPr="00E942C4" w:rsidRDefault="00C659AE" w:rsidP="004D7D64">
            <w:pPr>
              <w:pStyle w:val="BMSTableText"/>
              <w:keepNext/>
              <w:keepLines/>
              <w:spacing w:before="0" w:after="40"/>
            </w:pPr>
            <w:r w:rsidRPr="00E942C4">
              <w:t>62 (52,67)</w:t>
            </w:r>
          </w:p>
        </w:tc>
        <w:tc>
          <w:tcPr>
            <w:tcW w:w="1021" w:type="pct"/>
            <w:tcBorders>
              <w:top w:val="nil"/>
              <w:bottom w:val="nil"/>
            </w:tcBorders>
            <w:shd w:val="clear" w:color="auto" w:fill="auto"/>
            <w:vAlign w:val="center"/>
          </w:tcPr>
          <w:p w14:paraId="31F09E85" w14:textId="77777777" w:rsidR="00C659AE" w:rsidRPr="00E942C4" w:rsidRDefault="00C659AE" w:rsidP="004D7D64">
            <w:pPr>
              <w:pStyle w:val="BMSTableText"/>
              <w:keepNext/>
              <w:keepLines/>
              <w:spacing w:before="0" w:after="40"/>
            </w:pPr>
            <w:r w:rsidRPr="00E942C4">
              <w:t>29 (24, 34)</w:t>
            </w:r>
          </w:p>
        </w:tc>
      </w:tr>
      <w:tr w:rsidR="00C659AE" w:rsidRPr="008D64FF" w14:paraId="4CF38E92" w14:textId="77777777" w:rsidTr="00C659AE">
        <w:trPr>
          <w:trHeight w:val="243"/>
        </w:trPr>
        <w:tc>
          <w:tcPr>
            <w:tcW w:w="1938" w:type="pct"/>
            <w:tcBorders>
              <w:top w:val="nil"/>
              <w:bottom w:val="nil"/>
            </w:tcBorders>
            <w:vAlign w:val="center"/>
          </w:tcPr>
          <w:p w14:paraId="0C273548"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r>
            <w:r w:rsidRPr="00E942C4">
              <w:rPr>
                <w:sz w:val="20"/>
                <w:szCs w:val="20"/>
              </w:rPr>
              <w:tab/>
              <w:t>At 9 months</w:t>
            </w:r>
          </w:p>
        </w:tc>
        <w:tc>
          <w:tcPr>
            <w:tcW w:w="1020" w:type="pct"/>
            <w:tcBorders>
              <w:top w:val="nil"/>
              <w:bottom w:val="nil"/>
            </w:tcBorders>
            <w:shd w:val="clear" w:color="auto" w:fill="auto"/>
            <w:vAlign w:val="center"/>
          </w:tcPr>
          <w:p w14:paraId="5733C23A" w14:textId="77777777" w:rsidR="00C659AE" w:rsidRPr="00E942C4" w:rsidRDefault="00C659AE" w:rsidP="004D7D64">
            <w:pPr>
              <w:pStyle w:val="BMSTableText"/>
              <w:keepNext/>
              <w:keepLines/>
              <w:spacing w:before="0" w:after="40"/>
            </w:pPr>
            <w:r w:rsidRPr="00E942C4">
              <w:t>45 (40, 51)</w:t>
            </w:r>
          </w:p>
        </w:tc>
        <w:tc>
          <w:tcPr>
            <w:tcW w:w="1021" w:type="pct"/>
            <w:tcBorders>
              <w:top w:val="nil"/>
              <w:bottom w:val="nil"/>
            </w:tcBorders>
            <w:vAlign w:val="center"/>
          </w:tcPr>
          <w:p w14:paraId="77AF1850" w14:textId="77777777" w:rsidR="00C659AE" w:rsidRPr="00E942C4" w:rsidRDefault="00C659AE" w:rsidP="004D7D64">
            <w:pPr>
              <w:pStyle w:val="BMSTableText"/>
              <w:keepNext/>
              <w:keepLines/>
              <w:spacing w:before="0" w:after="40"/>
            </w:pPr>
            <w:r w:rsidRPr="00E942C4">
              <w:t>56 (50, 61)</w:t>
            </w:r>
          </w:p>
        </w:tc>
        <w:tc>
          <w:tcPr>
            <w:tcW w:w="1021" w:type="pct"/>
            <w:tcBorders>
              <w:top w:val="nil"/>
              <w:bottom w:val="nil"/>
            </w:tcBorders>
            <w:shd w:val="clear" w:color="auto" w:fill="auto"/>
            <w:vAlign w:val="center"/>
          </w:tcPr>
          <w:p w14:paraId="1344AED3" w14:textId="77777777" w:rsidR="00C659AE" w:rsidRPr="00E942C4" w:rsidRDefault="00C659AE" w:rsidP="004D7D64">
            <w:pPr>
              <w:pStyle w:val="BMSTableText"/>
              <w:keepNext/>
              <w:keepLines/>
              <w:spacing w:before="0" w:after="40"/>
            </w:pPr>
            <w:r w:rsidRPr="00E942C4">
              <w:t>21 (17, 26)</w:t>
            </w:r>
          </w:p>
        </w:tc>
      </w:tr>
      <w:tr w:rsidR="00C659AE" w:rsidRPr="008D64FF" w14:paraId="2C91B196" w14:textId="77777777" w:rsidTr="00C659AE">
        <w:trPr>
          <w:trHeight w:val="243"/>
        </w:trPr>
        <w:tc>
          <w:tcPr>
            <w:tcW w:w="1938" w:type="pct"/>
            <w:tcBorders>
              <w:top w:val="single" w:sz="4" w:space="0" w:color="auto"/>
              <w:bottom w:val="nil"/>
            </w:tcBorders>
            <w:vAlign w:val="center"/>
          </w:tcPr>
          <w:p w14:paraId="36B1608A" w14:textId="77777777" w:rsidR="00C659AE" w:rsidRPr="00E942C4" w:rsidRDefault="00C659AE" w:rsidP="004D7D64">
            <w:pPr>
              <w:pStyle w:val="BMSTableText"/>
              <w:keepNext/>
              <w:keepLines/>
              <w:tabs>
                <w:tab w:val="right" w:pos="2880"/>
              </w:tabs>
              <w:spacing w:before="0" w:after="40"/>
              <w:jc w:val="left"/>
              <w:rPr>
                <w:b/>
              </w:rPr>
            </w:pPr>
            <w:r w:rsidRPr="00E942C4">
              <w:rPr>
                <w:b/>
              </w:rPr>
              <w:t xml:space="preserve">Objective response </w:t>
            </w:r>
          </w:p>
        </w:tc>
        <w:tc>
          <w:tcPr>
            <w:tcW w:w="1020" w:type="pct"/>
            <w:tcBorders>
              <w:top w:val="single" w:sz="4" w:space="0" w:color="auto"/>
              <w:bottom w:val="nil"/>
            </w:tcBorders>
            <w:shd w:val="clear" w:color="auto" w:fill="auto"/>
            <w:vAlign w:val="center"/>
          </w:tcPr>
          <w:p w14:paraId="4DD15E61" w14:textId="77777777" w:rsidR="00C659AE" w:rsidRPr="00E942C4" w:rsidRDefault="00C659AE" w:rsidP="004D7D64">
            <w:pPr>
              <w:pStyle w:val="BMSTableText"/>
              <w:keepNext/>
              <w:keepLines/>
              <w:spacing w:before="0" w:after="40"/>
            </w:pPr>
            <w:r w:rsidRPr="00E942C4">
              <w:t>138 (44%)</w:t>
            </w:r>
          </w:p>
        </w:tc>
        <w:tc>
          <w:tcPr>
            <w:tcW w:w="1021" w:type="pct"/>
            <w:tcBorders>
              <w:top w:val="single" w:sz="4" w:space="0" w:color="auto"/>
              <w:bottom w:val="nil"/>
            </w:tcBorders>
            <w:vAlign w:val="center"/>
          </w:tcPr>
          <w:p w14:paraId="741E9DAE" w14:textId="77777777" w:rsidR="00C659AE" w:rsidRPr="00E942C4" w:rsidRDefault="00C659AE" w:rsidP="004D7D64">
            <w:pPr>
              <w:pStyle w:val="BMSTableText"/>
              <w:keepNext/>
              <w:keepLines/>
              <w:spacing w:after="40"/>
            </w:pPr>
            <w:r w:rsidRPr="00E942C4">
              <w:t>181 (58%)</w:t>
            </w:r>
          </w:p>
        </w:tc>
        <w:tc>
          <w:tcPr>
            <w:tcW w:w="1021" w:type="pct"/>
            <w:tcBorders>
              <w:top w:val="single" w:sz="4" w:space="0" w:color="auto"/>
              <w:bottom w:val="nil"/>
            </w:tcBorders>
            <w:shd w:val="clear" w:color="auto" w:fill="auto"/>
            <w:vAlign w:val="center"/>
          </w:tcPr>
          <w:p w14:paraId="5594125F" w14:textId="77777777" w:rsidR="00C659AE" w:rsidRPr="00E942C4" w:rsidRDefault="00C659AE" w:rsidP="004D7D64">
            <w:pPr>
              <w:pStyle w:val="BMSTableText"/>
              <w:keepNext/>
              <w:keepLines/>
              <w:spacing w:after="40"/>
            </w:pPr>
            <w:r w:rsidRPr="00E942C4">
              <w:t>60 (19%)</w:t>
            </w:r>
          </w:p>
        </w:tc>
      </w:tr>
      <w:tr w:rsidR="00C659AE" w:rsidRPr="008D64FF" w14:paraId="634206B2" w14:textId="77777777" w:rsidTr="00C659AE">
        <w:trPr>
          <w:trHeight w:val="243"/>
        </w:trPr>
        <w:tc>
          <w:tcPr>
            <w:tcW w:w="1938" w:type="pct"/>
            <w:tcBorders>
              <w:top w:val="nil"/>
              <w:bottom w:val="nil"/>
            </w:tcBorders>
            <w:vAlign w:val="center"/>
          </w:tcPr>
          <w:p w14:paraId="6C56909F"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r>
            <w:r w:rsidRPr="00E942C4">
              <w:rPr>
                <w:sz w:val="20"/>
                <w:szCs w:val="20"/>
              </w:rPr>
              <w:tab/>
              <w:t>(95% CI)</w:t>
            </w:r>
          </w:p>
        </w:tc>
        <w:tc>
          <w:tcPr>
            <w:tcW w:w="1020" w:type="pct"/>
            <w:tcBorders>
              <w:top w:val="nil"/>
              <w:bottom w:val="nil"/>
            </w:tcBorders>
            <w:shd w:val="clear" w:color="auto" w:fill="auto"/>
            <w:vAlign w:val="center"/>
          </w:tcPr>
          <w:p w14:paraId="4FF70864" w14:textId="77777777" w:rsidR="00C659AE" w:rsidRPr="00E942C4" w:rsidRDefault="00C659AE" w:rsidP="004D7D64">
            <w:pPr>
              <w:pStyle w:val="BMSTableText"/>
              <w:keepNext/>
              <w:keepLines/>
              <w:spacing w:before="0" w:after="40"/>
            </w:pPr>
            <w:r w:rsidRPr="00E942C4">
              <w:t>(38.1,49.3)</w:t>
            </w:r>
          </w:p>
        </w:tc>
        <w:tc>
          <w:tcPr>
            <w:tcW w:w="1021" w:type="pct"/>
            <w:tcBorders>
              <w:top w:val="nil"/>
              <w:bottom w:val="nil"/>
            </w:tcBorders>
            <w:vAlign w:val="center"/>
          </w:tcPr>
          <w:p w14:paraId="5309BC11" w14:textId="77777777" w:rsidR="00C659AE" w:rsidRPr="00E942C4" w:rsidRDefault="00C659AE" w:rsidP="004D7D64">
            <w:pPr>
              <w:pStyle w:val="BMSTableText"/>
              <w:keepNext/>
              <w:keepLines/>
              <w:spacing w:before="0" w:after="40"/>
            </w:pPr>
            <w:r w:rsidRPr="00E942C4">
              <w:t>(52.0, 63.2)</w:t>
            </w:r>
          </w:p>
        </w:tc>
        <w:tc>
          <w:tcPr>
            <w:tcW w:w="1021" w:type="pct"/>
            <w:tcBorders>
              <w:top w:val="nil"/>
              <w:bottom w:val="nil"/>
            </w:tcBorders>
            <w:shd w:val="clear" w:color="auto" w:fill="auto"/>
            <w:vAlign w:val="center"/>
          </w:tcPr>
          <w:p w14:paraId="3780CCEA" w14:textId="77777777" w:rsidR="00C659AE" w:rsidRPr="00E942C4" w:rsidRDefault="00C659AE" w:rsidP="004D7D64">
            <w:pPr>
              <w:pStyle w:val="BMSTableText"/>
              <w:keepNext/>
              <w:keepLines/>
              <w:spacing w:before="0" w:after="40"/>
            </w:pPr>
            <w:r w:rsidRPr="00E942C4">
              <w:t>(14.9, 23.8)</w:t>
            </w:r>
          </w:p>
        </w:tc>
      </w:tr>
      <w:tr w:rsidR="00C659AE" w:rsidRPr="008D64FF" w14:paraId="5C7B999D" w14:textId="77777777" w:rsidTr="00C659AE">
        <w:trPr>
          <w:trHeight w:val="243"/>
        </w:trPr>
        <w:tc>
          <w:tcPr>
            <w:tcW w:w="1938" w:type="pct"/>
            <w:tcBorders>
              <w:top w:val="nil"/>
              <w:bottom w:val="nil"/>
            </w:tcBorders>
            <w:vAlign w:val="center"/>
          </w:tcPr>
          <w:p w14:paraId="7707C4C2"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 xml:space="preserve">Odds ratio (vs </w:t>
            </w:r>
            <w:proofErr w:type="spellStart"/>
            <w:r w:rsidRPr="00E942C4">
              <w:rPr>
                <w:sz w:val="20"/>
                <w:szCs w:val="20"/>
              </w:rPr>
              <w:t>ipilimumab</w:t>
            </w:r>
            <w:proofErr w:type="spellEnd"/>
            <w:r w:rsidRPr="00E942C4">
              <w:rPr>
                <w:sz w:val="20"/>
                <w:szCs w:val="20"/>
              </w:rPr>
              <w:t>)</w:t>
            </w:r>
          </w:p>
        </w:tc>
        <w:tc>
          <w:tcPr>
            <w:tcW w:w="1020" w:type="pct"/>
            <w:tcBorders>
              <w:top w:val="nil"/>
              <w:bottom w:val="nil"/>
            </w:tcBorders>
            <w:shd w:val="clear" w:color="auto" w:fill="auto"/>
            <w:vAlign w:val="center"/>
          </w:tcPr>
          <w:p w14:paraId="00144E7A" w14:textId="77777777" w:rsidR="00C659AE" w:rsidRPr="00E942C4" w:rsidRDefault="00C659AE" w:rsidP="004D7D64">
            <w:pPr>
              <w:pStyle w:val="BMSTableText"/>
              <w:keepNext/>
              <w:keepLines/>
              <w:spacing w:before="0" w:after="40"/>
            </w:pPr>
            <w:r w:rsidRPr="00E942C4">
              <w:t>3.40</w:t>
            </w:r>
          </w:p>
        </w:tc>
        <w:tc>
          <w:tcPr>
            <w:tcW w:w="1021" w:type="pct"/>
            <w:tcBorders>
              <w:top w:val="nil"/>
              <w:bottom w:val="nil"/>
            </w:tcBorders>
            <w:vAlign w:val="center"/>
          </w:tcPr>
          <w:p w14:paraId="26134582" w14:textId="77777777" w:rsidR="00C659AE" w:rsidRPr="00E942C4" w:rsidRDefault="00C659AE" w:rsidP="004D7D64">
            <w:pPr>
              <w:pStyle w:val="BMSTableText"/>
              <w:keepNext/>
              <w:keepLines/>
              <w:spacing w:before="0" w:after="40"/>
            </w:pPr>
            <w:r w:rsidRPr="00E942C4">
              <w:t>6.11</w:t>
            </w:r>
          </w:p>
        </w:tc>
        <w:tc>
          <w:tcPr>
            <w:tcW w:w="1021" w:type="pct"/>
            <w:tcBorders>
              <w:top w:val="nil"/>
              <w:bottom w:val="nil"/>
            </w:tcBorders>
            <w:shd w:val="clear" w:color="auto" w:fill="auto"/>
            <w:vAlign w:val="center"/>
          </w:tcPr>
          <w:p w14:paraId="4C5E65FE" w14:textId="77777777" w:rsidR="00C659AE" w:rsidRPr="00E942C4" w:rsidRDefault="00C659AE" w:rsidP="004D7D64">
            <w:pPr>
              <w:pStyle w:val="BMSTableText"/>
              <w:keepNext/>
              <w:keepLines/>
              <w:spacing w:before="0" w:after="40"/>
            </w:pPr>
          </w:p>
        </w:tc>
      </w:tr>
      <w:tr w:rsidR="00C659AE" w:rsidRPr="008D64FF" w14:paraId="646CA0B9" w14:textId="77777777" w:rsidTr="00C659AE">
        <w:trPr>
          <w:trHeight w:val="243"/>
        </w:trPr>
        <w:tc>
          <w:tcPr>
            <w:tcW w:w="1938" w:type="pct"/>
            <w:tcBorders>
              <w:top w:val="nil"/>
              <w:bottom w:val="nil"/>
            </w:tcBorders>
            <w:vAlign w:val="center"/>
          </w:tcPr>
          <w:p w14:paraId="0CC0FBCC"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r>
            <w:r w:rsidRPr="00E942C4">
              <w:rPr>
                <w:sz w:val="20"/>
                <w:szCs w:val="20"/>
              </w:rPr>
              <w:tab/>
              <w:t>(95% CI)</w:t>
            </w:r>
          </w:p>
        </w:tc>
        <w:tc>
          <w:tcPr>
            <w:tcW w:w="1020" w:type="pct"/>
            <w:tcBorders>
              <w:top w:val="nil"/>
              <w:bottom w:val="nil"/>
            </w:tcBorders>
            <w:shd w:val="clear" w:color="auto" w:fill="auto"/>
            <w:vAlign w:val="center"/>
          </w:tcPr>
          <w:p w14:paraId="628879D4" w14:textId="77777777" w:rsidR="00C659AE" w:rsidRPr="00E942C4" w:rsidRDefault="00C659AE" w:rsidP="004D7D64">
            <w:pPr>
              <w:pStyle w:val="BMSTableText"/>
              <w:keepNext/>
              <w:keepLines/>
              <w:spacing w:before="0" w:after="40"/>
            </w:pPr>
            <w:r w:rsidRPr="00E942C4">
              <w:t>(2.02, 5.72)</w:t>
            </w:r>
          </w:p>
        </w:tc>
        <w:tc>
          <w:tcPr>
            <w:tcW w:w="1021" w:type="pct"/>
            <w:tcBorders>
              <w:top w:val="nil"/>
              <w:bottom w:val="nil"/>
            </w:tcBorders>
            <w:vAlign w:val="center"/>
          </w:tcPr>
          <w:p w14:paraId="28B6A71D" w14:textId="77777777" w:rsidR="00C659AE" w:rsidRPr="00E942C4" w:rsidRDefault="00C659AE" w:rsidP="004D7D64">
            <w:pPr>
              <w:pStyle w:val="BMSTableText"/>
              <w:keepNext/>
              <w:keepLines/>
              <w:spacing w:before="0" w:after="40"/>
            </w:pPr>
            <w:r w:rsidRPr="00E942C4">
              <w:t>(3.59, 10.38)</w:t>
            </w:r>
          </w:p>
        </w:tc>
        <w:tc>
          <w:tcPr>
            <w:tcW w:w="1021" w:type="pct"/>
            <w:tcBorders>
              <w:top w:val="nil"/>
              <w:bottom w:val="nil"/>
            </w:tcBorders>
            <w:shd w:val="clear" w:color="auto" w:fill="auto"/>
            <w:vAlign w:val="center"/>
          </w:tcPr>
          <w:p w14:paraId="0235C8FF" w14:textId="77777777" w:rsidR="00C659AE" w:rsidRPr="00E942C4" w:rsidRDefault="00C659AE" w:rsidP="004D7D64">
            <w:pPr>
              <w:pStyle w:val="BMSTableText"/>
              <w:keepNext/>
              <w:keepLines/>
              <w:spacing w:before="0" w:after="40"/>
            </w:pPr>
          </w:p>
        </w:tc>
      </w:tr>
      <w:tr w:rsidR="00C659AE" w:rsidRPr="008D64FF" w14:paraId="58516AAC" w14:textId="77777777" w:rsidTr="00C659AE">
        <w:trPr>
          <w:trHeight w:val="243"/>
        </w:trPr>
        <w:tc>
          <w:tcPr>
            <w:tcW w:w="1938" w:type="pct"/>
            <w:tcBorders>
              <w:top w:val="nil"/>
              <w:bottom w:val="nil"/>
            </w:tcBorders>
            <w:vAlign w:val="center"/>
          </w:tcPr>
          <w:p w14:paraId="365EBAFE"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r>
            <w:r w:rsidRPr="00E942C4">
              <w:rPr>
                <w:sz w:val="20"/>
                <w:szCs w:val="20"/>
              </w:rPr>
              <w:tab/>
              <w:t>p-value</w:t>
            </w:r>
          </w:p>
        </w:tc>
        <w:tc>
          <w:tcPr>
            <w:tcW w:w="1020" w:type="pct"/>
            <w:tcBorders>
              <w:top w:val="nil"/>
              <w:bottom w:val="nil"/>
            </w:tcBorders>
            <w:shd w:val="clear" w:color="auto" w:fill="auto"/>
            <w:vAlign w:val="center"/>
          </w:tcPr>
          <w:p w14:paraId="6B386E53" w14:textId="77777777" w:rsidR="00C659AE" w:rsidRPr="00E942C4" w:rsidRDefault="00C659AE" w:rsidP="004D7D64">
            <w:pPr>
              <w:pStyle w:val="BMSTableText"/>
              <w:keepNext/>
              <w:keepLines/>
              <w:spacing w:before="0" w:after="40"/>
            </w:pPr>
            <w:r w:rsidRPr="00E942C4">
              <w:t>p&lt;0.0001</w:t>
            </w:r>
          </w:p>
        </w:tc>
        <w:tc>
          <w:tcPr>
            <w:tcW w:w="1021" w:type="pct"/>
            <w:tcBorders>
              <w:top w:val="nil"/>
              <w:bottom w:val="nil"/>
            </w:tcBorders>
            <w:vAlign w:val="center"/>
          </w:tcPr>
          <w:p w14:paraId="6EED4E00" w14:textId="77777777" w:rsidR="00C659AE" w:rsidRPr="00E942C4" w:rsidRDefault="00C659AE" w:rsidP="004D7D64">
            <w:pPr>
              <w:pStyle w:val="BMSTableText"/>
              <w:keepNext/>
              <w:keepLines/>
              <w:spacing w:before="0" w:after="40"/>
            </w:pPr>
            <w:r w:rsidRPr="00E942C4">
              <w:t>p&lt;0.0001</w:t>
            </w:r>
          </w:p>
        </w:tc>
        <w:tc>
          <w:tcPr>
            <w:tcW w:w="1021" w:type="pct"/>
            <w:tcBorders>
              <w:top w:val="nil"/>
              <w:bottom w:val="nil"/>
            </w:tcBorders>
            <w:shd w:val="clear" w:color="auto" w:fill="auto"/>
            <w:vAlign w:val="center"/>
          </w:tcPr>
          <w:p w14:paraId="20D64CEA" w14:textId="77777777" w:rsidR="00C659AE" w:rsidRPr="00E942C4" w:rsidRDefault="00C659AE" w:rsidP="004D7D64">
            <w:pPr>
              <w:pStyle w:val="BMSTableText"/>
              <w:keepNext/>
              <w:keepLines/>
              <w:spacing w:before="0" w:after="40"/>
            </w:pPr>
          </w:p>
        </w:tc>
      </w:tr>
      <w:tr w:rsidR="00C659AE" w:rsidRPr="008D64FF" w14:paraId="6A28E313" w14:textId="77777777" w:rsidTr="00C659AE">
        <w:trPr>
          <w:trHeight w:val="243"/>
        </w:trPr>
        <w:tc>
          <w:tcPr>
            <w:tcW w:w="1938" w:type="pct"/>
            <w:tcBorders>
              <w:top w:val="nil"/>
              <w:bottom w:val="nil"/>
            </w:tcBorders>
            <w:vAlign w:val="center"/>
          </w:tcPr>
          <w:p w14:paraId="46763521"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Complete response (CR)</w:t>
            </w:r>
          </w:p>
        </w:tc>
        <w:tc>
          <w:tcPr>
            <w:tcW w:w="1020" w:type="pct"/>
            <w:tcBorders>
              <w:top w:val="nil"/>
              <w:bottom w:val="nil"/>
            </w:tcBorders>
            <w:shd w:val="clear" w:color="auto" w:fill="auto"/>
            <w:vAlign w:val="center"/>
          </w:tcPr>
          <w:p w14:paraId="3FE11B5D" w14:textId="77777777" w:rsidR="00C659AE" w:rsidRPr="00E942C4" w:rsidRDefault="00C659AE" w:rsidP="004D7D64">
            <w:pPr>
              <w:pStyle w:val="BMSTableText"/>
              <w:keepNext/>
              <w:keepLines/>
              <w:spacing w:before="0" w:after="40"/>
            </w:pPr>
            <w:r w:rsidRPr="00E942C4">
              <w:t>28 (9%)</w:t>
            </w:r>
          </w:p>
        </w:tc>
        <w:tc>
          <w:tcPr>
            <w:tcW w:w="1021" w:type="pct"/>
            <w:tcBorders>
              <w:top w:val="nil"/>
              <w:bottom w:val="nil"/>
            </w:tcBorders>
            <w:vAlign w:val="center"/>
          </w:tcPr>
          <w:p w14:paraId="39E39999" w14:textId="77777777" w:rsidR="00C659AE" w:rsidRPr="00E942C4" w:rsidRDefault="00C659AE" w:rsidP="004D7D64">
            <w:pPr>
              <w:pStyle w:val="BMSTableText"/>
              <w:keepNext/>
              <w:keepLines/>
              <w:spacing w:before="0" w:after="40"/>
            </w:pPr>
            <w:r w:rsidRPr="00E942C4">
              <w:t>36 (11%)</w:t>
            </w:r>
          </w:p>
        </w:tc>
        <w:tc>
          <w:tcPr>
            <w:tcW w:w="1021" w:type="pct"/>
            <w:tcBorders>
              <w:top w:val="nil"/>
              <w:bottom w:val="nil"/>
            </w:tcBorders>
            <w:shd w:val="clear" w:color="auto" w:fill="auto"/>
            <w:vAlign w:val="center"/>
          </w:tcPr>
          <w:p w14:paraId="6B88621D" w14:textId="77777777" w:rsidR="00C659AE" w:rsidRPr="00E942C4" w:rsidRDefault="00C659AE" w:rsidP="004D7D64">
            <w:pPr>
              <w:pStyle w:val="BMSTableText"/>
              <w:keepNext/>
              <w:keepLines/>
              <w:spacing w:before="0" w:after="40"/>
            </w:pPr>
            <w:r w:rsidRPr="00E942C4">
              <w:t>7 (2%)</w:t>
            </w:r>
          </w:p>
        </w:tc>
      </w:tr>
      <w:tr w:rsidR="00C659AE" w:rsidRPr="008D64FF" w14:paraId="22C28945" w14:textId="77777777" w:rsidTr="00C659AE">
        <w:trPr>
          <w:trHeight w:val="243"/>
        </w:trPr>
        <w:tc>
          <w:tcPr>
            <w:tcW w:w="1938" w:type="pct"/>
            <w:tcBorders>
              <w:top w:val="nil"/>
              <w:bottom w:val="nil"/>
            </w:tcBorders>
            <w:vAlign w:val="center"/>
          </w:tcPr>
          <w:p w14:paraId="3D9C4983"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Partial response (PR)</w:t>
            </w:r>
          </w:p>
        </w:tc>
        <w:tc>
          <w:tcPr>
            <w:tcW w:w="1020" w:type="pct"/>
            <w:tcBorders>
              <w:top w:val="nil"/>
              <w:bottom w:val="nil"/>
            </w:tcBorders>
            <w:shd w:val="clear" w:color="auto" w:fill="auto"/>
            <w:vAlign w:val="center"/>
          </w:tcPr>
          <w:p w14:paraId="2FBCF8DD" w14:textId="77777777" w:rsidR="00C659AE" w:rsidRPr="00E942C4" w:rsidRDefault="00C659AE" w:rsidP="004D7D64">
            <w:pPr>
              <w:pStyle w:val="BMSTableText"/>
              <w:keepNext/>
              <w:keepLines/>
              <w:spacing w:before="0" w:after="40"/>
            </w:pPr>
            <w:r w:rsidRPr="00E942C4">
              <w:t>110 (35%)</w:t>
            </w:r>
          </w:p>
        </w:tc>
        <w:tc>
          <w:tcPr>
            <w:tcW w:w="1021" w:type="pct"/>
            <w:tcBorders>
              <w:top w:val="nil"/>
              <w:bottom w:val="nil"/>
            </w:tcBorders>
            <w:vAlign w:val="center"/>
          </w:tcPr>
          <w:p w14:paraId="7FA3FAB1" w14:textId="77777777" w:rsidR="00C659AE" w:rsidRPr="00E942C4" w:rsidRDefault="00C659AE" w:rsidP="004D7D64">
            <w:pPr>
              <w:pStyle w:val="BMSTableText"/>
              <w:keepNext/>
              <w:keepLines/>
              <w:spacing w:before="0" w:after="40"/>
            </w:pPr>
            <w:r w:rsidRPr="00E942C4">
              <w:t>145 (46%)</w:t>
            </w:r>
          </w:p>
        </w:tc>
        <w:tc>
          <w:tcPr>
            <w:tcW w:w="1021" w:type="pct"/>
            <w:tcBorders>
              <w:top w:val="nil"/>
              <w:bottom w:val="nil"/>
            </w:tcBorders>
            <w:shd w:val="clear" w:color="auto" w:fill="auto"/>
            <w:vAlign w:val="center"/>
          </w:tcPr>
          <w:p w14:paraId="50D55249" w14:textId="77777777" w:rsidR="00C659AE" w:rsidRPr="00E942C4" w:rsidRDefault="00C659AE" w:rsidP="004D7D64">
            <w:pPr>
              <w:pStyle w:val="BMSTableText"/>
              <w:keepNext/>
              <w:keepLines/>
              <w:spacing w:before="0" w:after="40"/>
            </w:pPr>
            <w:r w:rsidRPr="00E942C4">
              <w:t>53 (17%)</w:t>
            </w:r>
          </w:p>
        </w:tc>
      </w:tr>
      <w:tr w:rsidR="00C659AE" w:rsidRPr="008D64FF" w14:paraId="47DC3006" w14:textId="77777777" w:rsidTr="00C659AE">
        <w:trPr>
          <w:trHeight w:val="243"/>
        </w:trPr>
        <w:tc>
          <w:tcPr>
            <w:tcW w:w="1938" w:type="pct"/>
            <w:tcBorders>
              <w:top w:val="nil"/>
              <w:bottom w:val="double" w:sz="4" w:space="0" w:color="auto"/>
            </w:tcBorders>
            <w:vAlign w:val="center"/>
          </w:tcPr>
          <w:p w14:paraId="1C18F23D" w14:textId="77777777" w:rsidR="00C659AE" w:rsidRPr="00E942C4" w:rsidRDefault="00C659AE" w:rsidP="004D7D64">
            <w:pPr>
              <w:keepNext/>
              <w:keepLines/>
              <w:tabs>
                <w:tab w:val="left" w:pos="360"/>
              </w:tabs>
              <w:autoSpaceDE w:val="0"/>
              <w:autoSpaceDN w:val="0"/>
              <w:adjustRightInd w:val="0"/>
              <w:spacing w:before="60" w:after="40"/>
              <w:rPr>
                <w:sz w:val="20"/>
                <w:szCs w:val="20"/>
              </w:rPr>
            </w:pPr>
            <w:r w:rsidRPr="00E942C4">
              <w:rPr>
                <w:sz w:val="20"/>
                <w:szCs w:val="20"/>
              </w:rPr>
              <w:tab/>
              <w:t>Stable disease (SD)</w:t>
            </w:r>
          </w:p>
        </w:tc>
        <w:tc>
          <w:tcPr>
            <w:tcW w:w="1020" w:type="pct"/>
            <w:tcBorders>
              <w:top w:val="nil"/>
              <w:bottom w:val="double" w:sz="4" w:space="0" w:color="auto"/>
            </w:tcBorders>
            <w:shd w:val="clear" w:color="auto" w:fill="auto"/>
            <w:vAlign w:val="center"/>
          </w:tcPr>
          <w:p w14:paraId="0411BD4B" w14:textId="77777777" w:rsidR="00C659AE" w:rsidRPr="00E942C4" w:rsidRDefault="00C659AE" w:rsidP="004D7D64">
            <w:pPr>
              <w:pStyle w:val="BMSTableText"/>
              <w:keepNext/>
              <w:keepLines/>
              <w:spacing w:before="0" w:after="40"/>
            </w:pPr>
            <w:r w:rsidRPr="00E942C4">
              <w:t>34 (11%)</w:t>
            </w:r>
          </w:p>
        </w:tc>
        <w:tc>
          <w:tcPr>
            <w:tcW w:w="1021" w:type="pct"/>
            <w:tcBorders>
              <w:top w:val="nil"/>
              <w:bottom w:val="double" w:sz="4" w:space="0" w:color="auto"/>
            </w:tcBorders>
            <w:vAlign w:val="center"/>
          </w:tcPr>
          <w:p w14:paraId="3797A363" w14:textId="77777777" w:rsidR="00C659AE" w:rsidRPr="00E942C4" w:rsidRDefault="00C659AE" w:rsidP="004D7D64">
            <w:pPr>
              <w:pStyle w:val="BMSTableText"/>
              <w:keepNext/>
              <w:keepLines/>
              <w:spacing w:before="0" w:after="40"/>
            </w:pPr>
            <w:r w:rsidRPr="00E942C4">
              <w:t>41 (13%)</w:t>
            </w:r>
          </w:p>
        </w:tc>
        <w:tc>
          <w:tcPr>
            <w:tcW w:w="1021" w:type="pct"/>
            <w:tcBorders>
              <w:top w:val="nil"/>
              <w:bottom w:val="double" w:sz="4" w:space="0" w:color="auto"/>
            </w:tcBorders>
            <w:shd w:val="clear" w:color="auto" w:fill="auto"/>
            <w:vAlign w:val="center"/>
          </w:tcPr>
          <w:p w14:paraId="4F63EF32" w14:textId="77777777" w:rsidR="00C659AE" w:rsidRPr="00E942C4" w:rsidRDefault="00C659AE" w:rsidP="004D7D64">
            <w:pPr>
              <w:pStyle w:val="BMSTableText"/>
              <w:keepNext/>
              <w:keepLines/>
              <w:spacing w:before="0" w:after="40"/>
            </w:pPr>
            <w:r w:rsidRPr="00E942C4">
              <w:t>69 (22%)</w:t>
            </w:r>
          </w:p>
        </w:tc>
      </w:tr>
    </w:tbl>
    <w:p w14:paraId="652B2E5E" w14:textId="77777777" w:rsidR="00C659AE" w:rsidRDefault="00C659AE" w:rsidP="00C659AE">
      <w:pPr>
        <w:rPr>
          <w:b/>
          <w:lang w:eastAsia="ja-JP"/>
        </w:rPr>
      </w:pPr>
    </w:p>
    <w:p w14:paraId="023603AB" w14:textId="2DD17566" w:rsidR="00C659AE" w:rsidRPr="004D7D64" w:rsidRDefault="00C659AE" w:rsidP="00777194">
      <w:pPr>
        <w:keepNext/>
        <w:keepLines/>
        <w:widowControl w:val="0"/>
        <w:ind w:left="1440" w:hanging="1440"/>
        <w:rPr>
          <w:b/>
        </w:rPr>
      </w:pPr>
      <w:r w:rsidRPr="009B2F32">
        <w:rPr>
          <w:b/>
        </w:rPr>
        <w:lastRenderedPageBreak/>
        <w:t xml:space="preserve">Figure </w:t>
      </w:r>
      <w:r w:rsidR="00777194">
        <w:rPr>
          <w:b/>
        </w:rPr>
        <w:t>3</w:t>
      </w:r>
      <w:r w:rsidRPr="009B2F32">
        <w:rPr>
          <w:b/>
        </w:rPr>
        <w:tab/>
        <w:t xml:space="preserve">Progression-free Survival: </w:t>
      </w:r>
      <w:proofErr w:type="spellStart"/>
      <w:r w:rsidRPr="009B2F32">
        <w:rPr>
          <w:b/>
        </w:rPr>
        <w:t>Unresectable</w:t>
      </w:r>
      <w:proofErr w:type="spellEnd"/>
      <w:r w:rsidRPr="009B2F32">
        <w:rPr>
          <w:b/>
        </w:rPr>
        <w:t xml:space="preserve"> or Metastatic Melanoma (Study CA209067)</w:t>
      </w:r>
    </w:p>
    <w:p w14:paraId="6D3755B0" w14:textId="77777777" w:rsidR="00C659AE" w:rsidRDefault="00C659AE" w:rsidP="004D7D64">
      <w:pPr>
        <w:pStyle w:val="EMEABodyText"/>
        <w:keepNext/>
        <w:keepLines/>
        <w:widowControl w:val="0"/>
        <w:rPr>
          <w:b/>
          <w:sz w:val="24"/>
          <w:lang w:eastAsia="ja-JP"/>
        </w:rPr>
      </w:pPr>
      <w:r>
        <w:rPr>
          <w:noProof/>
          <w:sz w:val="24"/>
          <w:lang w:val="en-AU" w:eastAsia="en-AU"/>
        </w:rPr>
        <w:drawing>
          <wp:inline distT="0" distB="0" distL="0" distR="0" wp14:anchorId="57135690" wp14:editId="1BECBA77">
            <wp:extent cx="5724525" cy="52768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24525" cy="5276850"/>
                    </a:xfrm>
                    <a:prstGeom prst="rect">
                      <a:avLst/>
                    </a:prstGeom>
                    <a:noFill/>
                    <a:ln w="9525">
                      <a:noFill/>
                      <a:miter lim="800000"/>
                      <a:headEnd/>
                      <a:tailEnd/>
                    </a:ln>
                  </pic:spPr>
                </pic:pic>
              </a:graphicData>
            </a:graphic>
          </wp:inline>
        </w:drawing>
      </w:r>
    </w:p>
    <w:p w14:paraId="7EDF4556" w14:textId="77777777" w:rsidR="00C659AE" w:rsidRPr="008A2BFC" w:rsidRDefault="00C659AE" w:rsidP="009045DE">
      <w:pPr>
        <w:spacing w:before="240"/>
      </w:pPr>
      <w:r w:rsidRPr="008A2BFC">
        <w:t xml:space="preserve">At the time of this analysis, 76% (138/181) of </w:t>
      </w:r>
      <w:r>
        <w:t xml:space="preserve">responding </w:t>
      </w:r>
      <w:r w:rsidRPr="008A2BFC">
        <w:t>patients randomi</w:t>
      </w:r>
      <w:r>
        <w:t>s</w:t>
      </w:r>
      <w:r w:rsidRPr="008A2BFC">
        <w:t xml:space="preserve">ed to </w:t>
      </w:r>
      <w:proofErr w:type="spellStart"/>
      <w:r w:rsidRPr="008A2BFC">
        <w:t>nivolumab</w:t>
      </w:r>
      <w:proofErr w:type="spellEnd"/>
      <w:r w:rsidRPr="008A2BFC">
        <w:t xml:space="preserve"> in combination with </w:t>
      </w:r>
      <w:proofErr w:type="spellStart"/>
      <w:r w:rsidRPr="008A2BFC">
        <w:t>ipilimumab</w:t>
      </w:r>
      <w:proofErr w:type="spellEnd"/>
      <w:r w:rsidRPr="008A2BFC">
        <w:t xml:space="preserve"> and 78% (107/13</w:t>
      </w:r>
      <w:r>
        <w:t>8</w:t>
      </w:r>
      <w:r w:rsidRPr="008A2BFC">
        <w:t xml:space="preserve">) of </w:t>
      </w:r>
      <w:r>
        <w:t xml:space="preserve">responding </w:t>
      </w:r>
      <w:r w:rsidRPr="008A2BFC">
        <w:t>patients randomi</w:t>
      </w:r>
      <w:r>
        <w:t>s</w:t>
      </w:r>
      <w:r w:rsidRPr="008A2BFC">
        <w:t xml:space="preserve">ed to </w:t>
      </w:r>
      <w:proofErr w:type="spellStart"/>
      <w:r w:rsidRPr="008A2BFC">
        <w:t>nivolumab</w:t>
      </w:r>
      <w:proofErr w:type="spellEnd"/>
      <w:r w:rsidRPr="008A2BFC">
        <w:t xml:space="preserve"> monotherapy had ongoing responses, which included 123 patients and 93 patients, respectively, with durable responses of 6 months or longer. Responses were observed within the first 3 months for 94 of the 181 patients with an objective response to </w:t>
      </w:r>
      <w:proofErr w:type="spellStart"/>
      <w:r w:rsidRPr="008A2BFC">
        <w:t>nivolumab</w:t>
      </w:r>
      <w:proofErr w:type="spellEnd"/>
      <w:r w:rsidRPr="008A2BFC">
        <w:t xml:space="preserve"> in combination with </w:t>
      </w:r>
      <w:proofErr w:type="spellStart"/>
      <w:r w:rsidRPr="008A2BFC">
        <w:t>ipilimumab</w:t>
      </w:r>
      <w:proofErr w:type="spellEnd"/>
      <w:r w:rsidRPr="008A2BFC">
        <w:t xml:space="preserve"> and 69 of the 138 patients with an objective response to </w:t>
      </w:r>
      <w:proofErr w:type="spellStart"/>
      <w:r w:rsidRPr="008A2BFC">
        <w:t>nivolumab</w:t>
      </w:r>
      <w:proofErr w:type="spellEnd"/>
      <w:r w:rsidRPr="008A2BFC">
        <w:t xml:space="preserve"> monotherapy. The observed PFS and ORR results for </w:t>
      </w:r>
      <w:proofErr w:type="spellStart"/>
      <w:r w:rsidRPr="008A2BFC">
        <w:t>nivolumab</w:t>
      </w:r>
      <w:proofErr w:type="spellEnd"/>
      <w:r w:rsidRPr="008A2BFC">
        <w:t xml:space="preserve"> in combination with </w:t>
      </w:r>
      <w:proofErr w:type="spellStart"/>
      <w:r w:rsidRPr="008A2BFC">
        <w:t>ipilimumab</w:t>
      </w:r>
      <w:proofErr w:type="spellEnd"/>
      <w:r w:rsidRPr="008A2BFC">
        <w:t xml:space="preserve"> and </w:t>
      </w:r>
      <w:proofErr w:type="spellStart"/>
      <w:r w:rsidRPr="008A2BFC">
        <w:t>nivolumab</w:t>
      </w:r>
      <w:proofErr w:type="spellEnd"/>
      <w:r w:rsidRPr="008A2BFC">
        <w:t xml:space="preserve"> monotherapy were consistently demonstrated across subgroups of patients including baseline ECOG performance status, BRAF status, M stage, age, history of brain metastases, and baseline LDH level.</w:t>
      </w:r>
    </w:p>
    <w:p w14:paraId="5673E382" w14:textId="1623B62B" w:rsidR="00C659AE" w:rsidRPr="008A2BFC" w:rsidRDefault="00C659AE" w:rsidP="009045DE">
      <w:r w:rsidRPr="008A2BFC">
        <w:t xml:space="preserve">Patients in the </w:t>
      </w:r>
      <w:proofErr w:type="spellStart"/>
      <w:r w:rsidRPr="008A2BFC">
        <w:t>nivolumab</w:t>
      </w:r>
      <w:proofErr w:type="spellEnd"/>
      <w:r w:rsidRPr="008A2BFC">
        <w:t xml:space="preserve"> in combination with </w:t>
      </w:r>
      <w:proofErr w:type="spellStart"/>
      <w:r w:rsidRPr="008A2BFC">
        <w:t>ipilimumab</w:t>
      </w:r>
      <w:proofErr w:type="spellEnd"/>
      <w:r w:rsidRPr="008A2BFC">
        <w:t xml:space="preserve"> and the </w:t>
      </w:r>
      <w:proofErr w:type="spellStart"/>
      <w:r w:rsidRPr="008A2BFC">
        <w:t>nivolumab</w:t>
      </w:r>
      <w:proofErr w:type="spellEnd"/>
      <w:r w:rsidRPr="008A2BFC">
        <w:t xml:space="preserve"> monotherapy arms had a median reduction in tumo</w:t>
      </w:r>
      <w:r>
        <w:t>u</w:t>
      </w:r>
      <w:r w:rsidRPr="008A2BFC">
        <w:t xml:space="preserve">r volume of 52% and 35%, respectively, while patients in the </w:t>
      </w:r>
      <w:proofErr w:type="spellStart"/>
      <w:r w:rsidRPr="008A2BFC">
        <w:t>ipilimumab</w:t>
      </w:r>
      <w:proofErr w:type="spellEnd"/>
      <w:r w:rsidRPr="008A2BFC">
        <w:t xml:space="preserve"> arm had a median increase in tumo</w:t>
      </w:r>
      <w:r>
        <w:t>u</w:t>
      </w:r>
      <w:r w:rsidR="009045DE">
        <w:t>r volume of 6%.</w:t>
      </w:r>
    </w:p>
    <w:p w14:paraId="36EBE864" w14:textId="77777777" w:rsidR="00C659AE" w:rsidRDefault="00C659AE" w:rsidP="008F1577">
      <w:pPr>
        <w:rPr>
          <w:lang w:val="en-GB"/>
        </w:rPr>
      </w:pPr>
      <w:r w:rsidRPr="008A2BFC">
        <w:rPr>
          <w:lang w:val="en-GB"/>
        </w:rPr>
        <w:t xml:space="preserve">Among 120 patients who discontinued </w:t>
      </w:r>
      <w:proofErr w:type="spellStart"/>
      <w:r w:rsidRPr="008A2BFC">
        <w:rPr>
          <w:lang w:val="en-GB"/>
        </w:rPr>
        <w:t>nivolumab</w:t>
      </w:r>
      <w:proofErr w:type="spellEnd"/>
      <w:r w:rsidRPr="008A2BFC">
        <w:rPr>
          <w:lang w:val="en-GB"/>
        </w:rPr>
        <w:t xml:space="preserve"> in combination with </w:t>
      </w:r>
      <w:proofErr w:type="spellStart"/>
      <w:r w:rsidRPr="008A2BFC">
        <w:rPr>
          <w:lang w:val="en-GB"/>
        </w:rPr>
        <w:t>ipilimumab</w:t>
      </w:r>
      <w:proofErr w:type="spellEnd"/>
      <w:r w:rsidRPr="008A2BFC">
        <w:rPr>
          <w:lang w:val="en-GB"/>
        </w:rPr>
        <w:t xml:space="preserve"> due to adverse reaction, median PFS was 11.7 months (95% CI: 9</w:t>
      </w:r>
      <w:r>
        <w:rPr>
          <w:lang w:val="en-GB"/>
        </w:rPr>
        <w:t>.</w:t>
      </w:r>
      <w:r w:rsidRPr="008A2BFC">
        <w:rPr>
          <w:lang w:val="en-GB"/>
        </w:rPr>
        <w:t>92, 16.72), and the ORR was 68% (81/120) with 15% (18/120) achieving a complete response.</w:t>
      </w:r>
    </w:p>
    <w:p w14:paraId="7CE6EC93" w14:textId="77777777" w:rsidR="00C659AE" w:rsidRPr="009B2F32" w:rsidRDefault="00C659AE" w:rsidP="004D7D64">
      <w:pPr>
        <w:keepNext/>
        <w:keepLines/>
        <w:widowControl w:val="0"/>
        <w:rPr>
          <w:b/>
        </w:rPr>
      </w:pPr>
      <w:proofErr w:type="gramStart"/>
      <w:r w:rsidRPr="009B2F32">
        <w:rPr>
          <w:b/>
        </w:rPr>
        <w:lastRenderedPageBreak/>
        <w:t>Efficacy in Stage IV metastatic melanoma by M-stage status.</w:t>
      </w:r>
      <w:proofErr w:type="gramEnd"/>
    </w:p>
    <w:p w14:paraId="420EC135" w14:textId="77777777" w:rsidR="00C659AE" w:rsidRPr="00F43172" w:rsidRDefault="00C659AE" w:rsidP="004D7D64">
      <w:pPr>
        <w:keepNext/>
        <w:keepLines/>
        <w:widowControl w:val="0"/>
        <w:rPr>
          <w:szCs w:val="20"/>
        </w:rPr>
      </w:pPr>
      <w:r w:rsidRPr="00F43172">
        <w:t xml:space="preserve">The majority of the patients had AJCC Stage IV disease </w:t>
      </w:r>
      <w:r>
        <w:t>(</w:t>
      </w:r>
      <w:r w:rsidRPr="00F43172">
        <w:t>93%</w:t>
      </w:r>
      <w:r>
        <w:t>,</w:t>
      </w:r>
      <w:r w:rsidRPr="00F43172">
        <w:t xml:space="preserve"> n=881); of these patients, 63% (n=559) had M1c disease and 37% (n=322) had M1a/M1b disease at study entry.</w:t>
      </w:r>
      <w:r w:rsidRPr="00F43172">
        <w:rPr>
          <w:szCs w:val="20"/>
        </w:rPr>
        <w:t xml:space="preserve"> </w:t>
      </w:r>
    </w:p>
    <w:p w14:paraId="4B16E732" w14:textId="4C3EE6D0" w:rsidR="00C659AE" w:rsidRDefault="00C659AE" w:rsidP="009045DE">
      <w:r w:rsidRPr="00F43172">
        <w:t xml:space="preserve">The combination of </w:t>
      </w:r>
      <w:proofErr w:type="spellStart"/>
      <w:r w:rsidRPr="00F43172">
        <w:t>nivolumab</w:t>
      </w:r>
      <w:proofErr w:type="spellEnd"/>
      <w:r w:rsidRPr="00F43172">
        <w:t xml:space="preserve"> and </w:t>
      </w:r>
      <w:proofErr w:type="spellStart"/>
      <w:r w:rsidRPr="00F43172">
        <w:t>ipilimumab</w:t>
      </w:r>
      <w:proofErr w:type="spellEnd"/>
      <w:r w:rsidRPr="00F43172">
        <w:t xml:space="preserve"> demonstrated longer PFS over </w:t>
      </w:r>
      <w:proofErr w:type="spellStart"/>
      <w:r w:rsidRPr="00F43172">
        <w:t>nivolumab</w:t>
      </w:r>
      <w:proofErr w:type="spellEnd"/>
      <w:r w:rsidRPr="00F43172">
        <w:t xml:space="preserve"> monotherapy in Stage IV patients (HR 0.75; 95% CI: 0.60, 0.94) </w:t>
      </w:r>
      <w:r>
        <w:t xml:space="preserve">and </w:t>
      </w:r>
      <w:proofErr w:type="spellStart"/>
      <w:r>
        <w:t>ipilimumab</w:t>
      </w:r>
      <w:proofErr w:type="spellEnd"/>
      <w:r>
        <w:t xml:space="preserve"> monotherapy (HR 0.43; 95% CI: 0.35, 0.54) </w:t>
      </w:r>
      <w:r w:rsidRPr="00F43172">
        <w:t xml:space="preserve">(Table </w:t>
      </w:r>
      <w:r w:rsidR="00736CE8">
        <w:t>8</w:t>
      </w:r>
      <w:r w:rsidRPr="00F43172">
        <w:t xml:space="preserve">). </w:t>
      </w:r>
    </w:p>
    <w:p w14:paraId="48B033F1" w14:textId="242992F4" w:rsidR="00C659AE" w:rsidRPr="00F43172" w:rsidRDefault="00C659AE" w:rsidP="009045DE">
      <w:r w:rsidRPr="00F43172">
        <w:t>In addition, a higher objective response rate (ORR) was reported in Stage IV patients randomi</w:t>
      </w:r>
      <w:r>
        <w:t>s</w:t>
      </w:r>
      <w:r w:rsidRPr="00F43172">
        <w:t xml:space="preserve">ed to the combination (57.2%; 95% CI: 51.4, 62.9) than to </w:t>
      </w:r>
      <w:proofErr w:type="spellStart"/>
      <w:r w:rsidRPr="00F43172">
        <w:t>nivolumab</w:t>
      </w:r>
      <w:proofErr w:type="spellEnd"/>
      <w:r w:rsidRPr="00F43172">
        <w:t xml:space="preserve"> monotherapy (42.6%; 95% CI: 36.9, 48.5)</w:t>
      </w:r>
      <w:r>
        <w:t xml:space="preserve"> and </w:t>
      </w:r>
      <w:proofErr w:type="spellStart"/>
      <w:r>
        <w:t>ipilimumab</w:t>
      </w:r>
      <w:proofErr w:type="spellEnd"/>
      <w:r>
        <w:t xml:space="preserve"> monotherapy (18.1%; 95% CI 13.9, 23.0) (Table </w:t>
      </w:r>
      <w:r w:rsidR="00736CE8">
        <w:t>9</w:t>
      </w:r>
      <w:r>
        <w:t>)</w:t>
      </w:r>
      <w:r w:rsidRPr="00F43172">
        <w:t>.</w:t>
      </w:r>
    </w:p>
    <w:p w14:paraId="7726C1A2" w14:textId="0A7F67CD" w:rsidR="00C659AE" w:rsidRPr="00E942C4" w:rsidRDefault="00C659AE" w:rsidP="004D7D64">
      <w:pPr>
        <w:pStyle w:val="BMSBodyText"/>
        <w:keepNext/>
        <w:keepLines/>
        <w:widowControl w:val="0"/>
        <w:spacing w:line="240" w:lineRule="auto"/>
        <w:jc w:val="left"/>
        <w:rPr>
          <w:b/>
          <w:sz w:val="22"/>
          <w:szCs w:val="22"/>
        </w:rPr>
      </w:pPr>
      <w:bookmarkStart w:id="8" w:name="BMS_TBL_Table1_ww"/>
      <w:bookmarkStart w:id="9" w:name="BMS_TBL_Table1_StageIIIandStageIVPrede"/>
      <w:bookmarkStart w:id="10" w:name="TableTable1_"/>
      <w:bookmarkStart w:id="11" w:name="BMS_TBL_TableTable1_"/>
      <w:bookmarkStart w:id="12" w:name="TableTable1_2"/>
      <w:bookmarkStart w:id="13" w:name="BMS_TBL_TableTable1_2"/>
      <w:bookmarkStart w:id="14" w:name="Table1_StageIIIandStageIVPrede"/>
      <w:proofErr w:type="gramStart"/>
      <w:r w:rsidRPr="00E942C4">
        <w:rPr>
          <w:b/>
          <w:sz w:val="22"/>
          <w:szCs w:val="22"/>
        </w:rPr>
        <w:t xml:space="preserve">Table </w:t>
      </w:r>
      <w:bookmarkEnd w:id="8"/>
      <w:bookmarkEnd w:id="9"/>
      <w:bookmarkEnd w:id="10"/>
      <w:bookmarkEnd w:id="11"/>
      <w:bookmarkEnd w:id="12"/>
      <w:bookmarkEnd w:id="13"/>
      <w:r w:rsidR="00736CE8">
        <w:rPr>
          <w:b/>
          <w:sz w:val="22"/>
          <w:szCs w:val="22"/>
        </w:rPr>
        <w:t>8</w:t>
      </w:r>
      <w:r w:rsidRPr="00E942C4">
        <w:rPr>
          <w:b/>
          <w:sz w:val="22"/>
          <w:szCs w:val="22"/>
        </w:rPr>
        <w:t>:</w:t>
      </w:r>
      <w:r w:rsidRPr="00E942C4">
        <w:rPr>
          <w:b/>
          <w:sz w:val="22"/>
          <w:szCs w:val="22"/>
        </w:rPr>
        <w:tab/>
        <w:t>Stage IV Pre-defined Subgroup Analysis on Progression Free Survival across all treatment groups in Study CA209067</w:t>
      </w:r>
      <w:bookmarkEnd w:id="14"/>
      <w:r w:rsidRPr="00E942C4">
        <w:rPr>
          <w:b/>
          <w:sz w:val="22"/>
          <w:szCs w:val="22"/>
        </w:rPr>
        <w:t>.</w:t>
      </w:r>
      <w:proofErr w:type="gramEnd"/>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2007AB" w14:paraId="075E7B07" w14:textId="77777777" w:rsidTr="002007AB">
        <w:tc>
          <w:tcPr>
            <w:tcW w:w="1371" w:type="dxa"/>
            <w:tcBorders>
              <w:top w:val="single" w:sz="4" w:space="0" w:color="auto"/>
              <w:left w:val="single" w:sz="4" w:space="0" w:color="auto"/>
              <w:bottom w:val="single" w:sz="4" w:space="0" w:color="auto"/>
              <w:right w:val="single" w:sz="4" w:space="0" w:color="auto"/>
            </w:tcBorders>
          </w:tcPr>
          <w:p w14:paraId="53D869F1" w14:textId="77777777" w:rsidR="002007AB" w:rsidRPr="00E942C4" w:rsidRDefault="002007AB" w:rsidP="004D7D64">
            <w:pPr>
              <w:pStyle w:val="BMSBodyText"/>
              <w:keepNext/>
              <w:keepLines/>
              <w:widowControl w:val="0"/>
              <w:spacing w:line="240" w:lineRule="auto"/>
              <w:jc w:val="left"/>
              <w:rPr>
                <w:b/>
                <w:sz w:val="20"/>
                <w:szCs w:val="20"/>
              </w:rPr>
            </w:pPr>
          </w:p>
        </w:tc>
        <w:tc>
          <w:tcPr>
            <w:tcW w:w="713" w:type="dxa"/>
            <w:gridSpan w:val="2"/>
            <w:tcBorders>
              <w:top w:val="single" w:sz="4" w:space="0" w:color="auto"/>
              <w:left w:val="single" w:sz="4" w:space="0" w:color="auto"/>
              <w:bottom w:val="single" w:sz="4" w:space="0" w:color="auto"/>
              <w:right w:val="single" w:sz="4" w:space="0" w:color="auto"/>
            </w:tcBorders>
          </w:tcPr>
          <w:p w14:paraId="3065156C" w14:textId="77777777" w:rsidR="002007AB" w:rsidRPr="00E942C4" w:rsidRDefault="002007AB" w:rsidP="004D7D64">
            <w:pPr>
              <w:pStyle w:val="BMSBodyText"/>
              <w:keepNext/>
              <w:keepLines/>
              <w:widowControl w:val="0"/>
              <w:spacing w:line="240" w:lineRule="auto"/>
              <w:jc w:val="left"/>
              <w:rPr>
                <w:b/>
                <w:sz w:val="20"/>
                <w:szCs w:val="20"/>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0F3A607" w14:textId="77777777" w:rsidR="002007AB" w:rsidRPr="00E942C4" w:rsidRDefault="002007AB" w:rsidP="004D7D64">
            <w:pPr>
              <w:pStyle w:val="BMSBodyText"/>
              <w:keepNext/>
              <w:keepLines/>
              <w:widowControl w:val="0"/>
              <w:spacing w:line="240" w:lineRule="auto"/>
              <w:jc w:val="center"/>
              <w:rPr>
                <w:b/>
                <w:sz w:val="20"/>
                <w:szCs w:val="20"/>
              </w:rPr>
            </w:pPr>
            <w:proofErr w:type="spellStart"/>
            <w:r w:rsidRPr="00E942C4">
              <w:rPr>
                <w:b/>
                <w:sz w:val="20"/>
                <w:szCs w:val="20"/>
              </w:rPr>
              <w:t>Nivolumab</w:t>
            </w:r>
            <w:proofErr w:type="spellEnd"/>
            <w:r w:rsidRPr="00E942C4">
              <w:rPr>
                <w:b/>
                <w:sz w:val="20"/>
                <w:szCs w:val="20"/>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0E353390" w14:textId="77777777" w:rsidR="002007AB" w:rsidRPr="00E942C4" w:rsidRDefault="002007AB" w:rsidP="004D7D64">
            <w:pPr>
              <w:pStyle w:val="BMSBodyText"/>
              <w:keepNext/>
              <w:keepLines/>
              <w:widowControl w:val="0"/>
              <w:spacing w:line="240" w:lineRule="auto"/>
              <w:jc w:val="center"/>
              <w:rPr>
                <w:b/>
                <w:sz w:val="20"/>
                <w:szCs w:val="20"/>
              </w:rPr>
            </w:pPr>
            <w:proofErr w:type="spellStart"/>
            <w:r w:rsidRPr="00E942C4">
              <w:rPr>
                <w:b/>
                <w:sz w:val="20"/>
                <w:szCs w:val="20"/>
              </w:rPr>
              <w:t>Nivolumab</w:t>
            </w:r>
            <w:proofErr w:type="spellEnd"/>
          </w:p>
        </w:tc>
        <w:tc>
          <w:tcPr>
            <w:tcW w:w="2422" w:type="dxa"/>
            <w:gridSpan w:val="3"/>
            <w:tcBorders>
              <w:top w:val="single" w:sz="4" w:space="0" w:color="auto"/>
              <w:left w:val="single" w:sz="4" w:space="0" w:color="auto"/>
              <w:bottom w:val="single" w:sz="4" w:space="0" w:color="auto"/>
              <w:right w:val="single" w:sz="4" w:space="0" w:color="auto"/>
            </w:tcBorders>
            <w:hideMark/>
          </w:tcPr>
          <w:p w14:paraId="2A07C6B3" w14:textId="77777777" w:rsidR="002007AB" w:rsidRPr="00E942C4" w:rsidRDefault="002007AB" w:rsidP="004D7D64">
            <w:pPr>
              <w:pStyle w:val="BMSBodyText"/>
              <w:keepNext/>
              <w:keepLines/>
              <w:widowControl w:val="0"/>
              <w:spacing w:line="240" w:lineRule="auto"/>
              <w:jc w:val="center"/>
              <w:rPr>
                <w:b/>
                <w:sz w:val="20"/>
                <w:szCs w:val="20"/>
              </w:rPr>
            </w:pPr>
            <w:r w:rsidRPr="00E942C4">
              <w:rPr>
                <w:b/>
                <w:sz w:val="20"/>
                <w:szCs w:val="20"/>
              </w:rPr>
              <w:t>Ipilimumab</w:t>
            </w:r>
          </w:p>
        </w:tc>
      </w:tr>
      <w:tr w:rsidR="002007AB" w14:paraId="34A8FBC4" w14:textId="77777777" w:rsidTr="002007AB">
        <w:tc>
          <w:tcPr>
            <w:tcW w:w="1371" w:type="dxa"/>
            <w:tcBorders>
              <w:top w:val="single" w:sz="4" w:space="0" w:color="auto"/>
              <w:left w:val="single" w:sz="4" w:space="0" w:color="auto"/>
              <w:bottom w:val="single" w:sz="4" w:space="0" w:color="auto"/>
              <w:right w:val="single" w:sz="4" w:space="0" w:color="auto"/>
            </w:tcBorders>
            <w:hideMark/>
          </w:tcPr>
          <w:p w14:paraId="4EA25F48" w14:textId="77777777" w:rsidR="002007AB" w:rsidRPr="00E942C4" w:rsidRDefault="002007AB" w:rsidP="004D7D64">
            <w:pPr>
              <w:pStyle w:val="BMSBodyText"/>
              <w:keepNext/>
              <w:keepLines/>
              <w:widowControl w:val="0"/>
              <w:spacing w:line="240" w:lineRule="auto"/>
              <w:jc w:val="left"/>
              <w:rPr>
                <w:b/>
                <w:sz w:val="20"/>
                <w:szCs w:val="20"/>
              </w:rPr>
            </w:pPr>
            <w:r w:rsidRPr="00E942C4">
              <w:rPr>
                <w:b/>
                <w:sz w:val="20"/>
                <w:szCs w:val="20"/>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462E3FA6" w14:textId="77777777" w:rsidR="002007AB" w:rsidRPr="00E942C4" w:rsidRDefault="002007AB" w:rsidP="004D7D64">
            <w:pPr>
              <w:pStyle w:val="BMSBodyText"/>
              <w:keepNext/>
              <w:keepLines/>
              <w:widowControl w:val="0"/>
              <w:spacing w:line="240" w:lineRule="auto"/>
              <w:jc w:val="center"/>
              <w:rPr>
                <w:b/>
                <w:sz w:val="20"/>
                <w:szCs w:val="20"/>
              </w:rPr>
            </w:pPr>
            <w:r w:rsidRPr="00E942C4">
              <w:rPr>
                <w:b/>
                <w:sz w:val="20"/>
                <w:szCs w:val="20"/>
              </w:rPr>
              <w:t>N</w:t>
            </w:r>
          </w:p>
        </w:tc>
        <w:tc>
          <w:tcPr>
            <w:tcW w:w="1204" w:type="dxa"/>
            <w:tcBorders>
              <w:top w:val="single" w:sz="4" w:space="0" w:color="auto"/>
              <w:left w:val="single" w:sz="4" w:space="0" w:color="auto"/>
              <w:bottom w:val="single" w:sz="4" w:space="0" w:color="auto"/>
              <w:right w:val="single" w:sz="4" w:space="0" w:color="auto"/>
            </w:tcBorders>
            <w:hideMark/>
          </w:tcPr>
          <w:p w14:paraId="774C8BC2" w14:textId="77777777" w:rsidR="002007AB" w:rsidRPr="00E942C4" w:rsidRDefault="002007AB" w:rsidP="004D7D64">
            <w:pPr>
              <w:pStyle w:val="BMSBodyText"/>
              <w:keepNext/>
              <w:keepLines/>
              <w:widowControl w:val="0"/>
              <w:spacing w:line="240" w:lineRule="auto"/>
              <w:jc w:val="center"/>
              <w:rPr>
                <w:b/>
                <w:sz w:val="20"/>
                <w:szCs w:val="20"/>
              </w:rPr>
            </w:pPr>
            <w:r w:rsidRPr="00E942C4">
              <w:rPr>
                <w:b/>
                <w:sz w:val="20"/>
                <w:szCs w:val="20"/>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4E9A841E" w14:textId="77777777" w:rsidR="002007AB" w:rsidRPr="00E942C4" w:rsidRDefault="002007AB" w:rsidP="004D7D64">
            <w:pPr>
              <w:pStyle w:val="BMSBodyText"/>
              <w:keepNext/>
              <w:keepLines/>
              <w:widowControl w:val="0"/>
              <w:spacing w:line="240" w:lineRule="auto"/>
              <w:jc w:val="center"/>
              <w:rPr>
                <w:b/>
                <w:sz w:val="20"/>
                <w:szCs w:val="20"/>
              </w:rPr>
            </w:pPr>
            <w:proofErr w:type="spellStart"/>
            <w:r w:rsidRPr="00E942C4">
              <w:rPr>
                <w:b/>
                <w:sz w:val="20"/>
                <w:szCs w:val="20"/>
              </w:rPr>
              <w:t>mPFS</w:t>
            </w:r>
            <w:proofErr w:type="spellEnd"/>
            <w:r w:rsidRPr="00E942C4">
              <w:rPr>
                <w:b/>
                <w:sz w:val="20"/>
                <w:szCs w:val="20"/>
              </w:rPr>
              <w:t xml:space="preserve"> </w:t>
            </w:r>
            <w:r w:rsidRPr="00E942C4">
              <w:rPr>
                <w:b/>
                <w:sz w:val="20"/>
                <w:szCs w:val="20"/>
              </w:rPr>
              <w:br/>
              <w:t>(95% CI)</w:t>
            </w:r>
          </w:p>
        </w:tc>
        <w:tc>
          <w:tcPr>
            <w:tcW w:w="1205" w:type="dxa"/>
            <w:tcBorders>
              <w:top w:val="single" w:sz="4" w:space="0" w:color="auto"/>
              <w:left w:val="single" w:sz="4" w:space="0" w:color="auto"/>
              <w:bottom w:val="single" w:sz="4" w:space="0" w:color="auto"/>
              <w:right w:val="single" w:sz="4" w:space="0" w:color="auto"/>
            </w:tcBorders>
            <w:hideMark/>
          </w:tcPr>
          <w:p w14:paraId="18CB4971" w14:textId="77777777" w:rsidR="002007AB" w:rsidRPr="00E942C4" w:rsidRDefault="002007AB" w:rsidP="004D7D64">
            <w:pPr>
              <w:pStyle w:val="BMSBodyText"/>
              <w:keepNext/>
              <w:keepLines/>
              <w:widowControl w:val="0"/>
              <w:spacing w:line="240" w:lineRule="auto"/>
              <w:jc w:val="center"/>
              <w:rPr>
                <w:b/>
                <w:sz w:val="20"/>
                <w:szCs w:val="20"/>
              </w:rPr>
            </w:pPr>
            <w:r w:rsidRPr="00E942C4">
              <w:rPr>
                <w:b/>
                <w:sz w:val="20"/>
                <w:szCs w:val="20"/>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49CD4606" w14:textId="77777777" w:rsidR="002007AB" w:rsidRPr="00E942C4" w:rsidRDefault="002007AB" w:rsidP="004D7D64">
            <w:pPr>
              <w:pStyle w:val="BMSBodyText"/>
              <w:keepNext/>
              <w:keepLines/>
              <w:widowControl w:val="0"/>
              <w:spacing w:line="240" w:lineRule="auto"/>
              <w:jc w:val="center"/>
              <w:rPr>
                <w:b/>
                <w:sz w:val="20"/>
                <w:szCs w:val="20"/>
              </w:rPr>
            </w:pPr>
            <w:proofErr w:type="spellStart"/>
            <w:r w:rsidRPr="00E942C4">
              <w:rPr>
                <w:b/>
                <w:sz w:val="20"/>
                <w:szCs w:val="20"/>
              </w:rPr>
              <w:t>mPFS</w:t>
            </w:r>
            <w:proofErr w:type="spellEnd"/>
            <w:r w:rsidRPr="00E942C4">
              <w:rPr>
                <w:b/>
                <w:sz w:val="20"/>
                <w:szCs w:val="20"/>
              </w:rPr>
              <w:t xml:space="preserve"> </w:t>
            </w:r>
            <w:r w:rsidRPr="00E942C4">
              <w:rPr>
                <w:b/>
                <w:sz w:val="20"/>
                <w:szCs w:val="20"/>
              </w:rPr>
              <w:br/>
              <w:t>(95% CI)</w:t>
            </w:r>
          </w:p>
        </w:tc>
        <w:tc>
          <w:tcPr>
            <w:tcW w:w="1208" w:type="dxa"/>
            <w:tcBorders>
              <w:top w:val="single" w:sz="4" w:space="0" w:color="auto"/>
              <w:left w:val="single" w:sz="4" w:space="0" w:color="auto"/>
              <w:bottom w:val="single" w:sz="4" w:space="0" w:color="auto"/>
              <w:right w:val="single" w:sz="4" w:space="0" w:color="auto"/>
            </w:tcBorders>
            <w:hideMark/>
          </w:tcPr>
          <w:p w14:paraId="63042314" w14:textId="77777777" w:rsidR="002007AB" w:rsidRPr="00E942C4" w:rsidRDefault="002007AB" w:rsidP="004D7D64">
            <w:pPr>
              <w:pStyle w:val="BMSBodyText"/>
              <w:keepNext/>
              <w:keepLines/>
              <w:widowControl w:val="0"/>
              <w:spacing w:line="240" w:lineRule="auto"/>
              <w:jc w:val="center"/>
              <w:rPr>
                <w:b/>
                <w:sz w:val="20"/>
                <w:szCs w:val="20"/>
              </w:rPr>
            </w:pPr>
            <w:r w:rsidRPr="00E942C4">
              <w:rPr>
                <w:b/>
                <w:sz w:val="20"/>
                <w:szCs w:val="20"/>
              </w:rPr>
              <w:t>N of Events (N of Patients)</w:t>
            </w:r>
          </w:p>
        </w:tc>
        <w:tc>
          <w:tcPr>
            <w:tcW w:w="1214" w:type="dxa"/>
            <w:gridSpan w:val="2"/>
            <w:tcBorders>
              <w:top w:val="single" w:sz="4" w:space="0" w:color="auto"/>
              <w:left w:val="single" w:sz="4" w:space="0" w:color="auto"/>
              <w:bottom w:val="single" w:sz="4" w:space="0" w:color="auto"/>
              <w:right w:val="single" w:sz="4" w:space="0" w:color="auto"/>
            </w:tcBorders>
            <w:hideMark/>
          </w:tcPr>
          <w:p w14:paraId="30C29A5F" w14:textId="77777777" w:rsidR="002007AB" w:rsidRPr="00E942C4" w:rsidRDefault="002007AB" w:rsidP="004D7D64">
            <w:pPr>
              <w:pStyle w:val="BMSBodyText"/>
              <w:keepNext/>
              <w:keepLines/>
              <w:widowControl w:val="0"/>
              <w:spacing w:line="240" w:lineRule="auto"/>
              <w:jc w:val="center"/>
              <w:rPr>
                <w:b/>
                <w:sz w:val="20"/>
                <w:szCs w:val="20"/>
              </w:rPr>
            </w:pPr>
            <w:proofErr w:type="spellStart"/>
            <w:r w:rsidRPr="00E942C4">
              <w:rPr>
                <w:b/>
                <w:sz w:val="20"/>
                <w:szCs w:val="20"/>
              </w:rPr>
              <w:t>mPFS</w:t>
            </w:r>
            <w:proofErr w:type="spellEnd"/>
            <w:r w:rsidRPr="00E942C4">
              <w:rPr>
                <w:b/>
                <w:sz w:val="20"/>
                <w:szCs w:val="20"/>
              </w:rPr>
              <w:t xml:space="preserve"> </w:t>
            </w:r>
            <w:r w:rsidRPr="00E942C4">
              <w:rPr>
                <w:b/>
                <w:sz w:val="20"/>
                <w:szCs w:val="20"/>
              </w:rPr>
              <w:br/>
              <w:t>(95% CI)</w:t>
            </w:r>
          </w:p>
        </w:tc>
      </w:tr>
      <w:tr w:rsidR="002007AB" w14:paraId="695B08E6" w14:textId="77777777" w:rsidTr="002007AB">
        <w:tc>
          <w:tcPr>
            <w:tcW w:w="1371" w:type="dxa"/>
            <w:tcBorders>
              <w:top w:val="single" w:sz="4" w:space="0" w:color="auto"/>
              <w:left w:val="single" w:sz="4" w:space="0" w:color="auto"/>
              <w:bottom w:val="single" w:sz="4" w:space="0" w:color="auto"/>
              <w:right w:val="single" w:sz="4" w:space="0" w:color="auto"/>
            </w:tcBorders>
            <w:hideMark/>
          </w:tcPr>
          <w:p w14:paraId="51CF4C18" w14:textId="77777777" w:rsidR="002007AB" w:rsidRPr="00E942C4" w:rsidRDefault="002007AB" w:rsidP="004D7D64">
            <w:pPr>
              <w:pStyle w:val="BMSBodyText"/>
              <w:keepNext/>
              <w:keepLines/>
              <w:widowControl w:val="0"/>
              <w:spacing w:line="240" w:lineRule="auto"/>
              <w:jc w:val="left"/>
              <w:rPr>
                <w:sz w:val="20"/>
                <w:szCs w:val="20"/>
              </w:rPr>
            </w:pPr>
            <w:r w:rsidRPr="00E942C4">
              <w:rPr>
                <w:sz w:val="20"/>
                <w:szCs w:val="20"/>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18A70FE9"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881</w:t>
            </w:r>
          </w:p>
        </w:tc>
        <w:tc>
          <w:tcPr>
            <w:tcW w:w="1204" w:type="dxa"/>
            <w:tcBorders>
              <w:top w:val="single" w:sz="4" w:space="0" w:color="auto"/>
              <w:left w:val="single" w:sz="4" w:space="0" w:color="auto"/>
              <w:bottom w:val="single" w:sz="4" w:space="0" w:color="auto"/>
              <w:right w:val="single" w:sz="4" w:space="0" w:color="auto"/>
            </w:tcBorders>
            <w:hideMark/>
          </w:tcPr>
          <w:p w14:paraId="5C1A134B" w14:textId="195D4268"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143 </w:t>
            </w:r>
            <w:r w:rsidR="00E942C4" w:rsidRPr="00E942C4">
              <w:rPr>
                <w:sz w:val="20"/>
                <w:szCs w:val="20"/>
              </w:rPr>
              <w:br/>
              <w:t xml:space="preserve"> </w:t>
            </w:r>
            <w:r w:rsidRPr="00E942C4">
              <w:rPr>
                <w:sz w:val="20"/>
                <w:szCs w:val="20"/>
              </w:rPr>
              <w:t>(297)</w:t>
            </w:r>
          </w:p>
        </w:tc>
        <w:tc>
          <w:tcPr>
            <w:tcW w:w="1204" w:type="dxa"/>
            <w:tcBorders>
              <w:top w:val="single" w:sz="4" w:space="0" w:color="auto"/>
              <w:left w:val="single" w:sz="4" w:space="0" w:color="auto"/>
              <w:bottom w:val="single" w:sz="4" w:space="0" w:color="auto"/>
              <w:right w:val="single" w:sz="4" w:space="0" w:color="auto"/>
            </w:tcBorders>
            <w:hideMark/>
          </w:tcPr>
          <w:p w14:paraId="6F63002E"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11.27 </w:t>
            </w:r>
            <w:r w:rsidRPr="00E942C4">
              <w:rPr>
                <w:sz w:val="20"/>
                <w:szCs w:val="20"/>
              </w:rPr>
              <w:br/>
              <w:t>(8.51, 15.54)</w:t>
            </w:r>
          </w:p>
        </w:tc>
        <w:tc>
          <w:tcPr>
            <w:tcW w:w="1205" w:type="dxa"/>
            <w:tcBorders>
              <w:top w:val="single" w:sz="4" w:space="0" w:color="auto"/>
              <w:left w:val="single" w:sz="4" w:space="0" w:color="auto"/>
              <w:bottom w:val="single" w:sz="4" w:space="0" w:color="auto"/>
              <w:right w:val="single" w:sz="4" w:space="0" w:color="auto"/>
            </w:tcBorders>
            <w:hideMark/>
          </w:tcPr>
          <w:p w14:paraId="440AE00B" w14:textId="1752E50E"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162 </w:t>
            </w:r>
            <w:r w:rsidR="00E942C4" w:rsidRPr="00E942C4">
              <w:rPr>
                <w:sz w:val="20"/>
                <w:szCs w:val="20"/>
              </w:rPr>
              <w:br/>
              <w:t xml:space="preserve"> </w:t>
            </w:r>
            <w:r w:rsidRPr="00E942C4">
              <w:rPr>
                <w:sz w:val="20"/>
                <w:szCs w:val="20"/>
              </w:rPr>
              <w:t>(291)</w:t>
            </w:r>
          </w:p>
        </w:tc>
        <w:tc>
          <w:tcPr>
            <w:tcW w:w="1203" w:type="dxa"/>
            <w:tcBorders>
              <w:top w:val="single" w:sz="4" w:space="0" w:color="auto"/>
              <w:left w:val="single" w:sz="4" w:space="0" w:color="auto"/>
              <w:bottom w:val="single" w:sz="4" w:space="0" w:color="auto"/>
              <w:right w:val="single" w:sz="4" w:space="0" w:color="auto"/>
            </w:tcBorders>
            <w:hideMark/>
          </w:tcPr>
          <w:p w14:paraId="7041DF3C"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6.87 </w:t>
            </w:r>
            <w:r w:rsidRPr="00E942C4">
              <w:rPr>
                <w:sz w:val="20"/>
                <w:szCs w:val="20"/>
              </w:rPr>
              <w:br/>
              <w:t>(4.21, 9.46)</w:t>
            </w:r>
          </w:p>
        </w:tc>
        <w:tc>
          <w:tcPr>
            <w:tcW w:w="1208" w:type="dxa"/>
            <w:tcBorders>
              <w:top w:val="single" w:sz="4" w:space="0" w:color="auto"/>
              <w:left w:val="single" w:sz="4" w:space="0" w:color="auto"/>
              <w:bottom w:val="single" w:sz="4" w:space="0" w:color="auto"/>
              <w:right w:val="single" w:sz="4" w:space="0" w:color="auto"/>
            </w:tcBorders>
            <w:hideMark/>
          </w:tcPr>
          <w:p w14:paraId="2A1DE773" w14:textId="39FB18BE"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217 </w:t>
            </w:r>
            <w:r w:rsidR="00E942C4" w:rsidRPr="00E942C4">
              <w:rPr>
                <w:sz w:val="20"/>
                <w:szCs w:val="20"/>
              </w:rPr>
              <w:br/>
              <w:t xml:space="preserve"> </w:t>
            </w:r>
            <w:r w:rsidRPr="00E942C4">
              <w:rPr>
                <w:sz w:val="20"/>
                <w:szCs w:val="20"/>
              </w:rPr>
              <w:t>(293)</w:t>
            </w:r>
          </w:p>
        </w:tc>
        <w:tc>
          <w:tcPr>
            <w:tcW w:w="1214" w:type="dxa"/>
            <w:gridSpan w:val="2"/>
            <w:tcBorders>
              <w:top w:val="single" w:sz="4" w:space="0" w:color="auto"/>
              <w:left w:val="single" w:sz="4" w:space="0" w:color="auto"/>
              <w:bottom w:val="single" w:sz="4" w:space="0" w:color="auto"/>
              <w:right w:val="single" w:sz="4" w:space="0" w:color="auto"/>
            </w:tcBorders>
            <w:hideMark/>
          </w:tcPr>
          <w:p w14:paraId="5844FAEC"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2.86 </w:t>
            </w:r>
            <w:r w:rsidRPr="00E942C4">
              <w:rPr>
                <w:sz w:val="20"/>
                <w:szCs w:val="20"/>
              </w:rPr>
              <w:br/>
              <w:t>(2.79, 3.48)</w:t>
            </w:r>
          </w:p>
        </w:tc>
      </w:tr>
      <w:tr w:rsidR="002007AB" w14:paraId="3D18192D" w14:textId="77777777" w:rsidTr="002007AB">
        <w:trPr>
          <w:gridAfter w:val="1"/>
          <w:wAfter w:w="8" w:type="dxa"/>
        </w:trPr>
        <w:tc>
          <w:tcPr>
            <w:tcW w:w="1381" w:type="dxa"/>
            <w:gridSpan w:val="2"/>
            <w:tcBorders>
              <w:top w:val="single" w:sz="4" w:space="0" w:color="auto"/>
              <w:left w:val="single" w:sz="4" w:space="0" w:color="auto"/>
              <w:bottom w:val="single" w:sz="4" w:space="0" w:color="auto"/>
              <w:right w:val="single" w:sz="4" w:space="0" w:color="auto"/>
            </w:tcBorders>
            <w:hideMark/>
          </w:tcPr>
          <w:p w14:paraId="64713F3C" w14:textId="77777777" w:rsidR="002007AB" w:rsidRPr="00E942C4" w:rsidRDefault="002007AB" w:rsidP="004D7D64">
            <w:pPr>
              <w:pStyle w:val="BMSBodyText"/>
              <w:keepNext/>
              <w:keepLines/>
              <w:widowControl w:val="0"/>
              <w:spacing w:line="240" w:lineRule="auto"/>
              <w:jc w:val="left"/>
              <w:rPr>
                <w:sz w:val="20"/>
                <w:szCs w:val="20"/>
              </w:rPr>
            </w:pPr>
            <w:r w:rsidRPr="00E942C4">
              <w:rPr>
                <w:sz w:val="20"/>
                <w:szCs w:val="20"/>
              </w:rPr>
              <w:t>M1c</w:t>
            </w:r>
          </w:p>
        </w:tc>
        <w:tc>
          <w:tcPr>
            <w:tcW w:w="703" w:type="dxa"/>
            <w:tcBorders>
              <w:top w:val="single" w:sz="4" w:space="0" w:color="auto"/>
              <w:left w:val="single" w:sz="4" w:space="0" w:color="auto"/>
              <w:bottom w:val="single" w:sz="4" w:space="0" w:color="auto"/>
              <w:right w:val="single" w:sz="4" w:space="0" w:color="auto"/>
            </w:tcBorders>
            <w:hideMark/>
          </w:tcPr>
          <w:p w14:paraId="6793DF46"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559</w:t>
            </w:r>
          </w:p>
        </w:tc>
        <w:tc>
          <w:tcPr>
            <w:tcW w:w="1204" w:type="dxa"/>
            <w:tcBorders>
              <w:top w:val="single" w:sz="4" w:space="0" w:color="auto"/>
              <w:left w:val="single" w:sz="4" w:space="0" w:color="auto"/>
              <w:bottom w:val="single" w:sz="4" w:space="0" w:color="auto"/>
              <w:right w:val="single" w:sz="4" w:space="0" w:color="auto"/>
            </w:tcBorders>
            <w:hideMark/>
          </w:tcPr>
          <w:p w14:paraId="2EE971A6" w14:textId="4EB09698"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100 </w:t>
            </w:r>
            <w:r w:rsidR="00E942C4" w:rsidRPr="00E942C4">
              <w:rPr>
                <w:sz w:val="20"/>
                <w:szCs w:val="20"/>
              </w:rPr>
              <w:br/>
              <w:t xml:space="preserve"> </w:t>
            </w:r>
            <w:r w:rsidRPr="00E942C4">
              <w:rPr>
                <w:sz w:val="20"/>
                <w:szCs w:val="20"/>
              </w:rPr>
              <w:t>(185)</w:t>
            </w:r>
          </w:p>
        </w:tc>
        <w:tc>
          <w:tcPr>
            <w:tcW w:w="1204" w:type="dxa"/>
            <w:tcBorders>
              <w:top w:val="single" w:sz="4" w:space="0" w:color="auto"/>
              <w:left w:val="single" w:sz="4" w:space="0" w:color="auto"/>
              <w:bottom w:val="single" w:sz="4" w:space="0" w:color="auto"/>
              <w:right w:val="single" w:sz="4" w:space="0" w:color="auto"/>
            </w:tcBorders>
            <w:hideMark/>
          </w:tcPr>
          <w:p w14:paraId="4CB9B263" w14:textId="2CDC6C0F"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8.51 </w:t>
            </w:r>
            <w:r w:rsidR="00E942C4" w:rsidRPr="00E942C4">
              <w:rPr>
                <w:sz w:val="20"/>
                <w:szCs w:val="20"/>
              </w:rPr>
              <w:br/>
              <w:t xml:space="preserve"> </w:t>
            </w:r>
            <w:r w:rsidRPr="00E942C4">
              <w:rPr>
                <w:sz w:val="20"/>
                <w:szCs w:val="20"/>
              </w:rPr>
              <w:t>(5.52, 12.35)</w:t>
            </w:r>
          </w:p>
        </w:tc>
        <w:tc>
          <w:tcPr>
            <w:tcW w:w="1205" w:type="dxa"/>
            <w:tcBorders>
              <w:top w:val="single" w:sz="4" w:space="0" w:color="auto"/>
              <w:left w:val="single" w:sz="4" w:space="0" w:color="auto"/>
              <w:bottom w:val="single" w:sz="4" w:space="0" w:color="auto"/>
              <w:right w:val="single" w:sz="4" w:space="0" w:color="auto"/>
            </w:tcBorders>
            <w:hideMark/>
          </w:tcPr>
          <w:p w14:paraId="0AFD6BF1" w14:textId="45A8C8F2"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111 </w:t>
            </w:r>
            <w:r w:rsidR="00E942C4" w:rsidRPr="00E942C4">
              <w:rPr>
                <w:sz w:val="20"/>
                <w:szCs w:val="20"/>
              </w:rPr>
              <w:br/>
              <w:t xml:space="preserve"> </w:t>
            </w:r>
            <w:r w:rsidRPr="00E942C4">
              <w:rPr>
                <w:sz w:val="20"/>
                <w:szCs w:val="20"/>
              </w:rPr>
              <w:t>(185)</w:t>
            </w:r>
          </w:p>
        </w:tc>
        <w:tc>
          <w:tcPr>
            <w:tcW w:w="1203" w:type="dxa"/>
            <w:tcBorders>
              <w:top w:val="single" w:sz="4" w:space="0" w:color="auto"/>
              <w:left w:val="single" w:sz="4" w:space="0" w:color="auto"/>
              <w:bottom w:val="single" w:sz="4" w:space="0" w:color="auto"/>
              <w:right w:val="single" w:sz="4" w:space="0" w:color="auto"/>
            </w:tcBorders>
            <w:hideMark/>
          </w:tcPr>
          <w:p w14:paraId="3722A636" w14:textId="77777777"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5.39 (2.83, 8.87)</w:t>
            </w:r>
          </w:p>
        </w:tc>
        <w:tc>
          <w:tcPr>
            <w:tcW w:w="1208" w:type="dxa"/>
            <w:tcBorders>
              <w:top w:val="single" w:sz="4" w:space="0" w:color="auto"/>
              <w:left w:val="single" w:sz="4" w:space="0" w:color="auto"/>
              <w:bottom w:val="single" w:sz="4" w:space="0" w:color="auto"/>
              <w:right w:val="single" w:sz="4" w:space="0" w:color="auto"/>
            </w:tcBorders>
            <w:hideMark/>
          </w:tcPr>
          <w:p w14:paraId="474F3F28" w14:textId="01C78CFA"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142 </w:t>
            </w:r>
            <w:r w:rsidR="00E942C4" w:rsidRPr="00E942C4">
              <w:rPr>
                <w:sz w:val="20"/>
                <w:szCs w:val="20"/>
              </w:rPr>
              <w:br/>
              <w:t xml:space="preserve"> </w:t>
            </w:r>
            <w:r w:rsidRPr="00E942C4">
              <w:rPr>
                <w:sz w:val="20"/>
                <w:szCs w:val="20"/>
              </w:rPr>
              <w:t>(189)</w:t>
            </w:r>
          </w:p>
        </w:tc>
        <w:tc>
          <w:tcPr>
            <w:tcW w:w="1206" w:type="dxa"/>
            <w:tcBorders>
              <w:top w:val="single" w:sz="4" w:space="0" w:color="auto"/>
              <w:left w:val="single" w:sz="4" w:space="0" w:color="auto"/>
              <w:bottom w:val="single" w:sz="4" w:space="0" w:color="auto"/>
              <w:right w:val="single" w:sz="4" w:space="0" w:color="auto"/>
            </w:tcBorders>
            <w:hideMark/>
          </w:tcPr>
          <w:p w14:paraId="4636BDB1" w14:textId="0519181B" w:rsidR="002007AB" w:rsidRPr="00E942C4" w:rsidRDefault="002007AB" w:rsidP="004D7D64">
            <w:pPr>
              <w:pStyle w:val="BMSBodyText"/>
              <w:keepNext/>
              <w:keepLines/>
              <w:widowControl w:val="0"/>
              <w:spacing w:line="240" w:lineRule="auto"/>
              <w:jc w:val="center"/>
              <w:rPr>
                <w:sz w:val="20"/>
                <w:szCs w:val="20"/>
              </w:rPr>
            </w:pPr>
            <w:r w:rsidRPr="00E942C4">
              <w:rPr>
                <w:sz w:val="20"/>
                <w:szCs w:val="20"/>
              </w:rPr>
              <w:t xml:space="preserve">2.79 </w:t>
            </w:r>
            <w:r w:rsidR="00E942C4" w:rsidRPr="00E942C4">
              <w:rPr>
                <w:sz w:val="20"/>
                <w:szCs w:val="20"/>
              </w:rPr>
              <w:br/>
              <w:t xml:space="preserve"> </w:t>
            </w:r>
            <w:r w:rsidRPr="00E942C4">
              <w:rPr>
                <w:sz w:val="20"/>
                <w:szCs w:val="20"/>
              </w:rPr>
              <w:t>(2.73, 2.83)</w:t>
            </w:r>
          </w:p>
        </w:tc>
      </w:tr>
    </w:tbl>
    <w:p w14:paraId="740174FE" w14:textId="77777777" w:rsidR="00C659AE" w:rsidRDefault="00C659AE" w:rsidP="00C659AE">
      <w:pPr>
        <w:pStyle w:val="BMSBodyText"/>
        <w:spacing w:line="240" w:lineRule="auto"/>
        <w:jc w:val="left"/>
        <w:rPr>
          <w:b/>
        </w:rPr>
      </w:pPr>
    </w:p>
    <w:p w14:paraId="76F23D17" w14:textId="4922CBB6" w:rsidR="00C659AE" w:rsidRPr="00E942C4" w:rsidRDefault="00C659AE" w:rsidP="004D7D64">
      <w:pPr>
        <w:pStyle w:val="BMSBodyText"/>
        <w:keepNext/>
        <w:keepLines/>
        <w:widowControl w:val="0"/>
        <w:spacing w:line="240" w:lineRule="auto"/>
        <w:jc w:val="left"/>
        <w:rPr>
          <w:b/>
          <w:sz w:val="22"/>
          <w:szCs w:val="22"/>
        </w:rPr>
      </w:pPr>
      <w:proofErr w:type="gramStart"/>
      <w:r w:rsidRPr="00E942C4">
        <w:rPr>
          <w:b/>
          <w:sz w:val="22"/>
          <w:szCs w:val="22"/>
        </w:rPr>
        <w:t xml:space="preserve">Table </w:t>
      </w:r>
      <w:r w:rsidR="00736CE8">
        <w:rPr>
          <w:b/>
          <w:sz w:val="22"/>
          <w:szCs w:val="22"/>
        </w:rPr>
        <w:t>9</w:t>
      </w:r>
      <w:r w:rsidRPr="00E942C4">
        <w:rPr>
          <w:b/>
          <w:sz w:val="22"/>
          <w:szCs w:val="22"/>
        </w:rPr>
        <w:t>:</w:t>
      </w:r>
      <w:r w:rsidRPr="00E942C4">
        <w:rPr>
          <w:b/>
          <w:sz w:val="22"/>
          <w:szCs w:val="22"/>
        </w:rPr>
        <w:tab/>
        <w:t>Stage IV Pre-defined Subgroup Analysis on Objective Response Rate across all treatment groups in Study CA209067.</w:t>
      </w:r>
      <w:proofErr w:type="gramEnd"/>
    </w:p>
    <w:tbl>
      <w:tblPr>
        <w:tblStyle w:val="TableGrid"/>
        <w:tblW w:w="9322" w:type="dxa"/>
        <w:tblLook w:val="04A0" w:firstRow="1" w:lastRow="0" w:firstColumn="1" w:lastColumn="0" w:noHBand="0" w:noVBand="1"/>
      </w:tblPr>
      <w:tblGrid>
        <w:gridCol w:w="1371"/>
        <w:gridCol w:w="10"/>
        <w:gridCol w:w="703"/>
        <w:gridCol w:w="1204"/>
        <w:gridCol w:w="1204"/>
        <w:gridCol w:w="1205"/>
        <w:gridCol w:w="1203"/>
        <w:gridCol w:w="1208"/>
        <w:gridCol w:w="1206"/>
        <w:gridCol w:w="8"/>
      </w:tblGrid>
      <w:tr w:rsidR="00A4504C" w:rsidRPr="00043B30" w14:paraId="7E86427E" w14:textId="77777777" w:rsidTr="00AE66E6">
        <w:tc>
          <w:tcPr>
            <w:tcW w:w="1371" w:type="dxa"/>
            <w:tcBorders>
              <w:top w:val="single" w:sz="4" w:space="0" w:color="auto"/>
              <w:left w:val="single" w:sz="4" w:space="0" w:color="auto"/>
              <w:bottom w:val="single" w:sz="4" w:space="0" w:color="auto"/>
              <w:right w:val="single" w:sz="4" w:space="0" w:color="auto"/>
            </w:tcBorders>
          </w:tcPr>
          <w:p w14:paraId="1DB441EE" w14:textId="77777777" w:rsidR="00A4504C" w:rsidRPr="00E942C4" w:rsidRDefault="00A4504C" w:rsidP="004D7D64">
            <w:pPr>
              <w:pStyle w:val="BMSBodyText"/>
              <w:keepNext/>
              <w:keepLines/>
              <w:widowControl w:val="0"/>
              <w:spacing w:line="240" w:lineRule="auto"/>
              <w:jc w:val="left"/>
              <w:rPr>
                <w:b/>
                <w:sz w:val="20"/>
                <w:szCs w:val="20"/>
              </w:rPr>
            </w:pPr>
          </w:p>
        </w:tc>
        <w:tc>
          <w:tcPr>
            <w:tcW w:w="713" w:type="dxa"/>
            <w:gridSpan w:val="2"/>
            <w:tcBorders>
              <w:top w:val="single" w:sz="4" w:space="0" w:color="auto"/>
              <w:left w:val="single" w:sz="4" w:space="0" w:color="auto"/>
              <w:bottom w:val="single" w:sz="4" w:space="0" w:color="auto"/>
              <w:right w:val="single" w:sz="4" w:space="0" w:color="auto"/>
            </w:tcBorders>
          </w:tcPr>
          <w:p w14:paraId="2751F671" w14:textId="77777777" w:rsidR="00A4504C" w:rsidRPr="00E942C4" w:rsidRDefault="00A4504C" w:rsidP="004D7D64">
            <w:pPr>
              <w:pStyle w:val="BMSBodyText"/>
              <w:keepNext/>
              <w:keepLines/>
              <w:widowControl w:val="0"/>
              <w:spacing w:line="240" w:lineRule="auto"/>
              <w:jc w:val="left"/>
              <w:rPr>
                <w:b/>
                <w:sz w:val="20"/>
                <w:szCs w:val="20"/>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0E68229F" w14:textId="77777777" w:rsidR="00A4504C" w:rsidRPr="00E942C4" w:rsidRDefault="00A4504C" w:rsidP="004D7D64">
            <w:pPr>
              <w:pStyle w:val="BMSBodyText"/>
              <w:keepNext/>
              <w:keepLines/>
              <w:widowControl w:val="0"/>
              <w:spacing w:line="240" w:lineRule="auto"/>
              <w:jc w:val="center"/>
              <w:rPr>
                <w:b/>
                <w:sz w:val="20"/>
                <w:szCs w:val="20"/>
              </w:rPr>
            </w:pPr>
            <w:proofErr w:type="spellStart"/>
            <w:r w:rsidRPr="00E942C4">
              <w:rPr>
                <w:b/>
                <w:sz w:val="20"/>
                <w:szCs w:val="20"/>
              </w:rPr>
              <w:t>Nivolumab</w:t>
            </w:r>
            <w:proofErr w:type="spellEnd"/>
            <w:r w:rsidRPr="00E942C4">
              <w:rPr>
                <w:b/>
                <w:sz w:val="20"/>
                <w:szCs w:val="20"/>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4C04F1DF" w14:textId="77777777" w:rsidR="00A4504C" w:rsidRPr="00E942C4" w:rsidRDefault="00A4504C" w:rsidP="004D7D64">
            <w:pPr>
              <w:pStyle w:val="BMSBodyText"/>
              <w:keepNext/>
              <w:keepLines/>
              <w:widowControl w:val="0"/>
              <w:spacing w:line="240" w:lineRule="auto"/>
              <w:jc w:val="center"/>
              <w:rPr>
                <w:b/>
                <w:sz w:val="20"/>
                <w:szCs w:val="20"/>
              </w:rPr>
            </w:pPr>
            <w:proofErr w:type="spellStart"/>
            <w:r w:rsidRPr="00E942C4">
              <w:rPr>
                <w:b/>
                <w:sz w:val="20"/>
                <w:szCs w:val="20"/>
              </w:rPr>
              <w:t>Nivolumab</w:t>
            </w:r>
            <w:proofErr w:type="spellEnd"/>
          </w:p>
        </w:tc>
        <w:tc>
          <w:tcPr>
            <w:tcW w:w="2422" w:type="dxa"/>
            <w:gridSpan w:val="3"/>
            <w:tcBorders>
              <w:top w:val="single" w:sz="4" w:space="0" w:color="auto"/>
              <w:left w:val="single" w:sz="4" w:space="0" w:color="auto"/>
              <w:bottom w:val="single" w:sz="4" w:space="0" w:color="auto"/>
              <w:right w:val="single" w:sz="4" w:space="0" w:color="auto"/>
            </w:tcBorders>
          </w:tcPr>
          <w:p w14:paraId="74BFD61E"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Ipilimumab</w:t>
            </w:r>
          </w:p>
        </w:tc>
      </w:tr>
      <w:tr w:rsidR="00A4504C" w:rsidRPr="00043B30" w14:paraId="5BE54F58"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7FB1D6E1" w14:textId="77777777" w:rsidR="00A4504C" w:rsidRPr="00E942C4" w:rsidRDefault="00A4504C" w:rsidP="004D7D64">
            <w:pPr>
              <w:pStyle w:val="BMSBodyText"/>
              <w:keepNext/>
              <w:keepLines/>
              <w:widowControl w:val="0"/>
              <w:spacing w:line="240" w:lineRule="auto"/>
              <w:jc w:val="left"/>
              <w:rPr>
                <w:b/>
                <w:sz w:val="20"/>
                <w:szCs w:val="20"/>
              </w:rPr>
            </w:pPr>
            <w:r w:rsidRPr="00E942C4">
              <w:rPr>
                <w:b/>
                <w:sz w:val="20"/>
                <w:szCs w:val="20"/>
              </w:rPr>
              <w:t>AJCC Stage at Study Entry</w:t>
            </w:r>
          </w:p>
        </w:tc>
        <w:tc>
          <w:tcPr>
            <w:tcW w:w="713" w:type="dxa"/>
            <w:gridSpan w:val="2"/>
            <w:tcBorders>
              <w:top w:val="single" w:sz="4" w:space="0" w:color="auto"/>
              <w:left w:val="single" w:sz="4" w:space="0" w:color="auto"/>
              <w:bottom w:val="single" w:sz="4" w:space="0" w:color="auto"/>
              <w:right w:val="single" w:sz="4" w:space="0" w:color="auto"/>
            </w:tcBorders>
            <w:hideMark/>
          </w:tcPr>
          <w:p w14:paraId="648D605C"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N</w:t>
            </w:r>
          </w:p>
        </w:tc>
        <w:tc>
          <w:tcPr>
            <w:tcW w:w="1204" w:type="dxa"/>
            <w:tcBorders>
              <w:top w:val="single" w:sz="4" w:space="0" w:color="auto"/>
              <w:left w:val="single" w:sz="4" w:space="0" w:color="auto"/>
              <w:bottom w:val="single" w:sz="4" w:space="0" w:color="auto"/>
              <w:right w:val="single" w:sz="4" w:space="0" w:color="auto"/>
            </w:tcBorders>
            <w:hideMark/>
          </w:tcPr>
          <w:p w14:paraId="1EB6958C"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N of Response (N of Patients)</w:t>
            </w:r>
          </w:p>
        </w:tc>
        <w:tc>
          <w:tcPr>
            <w:tcW w:w="1204" w:type="dxa"/>
            <w:tcBorders>
              <w:top w:val="single" w:sz="4" w:space="0" w:color="auto"/>
              <w:left w:val="single" w:sz="4" w:space="0" w:color="auto"/>
              <w:bottom w:val="single" w:sz="4" w:space="0" w:color="auto"/>
              <w:right w:val="single" w:sz="4" w:space="0" w:color="auto"/>
            </w:tcBorders>
            <w:hideMark/>
          </w:tcPr>
          <w:p w14:paraId="5D93D374"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ORR (95% CI)</w:t>
            </w:r>
          </w:p>
        </w:tc>
        <w:tc>
          <w:tcPr>
            <w:tcW w:w="1205" w:type="dxa"/>
            <w:tcBorders>
              <w:top w:val="single" w:sz="4" w:space="0" w:color="auto"/>
              <w:left w:val="single" w:sz="4" w:space="0" w:color="auto"/>
              <w:bottom w:val="single" w:sz="4" w:space="0" w:color="auto"/>
              <w:right w:val="single" w:sz="4" w:space="0" w:color="auto"/>
            </w:tcBorders>
            <w:hideMark/>
          </w:tcPr>
          <w:p w14:paraId="0B2400CE"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N of Response (N of Patients)</w:t>
            </w:r>
          </w:p>
        </w:tc>
        <w:tc>
          <w:tcPr>
            <w:tcW w:w="1203" w:type="dxa"/>
            <w:tcBorders>
              <w:top w:val="single" w:sz="4" w:space="0" w:color="auto"/>
              <w:left w:val="single" w:sz="4" w:space="0" w:color="auto"/>
              <w:bottom w:val="single" w:sz="4" w:space="0" w:color="auto"/>
              <w:right w:val="single" w:sz="4" w:space="0" w:color="auto"/>
            </w:tcBorders>
            <w:hideMark/>
          </w:tcPr>
          <w:p w14:paraId="7F3F9561"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 xml:space="preserve">ORR </w:t>
            </w:r>
            <w:r w:rsidRPr="00E942C4">
              <w:rPr>
                <w:b/>
                <w:sz w:val="20"/>
                <w:szCs w:val="20"/>
              </w:rPr>
              <w:br/>
              <w:t>(95% CI)</w:t>
            </w:r>
          </w:p>
        </w:tc>
        <w:tc>
          <w:tcPr>
            <w:tcW w:w="1208" w:type="dxa"/>
            <w:tcBorders>
              <w:top w:val="single" w:sz="4" w:space="0" w:color="auto"/>
              <w:left w:val="single" w:sz="4" w:space="0" w:color="auto"/>
              <w:bottom w:val="single" w:sz="4" w:space="0" w:color="auto"/>
              <w:right w:val="single" w:sz="4" w:space="0" w:color="auto"/>
            </w:tcBorders>
            <w:hideMark/>
          </w:tcPr>
          <w:p w14:paraId="4552B36F"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N of Response (N of Patients)</w:t>
            </w:r>
          </w:p>
        </w:tc>
        <w:tc>
          <w:tcPr>
            <w:tcW w:w="1214" w:type="dxa"/>
            <w:gridSpan w:val="2"/>
            <w:tcBorders>
              <w:top w:val="single" w:sz="4" w:space="0" w:color="auto"/>
              <w:left w:val="single" w:sz="4" w:space="0" w:color="auto"/>
              <w:bottom w:val="single" w:sz="4" w:space="0" w:color="auto"/>
              <w:right w:val="single" w:sz="4" w:space="0" w:color="auto"/>
            </w:tcBorders>
          </w:tcPr>
          <w:p w14:paraId="10BA7348" w14:textId="77777777" w:rsidR="00A4504C" w:rsidRPr="00E942C4" w:rsidRDefault="00A4504C" w:rsidP="004D7D64">
            <w:pPr>
              <w:pStyle w:val="BMSBodyText"/>
              <w:keepNext/>
              <w:keepLines/>
              <w:widowControl w:val="0"/>
              <w:spacing w:line="240" w:lineRule="auto"/>
              <w:jc w:val="center"/>
              <w:rPr>
                <w:b/>
                <w:sz w:val="20"/>
                <w:szCs w:val="20"/>
              </w:rPr>
            </w:pPr>
            <w:r w:rsidRPr="00E942C4">
              <w:rPr>
                <w:b/>
                <w:sz w:val="20"/>
                <w:szCs w:val="20"/>
              </w:rPr>
              <w:t xml:space="preserve">ORR </w:t>
            </w:r>
            <w:r w:rsidRPr="00E942C4">
              <w:rPr>
                <w:b/>
                <w:sz w:val="20"/>
                <w:szCs w:val="20"/>
              </w:rPr>
              <w:br/>
              <w:t>(95% CI)</w:t>
            </w:r>
          </w:p>
        </w:tc>
      </w:tr>
      <w:tr w:rsidR="00A4504C" w:rsidRPr="00043B30" w14:paraId="34111FA2"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0721DA09" w14:textId="77777777" w:rsidR="00A4504C" w:rsidRPr="00E942C4" w:rsidRDefault="00A4504C" w:rsidP="004D7D64">
            <w:pPr>
              <w:pStyle w:val="BMSBodyText"/>
              <w:keepNext/>
              <w:keepLines/>
              <w:widowControl w:val="0"/>
              <w:spacing w:line="240" w:lineRule="auto"/>
              <w:jc w:val="left"/>
              <w:rPr>
                <w:sz w:val="20"/>
                <w:szCs w:val="20"/>
              </w:rPr>
            </w:pPr>
            <w:r w:rsidRPr="00E942C4">
              <w:rPr>
                <w:sz w:val="20"/>
                <w:szCs w:val="20"/>
              </w:rPr>
              <w:t>Stage IV</w:t>
            </w:r>
          </w:p>
        </w:tc>
        <w:tc>
          <w:tcPr>
            <w:tcW w:w="713" w:type="dxa"/>
            <w:gridSpan w:val="2"/>
            <w:tcBorders>
              <w:top w:val="single" w:sz="4" w:space="0" w:color="auto"/>
              <w:left w:val="single" w:sz="4" w:space="0" w:color="auto"/>
              <w:bottom w:val="single" w:sz="4" w:space="0" w:color="auto"/>
              <w:right w:val="single" w:sz="4" w:space="0" w:color="auto"/>
            </w:tcBorders>
            <w:hideMark/>
          </w:tcPr>
          <w:p w14:paraId="38B6306F"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881</w:t>
            </w:r>
          </w:p>
        </w:tc>
        <w:tc>
          <w:tcPr>
            <w:tcW w:w="1204" w:type="dxa"/>
            <w:tcBorders>
              <w:top w:val="single" w:sz="4" w:space="0" w:color="auto"/>
              <w:left w:val="single" w:sz="4" w:space="0" w:color="auto"/>
              <w:bottom w:val="single" w:sz="4" w:space="0" w:color="auto"/>
              <w:right w:val="single" w:sz="4" w:space="0" w:color="auto"/>
            </w:tcBorders>
            <w:hideMark/>
          </w:tcPr>
          <w:p w14:paraId="406CEFC3" w14:textId="469E076E"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170 </w:t>
            </w:r>
            <w:r w:rsidR="00E942C4" w:rsidRPr="00E942C4">
              <w:rPr>
                <w:sz w:val="20"/>
                <w:szCs w:val="20"/>
              </w:rPr>
              <w:br/>
            </w:r>
            <w:r w:rsidRPr="00E942C4">
              <w:rPr>
                <w:sz w:val="20"/>
                <w:szCs w:val="20"/>
              </w:rPr>
              <w:t>(297)</w:t>
            </w:r>
          </w:p>
        </w:tc>
        <w:tc>
          <w:tcPr>
            <w:tcW w:w="1204" w:type="dxa"/>
            <w:tcBorders>
              <w:top w:val="single" w:sz="4" w:space="0" w:color="auto"/>
              <w:left w:val="single" w:sz="4" w:space="0" w:color="auto"/>
              <w:bottom w:val="single" w:sz="4" w:space="0" w:color="auto"/>
              <w:right w:val="single" w:sz="4" w:space="0" w:color="auto"/>
            </w:tcBorders>
            <w:hideMark/>
          </w:tcPr>
          <w:p w14:paraId="2E36D2B9"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57.2% </w:t>
            </w:r>
            <w:r w:rsidRPr="00E942C4">
              <w:rPr>
                <w:sz w:val="20"/>
                <w:szCs w:val="20"/>
              </w:rPr>
              <w:br/>
              <w:t>(51.4, 62.9)</w:t>
            </w:r>
          </w:p>
        </w:tc>
        <w:tc>
          <w:tcPr>
            <w:tcW w:w="1205" w:type="dxa"/>
            <w:tcBorders>
              <w:top w:val="single" w:sz="4" w:space="0" w:color="auto"/>
              <w:left w:val="single" w:sz="4" w:space="0" w:color="auto"/>
              <w:bottom w:val="single" w:sz="4" w:space="0" w:color="auto"/>
              <w:right w:val="single" w:sz="4" w:space="0" w:color="auto"/>
            </w:tcBorders>
            <w:hideMark/>
          </w:tcPr>
          <w:p w14:paraId="083ED69B" w14:textId="4735770E"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124 </w:t>
            </w:r>
            <w:r w:rsidR="00E942C4" w:rsidRPr="00E942C4">
              <w:rPr>
                <w:sz w:val="20"/>
                <w:szCs w:val="20"/>
              </w:rPr>
              <w:br/>
              <w:t xml:space="preserve"> </w:t>
            </w:r>
            <w:r w:rsidRPr="00E942C4">
              <w:rPr>
                <w:sz w:val="20"/>
                <w:szCs w:val="20"/>
              </w:rPr>
              <w:t>(291)</w:t>
            </w:r>
          </w:p>
        </w:tc>
        <w:tc>
          <w:tcPr>
            <w:tcW w:w="1203" w:type="dxa"/>
            <w:tcBorders>
              <w:top w:val="single" w:sz="4" w:space="0" w:color="auto"/>
              <w:left w:val="single" w:sz="4" w:space="0" w:color="auto"/>
              <w:bottom w:val="single" w:sz="4" w:space="0" w:color="auto"/>
              <w:right w:val="single" w:sz="4" w:space="0" w:color="auto"/>
            </w:tcBorders>
            <w:hideMark/>
          </w:tcPr>
          <w:p w14:paraId="6DBBB227"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42.6% </w:t>
            </w:r>
            <w:r w:rsidRPr="00E942C4">
              <w:rPr>
                <w:sz w:val="20"/>
                <w:szCs w:val="20"/>
              </w:rPr>
              <w:br/>
              <w:t>(36.9, 48.5)</w:t>
            </w:r>
          </w:p>
        </w:tc>
        <w:tc>
          <w:tcPr>
            <w:tcW w:w="1208" w:type="dxa"/>
            <w:tcBorders>
              <w:top w:val="single" w:sz="4" w:space="0" w:color="auto"/>
              <w:left w:val="single" w:sz="4" w:space="0" w:color="auto"/>
              <w:bottom w:val="single" w:sz="4" w:space="0" w:color="auto"/>
              <w:right w:val="single" w:sz="4" w:space="0" w:color="auto"/>
            </w:tcBorders>
            <w:hideMark/>
          </w:tcPr>
          <w:p w14:paraId="54AE64B3" w14:textId="593D2B4F"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53</w:t>
            </w:r>
            <w:r w:rsidR="00E942C4" w:rsidRPr="00E942C4">
              <w:rPr>
                <w:sz w:val="20"/>
                <w:szCs w:val="20"/>
              </w:rPr>
              <w:br/>
              <w:t xml:space="preserve"> </w:t>
            </w:r>
            <w:r w:rsidRPr="00E942C4">
              <w:rPr>
                <w:sz w:val="20"/>
                <w:szCs w:val="20"/>
              </w:rPr>
              <w:t>(293)</w:t>
            </w:r>
          </w:p>
        </w:tc>
        <w:tc>
          <w:tcPr>
            <w:tcW w:w="1214" w:type="dxa"/>
            <w:gridSpan w:val="2"/>
            <w:tcBorders>
              <w:top w:val="single" w:sz="4" w:space="0" w:color="auto"/>
              <w:left w:val="single" w:sz="4" w:space="0" w:color="auto"/>
              <w:bottom w:val="single" w:sz="4" w:space="0" w:color="auto"/>
              <w:right w:val="single" w:sz="4" w:space="0" w:color="auto"/>
            </w:tcBorders>
          </w:tcPr>
          <w:p w14:paraId="4159FB79"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18.1% </w:t>
            </w:r>
            <w:r w:rsidRPr="00E942C4">
              <w:rPr>
                <w:sz w:val="20"/>
                <w:szCs w:val="20"/>
              </w:rPr>
              <w:br/>
              <w:t>(13.9, 23.0)</w:t>
            </w:r>
          </w:p>
        </w:tc>
      </w:tr>
      <w:tr w:rsidR="00A4504C" w:rsidRPr="00043B30" w14:paraId="48BF5773" w14:textId="77777777" w:rsidTr="00AE66E6">
        <w:trPr>
          <w:gridAfter w:val="1"/>
          <w:wAfter w:w="8" w:type="dxa"/>
        </w:trPr>
        <w:tc>
          <w:tcPr>
            <w:tcW w:w="1381" w:type="dxa"/>
            <w:gridSpan w:val="2"/>
          </w:tcPr>
          <w:p w14:paraId="0FF7590E" w14:textId="77777777" w:rsidR="00A4504C" w:rsidRPr="00E942C4" w:rsidRDefault="00A4504C" w:rsidP="004D7D64">
            <w:pPr>
              <w:pStyle w:val="BMSBodyText"/>
              <w:keepNext/>
              <w:keepLines/>
              <w:widowControl w:val="0"/>
              <w:spacing w:line="240" w:lineRule="auto"/>
              <w:jc w:val="left"/>
              <w:rPr>
                <w:sz w:val="20"/>
                <w:szCs w:val="20"/>
              </w:rPr>
            </w:pPr>
            <w:r w:rsidRPr="00E942C4">
              <w:rPr>
                <w:sz w:val="20"/>
                <w:szCs w:val="20"/>
              </w:rPr>
              <w:t>M1c</w:t>
            </w:r>
          </w:p>
        </w:tc>
        <w:tc>
          <w:tcPr>
            <w:tcW w:w="703" w:type="dxa"/>
          </w:tcPr>
          <w:p w14:paraId="1F202157"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559</w:t>
            </w:r>
          </w:p>
        </w:tc>
        <w:tc>
          <w:tcPr>
            <w:tcW w:w="1204" w:type="dxa"/>
          </w:tcPr>
          <w:p w14:paraId="2EABC360" w14:textId="53727C35"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95 </w:t>
            </w:r>
            <w:r w:rsidR="00E942C4" w:rsidRPr="00E942C4">
              <w:rPr>
                <w:sz w:val="20"/>
                <w:szCs w:val="20"/>
              </w:rPr>
              <w:br/>
            </w:r>
            <w:r w:rsidRPr="00E942C4">
              <w:rPr>
                <w:sz w:val="20"/>
                <w:szCs w:val="20"/>
              </w:rPr>
              <w:t>(185)</w:t>
            </w:r>
          </w:p>
        </w:tc>
        <w:tc>
          <w:tcPr>
            <w:tcW w:w="1204" w:type="dxa"/>
          </w:tcPr>
          <w:p w14:paraId="0E72F945"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51.4% (43.9, 58.8)</w:t>
            </w:r>
          </w:p>
        </w:tc>
        <w:tc>
          <w:tcPr>
            <w:tcW w:w="1205" w:type="dxa"/>
          </w:tcPr>
          <w:p w14:paraId="6BD172CD" w14:textId="6BF91D8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72 </w:t>
            </w:r>
            <w:r w:rsidR="00E942C4" w:rsidRPr="00E942C4">
              <w:rPr>
                <w:sz w:val="20"/>
                <w:szCs w:val="20"/>
              </w:rPr>
              <w:br/>
              <w:t xml:space="preserve"> </w:t>
            </w:r>
            <w:r w:rsidRPr="00E942C4">
              <w:rPr>
                <w:sz w:val="20"/>
                <w:szCs w:val="20"/>
              </w:rPr>
              <w:t>(185)</w:t>
            </w:r>
          </w:p>
        </w:tc>
        <w:tc>
          <w:tcPr>
            <w:tcW w:w="1203" w:type="dxa"/>
          </w:tcPr>
          <w:p w14:paraId="5D2E1F27" w14:textId="77777777"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38.9% (31.9, 46.3)</w:t>
            </w:r>
          </w:p>
        </w:tc>
        <w:tc>
          <w:tcPr>
            <w:tcW w:w="1208" w:type="dxa"/>
          </w:tcPr>
          <w:p w14:paraId="4D6DFE99" w14:textId="2E312961"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27 </w:t>
            </w:r>
            <w:r w:rsidR="00E942C4" w:rsidRPr="00E942C4">
              <w:rPr>
                <w:sz w:val="20"/>
                <w:szCs w:val="20"/>
              </w:rPr>
              <w:br/>
              <w:t xml:space="preserve"> </w:t>
            </w:r>
            <w:r w:rsidRPr="00E942C4">
              <w:rPr>
                <w:sz w:val="20"/>
                <w:szCs w:val="20"/>
              </w:rPr>
              <w:t>(189)</w:t>
            </w:r>
          </w:p>
        </w:tc>
        <w:tc>
          <w:tcPr>
            <w:tcW w:w="1206" w:type="dxa"/>
          </w:tcPr>
          <w:p w14:paraId="0FCD0ED9" w14:textId="5AF359EC" w:rsidR="00A4504C" w:rsidRPr="00E942C4" w:rsidRDefault="00A4504C" w:rsidP="004D7D64">
            <w:pPr>
              <w:pStyle w:val="BMSBodyText"/>
              <w:keepNext/>
              <w:keepLines/>
              <w:widowControl w:val="0"/>
              <w:spacing w:line="240" w:lineRule="auto"/>
              <w:jc w:val="center"/>
              <w:rPr>
                <w:sz w:val="20"/>
                <w:szCs w:val="20"/>
              </w:rPr>
            </w:pPr>
            <w:r w:rsidRPr="00E942C4">
              <w:rPr>
                <w:sz w:val="20"/>
                <w:szCs w:val="20"/>
              </w:rPr>
              <w:t xml:space="preserve">14.3% </w:t>
            </w:r>
            <w:r w:rsidR="00E942C4" w:rsidRPr="00E942C4">
              <w:rPr>
                <w:sz w:val="20"/>
                <w:szCs w:val="20"/>
              </w:rPr>
              <w:br/>
              <w:t xml:space="preserve"> </w:t>
            </w:r>
            <w:r w:rsidRPr="00E942C4">
              <w:rPr>
                <w:sz w:val="20"/>
                <w:szCs w:val="20"/>
              </w:rPr>
              <w:t>(9.6, 20.1)</w:t>
            </w:r>
          </w:p>
        </w:tc>
      </w:tr>
    </w:tbl>
    <w:p w14:paraId="40732F3D" w14:textId="5EF52DF8" w:rsidR="00C659AE" w:rsidRDefault="00C659AE" w:rsidP="009045DE">
      <w:pPr>
        <w:spacing w:before="240"/>
        <w:rPr>
          <w:lang w:val="en-GB"/>
        </w:rPr>
      </w:pPr>
      <w:r>
        <w:rPr>
          <w:lang w:val="en-GB"/>
        </w:rPr>
        <w:t xml:space="preserve">The safety of the combination of </w:t>
      </w:r>
      <w:proofErr w:type="spellStart"/>
      <w:r>
        <w:rPr>
          <w:lang w:val="en-GB"/>
        </w:rPr>
        <w:t>nivolumab</w:t>
      </w:r>
      <w:proofErr w:type="spellEnd"/>
      <w:r>
        <w:rPr>
          <w:lang w:val="en-GB"/>
        </w:rPr>
        <w:t xml:space="preserve"> and </w:t>
      </w:r>
      <w:proofErr w:type="spellStart"/>
      <w:r>
        <w:rPr>
          <w:lang w:val="en-GB"/>
        </w:rPr>
        <w:t>ipilimumab</w:t>
      </w:r>
      <w:proofErr w:type="spellEnd"/>
      <w:r>
        <w:rPr>
          <w:lang w:val="en-GB"/>
        </w:rPr>
        <w:t xml:space="preserve"> in patients with M1c disease was consistent with that in all randomised patients.</w:t>
      </w:r>
    </w:p>
    <w:p w14:paraId="1DE810B4" w14:textId="32605F16" w:rsidR="00C659AE" w:rsidRPr="009B2F32" w:rsidRDefault="00C659AE" w:rsidP="009B2F32">
      <w:pPr>
        <w:rPr>
          <w:b/>
        </w:rPr>
      </w:pPr>
      <w:proofErr w:type="gramStart"/>
      <w:r w:rsidRPr="009B2F32">
        <w:rPr>
          <w:b/>
        </w:rPr>
        <w:t>Efficacy by elevated LDH.</w:t>
      </w:r>
      <w:proofErr w:type="gramEnd"/>
    </w:p>
    <w:p w14:paraId="6AD57F30" w14:textId="6B56885B" w:rsidR="00C659AE" w:rsidRDefault="00C659AE" w:rsidP="009045DE">
      <w:pPr>
        <w:rPr>
          <w:lang w:val="en-GB"/>
        </w:rPr>
      </w:pPr>
      <w:r w:rsidRPr="00471C1A">
        <w:rPr>
          <w:lang w:val="en-GB"/>
        </w:rPr>
        <w:t xml:space="preserve">Three hundred forty-one patients (36%) had a baseline LDH level greater than ULN. In this population, the median PFS was 4.2 months (95% CI: 2.79, 9.26) in the </w:t>
      </w:r>
      <w:proofErr w:type="spellStart"/>
      <w:r w:rsidRPr="00471C1A">
        <w:rPr>
          <w:lang w:val="en-GB"/>
        </w:rPr>
        <w:t>nivolumab</w:t>
      </w:r>
      <w:proofErr w:type="spellEnd"/>
      <w:r w:rsidRPr="00471C1A">
        <w:rPr>
          <w:lang w:val="en-GB"/>
        </w:rPr>
        <w:t xml:space="preserve"> in combination with </w:t>
      </w:r>
      <w:proofErr w:type="spellStart"/>
      <w:r w:rsidRPr="00471C1A">
        <w:rPr>
          <w:lang w:val="en-GB"/>
        </w:rPr>
        <w:t>ipilimumab</w:t>
      </w:r>
      <w:proofErr w:type="spellEnd"/>
      <w:r w:rsidRPr="00471C1A">
        <w:rPr>
          <w:lang w:val="en-GB"/>
        </w:rPr>
        <w:t xml:space="preserve"> arm, 2.8 months (95% CI: 2.63, 4.04) in the </w:t>
      </w:r>
      <w:proofErr w:type="spellStart"/>
      <w:r w:rsidRPr="00471C1A">
        <w:rPr>
          <w:lang w:val="en-GB"/>
        </w:rPr>
        <w:t>nivolumab</w:t>
      </w:r>
      <w:proofErr w:type="spellEnd"/>
      <w:r w:rsidRPr="00471C1A">
        <w:rPr>
          <w:lang w:val="en-GB"/>
        </w:rPr>
        <w:t xml:space="preserve"> monotherapy arm and 2.63 months (95% CI: 2.60, 2.76) in the </w:t>
      </w:r>
      <w:proofErr w:type="spellStart"/>
      <w:r w:rsidRPr="00471C1A">
        <w:rPr>
          <w:lang w:val="en-GB"/>
        </w:rPr>
        <w:t>ipilimumab</w:t>
      </w:r>
      <w:proofErr w:type="spellEnd"/>
      <w:r w:rsidRPr="00471C1A">
        <w:rPr>
          <w:lang w:val="en-GB"/>
        </w:rPr>
        <w:t xml:space="preserve"> arm (Table </w:t>
      </w:r>
      <w:r w:rsidR="00736CE8">
        <w:rPr>
          <w:lang w:val="en-GB"/>
        </w:rPr>
        <w:t>10</w:t>
      </w:r>
      <w:r w:rsidRPr="00471C1A">
        <w:rPr>
          <w:lang w:val="en-GB"/>
        </w:rPr>
        <w:t xml:space="preserve">). </w:t>
      </w:r>
    </w:p>
    <w:p w14:paraId="1B7D3E50" w14:textId="74BC0075" w:rsidR="00C659AE" w:rsidRPr="00471C1A" w:rsidRDefault="00C659AE" w:rsidP="009045DE">
      <w:pPr>
        <w:rPr>
          <w:lang w:val="en-GB"/>
        </w:rPr>
      </w:pPr>
      <w:r w:rsidRPr="00471C1A">
        <w:rPr>
          <w:lang w:val="en-GB"/>
        </w:rPr>
        <w:lastRenderedPageBreak/>
        <w:t xml:space="preserve">The ORR was 44.7% (95% CI: 35.4, 54.3), 30.4% (95% CI: 22.0, 39.8) and 9.6% (95% CI: 4.9, 16.5) in the </w:t>
      </w:r>
      <w:proofErr w:type="spellStart"/>
      <w:r w:rsidRPr="00471C1A">
        <w:rPr>
          <w:lang w:val="en-GB"/>
        </w:rPr>
        <w:t>nivolumab</w:t>
      </w:r>
      <w:proofErr w:type="spellEnd"/>
      <w:r w:rsidRPr="00471C1A">
        <w:rPr>
          <w:lang w:val="en-GB"/>
        </w:rPr>
        <w:t xml:space="preserve"> in combination with </w:t>
      </w:r>
      <w:proofErr w:type="spellStart"/>
      <w:r w:rsidRPr="00471C1A">
        <w:rPr>
          <w:lang w:val="en-GB"/>
        </w:rPr>
        <w:t>ipilimumab</w:t>
      </w:r>
      <w:proofErr w:type="spellEnd"/>
      <w:r w:rsidRPr="00471C1A">
        <w:rPr>
          <w:lang w:val="en-GB"/>
        </w:rPr>
        <w:t xml:space="preserve">, </w:t>
      </w:r>
      <w:proofErr w:type="spellStart"/>
      <w:r w:rsidRPr="00471C1A">
        <w:rPr>
          <w:lang w:val="en-GB"/>
        </w:rPr>
        <w:t>nivolumab</w:t>
      </w:r>
      <w:proofErr w:type="spellEnd"/>
      <w:r w:rsidRPr="00471C1A">
        <w:rPr>
          <w:lang w:val="en-GB"/>
        </w:rPr>
        <w:t xml:space="preserve"> monotherapy and </w:t>
      </w:r>
      <w:proofErr w:type="spellStart"/>
      <w:r w:rsidRPr="00471C1A">
        <w:rPr>
          <w:lang w:val="en-GB"/>
        </w:rPr>
        <w:t>ipilimumab</w:t>
      </w:r>
      <w:proofErr w:type="spellEnd"/>
      <w:r w:rsidRPr="00471C1A">
        <w:rPr>
          <w:lang w:val="en-GB"/>
        </w:rPr>
        <w:t xml:space="preserve"> monotherapy arms respectively (Table </w:t>
      </w:r>
      <w:r w:rsidR="00736CE8">
        <w:rPr>
          <w:lang w:val="en-GB"/>
        </w:rPr>
        <w:t>11</w:t>
      </w:r>
      <w:r w:rsidRPr="00471C1A">
        <w:rPr>
          <w:lang w:val="en-GB"/>
        </w:rPr>
        <w:t>).</w:t>
      </w:r>
    </w:p>
    <w:p w14:paraId="6F20B217" w14:textId="16D4918F" w:rsidR="00C659AE" w:rsidRPr="00F43172" w:rsidRDefault="00C659AE" w:rsidP="004D7D64">
      <w:pPr>
        <w:keepNext/>
        <w:keepLines/>
        <w:widowControl w:val="0"/>
        <w:rPr>
          <w:b/>
        </w:rPr>
      </w:pPr>
      <w:r w:rsidRPr="00F43172">
        <w:rPr>
          <w:b/>
        </w:rPr>
        <w:t xml:space="preserve">Table </w:t>
      </w:r>
      <w:r w:rsidR="00736CE8">
        <w:rPr>
          <w:b/>
        </w:rPr>
        <w:t>10</w:t>
      </w:r>
      <w:r w:rsidRPr="00F43172">
        <w:rPr>
          <w:b/>
        </w:rPr>
        <w:t>:</w:t>
      </w:r>
      <w:r w:rsidRPr="00F43172">
        <w:rPr>
          <w:b/>
        </w:rPr>
        <w:tab/>
        <w:t>Elevated LDH Pre-defined Subgroup Analysis on Progression Free Survival across all treatment groups in Study CA209067.</w:t>
      </w: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A4504C" w:rsidRPr="00043B30" w14:paraId="46891342" w14:textId="77777777" w:rsidTr="00AE66E6">
        <w:tc>
          <w:tcPr>
            <w:tcW w:w="1371" w:type="dxa"/>
            <w:tcBorders>
              <w:top w:val="single" w:sz="4" w:space="0" w:color="auto"/>
              <w:left w:val="single" w:sz="4" w:space="0" w:color="auto"/>
              <w:bottom w:val="single" w:sz="4" w:space="0" w:color="auto"/>
              <w:right w:val="single" w:sz="4" w:space="0" w:color="auto"/>
            </w:tcBorders>
          </w:tcPr>
          <w:p w14:paraId="0DB325EB" w14:textId="77777777" w:rsidR="00A4504C" w:rsidRPr="009B2F32" w:rsidRDefault="00A4504C" w:rsidP="004D7D64">
            <w:pPr>
              <w:pStyle w:val="BMSBodyText"/>
              <w:keepNext/>
              <w:keepLines/>
              <w:widowControl w:val="0"/>
              <w:spacing w:line="240" w:lineRule="auto"/>
              <w:jc w:val="left"/>
              <w:rPr>
                <w:b/>
                <w:sz w:val="20"/>
                <w:szCs w:val="20"/>
              </w:rPr>
            </w:pPr>
          </w:p>
        </w:tc>
        <w:tc>
          <w:tcPr>
            <w:tcW w:w="713" w:type="dxa"/>
            <w:tcBorders>
              <w:top w:val="single" w:sz="4" w:space="0" w:color="auto"/>
              <w:left w:val="single" w:sz="4" w:space="0" w:color="auto"/>
              <w:bottom w:val="single" w:sz="4" w:space="0" w:color="auto"/>
              <w:right w:val="single" w:sz="4" w:space="0" w:color="auto"/>
            </w:tcBorders>
          </w:tcPr>
          <w:p w14:paraId="2CC2522F" w14:textId="77777777" w:rsidR="00A4504C" w:rsidRPr="009B2F32" w:rsidRDefault="00A4504C" w:rsidP="004D7D64">
            <w:pPr>
              <w:pStyle w:val="BMSBodyText"/>
              <w:keepNext/>
              <w:keepLines/>
              <w:widowControl w:val="0"/>
              <w:spacing w:line="240" w:lineRule="auto"/>
              <w:jc w:val="left"/>
              <w:rPr>
                <w:b/>
                <w:sz w:val="20"/>
                <w:szCs w:val="20"/>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5D79630"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Nivolumab</w:t>
            </w:r>
            <w:proofErr w:type="spellEnd"/>
            <w:r w:rsidRPr="009B2F32">
              <w:rPr>
                <w:b/>
                <w:sz w:val="20"/>
                <w:szCs w:val="20"/>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2AA9835C"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Nivolumab</w:t>
            </w:r>
            <w:proofErr w:type="spellEnd"/>
          </w:p>
        </w:tc>
        <w:tc>
          <w:tcPr>
            <w:tcW w:w="2422" w:type="dxa"/>
            <w:gridSpan w:val="2"/>
            <w:tcBorders>
              <w:top w:val="single" w:sz="4" w:space="0" w:color="auto"/>
              <w:left w:val="single" w:sz="4" w:space="0" w:color="auto"/>
              <w:bottom w:val="single" w:sz="4" w:space="0" w:color="auto"/>
              <w:right w:val="single" w:sz="4" w:space="0" w:color="auto"/>
            </w:tcBorders>
          </w:tcPr>
          <w:p w14:paraId="442124AE"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Ipilimumab</w:t>
            </w:r>
          </w:p>
        </w:tc>
      </w:tr>
      <w:tr w:rsidR="00A4504C" w:rsidRPr="00043B30" w14:paraId="5BB7B0BF"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13B4A1F9" w14:textId="77777777" w:rsidR="00A4504C" w:rsidRPr="009B2F32" w:rsidRDefault="00A4504C" w:rsidP="004D7D64">
            <w:pPr>
              <w:pStyle w:val="BMSBodyText"/>
              <w:keepNext/>
              <w:keepLines/>
              <w:widowControl w:val="0"/>
              <w:spacing w:line="240" w:lineRule="auto"/>
              <w:jc w:val="left"/>
              <w:rPr>
                <w:b/>
                <w:sz w:val="20"/>
                <w:szCs w:val="20"/>
              </w:rPr>
            </w:pPr>
            <w:r w:rsidRPr="009B2F32">
              <w:rPr>
                <w:b/>
                <w:sz w:val="20"/>
                <w:szCs w:val="20"/>
              </w:rPr>
              <w:t>LDH</w:t>
            </w:r>
          </w:p>
        </w:tc>
        <w:tc>
          <w:tcPr>
            <w:tcW w:w="713" w:type="dxa"/>
            <w:tcBorders>
              <w:top w:val="single" w:sz="4" w:space="0" w:color="auto"/>
              <w:left w:val="single" w:sz="4" w:space="0" w:color="auto"/>
              <w:bottom w:val="single" w:sz="4" w:space="0" w:color="auto"/>
              <w:right w:val="single" w:sz="4" w:space="0" w:color="auto"/>
            </w:tcBorders>
            <w:hideMark/>
          </w:tcPr>
          <w:p w14:paraId="13B67C84"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w:t>
            </w:r>
          </w:p>
        </w:tc>
        <w:tc>
          <w:tcPr>
            <w:tcW w:w="1204" w:type="dxa"/>
            <w:tcBorders>
              <w:top w:val="single" w:sz="4" w:space="0" w:color="auto"/>
              <w:left w:val="single" w:sz="4" w:space="0" w:color="auto"/>
              <w:bottom w:val="single" w:sz="4" w:space="0" w:color="auto"/>
              <w:right w:val="single" w:sz="4" w:space="0" w:color="auto"/>
            </w:tcBorders>
            <w:hideMark/>
          </w:tcPr>
          <w:p w14:paraId="5AD38A20"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0066D3FB"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mPFS</w:t>
            </w:r>
            <w:proofErr w:type="spellEnd"/>
            <w:r w:rsidRPr="009B2F32">
              <w:rPr>
                <w:b/>
                <w:sz w:val="20"/>
                <w:szCs w:val="20"/>
              </w:rPr>
              <w:t xml:space="preserve"> </w:t>
            </w:r>
            <w:r w:rsidRPr="009B2F32">
              <w:rPr>
                <w:b/>
                <w:sz w:val="20"/>
                <w:szCs w:val="20"/>
              </w:rPr>
              <w:br/>
              <w:t>(95% CI)</w:t>
            </w:r>
          </w:p>
        </w:tc>
        <w:tc>
          <w:tcPr>
            <w:tcW w:w="1205" w:type="dxa"/>
            <w:tcBorders>
              <w:top w:val="single" w:sz="4" w:space="0" w:color="auto"/>
              <w:left w:val="single" w:sz="4" w:space="0" w:color="auto"/>
              <w:bottom w:val="single" w:sz="4" w:space="0" w:color="auto"/>
              <w:right w:val="single" w:sz="4" w:space="0" w:color="auto"/>
            </w:tcBorders>
            <w:hideMark/>
          </w:tcPr>
          <w:p w14:paraId="03DEFC4F"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1C82180D"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mPFS</w:t>
            </w:r>
            <w:proofErr w:type="spellEnd"/>
            <w:r w:rsidRPr="009B2F32">
              <w:rPr>
                <w:b/>
                <w:sz w:val="20"/>
                <w:szCs w:val="20"/>
              </w:rPr>
              <w:t xml:space="preserve"> </w:t>
            </w:r>
            <w:r w:rsidRPr="009B2F32">
              <w:rPr>
                <w:b/>
                <w:sz w:val="20"/>
                <w:szCs w:val="20"/>
              </w:rPr>
              <w:br/>
              <w:t>(95% CI)</w:t>
            </w:r>
          </w:p>
        </w:tc>
        <w:tc>
          <w:tcPr>
            <w:tcW w:w="1208" w:type="dxa"/>
            <w:tcBorders>
              <w:top w:val="single" w:sz="4" w:space="0" w:color="auto"/>
              <w:left w:val="single" w:sz="4" w:space="0" w:color="auto"/>
              <w:bottom w:val="single" w:sz="4" w:space="0" w:color="auto"/>
              <w:right w:val="single" w:sz="4" w:space="0" w:color="auto"/>
            </w:tcBorders>
            <w:hideMark/>
          </w:tcPr>
          <w:p w14:paraId="45E17929"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75F1E3A9"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mPFS</w:t>
            </w:r>
            <w:proofErr w:type="spellEnd"/>
            <w:r w:rsidRPr="009B2F32">
              <w:rPr>
                <w:b/>
                <w:sz w:val="20"/>
                <w:szCs w:val="20"/>
              </w:rPr>
              <w:t xml:space="preserve"> </w:t>
            </w:r>
            <w:r w:rsidRPr="009B2F32">
              <w:rPr>
                <w:b/>
                <w:sz w:val="20"/>
                <w:szCs w:val="20"/>
              </w:rPr>
              <w:br/>
              <w:t>(95% CI)</w:t>
            </w:r>
          </w:p>
        </w:tc>
      </w:tr>
      <w:tr w:rsidR="00A4504C" w:rsidRPr="00043B30" w14:paraId="2CFD54F7"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31046E06" w14:textId="77777777" w:rsidR="00A4504C" w:rsidRPr="009B2F32" w:rsidRDefault="00A4504C" w:rsidP="004D7D64">
            <w:pPr>
              <w:pStyle w:val="BMSBodyText"/>
              <w:keepNext/>
              <w:keepLines/>
              <w:widowControl w:val="0"/>
              <w:spacing w:line="240" w:lineRule="auto"/>
              <w:jc w:val="left"/>
              <w:rPr>
                <w:sz w:val="20"/>
                <w:szCs w:val="20"/>
              </w:rPr>
            </w:pPr>
            <w:r w:rsidRPr="009B2F32">
              <w:rPr>
                <w:sz w:val="20"/>
                <w:szCs w:val="20"/>
              </w:rPr>
              <w:t>&gt;ULN</w:t>
            </w:r>
          </w:p>
        </w:tc>
        <w:tc>
          <w:tcPr>
            <w:tcW w:w="713" w:type="dxa"/>
            <w:tcBorders>
              <w:top w:val="single" w:sz="4" w:space="0" w:color="auto"/>
              <w:left w:val="single" w:sz="4" w:space="0" w:color="auto"/>
              <w:bottom w:val="single" w:sz="4" w:space="0" w:color="auto"/>
              <w:right w:val="single" w:sz="4" w:space="0" w:color="auto"/>
            </w:tcBorders>
            <w:hideMark/>
          </w:tcPr>
          <w:p w14:paraId="11FD9F78" w14:textId="77777777"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341</w:t>
            </w:r>
          </w:p>
        </w:tc>
        <w:tc>
          <w:tcPr>
            <w:tcW w:w="1204" w:type="dxa"/>
            <w:tcBorders>
              <w:top w:val="single" w:sz="4" w:space="0" w:color="auto"/>
              <w:left w:val="single" w:sz="4" w:space="0" w:color="auto"/>
              <w:bottom w:val="single" w:sz="4" w:space="0" w:color="auto"/>
              <w:right w:val="single" w:sz="4" w:space="0" w:color="auto"/>
            </w:tcBorders>
            <w:hideMark/>
          </w:tcPr>
          <w:p w14:paraId="49DB766A" w14:textId="27087268"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69 </w:t>
            </w:r>
            <w:r w:rsidR="009B2F32" w:rsidRPr="00E942C4">
              <w:rPr>
                <w:sz w:val="20"/>
                <w:szCs w:val="20"/>
              </w:rPr>
              <w:br/>
            </w:r>
            <w:r w:rsidRPr="009B2F32">
              <w:rPr>
                <w:sz w:val="20"/>
                <w:szCs w:val="20"/>
              </w:rPr>
              <w:t>(114)</w:t>
            </w:r>
          </w:p>
        </w:tc>
        <w:tc>
          <w:tcPr>
            <w:tcW w:w="1204" w:type="dxa"/>
            <w:tcBorders>
              <w:top w:val="single" w:sz="4" w:space="0" w:color="auto"/>
              <w:left w:val="single" w:sz="4" w:space="0" w:color="auto"/>
              <w:bottom w:val="single" w:sz="4" w:space="0" w:color="auto"/>
              <w:right w:val="single" w:sz="4" w:space="0" w:color="auto"/>
            </w:tcBorders>
            <w:hideMark/>
          </w:tcPr>
          <w:p w14:paraId="035AA6B7" w14:textId="0A19BE46"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4.21 </w:t>
            </w:r>
            <w:r w:rsidR="009B2F32" w:rsidRPr="00E942C4">
              <w:rPr>
                <w:sz w:val="20"/>
                <w:szCs w:val="20"/>
              </w:rPr>
              <w:br/>
            </w:r>
            <w:r w:rsidRPr="009B2F32">
              <w:rPr>
                <w:sz w:val="20"/>
                <w:szCs w:val="20"/>
              </w:rPr>
              <w:t>(2.79, 9.26)</w:t>
            </w:r>
          </w:p>
        </w:tc>
        <w:tc>
          <w:tcPr>
            <w:tcW w:w="1205" w:type="dxa"/>
            <w:tcBorders>
              <w:top w:val="single" w:sz="4" w:space="0" w:color="auto"/>
              <w:left w:val="single" w:sz="4" w:space="0" w:color="auto"/>
              <w:bottom w:val="single" w:sz="4" w:space="0" w:color="auto"/>
              <w:right w:val="single" w:sz="4" w:space="0" w:color="auto"/>
            </w:tcBorders>
            <w:hideMark/>
          </w:tcPr>
          <w:p w14:paraId="47BA64AA" w14:textId="18A549A4"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73 </w:t>
            </w:r>
            <w:r w:rsidR="009B2F32" w:rsidRPr="00E942C4">
              <w:rPr>
                <w:sz w:val="20"/>
                <w:szCs w:val="20"/>
              </w:rPr>
              <w:br/>
            </w:r>
            <w:r w:rsidRPr="009B2F32">
              <w:rPr>
                <w:sz w:val="20"/>
                <w:szCs w:val="20"/>
              </w:rPr>
              <w:t>(112)</w:t>
            </w:r>
          </w:p>
        </w:tc>
        <w:tc>
          <w:tcPr>
            <w:tcW w:w="1203" w:type="dxa"/>
            <w:tcBorders>
              <w:top w:val="single" w:sz="4" w:space="0" w:color="auto"/>
              <w:left w:val="single" w:sz="4" w:space="0" w:color="auto"/>
              <w:bottom w:val="single" w:sz="4" w:space="0" w:color="auto"/>
              <w:right w:val="single" w:sz="4" w:space="0" w:color="auto"/>
            </w:tcBorders>
            <w:hideMark/>
          </w:tcPr>
          <w:p w14:paraId="54B4B1B6" w14:textId="1806D3A0"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2.79 </w:t>
            </w:r>
            <w:r w:rsidR="009B2F32" w:rsidRPr="00E942C4">
              <w:rPr>
                <w:sz w:val="20"/>
                <w:szCs w:val="20"/>
              </w:rPr>
              <w:br/>
            </w:r>
            <w:r w:rsidRPr="009B2F32">
              <w:rPr>
                <w:sz w:val="20"/>
                <w:szCs w:val="20"/>
              </w:rPr>
              <w:t>(2.63, 4.04)</w:t>
            </w:r>
          </w:p>
        </w:tc>
        <w:tc>
          <w:tcPr>
            <w:tcW w:w="1208" w:type="dxa"/>
            <w:tcBorders>
              <w:top w:val="single" w:sz="4" w:space="0" w:color="auto"/>
              <w:left w:val="single" w:sz="4" w:space="0" w:color="auto"/>
              <w:bottom w:val="single" w:sz="4" w:space="0" w:color="auto"/>
              <w:right w:val="single" w:sz="4" w:space="0" w:color="auto"/>
            </w:tcBorders>
          </w:tcPr>
          <w:p w14:paraId="331278CC" w14:textId="58F159B2"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93 </w:t>
            </w:r>
            <w:r w:rsidR="009B2F32" w:rsidRPr="00E942C4">
              <w:rPr>
                <w:sz w:val="20"/>
                <w:szCs w:val="20"/>
              </w:rPr>
              <w:br/>
            </w:r>
            <w:r w:rsidRPr="009B2F32">
              <w:rPr>
                <w:sz w:val="20"/>
                <w:szCs w:val="20"/>
              </w:rPr>
              <w:t>(115)</w:t>
            </w:r>
          </w:p>
        </w:tc>
        <w:tc>
          <w:tcPr>
            <w:tcW w:w="1214" w:type="dxa"/>
            <w:tcBorders>
              <w:top w:val="single" w:sz="4" w:space="0" w:color="auto"/>
              <w:left w:val="single" w:sz="4" w:space="0" w:color="auto"/>
              <w:bottom w:val="single" w:sz="4" w:space="0" w:color="auto"/>
              <w:right w:val="single" w:sz="4" w:space="0" w:color="auto"/>
            </w:tcBorders>
          </w:tcPr>
          <w:p w14:paraId="66B0F03D" w14:textId="3E0AE0D3"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2.63 </w:t>
            </w:r>
            <w:r w:rsidR="009B2F32" w:rsidRPr="00E942C4">
              <w:rPr>
                <w:sz w:val="20"/>
                <w:szCs w:val="20"/>
              </w:rPr>
              <w:br/>
            </w:r>
            <w:r w:rsidRPr="009B2F32">
              <w:rPr>
                <w:sz w:val="20"/>
                <w:szCs w:val="20"/>
              </w:rPr>
              <w:t>(2.60, 2.76)</w:t>
            </w:r>
          </w:p>
        </w:tc>
      </w:tr>
    </w:tbl>
    <w:p w14:paraId="1846020F" w14:textId="77777777" w:rsidR="004D7D64" w:rsidRDefault="004D7D64" w:rsidP="00C659AE">
      <w:pPr>
        <w:pStyle w:val="BMSBodyText"/>
        <w:spacing w:line="240" w:lineRule="auto"/>
        <w:jc w:val="left"/>
        <w:rPr>
          <w:b/>
          <w:sz w:val="22"/>
          <w:szCs w:val="22"/>
        </w:rPr>
      </w:pPr>
    </w:p>
    <w:p w14:paraId="2A32D095" w14:textId="2ABCEF18" w:rsidR="00C659AE" w:rsidRPr="009B2F32" w:rsidRDefault="00C659AE" w:rsidP="004D7D64">
      <w:pPr>
        <w:pStyle w:val="BMSBodyText"/>
        <w:keepNext/>
        <w:keepLines/>
        <w:widowControl w:val="0"/>
        <w:spacing w:line="240" w:lineRule="auto"/>
        <w:jc w:val="left"/>
        <w:rPr>
          <w:b/>
          <w:sz w:val="22"/>
          <w:szCs w:val="22"/>
        </w:rPr>
      </w:pPr>
      <w:r w:rsidRPr="009B2F32">
        <w:rPr>
          <w:b/>
          <w:sz w:val="22"/>
          <w:szCs w:val="22"/>
        </w:rPr>
        <w:t xml:space="preserve">Table </w:t>
      </w:r>
      <w:r w:rsidR="00736CE8">
        <w:rPr>
          <w:b/>
          <w:sz w:val="22"/>
          <w:szCs w:val="22"/>
        </w:rPr>
        <w:t>11</w:t>
      </w:r>
      <w:r w:rsidRPr="009B2F32">
        <w:rPr>
          <w:b/>
          <w:sz w:val="22"/>
          <w:szCs w:val="22"/>
        </w:rPr>
        <w:t>:</w:t>
      </w:r>
      <w:r w:rsidRPr="009B2F32">
        <w:rPr>
          <w:b/>
          <w:sz w:val="22"/>
          <w:szCs w:val="22"/>
        </w:rPr>
        <w:tab/>
        <w:t>Elevated LDH Pre-defined Subgroup Analysis on Objective Response Rate across all treatment groups in Study CA209067.</w:t>
      </w:r>
    </w:p>
    <w:tbl>
      <w:tblPr>
        <w:tblStyle w:val="TableGrid"/>
        <w:tblW w:w="9322" w:type="dxa"/>
        <w:tblLook w:val="04A0" w:firstRow="1" w:lastRow="0" w:firstColumn="1" w:lastColumn="0" w:noHBand="0" w:noVBand="1"/>
      </w:tblPr>
      <w:tblGrid>
        <w:gridCol w:w="1371"/>
        <w:gridCol w:w="713"/>
        <w:gridCol w:w="1204"/>
        <w:gridCol w:w="1204"/>
        <w:gridCol w:w="1205"/>
        <w:gridCol w:w="1203"/>
        <w:gridCol w:w="1208"/>
        <w:gridCol w:w="1214"/>
      </w:tblGrid>
      <w:tr w:rsidR="00A4504C" w:rsidRPr="00043B30" w14:paraId="17656722" w14:textId="77777777" w:rsidTr="00AE66E6">
        <w:tc>
          <w:tcPr>
            <w:tcW w:w="1371" w:type="dxa"/>
            <w:tcBorders>
              <w:top w:val="single" w:sz="4" w:space="0" w:color="auto"/>
              <w:left w:val="single" w:sz="4" w:space="0" w:color="auto"/>
              <w:bottom w:val="single" w:sz="4" w:space="0" w:color="auto"/>
              <w:right w:val="single" w:sz="4" w:space="0" w:color="auto"/>
            </w:tcBorders>
          </w:tcPr>
          <w:p w14:paraId="7CCC7FA3" w14:textId="77777777" w:rsidR="00A4504C" w:rsidRPr="009B2F32" w:rsidRDefault="00A4504C" w:rsidP="004D7D64">
            <w:pPr>
              <w:pStyle w:val="BMSBodyText"/>
              <w:keepNext/>
              <w:keepLines/>
              <w:widowControl w:val="0"/>
              <w:spacing w:line="240" w:lineRule="auto"/>
              <w:jc w:val="left"/>
              <w:rPr>
                <w:b/>
                <w:sz w:val="20"/>
                <w:szCs w:val="20"/>
              </w:rPr>
            </w:pPr>
          </w:p>
        </w:tc>
        <w:tc>
          <w:tcPr>
            <w:tcW w:w="713" w:type="dxa"/>
            <w:tcBorders>
              <w:top w:val="single" w:sz="4" w:space="0" w:color="auto"/>
              <w:left w:val="single" w:sz="4" w:space="0" w:color="auto"/>
              <w:bottom w:val="single" w:sz="4" w:space="0" w:color="auto"/>
              <w:right w:val="single" w:sz="4" w:space="0" w:color="auto"/>
            </w:tcBorders>
          </w:tcPr>
          <w:p w14:paraId="4C499B5B" w14:textId="77777777" w:rsidR="00A4504C" w:rsidRPr="009B2F32" w:rsidRDefault="00A4504C" w:rsidP="004D7D64">
            <w:pPr>
              <w:pStyle w:val="BMSBodyText"/>
              <w:keepNext/>
              <w:keepLines/>
              <w:widowControl w:val="0"/>
              <w:spacing w:line="240" w:lineRule="auto"/>
              <w:jc w:val="left"/>
              <w:rPr>
                <w:b/>
                <w:sz w:val="20"/>
                <w:szCs w:val="20"/>
              </w:rPr>
            </w:pPr>
          </w:p>
        </w:tc>
        <w:tc>
          <w:tcPr>
            <w:tcW w:w="2408" w:type="dxa"/>
            <w:gridSpan w:val="2"/>
            <w:tcBorders>
              <w:top w:val="single" w:sz="4" w:space="0" w:color="auto"/>
              <w:left w:val="single" w:sz="4" w:space="0" w:color="auto"/>
              <w:bottom w:val="single" w:sz="4" w:space="0" w:color="auto"/>
              <w:right w:val="single" w:sz="4" w:space="0" w:color="auto"/>
            </w:tcBorders>
            <w:hideMark/>
          </w:tcPr>
          <w:p w14:paraId="3ED9D7BD"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Nivolumab</w:t>
            </w:r>
            <w:proofErr w:type="spellEnd"/>
            <w:r w:rsidRPr="009B2F32">
              <w:rPr>
                <w:b/>
                <w:sz w:val="20"/>
                <w:szCs w:val="20"/>
              </w:rPr>
              <w:t xml:space="preserve"> + Ipilimumab</w:t>
            </w:r>
          </w:p>
        </w:tc>
        <w:tc>
          <w:tcPr>
            <w:tcW w:w="2408" w:type="dxa"/>
            <w:gridSpan w:val="2"/>
            <w:tcBorders>
              <w:top w:val="single" w:sz="4" w:space="0" w:color="auto"/>
              <w:left w:val="single" w:sz="4" w:space="0" w:color="auto"/>
              <w:bottom w:val="single" w:sz="4" w:space="0" w:color="auto"/>
              <w:right w:val="single" w:sz="4" w:space="0" w:color="auto"/>
            </w:tcBorders>
            <w:hideMark/>
          </w:tcPr>
          <w:p w14:paraId="463633CB" w14:textId="77777777" w:rsidR="00A4504C" w:rsidRPr="009B2F32" w:rsidRDefault="00A4504C" w:rsidP="004D7D64">
            <w:pPr>
              <w:pStyle w:val="BMSBodyText"/>
              <w:keepNext/>
              <w:keepLines/>
              <w:widowControl w:val="0"/>
              <w:spacing w:line="240" w:lineRule="auto"/>
              <w:jc w:val="center"/>
              <w:rPr>
                <w:b/>
                <w:sz w:val="20"/>
                <w:szCs w:val="20"/>
              </w:rPr>
            </w:pPr>
            <w:proofErr w:type="spellStart"/>
            <w:r w:rsidRPr="009B2F32">
              <w:rPr>
                <w:b/>
                <w:sz w:val="20"/>
                <w:szCs w:val="20"/>
              </w:rPr>
              <w:t>Nivolumab</w:t>
            </w:r>
            <w:proofErr w:type="spellEnd"/>
          </w:p>
        </w:tc>
        <w:tc>
          <w:tcPr>
            <w:tcW w:w="2422" w:type="dxa"/>
            <w:gridSpan w:val="2"/>
            <w:tcBorders>
              <w:top w:val="single" w:sz="4" w:space="0" w:color="auto"/>
              <w:left w:val="single" w:sz="4" w:space="0" w:color="auto"/>
              <w:bottom w:val="single" w:sz="4" w:space="0" w:color="auto"/>
              <w:right w:val="single" w:sz="4" w:space="0" w:color="auto"/>
            </w:tcBorders>
          </w:tcPr>
          <w:p w14:paraId="286DCD30"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Ipilimumab</w:t>
            </w:r>
          </w:p>
        </w:tc>
      </w:tr>
      <w:tr w:rsidR="00A4504C" w:rsidRPr="00043B30" w14:paraId="0157E0EF"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28323BC6" w14:textId="77777777" w:rsidR="00A4504C" w:rsidRPr="009B2F32" w:rsidRDefault="00A4504C" w:rsidP="004D7D64">
            <w:pPr>
              <w:pStyle w:val="BMSBodyText"/>
              <w:keepNext/>
              <w:keepLines/>
              <w:widowControl w:val="0"/>
              <w:spacing w:line="240" w:lineRule="auto"/>
              <w:jc w:val="left"/>
              <w:rPr>
                <w:b/>
                <w:sz w:val="20"/>
                <w:szCs w:val="20"/>
              </w:rPr>
            </w:pPr>
            <w:r w:rsidRPr="009B2F32">
              <w:rPr>
                <w:b/>
                <w:sz w:val="20"/>
                <w:szCs w:val="20"/>
              </w:rPr>
              <w:t>LDH</w:t>
            </w:r>
          </w:p>
        </w:tc>
        <w:tc>
          <w:tcPr>
            <w:tcW w:w="713" w:type="dxa"/>
            <w:tcBorders>
              <w:top w:val="single" w:sz="4" w:space="0" w:color="auto"/>
              <w:left w:val="single" w:sz="4" w:space="0" w:color="auto"/>
              <w:bottom w:val="single" w:sz="4" w:space="0" w:color="auto"/>
              <w:right w:val="single" w:sz="4" w:space="0" w:color="auto"/>
            </w:tcBorders>
            <w:hideMark/>
          </w:tcPr>
          <w:p w14:paraId="2A2BEC27"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w:t>
            </w:r>
          </w:p>
        </w:tc>
        <w:tc>
          <w:tcPr>
            <w:tcW w:w="1204" w:type="dxa"/>
            <w:tcBorders>
              <w:top w:val="single" w:sz="4" w:space="0" w:color="auto"/>
              <w:left w:val="single" w:sz="4" w:space="0" w:color="auto"/>
              <w:bottom w:val="single" w:sz="4" w:space="0" w:color="auto"/>
              <w:right w:val="single" w:sz="4" w:space="0" w:color="auto"/>
            </w:tcBorders>
            <w:hideMark/>
          </w:tcPr>
          <w:p w14:paraId="720F6A1C"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04" w:type="dxa"/>
            <w:tcBorders>
              <w:top w:val="single" w:sz="4" w:space="0" w:color="auto"/>
              <w:left w:val="single" w:sz="4" w:space="0" w:color="auto"/>
              <w:bottom w:val="single" w:sz="4" w:space="0" w:color="auto"/>
              <w:right w:val="single" w:sz="4" w:space="0" w:color="auto"/>
            </w:tcBorders>
            <w:hideMark/>
          </w:tcPr>
          <w:p w14:paraId="54669B1F"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 xml:space="preserve">ORR </w:t>
            </w:r>
            <w:r w:rsidRPr="009B2F32">
              <w:rPr>
                <w:b/>
                <w:sz w:val="20"/>
                <w:szCs w:val="20"/>
              </w:rPr>
              <w:br/>
              <w:t>(95% CI)</w:t>
            </w:r>
          </w:p>
        </w:tc>
        <w:tc>
          <w:tcPr>
            <w:tcW w:w="1205" w:type="dxa"/>
            <w:tcBorders>
              <w:top w:val="single" w:sz="4" w:space="0" w:color="auto"/>
              <w:left w:val="single" w:sz="4" w:space="0" w:color="auto"/>
              <w:bottom w:val="single" w:sz="4" w:space="0" w:color="auto"/>
              <w:right w:val="single" w:sz="4" w:space="0" w:color="auto"/>
            </w:tcBorders>
            <w:hideMark/>
          </w:tcPr>
          <w:p w14:paraId="7F59E447"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03" w:type="dxa"/>
            <w:tcBorders>
              <w:top w:val="single" w:sz="4" w:space="0" w:color="auto"/>
              <w:left w:val="single" w:sz="4" w:space="0" w:color="auto"/>
              <w:bottom w:val="single" w:sz="4" w:space="0" w:color="auto"/>
              <w:right w:val="single" w:sz="4" w:space="0" w:color="auto"/>
            </w:tcBorders>
            <w:hideMark/>
          </w:tcPr>
          <w:p w14:paraId="369766D6"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 xml:space="preserve">ORR </w:t>
            </w:r>
            <w:r w:rsidRPr="009B2F32">
              <w:rPr>
                <w:b/>
                <w:sz w:val="20"/>
                <w:szCs w:val="20"/>
              </w:rPr>
              <w:br/>
              <w:t>(95% CI)</w:t>
            </w:r>
          </w:p>
        </w:tc>
        <w:tc>
          <w:tcPr>
            <w:tcW w:w="1208" w:type="dxa"/>
            <w:tcBorders>
              <w:top w:val="single" w:sz="4" w:space="0" w:color="auto"/>
              <w:left w:val="single" w:sz="4" w:space="0" w:color="auto"/>
              <w:bottom w:val="single" w:sz="4" w:space="0" w:color="auto"/>
              <w:right w:val="single" w:sz="4" w:space="0" w:color="auto"/>
            </w:tcBorders>
            <w:hideMark/>
          </w:tcPr>
          <w:p w14:paraId="69510112"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N of Events (N of Patients)</w:t>
            </w:r>
          </w:p>
        </w:tc>
        <w:tc>
          <w:tcPr>
            <w:tcW w:w="1214" w:type="dxa"/>
            <w:tcBorders>
              <w:top w:val="single" w:sz="4" w:space="0" w:color="auto"/>
              <w:left w:val="single" w:sz="4" w:space="0" w:color="auto"/>
              <w:bottom w:val="single" w:sz="4" w:space="0" w:color="auto"/>
              <w:right w:val="single" w:sz="4" w:space="0" w:color="auto"/>
            </w:tcBorders>
          </w:tcPr>
          <w:p w14:paraId="63A30DDE" w14:textId="77777777" w:rsidR="00A4504C" w:rsidRPr="009B2F32" w:rsidRDefault="00A4504C" w:rsidP="004D7D64">
            <w:pPr>
              <w:pStyle w:val="BMSBodyText"/>
              <w:keepNext/>
              <w:keepLines/>
              <w:widowControl w:val="0"/>
              <w:spacing w:line="240" w:lineRule="auto"/>
              <w:jc w:val="center"/>
              <w:rPr>
                <w:b/>
                <w:sz w:val="20"/>
                <w:szCs w:val="20"/>
              </w:rPr>
            </w:pPr>
            <w:r w:rsidRPr="009B2F32">
              <w:rPr>
                <w:b/>
                <w:sz w:val="20"/>
                <w:szCs w:val="20"/>
              </w:rPr>
              <w:t xml:space="preserve">ORR </w:t>
            </w:r>
            <w:r w:rsidRPr="009B2F32">
              <w:rPr>
                <w:b/>
                <w:sz w:val="20"/>
                <w:szCs w:val="20"/>
              </w:rPr>
              <w:br/>
              <w:t>(95% CI)</w:t>
            </w:r>
          </w:p>
        </w:tc>
      </w:tr>
      <w:tr w:rsidR="00A4504C" w:rsidRPr="00043B30" w14:paraId="02007EDF" w14:textId="77777777" w:rsidTr="00AE66E6">
        <w:tc>
          <w:tcPr>
            <w:tcW w:w="1371" w:type="dxa"/>
            <w:tcBorders>
              <w:top w:val="single" w:sz="4" w:space="0" w:color="auto"/>
              <w:left w:val="single" w:sz="4" w:space="0" w:color="auto"/>
              <w:bottom w:val="single" w:sz="4" w:space="0" w:color="auto"/>
              <w:right w:val="single" w:sz="4" w:space="0" w:color="auto"/>
            </w:tcBorders>
            <w:hideMark/>
          </w:tcPr>
          <w:p w14:paraId="235CD7CA" w14:textId="77777777" w:rsidR="00A4504C" w:rsidRPr="009B2F32" w:rsidRDefault="00A4504C" w:rsidP="004D7D64">
            <w:pPr>
              <w:pStyle w:val="BMSBodyText"/>
              <w:keepNext/>
              <w:keepLines/>
              <w:widowControl w:val="0"/>
              <w:spacing w:line="240" w:lineRule="auto"/>
              <w:jc w:val="left"/>
              <w:rPr>
                <w:sz w:val="20"/>
                <w:szCs w:val="20"/>
              </w:rPr>
            </w:pPr>
            <w:r w:rsidRPr="009B2F32">
              <w:rPr>
                <w:sz w:val="20"/>
                <w:szCs w:val="20"/>
              </w:rPr>
              <w:t>&gt;ULN</w:t>
            </w:r>
          </w:p>
        </w:tc>
        <w:tc>
          <w:tcPr>
            <w:tcW w:w="713" w:type="dxa"/>
            <w:tcBorders>
              <w:top w:val="single" w:sz="4" w:space="0" w:color="auto"/>
              <w:left w:val="single" w:sz="4" w:space="0" w:color="auto"/>
              <w:bottom w:val="single" w:sz="4" w:space="0" w:color="auto"/>
              <w:right w:val="single" w:sz="4" w:space="0" w:color="auto"/>
            </w:tcBorders>
            <w:hideMark/>
          </w:tcPr>
          <w:p w14:paraId="3BCF253E" w14:textId="77777777"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341</w:t>
            </w:r>
          </w:p>
        </w:tc>
        <w:tc>
          <w:tcPr>
            <w:tcW w:w="1204" w:type="dxa"/>
            <w:tcBorders>
              <w:top w:val="single" w:sz="4" w:space="0" w:color="auto"/>
              <w:left w:val="single" w:sz="4" w:space="0" w:color="auto"/>
              <w:bottom w:val="single" w:sz="4" w:space="0" w:color="auto"/>
              <w:right w:val="single" w:sz="4" w:space="0" w:color="auto"/>
            </w:tcBorders>
            <w:hideMark/>
          </w:tcPr>
          <w:p w14:paraId="14D49E18" w14:textId="272FB824"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51 </w:t>
            </w:r>
            <w:r w:rsidR="009B2F32" w:rsidRPr="00E942C4">
              <w:rPr>
                <w:sz w:val="20"/>
                <w:szCs w:val="20"/>
              </w:rPr>
              <w:br/>
            </w:r>
            <w:r w:rsidR="009B2F32" w:rsidRPr="009B2F32">
              <w:rPr>
                <w:sz w:val="20"/>
                <w:szCs w:val="20"/>
              </w:rPr>
              <w:t xml:space="preserve"> </w:t>
            </w:r>
            <w:r w:rsidRPr="009B2F32">
              <w:rPr>
                <w:sz w:val="20"/>
                <w:szCs w:val="20"/>
              </w:rPr>
              <w:t>(114)</w:t>
            </w:r>
          </w:p>
        </w:tc>
        <w:tc>
          <w:tcPr>
            <w:tcW w:w="1204" w:type="dxa"/>
            <w:tcBorders>
              <w:top w:val="single" w:sz="4" w:space="0" w:color="auto"/>
              <w:left w:val="single" w:sz="4" w:space="0" w:color="auto"/>
              <w:bottom w:val="single" w:sz="4" w:space="0" w:color="auto"/>
              <w:right w:val="single" w:sz="4" w:space="0" w:color="auto"/>
            </w:tcBorders>
            <w:hideMark/>
          </w:tcPr>
          <w:p w14:paraId="3BC1C35B" w14:textId="77777777"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44.7% (35.4, 54.3)</w:t>
            </w:r>
          </w:p>
        </w:tc>
        <w:tc>
          <w:tcPr>
            <w:tcW w:w="1205" w:type="dxa"/>
            <w:tcBorders>
              <w:top w:val="single" w:sz="4" w:space="0" w:color="auto"/>
              <w:left w:val="single" w:sz="4" w:space="0" w:color="auto"/>
              <w:bottom w:val="single" w:sz="4" w:space="0" w:color="auto"/>
              <w:right w:val="single" w:sz="4" w:space="0" w:color="auto"/>
            </w:tcBorders>
            <w:hideMark/>
          </w:tcPr>
          <w:p w14:paraId="13703C39" w14:textId="01F2C6D7"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34 </w:t>
            </w:r>
            <w:r w:rsidR="009B2F32" w:rsidRPr="00E942C4">
              <w:rPr>
                <w:sz w:val="20"/>
                <w:szCs w:val="20"/>
              </w:rPr>
              <w:br/>
            </w:r>
            <w:r w:rsidR="009B2F32" w:rsidRPr="009B2F32">
              <w:rPr>
                <w:sz w:val="20"/>
                <w:szCs w:val="20"/>
              </w:rPr>
              <w:t xml:space="preserve"> </w:t>
            </w:r>
            <w:r w:rsidRPr="009B2F32">
              <w:rPr>
                <w:sz w:val="20"/>
                <w:szCs w:val="20"/>
              </w:rPr>
              <w:t>(112)</w:t>
            </w:r>
          </w:p>
        </w:tc>
        <w:tc>
          <w:tcPr>
            <w:tcW w:w="1203" w:type="dxa"/>
            <w:tcBorders>
              <w:top w:val="single" w:sz="4" w:space="0" w:color="auto"/>
              <w:left w:val="single" w:sz="4" w:space="0" w:color="auto"/>
              <w:bottom w:val="single" w:sz="4" w:space="0" w:color="auto"/>
              <w:right w:val="single" w:sz="4" w:space="0" w:color="auto"/>
            </w:tcBorders>
            <w:hideMark/>
          </w:tcPr>
          <w:p w14:paraId="53C31918" w14:textId="77777777"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30.4% (22.0, 39.8)</w:t>
            </w:r>
          </w:p>
        </w:tc>
        <w:tc>
          <w:tcPr>
            <w:tcW w:w="1208" w:type="dxa"/>
            <w:tcBorders>
              <w:top w:val="single" w:sz="4" w:space="0" w:color="auto"/>
              <w:left w:val="single" w:sz="4" w:space="0" w:color="auto"/>
              <w:bottom w:val="single" w:sz="4" w:space="0" w:color="auto"/>
              <w:right w:val="single" w:sz="4" w:space="0" w:color="auto"/>
            </w:tcBorders>
          </w:tcPr>
          <w:p w14:paraId="7EA68502" w14:textId="20ECA6D9"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11</w:t>
            </w:r>
            <w:r w:rsidR="009B2F32" w:rsidRPr="00E942C4">
              <w:rPr>
                <w:sz w:val="20"/>
                <w:szCs w:val="20"/>
              </w:rPr>
              <w:br/>
            </w:r>
            <w:r w:rsidR="009B2F32" w:rsidRPr="009B2F32">
              <w:rPr>
                <w:sz w:val="20"/>
                <w:szCs w:val="20"/>
              </w:rPr>
              <w:t xml:space="preserve"> </w:t>
            </w:r>
            <w:r w:rsidRPr="009B2F32">
              <w:rPr>
                <w:sz w:val="20"/>
                <w:szCs w:val="20"/>
              </w:rPr>
              <w:t>(115)</w:t>
            </w:r>
          </w:p>
        </w:tc>
        <w:tc>
          <w:tcPr>
            <w:tcW w:w="1214" w:type="dxa"/>
            <w:tcBorders>
              <w:top w:val="single" w:sz="4" w:space="0" w:color="auto"/>
              <w:left w:val="single" w:sz="4" w:space="0" w:color="auto"/>
              <w:bottom w:val="single" w:sz="4" w:space="0" w:color="auto"/>
              <w:right w:val="single" w:sz="4" w:space="0" w:color="auto"/>
            </w:tcBorders>
          </w:tcPr>
          <w:p w14:paraId="55498F04" w14:textId="7C5C35B9" w:rsidR="00A4504C" w:rsidRPr="009B2F32" w:rsidRDefault="00A4504C" w:rsidP="004D7D64">
            <w:pPr>
              <w:pStyle w:val="BMSBodyText"/>
              <w:keepNext/>
              <w:keepLines/>
              <w:widowControl w:val="0"/>
              <w:spacing w:line="240" w:lineRule="auto"/>
              <w:jc w:val="center"/>
              <w:rPr>
                <w:sz w:val="20"/>
                <w:szCs w:val="20"/>
              </w:rPr>
            </w:pPr>
            <w:r w:rsidRPr="009B2F32">
              <w:rPr>
                <w:sz w:val="20"/>
                <w:szCs w:val="20"/>
              </w:rPr>
              <w:t xml:space="preserve">9.6% </w:t>
            </w:r>
            <w:r w:rsidR="009B2F32" w:rsidRPr="00E942C4">
              <w:rPr>
                <w:sz w:val="20"/>
                <w:szCs w:val="20"/>
              </w:rPr>
              <w:br/>
            </w:r>
            <w:r w:rsidR="009B2F32" w:rsidRPr="009B2F32">
              <w:rPr>
                <w:sz w:val="20"/>
                <w:szCs w:val="20"/>
              </w:rPr>
              <w:t xml:space="preserve"> </w:t>
            </w:r>
            <w:r w:rsidRPr="009B2F32">
              <w:rPr>
                <w:sz w:val="20"/>
                <w:szCs w:val="20"/>
              </w:rPr>
              <w:t>(4.9, 16.5)</w:t>
            </w:r>
          </w:p>
        </w:tc>
      </w:tr>
    </w:tbl>
    <w:p w14:paraId="2083959A" w14:textId="4AB793FD" w:rsidR="00C659AE" w:rsidRDefault="00C659AE" w:rsidP="009045DE">
      <w:pPr>
        <w:spacing w:before="240"/>
      </w:pPr>
      <w:r w:rsidRPr="00CB4354">
        <w:rPr>
          <w:i/>
        </w:rPr>
        <w:t>Efficacy by BRAF status</w:t>
      </w:r>
      <w:r w:rsidRPr="00CB4354">
        <w:t>: BRAF</w:t>
      </w:r>
      <w:r>
        <w:t xml:space="preserve"> </w:t>
      </w:r>
      <w:r w:rsidRPr="00CB4354">
        <w:t>[V600] mutation-positive and BRAF wild-type patients randomi</w:t>
      </w:r>
      <w:r>
        <w:t>s</w:t>
      </w:r>
      <w:r w:rsidRPr="00CB4354">
        <w:t xml:space="preserve">ed to </w:t>
      </w:r>
      <w:proofErr w:type="spellStart"/>
      <w:r w:rsidRPr="00CB4354">
        <w:t>nivolumab</w:t>
      </w:r>
      <w:proofErr w:type="spellEnd"/>
      <w:r w:rsidRPr="00CB4354">
        <w:t xml:space="preserve"> in combination with </w:t>
      </w:r>
      <w:proofErr w:type="spellStart"/>
      <w:r w:rsidRPr="00CB4354">
        <w:t>ipilimumab</w:t>
      </w:r>
      <w:proofErr w:type="spellEnd"/>
      <w:r w:rsidRPr="00CB4354">
        <w:t xml:space="preserve"> had a median PFS of 11.73 months (95% CI 8.02, NA) and 11.24 months (95% CI: 8.34, NA), respectively, while those randomi</w:t>
      </w:r>
      <w:r>
        <w:t>s</w:t>
      </w:r>
      <w:r w:rsidRPr="00CB4354">
        <w:t xml:space="preserve">ed to </w:t>
      </w:r>
      <w:proofErr w:type="spellStart"/>
      <w:r w:rsidRPr="00CB4354">
        <w:t>nivolumab</w:t>
      </w:r>
      <w:proofErr w:type="spellEnd"/>
      <w:r w:rsidRPr="00CB4354">
        <w:t xml:space="preserve"> monotherapy had a median PFS of 5.62 months (95% CI: 2.79, 9.46) and 7.89 months (95% CI: 4.86, 12.68), respectively. Regardless of the BRAF mutation status, median PFS of both </w:t>
      </w:r>
      <w:proofErr w:type="spellStart"/>
      <w:r w:rsidRPr="00CB4354">
        <w:t>nivolumab</w:t>
      </w:r>
      <w:proofErr w:type="spellEnd"/>
      <w:r w:rsidRPr="00CB4354">
        <w:t xml:space="preserve"> in combination with </w:t>
      </w:r>
      <w:proofErr w:type="spellStart"/>
      <w:r w:rsidRPr="00CB4354">
        <w:t>ipilimumab</w:t>
      </w:r>
      <w:proofErr w:type="spellEnd"/>
      <w:r w:rsidRPr="00CB4354">
        <w:t xml:space="preserve"> and </w:t>
      </w:r>
      <w:proofErr w:type="spellStart"/>
      <w:r w:rsidRPr="00CB4354">
        <w:t>nivolumab</w:t>
      </w:r>
      <w:proofErr w:type="spellEnd"/>
      <w:r w:rsidRPr="00CB4354">
        <w:t xml:space="preserve"> monotherapy was greater than with </w:t>
      </w:r>
      <w:proofErr w:type="spellStart"/>
      <w:r w:rsidRPr="00CB4354">
        <w:t>ipilimumab</w:t>
      </w:r>
      <w:proofErr w:type="spellEnd"/>
      <w:r w:rsidRPr="00CB4354">
        <w:t xml:space="preserve">. ORR results by BRAF status are shown in Table </w:t>
      </w:r>
      <w:r w:rsidR="00736CE8">
        <w:t>12</w:t>
      </w:r>
      <w:r w:rsidRPr="00CB4354">
        <w:t>.</w:t>
      </w:r>
    </w:p>
    <w:p w14:paraId="1F27FB33" w14:textId="0FFE159B" w:rsidR="00C659AE" w:rsidRPr="009B2F32" w:rsidRDefault="00C659AE" w:rsidP="004D7D64">
      <w:pPr>
        <w:keepNext/>
        <w:keepLines/>
        <w:widowControl w:val="0"/>
        <w:rPr>
          <w:b/>
        </w:rPr>
      </w:pPr>
      <w:r w:rsidRPr="009B2F32">
        <w:rPr>
          <w:b/>
        </w:rPr>
        <w:t xml:space="preserve">Table </w:t>
      </w:r>
      <w:r w:rsidR="00736CE8">
        <w:rPr>
          <w:b/>
        </w:rPr>
        <w:t>12</w:t>
      </w:r>
      <w:r w:rsidRPr="009B2F32">
        <w:rPr>
          <w:b/>
        </w:rPr>
        <w:tab/>
        <w:t xml:space="preserve">Objective Response by BRAF [V600]-Mutation Status (CA209067) </w:t>
      </w:r>
    </w:p>
    <w:tbl>
      <w:tblPr>
        <w:tblW w:w="0" w:type="auto"/>
        <w:tblLayout w:type="fixed"/>
        <w:tblLook w:val="04A0" w:firstRow="1" w:lastRow="0" w:firstColumn="1" w:lastColumn="0" w:noHBand="0" w:noVBand="1"/>
      </w:tblPr>
      <w:tblGrid>
        <w:gridCol w:w="1989"/>
        <w:gridCol w:w="1872"/>
        <w:gridCol w:w="1642"/>
        <w:gridCol w:w="242"/>
        <w:gridCol w:w="1626"/>
        <w:gridCol w:w="1647"/>
      </w:tblGrid>
      <w:tr w:rsidR="00C659AE" w14:paraId="4BD30B2A" w14:textId="77777777" w:rsidTr="00C659AE">
        <w:tc>
          <w:tcPr>
            <w:tcW w:w="1989" w:type="dxa"/>
            <w:tcBorders>
              <w:top w:val="double" w:sz="4" w:space="0" w:color="auto"/>
            </w:tcBorders>
          </w:tcPr>
          <w:p w14:paraId="39A95B34" w14:textId="77777777" w:rsidR="00C659AE" w:rsidRPr="003B24DF" w:rsidRDefault="00C659AE" w:rsidP="004D7D64">
            <w:pPr>
              <w:pStyle w:val="BMSTableHeader"/>
              <w:keepNext/>
              <w:keepLines/>
              <w:widowControl w:val="0"/>
            </w:pPr>
          </w:p>
        </w:tc>
        <w:tc>
          <w:tcPr>
            <w:tcW w:w="3756" w:type="dxa"/>
            <w:gridSpan w:val="3"/>
            <w:tcBorders>
              <w:top w:val="double" w:sz="4" w:space="0" w:color="auto"/>
              <w:bottom w:val="single" w:sz="4" w:space="0" w:color="auto"/>
            </w:tcBorders>
          </w:tcPr>
          <w:p w14:paraId="311CAFFC" w14:textId="77777777" w:rsidR="00C659AE" w:rsidRPr="001861F2" w:rsidRDefault="00C659AE" w:rsidP="004D7D64">
            <w:pPr>
              <w:pStyle w:val="BMSTableHeader"/>
              <w:keepNext/>
              <w:keepLines/>
              <w:widowControl w:val="0"/>
            </w:pPr>
            <w:r w:rsidRPr="00C01BDB">
              <w:rPr>
                <w:noProof/>
              </w:rPr>
              <w:t>BRAF [V600] M</w:t>
            </w:r>
            <w:r w:rsidRPr="001861F2">
              <w:rPr>
                <w:noProof/>
              </w:rPr>
              <w:t>utation</w:t>
            </w:r>
            <w:r w:rsidRPr="00C01BDB">
              <w:rPr>
                <w:noProof/>
              </w:rPr>
              <w:t>-P</w:t>
            </w:r>
            <w:r w:rsidRPr="001861F2">
              <w:rPr>
                <w:noProof/>
              </w:rPr>
              <w:t>ositive</w:t>
            </w:r>
          </w:p>
        </w:tc>
        <w:tc>
          <w:tcPr>
            <w:tcW w:w="3273" w:type="dxa"/>
            <w:gridSpan w:val="2"/>
            <w:tcBorders>
              <w:top w:val="double" w:sz="4" w:space="0" w:color="auto"/>
              <w:bottom w:val="single" w:sz="4" w:space="0" w:color="auto"/>
            </w:tcBorders>
          </w:tcPr>
          <w:p w14:paraId="34982513" w14:textId="77777777" w:rsidR="00C659AE" w:rsidRPr="001861F2" w:rsidRDefault="00C659AE" w:rsidP="004D7D64">
            <w:pPr>
              <w:pStyle w:val="BMSTableHeader"/>
              <w:keepNext/>
              <w:keepLines/>
              <w:widowControl w:val="0"/>
            </w:pPr>
            <w:r w:rsidRPr="00C01BDB">
              <w:rPr>
                <w:noProof/>
              </w:rPr>
              <w:t>BRAF W</w:t>
            </w:r>
            <w:r w:rsidRPr="001861F2">
              <w:rPr>
                <w:noProof/>
              </w:rPr>
              <w:t>ild</w:t>
            </w:r>
            <w:r w:rsidRPr="00C01BDB">
              <w:rPr>
                <w:noProof/>
              </w:rPr>
              <w:t>-T</w:t>
            </w:r>
            <w:r w:rsidRPr="001861F2">
              <w:rPr>
                <w:noProof/>
              </w:rPr>
              <w:t>ype</w:t>
            </w:r>
          </w:p>
        </w:tc>
      </w:tr>
      <w:tr w:rsidR="00C659AE" w14:paraId="6AE80357" w14:textId="77777777" w:rsidTr="00C659AE">
        <w:trPr>
          <w:trHeight w:val="144"/>
        </w:trPr>
        <w:tc>
          <w:tcPr>
            <w:tcW w:w="1989" w:type="dxa"/>
            <w:tcBorders>
              <w:bottom w:val="single" w:sz="4" w:space="0" w:color="auto"/>
            </w:tcBorders>
            <w:vAlign w:val="bottom"/>
          </w:tcPr>
          <w:p w14:paraId="7A602C1C" w14:textId="77777777" w:rsidR="00C659AE" w:rsidRPr="001861F2" w:rsidRDefault="00C659AE" w:rsidP="004D7D64">
            <w:pPr>
              <w:pStyle w:val="BMSTableHeader"/>
              <w:keepNext/>
              <w:keepLines/>
              <w:widowControl w:val="0"/>
            </w:pPr>
            <w:r w:rsidRPr="001861F2">
              <w:t>Treatment</w:t>
            </w:r>
          </w:p>
        </w:tc>
        <w:tc>
          <w:tcPr>
            <w:tcW w:w="1872" w:type="dxa"/>
            <w:tcBorders>
              <w:top w:val="single" w:sz="4" w:space="0" w:color="auto"/>
              <w:bottom w:val="single" w:sz="4" w:space="0" w:color="auto"/>
            </w:tcBorders>
            <w:vAlign w:val="bottom"/>
          </w:tcPr>
          <w:p w14:paraId="568936EA" w14:textId="77777777" w:rsidR="00C659AE" w:rsidRPr="001861F2" w:rsidRDefault="00C659AE" w:rsidP="004D7D64">
            <w:pPr>
              <w:pStyle w:val="BMSTableHeader"/>
              <w:keepNext/>
              <w:keepLines/>
              <w:widowControl w:val="0"/>
            </w:pPr>
            <w:r w:rsidRPr="00C01BDB">
              <w:rPr>
                <w:noProof/>
              </w:rPr>
              <w:t>N</w:t>
            </w:r>
            <w:r>
              <w:rPr>
                <w:noProof/>
              </w:rPr>
              <w:t>umber</w:t>
            </w:r>
            <w:r w:rsidRPr="001861F2">
              <w:rPr>
                <w:noProof/>
              </w:rPr>
              <w:t xml:space="preserve"> of Responses/Patients</w:t>
            </w:r>
          </w:p>
        </w:tc>
        <w:tc>
          <w:tcPr>
            <w:tcW w:w="1642" w:type="dxa"/>
            <w:tcBorders>
              <w:top w:val="single" w:sz="4" w:space="0" w:color="auto"/>
              <w:bottom w:val="single" w:sz="4" w:space="0" w:color="auto"/>
            </w:tcBorders>
            <w:vAlign w:val="bottom"/>
          </w:tcPr>
          <w:p w14:paraId="690C9BE0" w14:textId="77777777" w:rsidR="00C659AE" w:rsidRDefault="00C659AE" w:rsidP="004D7D64">
            <w:pPr>
              <w:pStyle w:val="BMSTableHeader"/>
              <w:keepNext/>
              <w:keepLines/>
              <w:widowControl w:val="0"/>
            </w:pPr>
            <w:r w:rsidRPr="00C01BDB">
              <w:rPr>
                <w:noProof/>
              </w:rPr>
              <w:t xml:space="preserve">ORR% </w:t>
            </w:r>
            <w:r w:rsidRPr="001861F2">
              <w:rPr>
                <w:noProof/>
              </w:rPr>
              <w:br/>
            </w:r>
            <w:r w:rsidRPr="00C01BDB">
              <w:rPr>
                <w:noProof/>
              </w:rPr>
              <w:t>[95% CI]</w:t>
            </w:r>
          </w:p>
        </w:tc>
        <w:tc>
          <w:tcPr>
            <w:tcW w:w="1868" w:type="dxa"/>
            <w:gridSpan w:val="2"/>
            <w:tcBorders>
              <w:top w:val="single" w:sz="4" w:space="0" w:color="auto"/>
              <w:bottom w:val="single" w:sz="4" w:space="0" w:color="auto"/>
            </w:tcBorders>
            <w:vAlign w:val="bottom"/>
          </w:tcPr>
          <w:p w14:paraId="23C4DDA8" w14:textId="77777777" w:rsidR="00C659AE" w:rsidRDefault="00C659AE" w:rsidP="004D7D64">
            <w:pPr>
              <w:pStyle w:val="BMSTableHeader"/>
              <w:keepNext/>
              <w:keepLines/>
              <w:widowControl w:val="0"/>
            </w:pPr>
            <w:r w:rsidRPr="00C01BDB">
              <w:rPr>
                <w:noProof/>
              </w:rPr>
              <w:t>N</w:t>
            </w:r>
            <w:r>
              <w:rPr>
                <w:noProof/>
              </w:rPr>
              <w:t>umber of</w:t>
            </w:r>
            <w:r w:rsidRPr="001861F2">
              <w:rPr>
                <w:noProof/>
              </w:rPr>
              <w:t xml:space="preserve"> Responses/Patients</w:t>
            </w:r>
          </w:p>
        </w:tc>
        <w:tc>
          <w:tcPr>
            <w:tcW w:w="1647" w:type="dxa"/>
            <w:tcBorders>
              <w:top w:val="single" w:sz="4" w:space="0" w:color="auto"/>
              <w:bottom w:val="single" w:sz="4" w:space="0" w:color="auto"/>
            </w:tcBorders>
            <w:vAlign w:val="bottom"/>
          </w:tcPr>
          <w:p w14:paraId="5278447B" w14:textId="77777777" w:rsidR="00C659AE" w:rsidRDefault="00C659AE" w:rsidP="004D7D64">
            <w:pPr>
              <w:pStyle w:val="BMSTableHeader"/>
              <w:keepNext/>
              <w:keepLines/>
              <w:widowControl w:val="0"/>
            </w:pPr>
            <w:r w:rsidRPr="00C01BDB">
              <w:rPr>
                <w:noProof/>
              </w:rPr>
              <w:t xml:space="preserve">ORR% </w:t>
            </w:r>
            <w:r w:rsidRPr="001861F2">
              <w:rPr>
                <w:noProof/>
              </w:rPr>
              <w:br/>
            </w:r>
            <w:r w:rsidRPr="00C01BDB">
              <w:rPr>
                <w:noProof/>
              </w:rPr>
              <w:t>[95% CI]</w:t>
            </w:r>
          </w:p>
        </w:tc>
      </w:tr>
      <w:tr w:rsidR="00C659AE" w14:paraId="5A46B6E8" w14:textId="77777777" w:rsidTr="00C659AE">
        <w:trPr>
          <w:trHeight w:val="287"/>
        </w:trPr>
        <w:tc>
          <w:tcPr>
            <w:tcW w:w="1989" w:type="dxa"/>
            <w:tcBorders>
              <w:top w:val="single" w:sz="4" w:space="0" w:color="auto"/>
            </w:tcBorders>
            <w:vAlign w:val="center"/>
          </w:tcPr>
          <w:p w14:paraId="61D50695" w14:textId="77777777" w:rsidR="00C659AE" w:rsidRPr="001861F2" w:rsidRDefault="00C659AE" w:rsidP="004D7D64">
            <w:pPr>
              <w:pStyle w:val="BMSTableText"/>
              <w:keepNext/>
              <w:keepLines/>
              <w:widowControl w:val="0"/>
              <w:rPr>
                <w:b/>
                <w:noProof/>
              </w:rPr>
            </w:pPr>
            <w:r>
              <w:rPr>
                <w:b/>
                <w:noProof/>
              </w:rPr>
              <w:t>OPDIVO</w:t>
            </w:r>
            <w:r w:rsidRPr="001861F2">
              <w:rPr>
                <w:b/>
                <w:noProof/>
              </w:rPr>
              <w:t xml:space="preserve"> + Ipilimumab</w:t>
            </w:r>
          </w:p>
        </w:tc>
        <w:tc>
          <w:tcPr>
            <w:tcW w:w="1872" w:type="dxa"/>
            <w:tcBorders>
              <w:top w:val="single" w:sz="4" w:space="0" w:color="auto"/>
            </w:tcBorders>
          </w:tcPr>
          <w:p w14:paraId="446A6436" w14:textId="77777777" w:rsidR="00C659AE" w:rsidRDefault="00C659AE" w:rsidP="004D7D64">
            <w:pPr>
              <w:pStyle w:val="BMSTableText"/>
              <w:keepNext/>
              <w:keepLines/>
              <w:widowControl w:val="0"/>
            </w:pPr>
            <w:r w:rsidRPr="001861F2">
              <w:rPr>
                <w:noProof/>
                <w:color w:val="000000"/>
              </w:rPr>
              <w:t>68/102</w:t>
            </w:r>
          </w:p>
        </w:tc>
        <w:tc>
          <w:tcPr>
            <w:tcW w:w="1642" w:type="dxa"/>
            <w:tcBorders>
              <w:top w:val="single" w:sz="4" w:space="0" w:color="auto"/>
            </w:tcBorders>
          </w:tcPr>
          <w:p w14:paraId="40933C8A" w14:textId="77777777" w:rsidR="00C659AE" w:rsidRPr="00517196" w:rsidRDefault="00C659AE" w:rsidP="004D7D64">
            <w:pPr>
              <w:pStyle w:val="BMSTableText"/>
              <w:keepNext/>
              <w:keepLines/>
              <w:widowControl w:val="0"/>
            </w:pPr>
            <w:r w:rsidRPr="00517196">
              <w:rPr>
                <w:noProof/>
                <w:color w:val="000000"/>
              </w:rPr>
              <w:t xml:space="preserve">66.7 </w:t>
            </w:r>
            <w:r w:rsidRPr="00517196">
              <w:rPr>
                <w:noProof/>
                <w:color w:val="000000"/>
              </w:rPr>
              <w:br/>
            </w:r>
            <w:r w:rsidRPr="00517196">
              <w:rPr>
                <w:rFonts w:eastAsia="Calibri"/>
                <w:noProof/>
                <w:color w:val="000000"/>
              </w:rPr>
              <w:t>(56.6, 75.7)</w:t>
            </w:r>
          </w:p>
        </w:tc>
        <w:tc>
          <w:tcPr>
            <w:tcW w:w="1868" w:type="dxa"/>
            <w:gridSpan w:val="2"/>
            <w:tcBorders>
              <w:top w:val="single" w:sz="4" w:space="0" w:color="auto"/>
            </w:tcBorders>
          </w:tcPr>
          <w:p w14:paraId="6B865A90" w14:textId="77777777" w:rsidR="00C659AE" w:rsidRPr="00517196" w:rsidRDefault="00C659AE" w:rsidP="004D7D64">
            <w:pPr>
              <w:pStyle w:val="BMSTableText"/>
              <w:keepNext/>
              <w:keepLines/>
              <w:widowControl w:val="0"/>
            </w:pPr>
            <w:r w:rsidRPr="00517196">
              <w:rPr>
                <w:noProof/>
                <w:color w:val="000000"/>
              </w:rPr>
              <w:t>113/212</w:t>
            </w:r>
          </w:p>
        </w:tc>
        <w:tc>
          <w:tcPr>
            <w:tcW w:w="1647" w:type="dxa"/>
            <w:tcBorders>
              <w:top w:val="single" w:sz="4" w:space="0" w:color="auto"/>
            </w:tcBorders>
          </w:tcPr>
          <w:p w14:paraId="1C4D3DC0" w14:textId="77777777" w:rsidR="00C659AE" w:rsidRPr="00517196" w:rsidRDefault="00C659AE" w:rsidP="004D7D64">
            <w:pPr>
              <w:pStyle w:val="BMSTableText"/>
              <w:keepNext/>
              <w:keepLines/>
              <w:widowControl w:val="0"/>
            </w:pPr>
            <w:r w:rsidRPr="00517196">
              <w:rPr>
                <w:noProof/>
                <w:color w:val="000000"/>
              </w:rPr>
              <w:t xml:space="preserve">53.3 </w:t>
            </w:r>
            <w:r w:rsidRPr="00517196">
              <w:rPr>
                <w:noProof/>
                <w:color w:val="000000"/>
              </w:rPr>
              <w:br/>
              <w:t>(</w:t>
            </w:r>
            <w:r w:rsidRPr="00517196">
              <w:rPr>
                <w:rFonts w:eastAsia="Calibri"/>
                <w:noProof/>
                <w:color w:val="000000"/>
              </w:rPr>
              <w:t>46.3, 60.2)</w:t>
            </w:r>
          </w:p>
        </w:tc>
      </w:tr>
      <w:tr w:rsidR="00C659AE" w14:paraId="13092A8B" w14:textId="77777777" w:rsidTr="00C659AE">
        <w:trPr>
          <w:trHeight w:val="287"/>
        </w:trPr>
        <w:tc>
          <w:tcPr>
            <w:tcW w:w="1989" w:type="dxa"/>
            <w:vAlign w:val="center"/>
          </w:tcPr>
          <w:p w14:paraId="65E3B90C" w14:textId="77777777" w:rsidR="00C659AE" w:rsidRPr="001861F2" w:rsidRDefault="00C659AE" w:rsidP="004D7D64">
            <w:pPr>
              <w:pStyle w:val="BMSTableText"/>
              <w:keepNext/>
              <w:keepLines/>
              <w:widowControl w:val="0"/>
              <w:rPr>
                <w:b/>
                <w:noProof/>
              </w:rPr>
            </w:pPr>
            <w:r>
              <w:rPr>
                <w:b/>
                <w:noProof/>
              </w:rPr>
              <w:t>OPDIVO</w:t>
            </w:r>
          </w:p>
        </w:tc>
        <w:tc>
          <w:tcPr>
            <w:tcW w:w="1872" w:type="dxa"/>
          </w:tcPr>
          <w:p w14:paraId="6C3EE83C" w14:textId="77777777" w:rsidR="00C659AE" w:rsidRDefault="00C659AE" w:rsidP="004D7D64">
            <w:pPr>
              <w:pStyle w:val="BMSTableText"/>
              <w:keepNext/>
              <w:keepLines/>
              <w:widowControl w:val="0"/>
            </w:pPr>
            <w:r w:rsidRPr="001861F2">
              <w:rPr>
                <w:noProof/>
                <w:color w:val="000000"/>
              </w:rPr>
              <w:t>36/98</w:t>
            </w:r>
          </w:p>
        </w:tc>
        <w:tc>
          <w:tcPr>
            <w:tcW w:w="1642" w:type="dxa"/>
          </w:tcPr>
          <w:p w14:paraId="44602EB2" w14:textId="77777777" w:rsidR="00C659AE" w:rsidRPr="00517196" w:rsidRDefault="00C659AE" w:rsidP="004D7D64">
            <w:pPr>
              <w:pStyle w:val="BMSTableText"/>
              <w:keepNext/>
              <w:keepLines/>
              <w:widowControl w:val="0"/>
            </w:pPr>
            <w:r w:rsidRPr="00517196">
              <w:rPr>
                <w:noProof/>
                <w:color w:val="000000"/>
              </w:rPr>
              <w:t>36.7</w:t>
            </w:r>
            <w:r w:rsidRPr="00517196">
              <w:rPr>
                <w:rFonts w:eastAsia="Calibri"/>
                <w:noProof/>
                <w:color w:val="000000"/>
              </w:rPr>
              <w:t xml:space="preserve"> </w:t>
            </w:r>
            <w:r w:rsidRPr="00517196">
              <w:rPr>
                <w:rFonts w:eastAsia="Calibri"/>
                <w:noProof/>
                <w:color w:val="000000"/>
              </w:rPr>
              <w:br/>
              <w:t>(27.2, 47.1)</w:t>
            </w:r>
          </w:p>
        </w:tc>
        <w:tc>
          <w:tcPr>
            <w:tcW w:w="1868" w:type="dxa"/>
            <w:gridSpan w:val="2"/>
          </w:tcPr>
          <w:p w14:paraId="38EC47E5" w14:textId="77777777" w:rsidR="00C659AE" w:rsidRPr="00517196" w:rsidRDefault="00C659AE" w:rsidP="004D7D64">
            <w:pPr>
              <w:pStyle w:val="BMSTableText"/>
              <w:keepNext/>
              <w:keepLines/>
              <w:widowControl w:val="0"/>
            </w:pPr>
            <w:r w:rsidRPr="00517196">
              <w:rPr>
                <w:noProof/>
                <w:color w:val="000000"/>
              </w:rPr>
              <w:t>102/218</w:t>
            </w:r>
          </w:p>
        </w:tc>
        <w:tc>
          <w:tcPr>
            <w:tcW w:w="1647" w:type="dxa"/>
          </w:tcPr>
          <w:p w14:paraId="5B8EDEE0" w14:textId="77777777" w:rsidR="00C659AE" w:rsidRPr="00517196" w:rsidRDefault="00C659AE" w:rsidP="004D7D64">
            <w:pPr>
              <w:pStyle w:val="BMSTableText"/>
              <w:keepNext/>
              <w:keepLines/>
              <w:widowControl w:val="0"/>
            </w:pPr>
            <w:r w:rsidRPr="00517196">
              <w:rPr>
                <w:noProof/>
                <w:color w:val="000000"/>
              </w:rPr>
              <w:t>46.8</w:t>
            </w:r>
            <w:r w:rsidRPr="00517196">
              <w:rPr>
                <w:rFonts w:eastAsia="Calibri"/>
                <w:noProof/>
                <w:color w:val="000000"/>
              </w:rPr>
              <w:t xml:space="preserve"> </w:t>
            </w:r>
            <w:r w:rsidRPr="00517196">
              <w:rPr>
                <w:rFonts w:eastAsia="Calibri"/>
                <w:noProof/>
                <w:color w:val="000000"/>
              </w:rPr>
              <w:br/>
              <w:t>(40.0, 53.6)</w:t>
            </w:r>
          </w:p>
        </w:tc>
      </w:tr>
      <w:tr w:rsidR="00C659AE" w14:paraId="0937EEC2" w14:textId="77777777" w:rsidTr="00C659AE">
        <w:trPr>
          <w:trHeight w:val="287"/>
        </w:trPr>
        <w:tc>
          <w:tcPr>
            <w:tcW w:w="1989" w:type="dxa"/>
            <w:tcBorders>
              <w:bottom w:val="double" w:sz="4" w:space="0" w:color="auto"/>
            </w:tcBorders>
            <w:vAlign w:val="center"/>
          </w:tcPr>
          <w:p w14:paraId="61B1D0F0" w14:textId="77777777" w:rsidR="00C659AE" w:rsidRPr="001861F2" w:rsidRDefault="00C659AE" w:rsidP="004D7D64">
            <w:pPr>
              <w:pStyle w:val="BMSTableText"/>
              <w:keepNext/>
              <w:keepLines/>
              <w:widowControl w:val="0"/>
              <w:rPr>
                <w:b/>
                <w:noProof/>
              </w:rPr>
            </w:pPr>
            <w:r w:rsidRPr="001861F2">
              <w:rPr>
                <w:b/>
                <w:noProof/>
              </w:rPr>
              <w:t>Ipilimumab</w:t>
            </w:r>
          </w:p>
        </w:tc>
        <w:tc>
          <w:tcPr>
            <w:tcW w:w="1872" w:type="dxa"/>
            <w:tcBorders>
              <w:bottom w:val="double" w:sz="4" w:space="0" w:color="auto"/>
            </w:tcBorders>
          </w:tcPr>
          <w:p w14:paraId="7DA97B19" w14:textId="77777777" w:rsidR="00C659AE" w:rsidRDefault="00C659AE" w:rsidP="004D7D64">
            <w:pPr>
              <w:pStyle w:val="BMSTableText"/>
              <w:keepNext/>
              <w:keepLines/>
              <w:widowControl w:val="0"/>
            </w:pPr>
            <w:r w:rsidRPr="001861F2">
              <w:rPr>
                <w:noProof/>
                <w:color w:val="000000"/>
              </w:rPr>
              <w:t>22/100</w:t>
            </w:r>
          </w:p>
        </w:tc>
        <w:tc>
          <w:tcPr>
            <w:tcW w:w="1642" w:type="dxa"/>
            <w:tcBorders>
              <w:bottom w:val="double" w:sz="4" w:space="0" w:color="auto"/>
            </w:tcBorders>
          </w:tcPr>
          <w:p w14:paraId="69E46E35" w14:textId="77777777" w:rsidR="00C659AE" w:rsidRPr="00517196" w:rsidRDefault="00C659AE" w:rsidP="004D7D64">
            <w:pPr>
              <w:pStyle w:val="BMSTableText"/>
              <w:keepNext/>
              <w:keepLines/>
              <w:widowControl w:val="0"/>
            </w:pPr>
            <w:r w:rsidRPr="00517196">
              <w:rPr>
                <w:noProof/>
                <w:color w:val="000000"/>
              </w:rPr>
              <w:t>22.0</w:t>
            </w:r>
            <w:r w:rsidRPr="00517196">
              <w:rPr>
                <w:rFonts w:eastAsia="Calibri"/>
                <w:noProof/>
                <w:color w:val="000000"/>
              </w:rPr>
              <w:t xml:space="preserve"> </w:t>
            </w:r>
            <w:r w:rsidRPr="00517196">
              <w:rPr>
                <w:rFonts w:eastAsia="Calibri"/>
                <w:noProof/>
                <w:color w:val="000000"/>
              </w:rPr>
              <w:br/>
              <w:t>(14.3, 31.4)</w:t>
            </w:r>
          </w:p>
        </w:tc>
        <w:tc>
          <w:tcPr>
            <w:tcW w:w="1868" w:type="dxa"/>
            <w:gridSpan w:val="2"/>
            <w:tcBorders>
              <w:bottom w:val="double" w:sz="4" w:space="0" w:color="auto"/>
            </w:tcBorders>
          </w:tcPr>
          <w:p w14:paraId="7B64D878" w14:textId="77777777" w:rsidR="00C659AE" w:rsidRPr="00517196" w:rsidRDefault="00C659AE" w:rsidP="004D7D64">
            <w:pPr>
              <w:pStyle w:val="BMSTableText"/>
              <w:keepNext/>
              <w:keepLines/>
              <w:widowControl w:val="0"/>
            </w:pPr>
            <w:r w:rsidRPr="00517196">
              <w:rPr>
                <w:noProof/>
                <w:color w:val="000000"/>
              </w:rPr>
              <w:t>38/215</w:t>
            </w:r>
          </w:p>
        </w:tc>
        <w:tc>
          <w:tcPr>
            <w:tcW w:w="1647" w:type="dxa"/>
            <w:tcBorders>
              <w:bottom w:val="double" w:sz="4" w:space="0" w:color="auto"/>
            </w:tcBorders>
          </w:tcPr>
          <w:p w14:paraId="66D15F0A" w14:textId="77777777" w:rsidR="00C659AE" w:rsidRPr="00517196" w:rsidRDefault="00C659AE" w:rsidP="004D7D64">
            <w:pPr>
              <w:pStyle w:val="BMSTableText"/>
              <w:keepNext/>
              <w:keepLines/>
              <w:widowControl w:val="0"/>
            </w:pPr>
            <w:r w:rsidRPr="00517196">
              <w:rPr>
                <w:noProof/>
                <w:color w:val="000000"/>
              </w:rPr>
              <w:t>17.7</w:t>
            </w:r>
            <w:r w:rsidRPr="00517196">
              <w:rPr>
                <w:noProof/>
                <w:color w:val="000000"/>
              </w:rPr>
              <w:br/>
            </w:r>
            <w:r w:rsidRPr="00517196">
              <w:rPr>
                <w:rFonts w:eastAsia="Calibri"/>
                <w:noProof/>
                <w:color w:val="000000"/>
              </w:rPr>
              <w:t>(12.8, 23.4)</w:t>
            </w:r>
          </w:p>
        </w:tc>
      </w:tr>
    </w:tbl>
    <w:p w14:paraId="0D1EF866" w14:textId="77777777" w:rsidR="004D7D64" w:rsidRDefault="004D7D64" w:rsidP="00DB5FE1">
      <w:pPr>
        <w:rPr>
          <w:lang w:val="en-US"/>
        </w:rPr>
      </w:pPr>
    </w:p>
    <w:p w14:paraId="46D9EA33" w14:textId="01CF69EA" w:rsidR="00C659AE" w:rsidRDefault="00C659AE" w:rsidP="00DB5FE1">
      <w:pPr>
        <w:rPr>
          <w:lang w:val="en-US"/>
        </w:rPr>
      </w:pPr>
      <w:r w:rsidRPr="00471C1A">
        <w:rPr>
          <w:lang w:val="en-US"/>
        </w:rPr>
        <w:t xml:space="preserve">Efficacy by PD-L1 </w:t>
      </w:r>
      <w:proofErr w:type="spellStart"/>
      <w:r w:rsidRPr="00471C1A">
        <w:rPr>
          <w:lang w:val="en-US"/>
        </w:rPr>
        <w:t>tumour</w:t>
      </w:r>
      <w:proofErr w:type="spellEnd"/>
      <w:r w:rsidRPr="00471C1A">
        <w:rPr>
          <w:lang w:val="en-US"/>
        </w:rPr>
        <w:t xml:space="preserve"> expression: Baseline </w:t>
      </w:r>
      <w:proofErr w:type="spellStart"/>
      <w:r w:rsidRPr="00471C1A">
        <w:rPr>
          <w:lang w:val="en-US"/>
        </w:rPr>
        <w:t>tumour</w:t>
      </w:r>
      <w:proofErr w:type="spellEnd"/>
      <w:r w:rsidRPr="00471C1A">
        <w:rPr>
          <w:lang w:val="en-US"/>
        </w:rPr>
        <w:t xml:space="preserve"> tissue specimens were systematically collected prior to </w:t>
      </w:r>
      <w:proofErr w:type="spellStart"/>
      <w:r w:rsidRPr="00471C1A">
        <w:rPr>
          <w:lang w:val="en-US"/>
        </w:rPr>
        <w:t>randomisation</w:t>
      </w:r>
      <w:proofErr w:type="spellEnd"/>
      <w:r w:rsidRPr="00471C1A">
        <w:rPr>
          <w:lang w:val="en-US"/>
        </w:rPr>
        <w:t xml:space="preserve"> in order to conduct planned analyses of efficacy according to PD-L1 expression.</w:t>
      </w:r>
      <w:r w:rsidRPr="00471C1A" w:rsidDel="00814C7A">
        <w:rPr>
          <w:lang w:val="en-US"/>
        </w:rPr>
        <w:t xml:space="preserve"> </w:t>
      </w:r>
      <w:r w:rsidRPr="00471C1A">
        <w:rPr>
          <w:lang w:val="en-US"/>
        </w:rPr>
        <w:t xml:space="preserve">Quantifiable </w:t>
      </w:r>
      <w:proofErr w:type="spellStart"/>
      <w:r w:rsidRPr="00471C1A">
        <w:rPr>
          <w:lang w:val="en-US"/>
        </w:rPr>
        <w:t>tumour</w:t>
      </w:r>
      <w:proofErr w:type="spellEnd"/>
      <w:r w:rsidRPr="00471C1A">
        <w:rPr>
          <w:lang w:val="en-US"/>
        </w:rPr>
        <w:t xml:space="preserve"> PD-L1 expression was measured in 89% (278/314) of patients </w:t>
      </w:r>
      <w:proofErr w:type="spellStart"/>
      <w:r w:rsidRPr="00471C1A">
        <w:rPr>
          <w:lang w:val="en-US"/>
        </w:rPr>
        <w:t>randomised</w:t>
      </w:r>
      <w:proofErr w:type="spellEnd"/>
      <w:r w:rsidRPr="00471C1A">
        <w:rPr>
          <w:lang w:val="en-US"/>
        </w:rPr>
        <w:t xml:space="preserve"> to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91% (288/316) of patients </w:t>
      </w:r>
      <w:proofErr w:type="spellStart"/>
      <w:r w:rsidRPr="00471C1A">
        <w:rPr>
          <w:lang w:val="en-US"/>
        </w:rPr>
        <w:t>randomised</w:t>
      </w:r>
      <w:proofErr w:type="spellEnd"/>
      <w:r w:rsidRPr="00471C1A">
        <w:rPr>
          <w:lang w:val="en-US"/>
        </w:rPr>
        <w:t xml:space="preserve"> to </w:t>
      </w:r>
      <w:proofErr w:type="spellStart"/>
      <w:r w:rsidRPr="00471C1A">
        <w:rPr>
          <w:lang w:val="en-US"/>
        </w:rPr>
        <w:lastRenderedPageBreak/>
        <w:t>nivolumab</w:t>
      </w:r>
      <w:proofErr w:type="spellEnd"/>
      <w:r w:rsidRPr="00471C1A">
        <w:rPr>
          <w:lang w:val="en-US"/>
        </w:rPr>
        <w:t xml:space="preserve"> monotherapy, and 88% (277/315) of patients </w:t>
      </w:r>
      <w:proofErr w:type="spellStart"/>
      <w:r w:rsidRPr="00471C1A">
        <w:rPr>
          <w:lang w:val="en-US"/>
        </w:rPr>
        <w:t>randomised</w:t>
      </w:r>
      <w:proofErr w:type="spellEnd"/>
      <w:r w:rsidRPr="00471C1A">
        <w:rPr>
          <w:lang w:val="en-US"/>
        </w:rPr>
        <w:t xml:space="preserve"> to </w:t>
      </w:r>
      <w:proofErr w:type="spellStart"/>
      <w:r w:rsidRPr="00471C1A">
        <w:rPr>
          <w:lang w:val="en-US"/>
        </w:rPr>
        <w:t>ipilimumab</w:t>
      </w:r>
      <w:proofErr w:type="spellEnd"/>
      <w:r w:rsidRPr="00471C1A">
        <w:rPr>
          <w:lang w:val="en-US"/>
        </w:rPr>
        <w:t xml:space="preserve"> alone. Among patients with quantifiable PD-L1 expression, the distribution of patients was balanced across the three treatment groups at each of the predefined </w:t>
      </w:r>
      <w:proofErr w:type="spellStart"/>
      <w:r w:rsidRPr="00471C1A">
        <w:rPr>
          <w:lang w:val="en-US"/>
        </w:rPr>
        <w:t>tumour</w:t>
      </w:r>
      <w:proofErr w:type="spellEnd"/>
      <w:r w:rsidRPr="00471C1A">
        <w:rPr>
          <w:lang w:val="en-US"/>
        </w:rPr>
        <w:t xml:space="preserve"> PD-L1 expression levels of ≥1% (56% in the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arm, 59% in the </w:t>
      </w:r>
      <w:proofErr w:type="spellStart"/>
      <w:r w:rsidRPr="00471C1A">
        <w:rPr>
          <w:lang w:val="en-US"/>
        </w:rPr>
        <w:t>nivolumab</w:t>
      </w:r>
      <w:proofErr w:type="spellEnd"/>
      <w:r w:rsidRPr="00471C1A">
        <w:rPr>
          <w:lang w:val="en-US"/>
        </w:rPr>
        <w:t xml:space="preserve"> monotherapy arm, and 59% in the </w:t>
      </w:r>
      <w:proofErr w:type="spellStart"/>
      <w:r w:rsidRPr="00471C1A">
        <w:rPr>
          <w:lang w:val="en-US"/>
        </w:rPr>
        <w:t>ipilimumab</w:t>
      </w:r>
      <w:proofErr w:type="spellEnd"/>
      <w:r w:rsidRPr="00471C1A">
        <w:rPr>
          <w:lang w:val="en-US"/>
        </w:rPr>
        <w:t xml:space="preserve"> arm) and ≥5% (24%, 28%, and 27%, separately). </w:t>
      </w:r>
      <w:proofErr w:type="spellStart"/>
      <w:r w:rsidRPr="00471C1A">
        <w:rPr>
          <w:lang w:val="en-US"/>
        </w:rPr>
        <w:t>Tumour</w:t>
      </w:r>
      <w:proofErr w:type="spellEnd"/>
      <w:r w:rsidRPr="00471C1A">
        <w:rPr>
          <w:lang w:val="en-US"/>
        </w:rPr>
        <w:t xml:space="preserve"> PD-L1 expression was determined using the PD-L1 IHC 28-8 </w:t>
      </w:r>
      <w:proofErr w:type="spellStart"/>
      <w:r w:rsidRPr="00471C1A">
        <w:rPr>
          <w:lang w:val="en-US"/>
        </w:rPr>
        <w:t>pharmDx</w:t>
      </w:r>
      <w:proofErr w:type="spellEnd"/>
      <w:r w:rsidRPr="00471C1A">
        <w:rPr>
          <w:lang w:val="en-US"/>
        </w:rPr>
        <w:t xml:space="preserve"> assay. </w:t>
      </w:r>
    </w:p>
    <w:p w14:paraId="15914285" w14:textId="496602F3" w:rsidR="00C659AE" w:rsidRPr="00471C1A" w:rsidRDefault="00C659AE" w:rsidP="00DB5FE1">
      <w:pPr>
        <w:rPr>
          <w:lang w:val="en-US"/>
        </w:rPr>
      </w:pPr>
      <w:r w:rsidRPr="00471C1A">
        <w:rPr>
          <w:lang w:val="en-US"/>
        </w:rPr>
        <w:t xml:space="preserve">In patients with low or no </w:t>
      </w:r>
      <w:proofErr w:type="spellStart"/>
      <w:r w:rsidRPr="00471C1A">
        <w:rPr>
          <w:lang w:val="en-US"/>
        </w:rPr>
        <w:t>tumour</w:t>
      </w:r>
      <w:proofErr w:type="spellEnd"/>
      <w:r w:rsidRPr="00471C1A">
        <w:rPr>
          <w:lang w:val="en-US"/>
        </w:rPr>
        <w:t xml:space="preserve"> PD-L1 expression (based on the predefined expression level of &lt;5%),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(HR 0.42, 95% CI: 0.32, 0.54) and </w:t>
      </w:r>
      <w:proofErr w:type="spellStart"/>
      <w:r w:rsidRPr="00471C1A">
        <w:rPr>
          <w:lang w:val="en-US"/>
        </w:rPr>
        <w:t>nivolumab</w:t>
      </w:r>
      <w:proofErr w:type="spellEnd"/>
      <w:r w:rsidRPr="00471C1A">
        <w:rPr>
          <w:lang w:val="en-US"/>
        </w:rPr>
        <w:t xml:space="preserve"> monotherapy (HR 0.59, 95% CI: 0.47, 0.75) demonstrated significant improvements in PFS compared with </w:t>
      </w:r>
      <w:proofErr w:type="spellStart"/>
      <w:r w:rsidRPr="00471C1A">
        <w:rPr>
          <w:lang w:val="en-US"/>
        </w:rPr>
        <w:t>ipilimumab</w:t>
      </w:r>
      <w:proofErr w:type="spellEnd"/>
      <w:r w:rsidRPr="00471C1A">
        <w:rPr>
          <w:lang w:val="en-US"/>
        </w:rPr>
        <w:t xml:space="preserve"> alone.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demonstrated a greater improvement in PFS than </w:t>
      </w:r>
      <w:proofErr w:type="spellStart"/>
      <w:r w:rsidRPr="00471C1A">
        <w:rPr>
          <w:lang w:val="en-US"/>
        </w:rPr>
        <w:t>nivolumab</w:t>
      </w:r>
      <w:proofErr w:type="spellEnd"/>
      <w:r w:rsidRPr="00471C1A">
        <w:rPr>
          <w:lang w:val="en-US"/>
        </w:rPr>
        <w:t xml:space="preserve"> monotherapy. In patients with ≥5% </w:t>
      </w:r>
      <w:proofErr w:type="spellStart"/>
      <w:r w:rsidRPr="00471C1A">
        <w:rPr>
          <w:lang w:val="en-US"/>
        </w:rPr>
        <w:t>tumour</w:t>
      </w:r>
      <w:proofErr w:type="spellEnd"/>
      <w:r w:rsidRPr="00471C1A">
        <w:rPr>
          <w:lang w:val="en-US"/>
        </w:rPr>
        <w:t xml:space="preserve"> PD-L1 expression, a significant improvement in PFS relative to </w:t>
      </w:r>
      <w:proofErr w:type="spellStart"/>
      <w:r w:rsidRPr="00471C1A">
        <w:rPr>
          <w:lang w:val="en-US"/>
        </w:rPr>
        <w:t>ipilimumab</w:t>
      </w:r>
      <w:proofErr w:type="spellEnd"/>
      <w:r w:rsidRPr="00471C1A">
        <w:rPr>
          <w:lang w:val="en-US"/>
        </w:rPr>
        <w:t xml:space="preserve"> was also observed for both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(HR 0.39, 95% CI: 0.25, 0.62) and </w:t>
      </w:r>
      <w:proofErr w:type="spellStart"/>
      <w:r w:rsidRPr="00471C1A">
        <w:rPr>
          <w:lang w:val="en-US"/>
        </w:rPr>
        <w:t>nivolumab</w:t>
      </w:r>
      <w:proofErr w:type="spellEnd"/>
      <w:r w:rsidRPr="00471C1A">
        <w:rPr>
          <w:lang w:val="en-US"/>
        </w:rPr>
        <w:t xml:space="preserve"> monotherapy (HR 0.41, 95% CI: 0.26, 0.63). The improvement in PFS was similar between </w:t>
      </w:r>
      <w:proofErr w:type="spellStart"/>
      <w:r w:rsidRPr="00471C1A">
        <w:rPr>
          <w:lang w:val="en-US"/>
        </w:rPr>
        <w:t>nivolumab</w:t>
      </w:r>
      <w:proofErr w:type="spellEnd"/>
      <w:r w:rsidRPr="00471C1A">
        <w:rPr>
          <w:lang w:val="en-US"/>
        </w:rPr>
        <w:t xml:space="preserve"> in combination with </w:t>
      </w:r>
      <w:proofErr w:type="spellStart"/>
      <w:r w:rsidRPr="00471C1A">
        <w:rPr>
          <w:lang w:val="en-US"/>
        </w:rPr>
        <w:t>ipilimumab</w:t>
      </w:r>
      <w:proofErr w:type="spellEnd"/>
      <w:r w:rsidRPr="00471C1A">
        <w:rPr>
          <w:lang w:val="en-US"/>
        </w:rPr>
        <w:t xml:space="preserve"> and </w:t>
      </w:r>
      <w:proofErr w:type="spellStart"/>
      <w:r w:rsidRPr="00471C1A">
        <w:rPr>
          <w:lang w:val="en-US"/>
        </w:rPr>
        <w:t>nivolumab</w:t>
      </w:r>
      <w:proofErr w:type="spellEnd"/>
      <w:r w:rsidRPr="00471C1A">
        <w:rPr>
          <w:lang w:val="en-US"/>
        </w:rPr>
        <w:t xml:space="preserve"> monotherapy. Results are shown in Figures </w:t>
      </w:r>
      <w:r w:rsidR="00777194">
        <w:rPr>
          <w:lang w:val="en-US"/>
        </w:rPr>
        <w:t>4</w:t>
      </w:r>
      <w:r w:rsidRPr="00471C1A">
        <w:rPr>
          <w:lang w:val="en-US"/>
        </w:rPr>
        <w:t xml:space="preserve"> and </w:t>
      </w:r>
      <w:r w:rsidR="00777194">
        <w:rPr>
          <w:lang w:val="en-US"/>
        </w:rPr>
        <w:t>5</w:t>
      </w:r>
      <w:r w:rsidRPr="00471C1A">
        <w:rPr>
          <w:lang w:val="en-US"/>
        </w:rPr>
        <w:t>.</w:t>
      </w:r>
    </w:p>
    <w:p w14:paraId="61CE96A8" w14:textId="615A2048" w:rsidR="00C659AE" w:rsidRPr="004D7D64" w:rsidRDefault="00C659AE" w:rsidP="004D7D64">
      <w:pPr>
        <w:pStyle w:val="BMSBodyText"/>
        <w:keepNext/>
        <w:keepLines/>
        <w:widowControl w:val="0"/>
        <w:spacing w:line="240" w:lineRule="auto"/>
        <w:rPr>
          <w:b/>
          <w:sz w:val="22"/>
          <w:szCs w:val="22"/>
        </w:rPr>
      </w:pPr>
      <w:r w:rsidRPr="009B2F32">
        <w:rPr>
          <w:b/>
          <w:sz w:val="22"/>
          <w:szCs w:val="22"/>
        </w:rPr>
        <w:t xml:space="preserve">Figure </w:t>
      </w:r>
      <w:r w:rsidR="00777194">
        <w:rPr>
          <w:b/>
          <w:sz w:val="22"/>
          <w:szCs w:val="22"/>
        </w:rPr>
        <w:t>4</w:t>
      </w:r>
      <w:r w:rsidRPr="009B2F32">
        <w:rPr>
          <w:b/>
          <w:sz w:val="22"/>
          <w:szCs w:val="22"/>
        </w:rPr>
        <w:tab/>
        <w:t>PFS: Patients with PD-L1 expression &lt; 5% (CA20906</w:t>
      </w:r>
      <w:r w:rsidR="004D7D64">
        <w:rPr>
          <w:b/>
          <w:sz w:val="22"/>
          <w:szCs w:val="22"/>
        </w:rPr>
        <w:t>7)</w:t>
      </w:r>
    </w:p>
    <w:p w14:paraId="4D7683F9" w14:textId="44128798" w:rsidR="00C659AE" w:rsidRDefault="00C659AE" w:rsidP="004D7D64">
      <w:pPr>
        <w:pStyle w:val="BMSBodyText"/>
        <w:keepNext/>
        <w:keepLines/>
        <w:widowControl w:val="0"/>
        <w:spacing w:line="240" w:lineRule="auto"/>
        <w:rPr>
          <w:sz w:val="22"/>
          <w:szCs w:val="22"/>
        </w:rPr>
      </w:pPr>
      <w:r>
        <w:rPr>
          <w:noProof/>
          <w:lang w:val="en-AU" w:eastAsia="en-AU"/>
        </w:rPr>
        <w:drawing>
          <wp:inline distT="0" distB="0" distL="0" distR="0" wp14:anchorId="63BA2D23" wp14:editId="7862839C">
            <wp:extent cx="5486400" cy="548640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15E8B414" w14:textId="77777777" w:rsidR="004D7D64" w:rsidRDefault="004D7D64" w:rsidP="004D7D64">
      <w:pPr>
        <w:pStyle w:val="BMSBodyText"/>
        <w:widowControl w:val="0"/>
        <w:spacing w:line="240" w:lineRule="auto"/>
        <w:rPr>
          <w:sz w:val="22"/>
          <w:szCs w:val="22"/>
        </w:rPr>
      </w:pPr>
    </w:p>
    <w:p w14:paraId="299A92CC" w14:textId="6648DFA6" w:rsidR="00C659AE" w:rsidRPr="009B2F32" w:rsidRDefault="00C659AE" w:rsidP="004D7D64">
      <w:pPr>
        <w:keepNext/>
        <w:keepLines/>
        <w:widowControl w:val="0"/>
        <w:rPr>
          <w:b/>
        </w:rPr>
      </w:pPr>
      <w:r w:rsidRPr="009B2F32">
        <w:rPr>
          <w:b/>
        </w:rPr>
        <w:lastRenderedPageBreak/>
        <w:t xml:space="preserve">Figure </w:t>
      </w:r>
      <w:r w:rsidR="00777194">
        <w:rPr>
          <w:b/>
        </w:rPr>
        <w:t>5</w:t>
      </w:r>
      <w:r w:rsidRPr="009B2F32">
        <w:rPr>
          <w:b/>
        </w:rPr>
        <w:tab/>
        <w:t>PFS: Patients with PD-L1 expression ≥ 5% (CA209067)</w:t>
      </w:r>
    </w:p>
    <w:p w14:paraId="1D932FE8" w14:textId="77777777" w:rsidR="00C659AE" w:rsidRDefault="00C659AE" w:rsidP="004D7D64">
      <w:pPr>
        <w:pStyle w:val="EMEABodyText"/>
        <w:keepNext/>
        <w:keepLines/>
        <w:widowControl w:val="0"/>
        <w:rPr>
          <w:b/>
          <w:sz w:val="24"/>
          <w:lang w:eastAsia="ja-JP"/>
        </w:rPr>
      </w:pPr>
      <w:r>
        <w:rPr>
          <w:noProof/>
          <w:lang w:val="en-AU" w:eastAsia="en-AU"/>
        </w:rPr>
        <w:drawing>
          <wp:inline distT="0" distB="0" distL="0" distR="0" wp14:anchorId="765FE716" wp14:editId="58313B17">
            <wp:extent cx="5486400" cy="5486400"/>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5486400"/>
                    </a:xfrm>
                    <a:prstGeom prst="rect">
                      <a:avLst/>
                    </a:prstGeom>
                    <a:noFill/>
                    <a:ln w="9525">
                      <a:noFill/>
                      <a:miter lim="800000"/>
                      <a:headEnd/>
                      <a:tailEnd/>
                    </a:ln>
                  </pic:spPr>
                </pic:pic>
              </a:graphicData>
            </a:graphic>
          </wp:inline>
        </w:drawing>
      </w:r>
    </w:p>
    <w:p w14:paraId="7C20F174" w14:textId="6A706CF1" w:rsidR="00C659AE" w:rsidRDefault="00C659AE" w:rsidP="009045DE">
      <w:pPr>
        <w:rPr>
          <w:lang w:eastAsia="ja-JP"/>
        </w:rPr>
      </w:pPr>
      <w:r w:rsidRPr="00E27434">
        <w:rPr>
          <w:lang w:eastAsia="ja-JP"/>
        </w:rPr>
        <w:t xml:space="preserve">Table </w:t>
      </w:r>
      <w:r w:rsidR="00736CE8">
        <w:rPr>
          <w:lang w:eastAsia="ja-JP"/>
        </w:rPr>
        <w:t>13</w:t>
      </w:r>
      <w:r w:rsidRPr="000B5563">
        <w:rPr>
          <w:lang w:eastAsia="ja-JP"/>
        </w:rPr>
        <w:t xml:space="preserve"> shows the objective response rates in CA209067 based on PD-L1 expression level. Both </w:t>
      </w:r>
      <w:proofErr w:type="spellStart"/>
      <w:r w:rsidRPr="000B5563">
        <w:rPr>
          <w:lang w:eastAsia="ja-JP"/>
        </w:rPr>
        <w:t>nivolumab</w:t>
      </w:r>
      <w:proofErr w:type="spellEnd"/>
      <w:r w:rsidRPr="000B5563">
        <w:rPr>
          <w:lang w:eastAsia="ja-JP"/>
        </w:rPr>
        <w:t xml:space="preserve"> in combination with </w:t>
      </w:r>
      <w:proofErr w:type="spellStart"/>
      <w:r w:rsidRPr="000B5563">
        <w:rPr>
          <w:lang w:eastAsia="ja-JP"/>
        </w:rPr>
        <w:t>ipilimumab</w:t>
      </w:r>
      <w:proofErr w:type="spellEnd"/>
      <w:r w:rsidRPr="000B5563">
        <w:rPr>
          <w:lang w:eastAsia="ja-JP"/>
        </w:rPr>
        <w:t xml:space="preserve"> and </w:t>
      </w:r>
      <w:proofErr w:type="spellStart"/>
      <w:r w:rsidRPr="000B5563">
        <w:rPr>
          <w:lang w:eastAsia="ja-JP"/>
        </w:rPr>
        <w:t>nivolumab</w:t>
      </w:r>
      <w:proofErr w:type="spellEnd"/>
      <w:r w:rsidRPr="000B5563">
        <w:rPr>
          <w:lang w:eastAsia="ja-JP"/>
        </w:rPr>
        <w:t xml:space="preserve"> monotherapy demonstrated greater objective response rates than </w:t>
      </w:r>
      <w:proofErr w:type="spellStart"/>
      <w:r w:rsidRPr="000B5563">
        <w:rPr>
          <w:lang w:eastAsia="ja-JP"/>
        </w:rPr>
        <w:t>ipilimumab</w:t>
      </w:r>
      <w:proofErr w:type="spellEnd"/>
      <w:r w:rsidRPr="000B5563">
        <w:rPr>
          <w:lang w:eastAsia="ja-JP"/>
        </w:rPr>
        <w:t xml:space="preserve"> regardless of </w:t>
      </w:r>
      <w:r>
        <w:rPr>
          <w:lang w:eastAsia="ja-JP"/>
        </w:rPr>
        <w:t xml:space="preserve">tumour </w:t>
      </w:r>
      <w:r w:rsidRPr="000B5563">
        <w:rPr>
          <w:lang w:eastAsia="ja-JP"/>
        </w:rPr>
        <w:t xml:space="preserve">PD-L1 expression levels of 1% or 5%. </w:t>
      </w:r>
      <w:proofErr w:type="spellStart"/>
      <w:r w:rsidRPr="000B5563">
        <w:rPr>
          <w:lang w:eastAsia="ja-JP"/>
        </w:rPr>
        <w:t>Nivolumab</w:t>
      </w:r>
      <w:proofErr w:type="spellEnd"/>
      <w:r w:rsidRPr="000B5563">
        <w:rPr>
          <w:lang w:eastAsia="ja-JP"/>
        </w:rPr>
        <w:t xml:space="preserve"> in combination with </w:t>
      </w:r>
      <w:proofErr w:type="spellStart"/>
      <w:r w:rsidRPr="000B5563">
        <w:rPr>
          <w:lang w:eastAsia="ja-JP"/>
        </w:rPr>
        <w:t>ipilimumab</w:t>
      </w:r>
      <w:proofErr w:type="spellEnd"/>
      <w:r w:rsidRPr="000B5563">
        <w:rPr>
          <w:lang w:eastAsia="ja-JP"/>
        </w:rPr>
        <w:t xml:space="preserve"> demonstrated greater objective response rates </w:t>
      </w:r>
      <w:r>
        <w:rPr>
          <w:lang w:eastAsia="ja-JP"/>
        </w:rPr>
        <w:t xml:space="preserve">than </w:t>
      </w:r>
      <w:proofErr w:type="spellStart"/>
      <w:r w:rsidRPr="000B5563">
        <w:rPr>
          <w:lang w:eastAsia="ja-JP"/>
        </w:rPr>
        <w:t>nivolumab</w:t>
      </w:r>
      <w:proofErr w:type="spellEnd"/>
      <w:r w:rsidRPr="000B5563">
        <w:rPr>
          <w:lang w:eastAsia="ja-JP"/>
        </w:rPr>
        <w:t xml:space="preserve"> monotherapy regardless of </w:t>
      </w:r>
      <w:r>
        <w:rPr>
          <w:lang w:eastAsia="ja-JP"/>
        </w:rPr>
        <w:t xml:space="preserve">tumour </w:t>
      </w:r>
      <w:r w:rsidRPr="000B5563">
        <w:rPr>
          <w:lang w:eastAsia="ja-JP"/>
        </w:rPr>
        <w:t>PD-L1 expression levels of 1% or 5%.</w:t>
      </w:r>
    </w:p>
    <w:p w14:paraId="02D41FFF" w14:textId="029E79A7" w:rsidR="00C659AE" w:rsidRPr="009B2F32" w:rsidRDefault="00C659AE" w:rsidP="004D7D64">
      <w:pPr>
        <w:keepNext/>
        <w:keepLines/>
        <w:rPr>
          <w:b/>
        </w:rPr>
      </w:pPr>
      <w:r w:rsidRPr="009B2F32">
        <w:rPr>
          <w:b/>
        </w:rPr>
        <w:lastRenderedPageBreak/>
        <w:t xml:space="preserve">Table </w:t>
      </w:r>
      <w:r w:rsidR="00736CE8">
        <w:rPr>
          <w:b/>
        </w:rPr>
        <w:t>13</w:t>
      </w:r>
      <w:r w:rsidRPr="009B2F32">
        <w:rPr>
          <w:b/>
        </w:rPr>
        <w:t>:</w:t>
      </w:r>
      <w:r w:rsidRPr="009B2F32">
        <w:rPr>
          <w:b/>
        </w:rPr>
        <w:tab/>
        <w:t>Objective Response by PD-L1 Expression (CA209067)</w:t>
      </w:r>
    </w:p>
    <w:tbl>
      <w:tblPr>
        <w:tblW w:w="0" w:type="auto"/>
        <w:tblCellMar>
          <w:left w:w="0" w:type="dxa"/>
          <w:right w:w="0" w:type="dxa"/>
        </w:tblCellMar>
        <w:tblLook w:val="04A0" w:firstRow="1" w:lastRow="0" w:firstColumn="1" w:lastColumn="0" w:noHBand="0" w:noVBand="1"/>
      </w:tblPr>
      <w:tblGrid>
        <w:gridCol w:w="1908"/>
        <w:gridCol w:w="2250"/>
        <w:gridCol w:w="1800"/>
        <w:gridCol w:w="1260"/>
        <w:gridCol w:w="1890"/>
      </w:tblGrid>
      <w:tr w:rsidR="00C659AE" w:rsidRPr="009C2B57" w14:paraId="4876D690" w14:textId="77777777" w:rsidTr="00C659AE">
        <w:tc>
          <w:tcPr>
            <w:tcW w:w="1908" w:type="dxa"/>
            <w:tcBorders>
              <w:top w:val="double" w:sz="4" w:space="0" w:color="auto"/>
            </w:tcBorders>
            <w:tcMar>
              <w:top w:w="0" w:type="dxa"/>
              <w:left w:w="108" w:type="dxa"/>
              <w:bottom w:w="0" w:type="dxa"/>
              <w:right w:w="108" w:type="dxa"/>
            </w:tcMar>
            <w:vAlign w:val="bottom"/>
            <w:hideMark/>
          </w:tcPr>
          <w:p w14:paraId="7D659E1B" w14:textId="77777777" w:rsidR="00C659AE" w:rsidRPr="009B2F32" w:rsidRDefault="00C659AE" w:rsidP="004D7D64">
            <w:pPr>
              <w:pStyle w:val="BMSTableHeader"/>
              <w:keepNext/>
              <w:keepLines/>
            </w:pPr>
          </w:p>
        </w:tc>
        <w:tc>
          <w:tcPr>
            <w:tcW w:w="2250" w:type="dxa"/>
            <w:vMerge w:val="restart"/>
            <w:tcBorders>
              <w:top w:val="double" w:sz="4" w:space="0" w:color="auto"/>
            </w:tcBorders>
            <w:tcMar>
              <w:top w:w="0" w:type="dxa"/>
              <w:left w:w="108" w:type="dxa"/>
              <w:bottom w:w="0" w:type="dxa"/>
              <w:right w:w="108" w:type="dxa"/>
            </w:tcMar>
            <w:vAlign w:val="bottom"/>
            <w:hideMark/>
          </w:tcPr>
          <w:p w14:paraId="3E6F6F64" w14:textId="77777777" w:rsidR="00C659AE" w:rsidRPr="009B2F32" w:rsidRDefault="00C659AE" w:rsidP="004D7D64">
            <w:pPr>
              <w:pStyle w:val="BMSTableHeader"/>
              <w:keepNext/>
              <w:keepLines/>
            </w:pPr>
            <w:r w:rsidRPr="009B2F32">
              <w:t>PD-L1 Expression Level</w:t>
            </w:r>
          </w:p>
        </w:tc>
        <w:tc>
          <w:tcPr>
            <w:tcW w:w="1800" w:type="dxa"/>
            <w:vMerge w:val="restart"/>
            <w:tcBorders>
              <w:top w:val="double" w:sz="4" w:space="0" w:color="auto"/>
            </w:tcBorders>
            <w:tcMar>
              <w:top w:w="0" w:type="dxa"/>
              <w:left w:w="108" w:type="dxa"/>
              <w:bottom w:w="0" w:type="dxa"/>
              <w:right w:w="108" w:type="dxa"/>
            </w:tcMar>
            <w:vAlign w:val="bottom"/>
            <w:hideMark/>
          </w:tcPr>
          <w:p w14:paraId="5411134A" w14:textId="77777777" w:rsidR="00C659AE" w:rsidRPr="009B2F32" w:rsidRDefault="00C659AE" w:rsidP="004D7D64">
            <w:pPr>
              <w:pStyle w:val="BMSTableHeader"/>
              <w:keepNext/>
              <w:keepLines/>
            </w:pPr>
            <w:r w:rsidRPr="009B2F32">
              <w:t>Number. of Patients</w:t>
            </w:r>
          </w:p>
        </w:tc>
        <w:tc>
          <w:tcPr>
            <w:tcW w:w="3150" w:type="dxa"/>
            <w:gridSpan w:val="2"/>
            <w:tcBorders>
              <w:top w:val="double" w:sz="4" w:space="0" w:color="auto"/>
            </w:tcBorders>
            <w:tcMar>
              <w:top w:w="0" w:type="dxa"/>
              <w:left w:w="108" w:type="dxa"/>
              <w:bottom w:w="0" w:type="dxa"/>
              <w:right w:w="108" w:type="dxa"/>
            </w:tcMar>
            <w:vAlign w:val="bottom"/>
            <w:hideMark/>
          </w:tcPr>
          <w:p w14:paraId="2E1DCE0F" w14:textId="77777777" w:rsidR="00C659AE" w:rsidRPr="009B2F32" w:rsidRDefault="00C659AE" w:rsidP="004D7D64">
            <w:pPr>
              <w:pStyle w:val="BMSTableHeader"/>
              <w:keepNext/>
              <w:keepLines/>
              <w:rPr>
                <w:u w:val="single"/>
              </w:rPr>
            </w:pPr>
            <w:r w:rsidRPr="009B2F32">
              <w:rPr>
                <w:u w:val="single"/>
              </w:rPr>
              <w:t>ORR</w:t>
            </w:r>
          </w:p>
        </w:tc>
      </w:tr>
      <w:tr w:rsidR="00C659AE" w:rsidRPr="009C2B57" w14:paraId="028ED381" w14:textId="77777777" w:rsidTr="00C659AE">
        <w:tc>
          <w:tcPr>
            <w:tcW w:w="1908" w:type="dxa"/>
            <w:tcBorders>
              <w:bottom w:val="single" w:sz="4" w:space="0" w:color="auto"/>
            </w:tcBorders>
            <w:tcMar>
              <w:top w:w="0" w:type="dxa"/>
              <w:left w:w="108" w:type="dxa"/>
              <w:bottom w:w="0" w:type="dxa"/>
              <w:right w:w="108" w:type="dxa"/>
            </w:tcMar>
            <w:vAlign w:val="bottom"/>
            <w:hideMark/>
          </w:tcPr>
          <w:p w14:paraId="1212263C" w14:textId="77777777" w:rsidR="00C659AE" w:rsidRPr="009B2F32" w:rsidRDefault="00C659AE" w:rsidP="004D7D64">
            <w:pPr>
              <w:pStyle w:val="BMSTableHeader"/>
              <w:keepNext/>
              <w:keepLines/>
              <w:rPr>
                <w:rFonts w:eastAsia="MS Mincho"/>
              </w:rPr>
            </w:pPr>
            <w:r w:rsidRPr="009B2F32">
              <w:t>Treatment</w:t>
            </w:r>
          </w:p>
        </w:tc>
        <w:tc>
          <w:tcPr>
            <w:tcW w:w="2250" w:type="dxa"/>
            <w:vMerge/>
            <w:tcBorders>
              <w:bottom w:val="single" w:sz="4" w:space="0" w:color="auto"/>
            </w:tcBorders>
            <w:tcMar>
              <w:top w:w="0" w:type="dxa"/>
              <w:left w:w="108" w:type="dxa"/>
              <w:bottom w:w="0" w:type="dxa"/>
              <w:right w:w="108" w:type="dxa"/>
            </w:tcMar>
            <w:vAlign w:val="bottom"/>
            <w:hideMark/>
          </w:tcPr>
          <w:p w14:paraId="5D51900E" w14:textId="77777777" w:rsidR="00C659AE" w:rsidRPr="009B2F32" w:rsidRDefault="00C659AE" w:rsidP="004D7D64">
            <w:pPr>
              <w:pStyle w:val="BMSTableHeader"/>
              <w:keepNext/>
              <w:keepLines/>
              <w:rPr>
                <w:rFonts w:eastAsia="MS Mincho"/>
              </w:rPr>
            </w:pPr>
          </w:p>
        </w:tc>
        <w:tc>
          <w:tcPr>
            <w:tcW w:w="1800" w:type="dxa"/>
            <w:vMerge/>
            <w:tcBorders>
              <w:bottom w:val="single" w:sz="4" w:space="0" w:color="auto"/>
            </w:tcBorders>
            <w:tcMar>
              <w:top w:w="0" w:type="dxa"/>
              <w:left w:w="108" w:type="dxa"/>
              <w:bottom w:w="0" w:type="dxa"/>
              <w:right w:w="108" w:type="dxa"/>
            </w:tcMar>
            <w:vAlign w:val="bottom"/>
            <w:hideMark/>
          </w:tcPr>
          <w:p w14:paraId="1D105523" w14:textId="77777777" w:rsidR="00C659AE" w:rsidRPr="009B2F32" w:rsidRDefault="00C659AE" w:rsidP="004D7D64">
            <w:pPr>
              <w:pStyle w:val="BMSTableHeader"/>
              <w:keepNext/>
              <w:keepLines/>
              <w:rPr>
                <w:rFonts w:eastAsia="MS Mincho"/>
              </w:rPr>
            </w:pPr>
          </w:p>
        </w:tc>
        <w:tc>
          <w:tcPr>
            <w:tcW w:w="1260" w:type="dxa"/>
            <w:tcBorders>
              <w:bottom w:val="single" w:sz="4" w:space="0" w:color="auto"/>
            </w:tcBorders>
            <w:tcMar>
              <w:top w:w="0" w:type="dxa"/>
              <w:left w:w="108" w:type="dxa"/>
              <w:bottom w:w="0" w:type="dxa"/>
              <w:right w:w="108" w:type="dxa"/>
            </w:tcMar>
            <w:vAlign w:val="bottom"/>
            <w:hideMark/>
          </w:tcPr>
          <w:p w14:paraId="169ED059" w14:textId="77777777" w:rsidR="00C659AE" w:rsidRPr="009B2F32" w:rsidRDefault="00C659AE" w:rsidP="004D7D64">
            <w:pPr>
              <w:pStyle w:val="BMSTableHeader"/>
              <w:keepNext/>
              <w:keepLines/>
              <w:jc w:val="right"/>
              <w:rPr>
                <w:rFonts w:eastAsia="MS Mincho"/>
              </w:rPr>
            </w:pPr>
            <w:r w:rsidRPr="009B2F32">
              <w:t>%</w:t>
            </w:r>
          </w:p>
        </w:tc>
        <w:tc>
          <w:tcPr>
            <w:tcW w:w="1890" w:type="dxa"/>
            <w:tcBorders>
              <w:bottom w:val="single" w:sz="4" w:space="0" w:color="auto"/>
            </w:tcBorders>
            <w:tcMar>
              <w:top w:w="0" w:type="dxa"/>
              <w:left w:w="108" w:type="dxa"/>
              <w:bottom w:w="0" w:type="dxa"/>
              <w:right w:w="108" w:type="dxa"/>
            </w:tcMar>
            <w:vAlign w:val="bottom"/>
            <w:hideMark/>
          </w:tcPr>
          <w:p w14:paraId="65AB9563" w14:textId="77777777" w:rsidR="00C659AE" w:rsidRPr="009B2F32" w:rsidRDefault="00C659AE" w:rsidP="004D7D64">
            <w:pPr>
              <w:pStyle w:val="BMSTableHeader"/>
              <w:keepNext/>
              <w:keepLines/>
              <w:jc w:val="left"/>
              <w:rPr>
                <w:rFonts w:eastAsia="MS Mincho"/>
              </w:rPr>
            </w:pPr>
            <w:r w:rsidRPr="009B2F32">
              <w:t xml:space="preserve"> [95% CI]</w:t>
            </w:r>
          </w:p>
        </w:tc>
      </w:tr>
      <w:tr w:rsidR="00C659AE" w:rsidRPr="00CC329D" w14:paraId="5BE2003F" w14:textId="77777777" w:rsidTr="00C659AE">
        <w:tc>
          <w:tcPr>
            <w:tcW w:w="1908" w:type="dxa"/>
            <w:vMerge w:val="restart"/>
            <w:tcBorders>
              <w:top w:val="single" w:sz="4" w:space="0" w:color="auto"/>
            </w:tcBorders>
            <w:tcMar>
              <w:top w:w="0" w:type="dxa"/>
              <w:left w:w="108" w:type="dxa"/>
              <w:bottom w:w="0" w:type="dxa"/>
              <w:right w:w="108" w:type="dxa"/>
            </w:tcMar>
            <w:vAlign w:val="center"/>
            <w:hideMark/>
          </w:tcPr>
          <w:p w14:paraId="3C54BBDA" w14:textId="77777777" w:rsidR="00C659AE" w:rsidRPr="009B2F32" w:rsidRDefault="00C659AE" w:rsidP="004D7D64">
            <w:pPr>
              <w:pStyle w:val="BMSTableText"/>
              <w:keepNext/>
              <w:keepLines/>
              <w:jc w:val="left"/>
              <w:rPr>
                <w:b/>
              </w:rPr>
            </w:pPr>
            <w:r w:rsidRPr="009B2F32">
              <w:rPr>
                <w:b/>
              </w:rPr>
              <w:t>OPDIVO +Ipilimumab</w:t>
            </w:r>
          </w:p>
        </w:tc>
        <w:tc>
          <w:tcPr>
            <w:tcW w:w="2250" w:type="dxa"/>
            <w:tcBorders>
              <w:top w:val="single" w:sz="4" w:space="0" w:color="auto"/>
            </w:tcBorders>
            <w:tcMar>
              <w:top w:w="0" w:type="dxa"/>
              <w:left w:w="108" w:type="dxa"/>
              <w:bottom w:w="0" w:type="dxa"/>
              <w:right w:w="108" w:type="dxa"/>
            </w:tcMar>
            <w:hideMark/>
          </w:tcPr>
          <w:p w14:paraId="19B778AF" w14:textId="77777777" w:rsidR="00C659AE" w:rsidRPr="009B2F32" w:rsidRDefault="00C659AE" w:rsidP="004D7D64">
            <w:pPr>
              <w:pStyle w:val="BMSTableText"/>
              <w:keepNext/>
              <w:keepLines/>
              <w:rPr>
                <w:rFonts w:eastAsia="MS Mincho"/>
              </w:rPr>
            </w:pPr>
            <w:r w:rsidRPr="009B2F32">
              <w:t>≥5%</w:t>
            </w:r>
          </w:p>
        </w:tc>
        <w:tc>
          <w:tcPr>
            <w:tcW w:w="1800" w:type="dxa"/>
            <w:tcBorders>
              <w:top w:val="single" w:sz="4" w:space="0" w:color="auto"/>
            </w:tcBorders>
            <w:tcMar>
              <w:top w:w="0" w:type="dxa"/>
              <w:left w:w="108" w:type="dxa"/>
              <w:bottom w:w="0" w:type="dxa"/>
              <w:right w:w="108" w:type="dxa"/>
            </w:tcMar>
            <w:hideMark/>
          </w:tcPr>
          <w:p w14:paraId="2E9D9DED" w14:textId="77777777" w:rsidR="00C659AE" w:rsidRPr="009B2F32" w:rsidRDefault="00C659AE" w:rsidP="004D7D64">
            <w:pPr>
              <w:pStyle w:val="BMSTableText"/>
              <w:keepNext/>
              <w:keepLines/>
              <w:rPr>
                <w:rFonts w:eastAsia="MS Mincho"/>
              </w:rPr>
            </w:pPr>
            <w:r w:rsidRPr="009B2F32">
              <w:t>68</w:t>
            </w:r>
          </w:p>
        </w:tc>
        <w:tc>
          <w:tcPr>
            <w:tcW w:w="1260" w:type="dxa"/>
            <w:tcBorders>
              <w:top w:val="single" w:sz="4" w:space="0" w:color="auto"/>
            </w:tcBorders>
            <w:tcMar>
              <w:top w:w="0" w:type="dxa"/>
              <w:left w:w="108" w:type="dxa"/>
              <w:bottom w:w="0" w:type="dxa"/>
              <w:right w:w="108" w:type="dxa"/>
            </w:tcMar>
            <w:hideMark/>
          </w:tcPr>
          <w:p w14:paraId="6FC06A75" w14:textId="77777777" w:rsidR="00C659AE" w:rsidRPr="009B2F32" w:rsidRDefault="00C659AE" w:rsidP="004D7D64">
            <w:pPr>
              <w:pStyle w:val="BMSTableText"/>
              <w:keepNext/>
              <w:keepLines/>
              <w:jc w:val="right"/>
              <w:rPr>
                <w:rFonts w:eastAsia="MS Mincho"/>
              </w:rPr>
            </w:pPr>
            <w:r w:rsidRPr="009B2F32">
              <w:t>72%</w:t>
            </w:r>
          </w:p>
        </w:tc>
        <w:tc>
          <w:tcPr>
            <w:tcW w:w="1890" w:type="dxa"/>
            <w:tcBorders>
              <w:top w:val="single" w:sz="4" w:space="0" w:color="auto"/>
            </w:tcBorders>
            <w:tcMar>
              <w:top w:w="0" w:type="dxa"/>
              <w:left w:w="108" w:type="dxa"/>
              <w:bottom w:w="0" w:type="dxa"/>
              <w:right w:w="108" w:type="dxa"/>
            </w:tcMar>
          </w:tcPr>
          <w:p w14:paraId="43C0F0C8" w14:textId="77777777" w:rsidR="00C659AE" w:rsidRPr="009B2F32" w:rsidRDefault="00C659AE" w:rsidP="004D7D64">
            <w:pPr>
              <w:pStyle w:val="BMSTableText"/>
              <w:keepNext/>
              <w:keepLines/>
              <w:jc w:val="left"/>
              <w:rPr>
                <w:rFonts w:eastAsia="MS Mincho"/>
              </w:rPr>
            </w:pPr>
            <w:r w:rsidRPr="009B2F32">
              <w:t>(59.9, 82.3)</w:t>
            </w:r>
          </w:p>
        </w:tc>
      </w:tr>
      <w:tr w:rsidR="00C659AE" w:rsidRPr="00CC329D" w14:paraId="5A78F203" w14:textId="77777777" w:rsidTr="00C659AE">
        <w:tc>
          <w:tcPr>
            <w:tcW w:w="1908" w:type="dxa"/>
            <w:vMerge/>
            <w:tcMar>
              <w:top w:w="0" w:type="dxa"/>
              <w:left w:w="108" w:type="dxa"/>
              <w:bottom w:w="0" w:type="dxa"/>
              <w:right w:w="108" w:type="dxa"/>
            </w:tcMar>
            <w:vAlign w:val="center"/>
            <w:hideMark/>
          </w:tcPr>
          <w:p w14:paraId="083057B1" w14:textId="77777777" w:rsidR="00C659AE" w:rsidRPr="009B2F32" w:rsidRDefault="00C659AE" w:rsidP="004D7D64">
            <w:pPr>
              <w:pStyle w:val="BMSTableText"/>
              <w:keepNext/>
              <w:keepLines/>
              <w:jc w:val="left"/>
              <w:rPr>
                <w:b/>
              </w:rPr>
            </w:pPr>
          </w:p>
        </w:tc>
        <w:tc>
          <w:tcPr>
            <w:tcW w:w="2250" w:type="dxa"/>
            <w:tcMar>
              <w:top w:w="0" w:type="dxa"/>
              <w:left w:w="108" w:type="dxa"/>
              <w:bottom w:w="0" w:type="dxa"/>
              <w:right w:w="108" w:type="dxa"/>
            </w:tcMar>
            <w:hideMark/>
          </w:tcPr>
          <w:p w14:paraId="41A0DCDE" w14:textId="77777777" w:rsidR="00C659AE" w:rsidRPr="009B2F32" w:rsidRDefault="00C659AE" w:rsidP="004D7D64">
            <w:pPr>
              <w:pStyle w:val="BMSTableText"/>
              <w:keepNext/>
              <w:keepLines/>
              <w:rPr>
                <w:rFonts w:eastAsia="MS Mincho"/>
              </w:rPr>
            </w:pPr>
            <w:r w:rsidRPr="009B2F32">
              <w:t>&lt;5%</w:t>
            </w:r>
          </w:p>
        </w:tc>
        <w:tc>
          <w:tcPr>
            <w:tcW w:w="1800" w:type="dxa"/>
            <w:tcMar>
              <w:top w:w="0" w:type="dxa"/>
              <w:left w:w="108" w:type="dxa"/>
              <w:bottom w:w="0" w:type="dxa"/>
              <w:right w:w="108" w:type="dxa"/>
            </w:tcMar>
            <w:hideMark/>
          </w:tcPr>
          <w:p w14:paraId="534619FF" w14:textId="77777777" w:rsidR="00C659AE" w:rsidRPr="009B2F32" w:rsidRDefault="00C659AE" w:rsidP="004D7D64">
            <w:pPr>
              <w:pStyle w:val="BMSTableText"/>
              <w:keepNext/>
              <w:keepLines/>
              <w:rPr>
                <w:rFonts w:eastAsia="MS Mincho"/>
              </w:rPr>
            </w:pPr>
            <w:r w:rsidRPr="009B2F32">
              <w:t>210</w:t>
            </w:r>
          </w:p>
        </w:tc>
        <w:tc>
          <w:tcPr>
            <w:tcW w:w="1260" w:type="dxa"/>
            <w:tcMar>
              <w:top w:w="0" w:type="dxa"/>
              <w:left w:w="108" w:type="dxa"/>
              <w:bottom w:w="0" w:type="dxa"/>
              <w:right w:w="108" w:type="dxa"/>
            </w:tcMar>
            <w:hideMark/>
          </w:tcPr>
          <w:p w14:paraId="43603450" w14:textId="77777777" w:rsidR="00C659AE" w:rsidRPr="009B2F32" w:rsidRDefault="00C659AE" w:rsidP="004D7D64">
            <w:pPr>
              <w:pStyle w:val="BMSTableText"/>
              <w:keepNext/>
              <w:keepLines/>
              <w:jc w:val="right"/>
              <w:rPr>
                <w:rFonts w:eastAsia="MS Mincho"/>
              </w:rPr>
            </w:pPr>
            <w:r w:rsidRPr="009B2F32">
              <w:t>55%</w:t>
            </w:r>
          </w:p>
        </w:tc>
        <w:tc>
          <w:tcPr>
            <w:tcW w:w="1890" w:type="dxa"/>
            <w:tcMar>
              <w:top w:w="0" w:type="dxa"/>
              <w:left w:w="108" w:type="dxa"/>
              <w:bottom w:w="0" w:type="dxa"/>
              <w:right w:w="108" w:type="dxa"/>
            </w:tcMar>
          </w:tcPr>
          <w:p w14:paraId="5CC3B162" w14:textId="77777777" w:rsidR="00C659AE" w:rsidRPr="009B2F32" w:rsidRDefault="00C659AE" w:rsidP="004D7D64">
            <w:pPr>
              <w:pStyle w:val="BMSTableText"/>
              <w:keepNext/>
              <w:keepLines/>
              <w:jc w:val="left"/>
              <w:rPr>
                <w:rFonts w:eastAsia="MS Mincho"/>
              </w:rPr>
            </w:pPr>
            <w:r w:rsidRPr="009B2F32">
              <w:t>(47.8, 61.6)</w:t>
            </w:r>
          </w:p>
        </w:tc>
      </w:tr>
      <w:tr w:rsidR="00C659AE" w:rsidRPr="00CC329D" w14:paraId="15B15254" w14:textId="77777777" w:rsidTr="00C659AE">
        <w:tc>
          <w:tcPr>
            <w:tcW w:w="1908" w:type="dxa"/>
            <w:vMerge/>
            <w:tcMar>
              <w:top w:w="0" w:type="dxa"/>
              <w:left w:w="108" w:type="dxa"/>
              <w:bottom w:w="0" w:type="dxa"/>
              <w:right w:w="108" w:type="dxa"/>
            </w:tcMar>
            <w:vAlign w:val="center"/>
            <w:hideMark/>
          </w:tcPr>
          <w:p w14:paraId="6CE94F21" w14:textId="77777777" w:rsidR="00C659AE" w:rsidRPr="009B2F32" w:rsidRDefault="00C659AE" w:rsidP="004D7D64">
            <w:pPr>
              <w:pStyle w:val="BMSTableText"/>
              <w:keepNext/>
              <w:keepLines/>
              <w:jc w:val="left"/>
              <w:rPr>
                <w:rFonts w:eastAsia="MS Mincho"/>
                <w:b/>
              </w:rPr>
            </w:pPr>
          </w:p>
        </w:tc>
        <w:tc>
          <w:tcPr>
            <w:tcW w:w="2250" w:type="dxa"/>
            <w:tcMar>
              <w:top w:w="0" w:type="dxa"/>
              <w:left w:w="108" w:type="dxa"/>
              <w:bottom w:w="0" w:type="dxa"/>
              <w:right w:w="108" w:type="dxa"/>
            </w:tcMar>
            <w:hideMark/>
          </w:tcPr>
          <w:p w14:paraId="4D8D905C" w14:textId="77777777" w:rsidR="00C659AE" w:rsidRPr="009B2F32" w:rsidRDefault="00C659AE" w:rsidP="004D7D64">
            <w:pPr>
              <w:pStyle w:val="BMSTableText"/>
              <w:keepNext/>
              <w:keepLines/>
              <w:rPr>
                <w:rFonts w:eastAsia="MS Mincho"/>
              </w:rPr>
            </w:pPr>
            <w:r w:rsidRPr="009B2F32">
              <w:t>≥1%</w:t>
            </w:r>
          </w:p>
        </w:tc>
        <w:tc>
          <w:tcPr>
            <w:tcW w:w="1800" w:type="dxa"/>
            <w:tcMar>
              <w:top w:w="0" w:type="dxa"/>
              <w:left w:w="108" w:type="dxa"/>
              <w:bottom w:w="0" w:type="dxa"/>
              <w:right w:w="108" w:type="dxa"/>
            </w:tcMar>
            <w:hideMark/>
          </w:tcPr>
          <w:p w14:paraId="4AE7FE80" w14:textId="77777777" w:rsidR="00C659AE" w:rsidRPr="009B2F32" w:rsidRDefault="00C659AE" w:rsidP="004D7D64">
            <w:pPr>
              <w:pStyle w:val="BMSTableText"/>
              <w:keepNext/>
              <w:keepLines/>
            </w:pPr>
            <w:r w:rsidRPr="009B2F32">
              <w:t>155</w:t>
            </w:r>
          </w:p>
        </w:tc>
        <w:tc>
          <w:tcPr>
            <w:tcW w:w="1260" w:type="dxa"/>
            <w:tcMar>
              <w:top w:w="0" w:type="dxa"/>
              <w:left w:w="108" w:type="dxa"/>
              <w:bottom w:w="0" w:type="dxa"/>
              <w:right w:w="108" w:type="dxa"/>
            </w:tcMar>
            <w:hideMark/>
          </w:tcPr>
          <w:p w14:paraId="411B4F9D" w14:textId="77777777" w:rsidR="00C659AE" w:rsidRPr="009B2F32" w:rsidRDefault="00C659AE" w:rsidP="004D7D64">
            <w:pPr>
              <w:pStyle w:val="BMSTableText"/>
              <w:keepNext/>
              <w:keepLines/>
              <w:jc w:val="right"/>
            </w:pPr>
            <w:r w:rsidRPr="009B2F32">
              <w:t>65%</w:t>
            </w:r>
          </w:p>
        </w:tc>
        <w:tc>
          <w:tcPr>
            <w:tcW w:w="1890" w:type="dxa"/>
            <w:tcMar>
              <w:top w:w="0" w:type="dxa"/>
              <w:left w:w="108" w:type="dxa"/>
              <w:bottom w:w="0" w:type="dxa"/>
              <w:right w:w="108" w:type="dxa"/>
            </w:tcMar>
          </w:tcPr>
          <w:p w14:paraId="4FCA0F14" w14:textId="77777777" w:rsidR="00C659AE" w:rsidRPr="009B2F32" w:rsidRDefault="00C659AE" w:rsidP="004D7D64">
            <w:pPr>
              <w:pStyle w:val="BMSTableText"/>
              <w:keepNext/>
              <w:keepLines/>
              <w:jc w:val="left"/>
            </w:pPr>
            <w:r w:rsidRPr="009B2F32">
              <w:t>(56.4, 72.0)</w:t>
            </w:r>
          </w:p>
        </w:tc>
      </w:tr>
      <w:tr w:rsidR="00C659AE" w:rsidRPr="00CC329D" w14:paraId="4DBAB3B4" w14:textId="77777777" w:rsidTr="00C659AE">
        <w:tc>
          <w:tcPr>
            <w:tcW w:w="1908" w:type="dxa"/>
            <w:vMerge/>
            <w:tcBorders>
              <w:bottom w:val="dotted" w:sz="4" w:space="0" w:color="auto"/>
            </w:tcBorders>
            <w:vAlign w:val="center"/>
            <w:hideMark/>
          </w:tcPr>
          <w:p w14:paraId="4EB00EBF" w14:textId="77777777" w:rsidR="00C659AE" w:rsidRPr="009B2F32" w:rsidRDefault="00C659AE" w:rsidP="004D7D64">
            <w:pPr>
              <w:pStyle w:val="BMSTableText"/>
              <w:keepNext/>
              <w:keepLines/>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533291FF" w14:textId="77777777" w:rsidR="00C659AE" w:rsidRPr="009B2F32" w:rsidRDefault="00C659AE" w:rsidP="004D7D64">
            <w:pPr>
              <w:pStyle w:val="BMSTableText"/>
              <w:keepNext/>
              <w:keepLines/>
              <w:rPr>
                <w:rFonts w:eastAsia="MS Mincho"/>
              </w:rPr>
            </w:pPr>
            <w:r w:rsidRPr="009B2F32">
              <w:t>&lt;1%</w:t>
            </w:r>
          </w:p>
        </w:tc>
        <w:tc>
          <w:tcPr>
            <w:tcW w:w="1800" w:type="dxa"/>
            <w:tcBorders>
              <w:bottom w:val="dotted" w:sz="4" w:space="0" w:color="auto"/>
            </w:tcBorders>
            <w:tcMar>
              <w:top w:w="0" w:type="dxa"/>
              <w:left w:w="108" w:type="dxa"/>
              <w:bottom w:w="0" w:type="dxa"/>
              <w:right w:w="108" w:type="dxa"/>
            </w:tcMar>
            <w:hideMark/>
          </w:tcPr>
          <w:p w14:paraId="5617D0F5" w14:textId="77777777" w:rsidR="00C659AE" w:rsidRPr="009B2F32" w:rsidRDefault="00C659AE" w:rsidP="004D7D64">
            <w:pPr>
              <w:pStyle w:val="BMSTableText"/>
              <w:keepNext/>
              <w:keepLines/>
            </w:pPr>
            <w:r w:rsidRPr="009B2F32">
              <w:t>123</w:t>
            </w:r>
          </w:p>
        </w:tc>
        <w:tc>
          <w:tcPr>
            <w:tcW w:w="1260" w:type="dxa"/>
            <w:tcBorders>
              <w:bottom w:val="dotted" w:sz="4" w:space="0" w:color="auto"/>
            </w:tcBorders>
            <w:tcMar>
              <w:top w:w="0" w:type="dxa"/>
              <w:left w:w="108" w:type="dxa"/>
              <w:bottom w:w="0" w:type="dxa"/>
              <w:right w:w="108" w:type="dxa"/>
            </w:tcMar>
            <w:hideMark/>
          </w:tcPr>
          <w:p w14:paraId="6AB8215D" w14:textId="77777777" w:rsidR="00C659AE" w:rsidRPr="009B2F32" w:rsidRDefault="00C659AE" w:rsidP="004D7D64">
            <w:pPr>
              <w:pStyle w:val="BMSTableText"/>
              <w:keepNext/>
              <w:keepLines/>
              <w:jc w:val="right"/>
            </w:pPr>
            <w:r w:rsidRPr="009B2F32">
              <w:t>52%</w:t>
            </w:r>
          </w:p>
        </w:tc>
        <w:tc>
          <w:tcPr>
            <w:tcW w:w="1890" w:type="dxa"/>
            <w:tcBorders>
              <w:bottom w:val="dotted" w:sz="4" w:space="0" w:color="auto"/>
            </w:tcBorders>
            <w:tcMar>
              <w:top w:w="0" w:type="dxa"/>
              <w:left w:w="108" w:type="dxa"/>
              <w:bottom w:w="0" w:type="dxa"/>
              <w:right w:w="108" w:type="dxa"/>
            </w:tcMar>
          </w:tcPr>
          <w:p w14:paraId="34E4EF3C" w14:textId="77777777" w:rsidR="00C659AE" w:rsidRPr="009B2F32" w:rsidRDefault="00C659AE" w:rsidP="004D7D64">
            <w:pPr>
              <w:pStyle w:val="BMSTableText"/>
              <w:keepNext/>
              <w:keepLines/>
              <w:jc w:val="left"/>
            </w:pPr>
            <w:r w:rsidRPr="009B2F32">
              <w:t>(42.8, 61.1)</w:t>
            </w:r>
          </w:p>
        </w:tc>
      </w:tr>
      <w:tr w:rsidR="00C659AE" w:rsidRPr="00CC329D" w14:paraId="252FF4DB" w14:textId="77777777" w:rsidTr="00C659AE">
        <w:tc>
          <w:tcPr>
            <w:tcW w:w="1908" w:type="dxa"/>
            <w:vMerge w:val="restart"/>
            <w:tcBorders>
              <w:top w:val="dotted" w:sz="4" w:space="0" w:color="auto"/>
            </w:tcBorders>
            <w:tcMar>
              <w:top w:w="0" w:type="dxa"/>
              <w:left w:w="108" w:type="dxa"/>
              <w:bottom w:w="0" w:type="dxa"/>
              <w:right w:w="108" w:type="dxa"/>
            </w:tcMar>
            <w:vAlign w:val="center"/>
            <w:hideMark/>
          </w:tcPr>
          <w:p w14:paraId="0E8CD13E" w14:textId="77777777" w:rsidR="00C659AE" w:rsidRPr="009B2F32" w:rsidRDefault="00C659AE" w:rsidP="004D7D64">
            <w:pPr>
              <w:pStyle w:val="BMSTableText"/>
              <w:keepNext/>
              <w:keepLines/>
              <w:jc w:val="left"/>
              <w:rPr>
                <w:b/>
              </w:rPr>
            </w:pPr>
            <w:r w:rsidRPr="009B2F32">
              <w:rPr>
                <w:b/>
              </w:rPr>
              <w:t>OPDIVO</w:t>
            </w:r>
          </w:p>
        </w:tc>
        <w:tc>
          <w:tcPr>
            <w:tcW w:w="2250" w:type="dxa"/>
            <w:tcBorders>
              <w:top w:val="dotted" w:sz="4" w:space="0" w:color="auto"/>
            </w:tcBorders>
            <w:tcMar>
              <w:top w:w="0" w:type="dxa"/>
              <w:left w:w="108" w:type="dxa"/>
              <w:bottom w:w="0" w:type="dxa"/>
              <w:right w:w="108" w:type="dxa"/>
            </w:tcMar>
            <w:hideMark/>
          </w:tcPr>
          <w:p w14:paraId="4B43EAA0" w14:textId="77777777" w:rsidR="00C659AE" w:rsidRPr="009B2F32" w:rsidRDefault="00C659AE" w:rsidP="004D7D64">
            <w:pPr>
              <w:pStyle w:val="BMSTableText"/>
              <w:keepNext/>
              <w:keepLines/>
              <w:rPr>
                <w:rFonts w:eastAsia="MS Mincho"/>
              </w:rPr>
            </w:pPr>
            <w:r w:rsidRPr="009B2F32">
              <w:t>≥5%</w:t>
            </w:r>
          </w:p>
        </w:tc>
        <w:tc>
          <w:tcPr>
            <w:tcW w:w="1800" w:type="dxa"/>
            <w:tcBorders>
              <w:top w:val="dotted" w:sz="4" w:space="0" w:color="auto"/>
            </w:tcBorders>
            <w:tcMar>
              <w:top w:w="0" w:type="dxa"/>
              <w:left w:w="108" w:type="dxa"/>
              <w:bottom w:w="0" w:type="dxa"/>
              <w:right w:w="108" w:type="dxa"/>
            </w:tcMar>
            <w:hideMark/>
          </w:tcPr>
          <w:p w14:paraId="078CD152" w14:textId="77777777" w:rsidR="00C659AE" w:rsidRPr="009B2F32" w:rsidRDefault="00C659AE" w:rsidP="004D7D64">
            <w:pPr>
              <w:pStyle w:val="BMSTableText"/>
              <w:keepNext/>
              <w:keepLines/>
              <w:rPr>
                <w:rFonts w:eastAsia="MS Mincho"/>
              </w:rPr>
            </w:pPr>
            <w:r w:rsidRPr="009B2F32">
              <w:t>80</w:t>
            </w:r>
          </w:p>
        </w:tc>
        <w:tc>
          <w:tcPr>
            <w:tcW w:w="1260" w:type="dxa"/>
            <w:tcBorders>
              <w:top w:val="dotted" w:sz="4" w:space="0" w:color="auto"/>
            </w:tcBorders>
            <w:tcMar>
              <w:top w:w="0" w:type="dxa"/>
              <w:left w:w="108" w:type="dxa"/>
              <w:bottom w:w="0" w:type="dxa"/>
              <w:right w:w="108" w:type="dxa"/>
            </w:tcMar>
            <w:hideMark/>
          </w:tcPr>
          <w:p w14:paraId="4046FE6C" w14:textId="77777777" w:rsidR="00C659AE" w:rsidRPr="009B2F32" w:rsidRDefault="00C659AE" w:rsidP="004D7D64">
            <w:pPr>
              <w:pStyle w:val="BMSTableText"/>
              <w:keepNext/>
              <w:keepLines/>
              <w:jc w:val="right"/>
              <w:rPr>
                <w:rFonts w:eastAsia="MS Mincho"/>
              </w:rPr>
            </w:pPr>
            <w:r w:rsidRPr="009B2F32">
              <w:t>58%</w:t>
            </w:r>
          </w:p>
        </w:tc>
        <w:tc>
          <w:tcPr>
            <w:tcW w:w="1890" w:type="dxa"/>
            <w:tcBorders>
              <w:top w:val="dotted" w:sz="4" w:space="0" w:color="auto"/>
            </w:tcBorders>
            <w:tcMar>
              <w:top w:w="0" w:type="dxa"/>
              <w:left w:w="108" w:type="dxa"/>
              <w:bottom w:w="0" w:type="dxa"/>
              <w:right w:w="108" w:type="dxa"/>
            </w:tcMar>
          </w:tcPr>
          <w:p w14:paraId="7E9B4195" w14:textId="77777777" w:rsidR="00C659AE" w:rsidRPr="009B2F32" w:rsidRDefault="00C659AE" w:rsidP="004D7D64">
            <w:pPr>
              <w:pStyle w:val="BMSTableText"/>
              <w:keepNext/>
              <w:keepLines/>
              <w:jc w:val="left"/>
              <w:rPr>
                <w:rFonts w:eastAsia="MS Mincho"/>
              </w:rPr>
            </w:pPr>
            <w:r w:rsidRPr="009B2F32">
              <w:t>(45.9, 68.5)</w:t>
            </w:r>
          </w:p>
        </w:tc>
      </w:tr>
      <w:tr w:rsidR="00C659AE" w:rsidRPr="00CC329D" w14:paraId="085B769F" w14:textId="77777777" w:rsidTr="00C659AE">
        <w:tc>
          <w:tcPr>
            <w:tcW w:w="1908" w:type="dxa"/>
            <w:vMerge/>
            <w:tcMar>
              <w:top w:w="0" w:type="dxa"/>
              <w:left w:w="108" w:type="dxa"/>
              <w:bottom w:w="0" w:type="dxa"/>
              <w:right w:w="108" w:type="dxa"/>
            </w:tcMar>
            <w:vAlign w:val="center"/>
            <w:hideMark/>
          </w:tcPr>
          <w:p w14:paraId="3BD1359F" w14:textId="77777777" w:rsidR="00C659AE" w:rsidRPr="009B2F32" w:rsidRDefault="00C659AE" w:rsidP="004D7D64">
            <w:pPr>
              <w:pStyle w:val="BMSTableText"/>
              <w:keepNext/>
              <w:keepLines/>
              <w:jc w:val="left"/>
              <w:rPr>
                <w:b/>
              </w:rPr>
            </w:pPr>
          </w:p>
        </w:tc>
        <w:tc>
          <w:tcPr>
            <w:tcW w:w="2250" w:type="dxa"/>
            <w:tcMar>
              <w:top w:w="0" w:type="dxa"/>
              <w:left w:w="108" w:type="dxa"/>
              <w:bottom w:w="0" w:type="dxa"/>
              <w:right w:w="108" w:type="dxa"/>
            </w:tcMar>
            <w:hideMark/>
          </w:tcPr>
          <w:p w14:paraId="6402FA36" w14:textId="77777777" w:rsidR="00C659AE" w:rsidRPr="009B2F32" w:rsidRDefault="00C659AE" w:rsidP="004D7D64">
            <w:pPr>
              <w:pStyle w:val="BMSTableText"/>
              <w:keepNext/>
              <w:keepLines/>
              <w:rPr>
                <w:rFonts w:eastAsia="MS Mincho"/>
              </w:rPr>
            </w:pPr>
            <w:r w:rsidRPr="009B2F32">
              <w:t>&lt;5%</w:t>
            </w:r>
          </w:p>
        </w:tc>
        <w:tc>
          <w:tcPr>
            <w:tcW w:w="1800" w:type="dxa"/>
            <w:tcMar>
              <w:top w:w="0" w:type="dxa"/>
              <w:left w:w="108" w:type="dxa"/>
              <w:bottom w:w="0" w:type="dxa"/>
              <w:right w:w="108" w:type="dxa"/>
            </w:tcMar>
            <w:hideMark/>
          </w:tcPr>
          <w:p w14:paraId="6145E792" w14:textId="77777777" w:rsidR="00C659AE" w:rsidRPr="009B2F32" w:rsidRDefault="00C659AE" w:rsidP="004D7D64">
            <w:pPr>
              <w:pStyle w:val="BMSTableText"/>
              <w:keepNext/>
              <w:keepLines/>
              <w:rPr>
                <w:rFonts w:eastAsia="MS Mincho"/>
              </w:rPr>
            </w:pPr>
            <w:r w:rsidRPr="009B2F32">
              <w:t>208</w:t>
            </w:r>
          </w:p>
        </w:tc>
        <w:tc>
          <w:tcPr>
            <w:tcW w:w="1260" w:type="dxa"/>
            <w:tcMar>
              <w:top w:w="0" w:type="dxa"/>
              <w:left w:w="108" w:type="dxa"/>
              <w:bottom w:w="0" w:type="dxa"/>
              <w:right w:w="108" w:type="dxa"/>
            </w:tcMar>
            <w:hideMark/>
          </w:tcPr>
          <w:p w14:paraId="51D1B2D7" w14:textId="77777777" w:rsidR="00C659AE" w:rsidRPr="009B2F32" w:rsidRDefault="00C659AE" w:rsidP="004D7D64">
            <w:pPr>
              <w:pStyle w:val="BMSTableText"/>
              <w:keepNext/>
              <w:keepLines/>
              <w:jc w:val="right"/>
              <w:rPr>
                <w:rFonts w:eastAsia="MS Mincho"/>
              </w:rPr>
            </w:pPr>
            <w:r w:rsidRPr="009B2F32">
              <w:t>41%</w:t>
            </w:r>
          </w:p>
        </w:tc>
        <w:tc>
          <w:tcPr>
            <w:tcW w:w="1890" w:type="dxa"/>
            <w:tcMar>
              <w:top w:w="0" w:type="dxa"/>
              <w:left w:w="108" w:type="dxa"/>
              <w:bottom w:w="0" w:type="dxa"/>
              <w:right w:w="108" w:type="dxa"/>
            </w:tcMar>
          </w:tcPr>
          <w:p w14:paraId="74C6C409" w14:textId="77777777" w:rsidR="00C659AE" w:rsidRPr="009B2F32" w:rsidRDefault="00C659AE" w:rsidP="004D7D64">
            <w:pPr>
              <w:pStyle w:val="BMSTableText"/>
              <w:keepNext/>
              <w:keepLines/>
              <w:jc w:val="left"/>
              <w:rPr>
                <w:rFonts w:eastAsia="MS Mincho"/>
              </w:rPr>
            </w:pPr>
            <w:r w:rsidRPr="009B2F32">
              <w:t>(34.6, 48.4)</w:t>
            </w:r>
          </w:p>
        </w:tc>
      </w:tr>
      <w:tr w:rsidR="00C659AE" w:rsidRPr="00CC329D" w14:paraId="38A6BFC4" w14:textId="77777777" w:rsidTr="00C659AE">
        <w:tc>
          <w:tcPr>
            <w:tcW w:w="1908" w:type="dxa"/>
            <w:vMerge/>
            <w:tcMar>
              <w:top w:w="0" w:type="dxa"/>
              <w:left w:w="108" w:type="dxa"/>
              <w:bottom w:w="0" w:type="dxa"/>
              <w:right w:w="108" w:type="dxa"/>
            </w:tcMar>
            <w:vAlign w:val="center"/>
            <w:hideMark/>
          </w:tcPr>
          <w:p w14:paraId="37E27439" w14:textId="77777777" w:rsidR="00C659AE" w:rsidRPr="009B2F32" w:rsidRDefault="00C659AE" w:rsidP="004D7D64">
            <w:pPr>
              <w:pStyle w:val="BMSTableText"/>
              <w:keepNext/>
              <w:keepLines/>
              <w:jc w:val="left"/>
              <w:rPr>
                <w:rFonts w:eastAsia="MS Mincho"/>
                <w:b/>
              </w:rPr>
            </w:pPr>
          </w:p>
        </w:tc>
        <w:tc>
          <w:tcPr>
            <w:tcW w:w="2250" w:type="dxa"/>
            <w:tcMar>
              <w:top w:w="0" w:type="dxa"/>
              <w:left w:w="108" w:type="dxa"/>
              <w:bottom w:w="0" w:type="dxa"/>
              <w:right w:w="108" w:type="dxa"/>
            </w:tcMar>
            <w:hideMark/>
          </w:tcPr>
          <w:p w14:paraId="05918CF9" w14:textId="77777777" w:rsidR="00C659AE" w:rsidRPr="009B2F32" w:rsidRDefault="00C659AE" w:rsidP="004D7D64">
            <w:pPr>
              <w:pStyle w:val="BMSTableText"/>
              <w:keepNext/>
              <w:keepLines/>
              <w:rPr>
                <w:rFonts w:eastAsia="MS Mincho"/>
              </w:rPr>
            </w:pPr>
            <w:r w:rsidRPr="009B2F32">
              <w:t>≥1%</w:t>
            </w:r>
          </w:p>
        </w:tc>
        <w:tc>
          <w:tcPr>
            <w:tcW w:w="1800" w:type="dxa"/>
            <w:tcMar>
              <w:top w:w="0" w:type="dxa"/>
              <w:left w:w="108" w:type="dxa"/>
              <w:bottom w:w="0" w:type="dxa"/>
              <w:right w:w="108" w:type="dxa"/>
            </w:tcMar>
            <w:hideMark/>
          </w:tcPr>
          <w:p w14:paraId="3BD9CCE7" w14:textId="77777777" w:rsidR="00C659AE" w:rsidRPr="009B2F32" w:rsidRDefault="00C659AE" w:rsidP="004D7D64">
            <w:pPr>
              <w:pStyle w:val="BMSTableText"/>
              <w:keepNext/>
              <w:keepLines/>
            </w:pPr>
            <w:r w:rsidRPr="009B2F32">
              <w:t>171</w:t>
            </w:r>
          </w:p>
        </w:tc>
        <w:tc>
          <w:tcPr>
            <w:tcW w:w="1260" w:type="dxa"/>
            <w:tcMar>
              <w:top w:w="0" w:type="dxa"/>
              <w:left w:w="108" w:type="dxa"/>
              <w:bottom w:w="0" w:type="dxa"/>
              <w:right w:w="108" w:type="dxa"/>
            </w:tcMar>
            <w:hideMark/>
          </w:tcPr>
          <w:p w14:paraId="2D968659" w14:textId="77777777" w:rsidR="00C659AE" w:rsidRPr="009B2F32" w:rsidRDefault="00C659AE" w:rsidP="004D7D64">
            <w:pPr>
              <w:pStyle w:val="BMSTableText"/>
              <w:keepNext/>
              <w:keepLines/>
              <w:jc w:val="right"/>
            </w:pPr>
            <w:r w:rsidRPr="009B2F32">
              <w:t>54%</w:t>
            </w:r>
          </w:p>
        </w:tc>
        <w:tc>
          <w:tcPr>
            <w:tcW w:w="1890" w:type="dxa"/>
            <w:tcMar>
              <w:top w:w="0" w:type="dxa"/>
              <w:left w:w="108" w:type="dxa"/>
              <w:bottom w:w="0" w:type="dxa"/>
              <w:right w:w="108" w:type="dxa"/>
            </w:tcMar>
          </w:tcPr>
          <w:p w14:paraId="02ACC24D" w14:textId="77777777" w:rsidR="00C659AE" w:rsidRPr="009B2F32" w:rsidRDefault="00C659AE" w:rsidP="004D7D64">
            <w:pPr>
              <w:pStyle w:val="BMSTableText"/>
              <w:keepNext/>
              <w:keepLines/>
              <w:jc w:val="left"/>
            </w:pPr>
            <w:r w:rsidRPr="009B2F32">
              <w:t>(46.6, 62.0)</w:t>
            </w:r>
          </w:p>
        </w:tc>
      </w:tr>
      <w:tr w:rsidR="00C659AE" w:rsidRPr="00CC329D" w14:paraId="70154A1B" w14:textId="77777777" w:rsidTr="00C659AE">
        <w:tc>
          <w:tcPr>
            <w:tcW w:w="1908" w:type="dxa"/>
            <w:vMerge/>
            <w:tcBorders>
              <w:bottom w:val="dotted" w:sz="4" w:space="0" w:color="auto"/>
            </w:tcBorders>
            <w:vAlign w:val="center"/>
            <w:hideMark/>
          </w:tcPr>
          <w:p w14:paraId="70179A18" w14:textId="77777777" w:rsidR="00C659AE" w:rsidRPr="009B2F32" w:rsidRDefault="00C659AE" w:rsidP="004D7D64">
            <w:pPr>
              <w:pStyle w:val="BMSTableText"/>
              <w:keepNext/>
              <w:keepLines/>
              <w:jc w:val="left"/>
              <w:rPr>
                <w:rFonts w:eastAsia="MS Mincho"/>
                <w:b/>
              </w:rPr>
            </w:pPr>
          </w:p>
        </w:tc>
        <w:tc>
          <w:tcPr>
            <w:tcW w:w="2250" w:type="dxa"/>
            <w:tcBorders>
              <w:bottom w:val="dotted" w:sz="4" w:space="0" w:color="auto"/>
            </w:tcBorders>
            <w:tcMar>
              <w:top w:w="0" w:type="dxa"/>
              <w:left w:w="108" w:type="dxa"/>
              <w:bottom w:w="0" w:type="dxa"/>
              <w:right w:w="108" w:type="dxa"/>
            </w:tcMar>
            <w:hideMark/>
          </w:tcPr>
          <w:p w14:paraId="547F7E08" w14:textId="77777777" w:rsidR="00C659AE" w:rsidRPr="009B2F32" w:rsidRDefault="00C659AE" w:rsidP="004D7D64">
            <w:pPr>
              <w:pStyle w:val="BMSTableText"/>
              <w:keepNext/>
              <w:keepLines/>
              <w:rPr>
                <w:rFonts w:eastAsia="MS Mincho"/>
              </w:rPr>
            </w:pPr>
            <w:r w:rsidRPr="009B2F32">
              <w:t>&lt;1%</w:t>
            </w:r>
          </w:p>
        </w:tc>
        <w:tc>
          <w:tcPr>
            <w:tcW w:w="1800" w:type="dxa"/>
            <w:tcBorders>
              <w:bottom w:val="dotted" w:sz="4" w:space="0" w:color="auto"/>
            </w:tcBorders>
            <w:tcMar>
              <w:top w:w="0" w:type="dxa"/>
              <w:left w:w="108" w:type="dxa"/>
              <w:bottom w:w="0" w:type="dxa"/>
              <w:right w:w="108" w:type="dxa"/>
            </w:tcMar>
            <w:hideMark/>
          </w:tcPr>
          <w:p w14:paraId="3A12E7BA" w14:textId="77777777" w:rsidR="00C659AE" w:rsidRPr="009B2F32" w:rsidRDefault="00C659AE" w:rsidP="004D7D64">
            <w:pPr>
              <w:pStyle w:val="BMSTableText"/>
              <w:keepNext/>
              <w:keepLines/>
            </w:pPr>
            <w:r w:rsidRPr="009B2F32">
              <w:t>117</w:t>
            </w:r>
          </w:p>
        </w:tc>
        <w:tc>
          <w:tcPr>
            <w:tcW w:w="1260" w:type="dxa"/>
            <w:tcBorders>
              <w:bottom w:val="dotted" w:sz="4" w:space="0" w:color="auto"/>
            </w:tcBorders>
            <w:tcMar>
              <w:top w:w="0" w:type="dxa"/>
              <w:left w:w="108" w:type="dxa"/>
              <w:bottom w:w="0" w:type="dxa"/>
              <w:right w:w="108" w:type="dxa"/>
            </w:tcMar>
            <w:hideMark/>
          </w:tcPr>
          <w:p w14:paraId="025096DA" w14:textId="77777777" w:rsidR="00C659AE" w:rsidRPr="009B2F32" w:rsidRDefault="00C659AE" w:rsidP="004D7D64">
            <w:pPr>
              <w:pStyle w:val="BMSTableText"/>
              <w:keepNext/>
              <w:keepLines/>
              <w:jc w:val="right"/>
            </w:pPr>
            <w:r w:rsidRPr="009B2F32">
              <w:t>33%</w:t>
            </w:r>
          </w:p>
        </w:tc>
        <w:tc>
          <w:tcPr>
            <w:tcW w:w="1890" w:type="dxa"/>
            <w:tcBorders>
              <w:bottom w:val="dotted" w:sz="4" w:space="0" w:color="auto"/>
            </w:tcBorders>
            <w:tcMar>
              <w:top w:w="0" w:type="dxa"/>
              <w:left w:w="108" w:type="dxa"/>
              <w:bottom w:w="0" w:type="dxa"/>
              <w:right w:w="108" w:type="dxa"/>
            </w:tcMar>
          </w:tcPr>
          <w:p w14:paraId="68B7D939" w14:textId="77777777" w:rsidR="00C659AE" w:rsidRPr="009B2F32" w:rsidRDefault="00C659AE" w:rsidP="004D7D64">
            <w:pPr>
              <w:pStyle w:val="BMSTableText"/>
              <w:keepNext/>
              <w:keepLines/>
              <w:jc w:val="left"/>
            </w:pPr>
            <w:r w:rsidRPr="009B2F32">
              <w:t>(24.9, 42.6)</w:t>
            </w:r>
          </w:p>
        </w:tc>
      </w:tr>
      <w:tr w:rsidR="00C659AE" w:rsidRPr="00CC329D" w14:paraId="767D8444" w14:textId="77777777" w:rsidTr="00C659AE">
        <w:tc>
          <w:tcPr>
            <w:tcW w:w="1908" w:type="dxa"/>
            <w:vMerge w:val="restart"/>
            <w:tcBorders>
              <w:top w:val="dotted" w:sz="4" w:space="0" w:color="auto"/>
            </w:tcBorders>
            <w:tcMar>
              <w:top w:w="0" w:type="dxa"/>
              <w:left w:w="108" w:type="dxa"/>
              <w:bottom w:w="0" w:type="dxa"/>
              <w:right w:w="108" w:type="dxa"/>
            </w:tcMar>
            <w:vAlign w:val="center"/>
            <w:hideMark/>
          </w:tcPr>
          <w:p w14:paraId="7BC8DBF3" w14:textId="77777777" w:rsidR="00C659AE" w:rsidRPr="009B2F32" w:rsidRDefault="00C659AE" w:rsidP="004D7D64">
            <w:pPr>
              <w:pStyle w:val="BMSTableText"/>
              <w:keepNext/>
              <w:keepLines/>
              <w:jc w:val="left"/>
              <w:rPr>
                <w:b/>
              </w:rPr>
            </w:pPr>
            <w:r w:rsidRPr="009B2F32">
              <w:rPr>
                <w:b/>
              </w:rPr>
              <w:t>Ipilimumab</w:t>
            </w:r>
          </w:p>
        </w:tc>
        <w:tc>
          <w:tcPr>
            <w:tcW w:w="2250" w:type="dxa"/>
            <w:tcBorders>
              <w:top w:val="dotted" w:sz="4" w:space="0" w:color="auto"/>
            </w:tcBorders>
            <w:tcMar>
              <w:top w:w="0" w:type="dxa"/>
              <w:left w:w="108" w:type="dxa"/>
              <w:bottom w:w="0" w:type="dxa"/>
              <w:right w:w="108" w:type="dxa"/>
            </w:tcMar>
            <w:hideMark/>
          </w:tcPr>
          <w:p w14:paraId="63AAFA14" w14:textId="77777777" w:rsidR="00C659AE" w:rsidRPr="009B2F32" w:rsidRDefault="00C659AE" w:rsidP="004D7D64">
            <w:pPr>
              <w:pStyle w:val="BMSTableText"/>
              <w:keepNext/>
              <w:keepLines/>
              <w:rPr>
                <w:rFonts w:eastAsia="MS Mincho"/>
              </w:rPr>
            </w:pPr>
            <w:r w:rsidRPr="009B2F32">
              <w:t>≥5%</w:t>
            </w:r>
          </w:p>
        </w:tc>
        <w:tc>
          <w:tcPr>
            <w:tcW w:w="1800" w:type="dxa"/>
            <w:tcBorders>
              <w:top w:val="dotted" w:sz="4" w:space="0" w:color="auto"/>
            </w:tcBorders>
            <w:tcMar>
              <w:top w:w="0" w:type="dxa"/>
              <w:left w:w="108" w:type="dxa"/>
              <w:bottom w:w="0" w:type="dxa"/>
              <w:right w:w="108" w:type="dxa"/>
            </w:tcMar>
            <w:hideMark/>
          </w:tcPr>
          <w:p w14:paraId="3148B466" w14:textId="77777777" w:rsidR="00C659AE" w:rsidRPr="009B2F32" w:rsidRDefault="00C659AE" w:rsidP="004D7D64">
            <w:pPr>
              <w:pStyle w:val="BMSTableText"/>
              <w:keepNext/>
              <w:keepLines/>
              <w:rPr>
                <w:rFonts w:eastAsia="MS Mincho"/>
              </w:rPr>
            </w:pPr>
            <w:r w:rsidRPr="009B2F32">
              <w:t>75</w:t>
            </w:r>
          </w:p>
        </w:tc>
        <w:tc>
          <w:tcPr>
            <w:tcW w:w="1260" w:type="dxa"/>
            <w:tcBorders>
              <w:top w:val="dotted" w:sz="4" w:space="0" w:color="auto"/>
            </w:tcBorders>
            <w:tcMar>
              <w:top w:w="0" w:type="dxa"/>
              <w:left w:w="108" w:type="dxa"/>
              <w:bottom w:w="0" w:type="dxa"/>
              <w:right w:w="108" w:type="dxa"/>
            </w:tcMar>
            <w:hideMark/>
          </w:tcPr>
          <w:p w14:paraId="4D3D6C72" w14:textId="77777777" w:rsidR="00C659AE" w:rsidRPr="009B2F32" w:rsidRDefault="00C659AE" w:rsidP="004D7D64">
            <w:pPr>
              <w:pStyle w:val="BMSTableText"/>
              <w:keepNext/>
              <w:keepLines/>
              <w:jc w:val="right"/>
              <w:rPr>
                <w:rFonts w:eastAsia="MS Mincho"/>
              </w:rPr>
            </w:pPr>
            <w:r w:rsidRPr="009B2F32">
              <w:t>21%</w:t>
            </w:r>
          </w:p>
        </w:tc>
        <w:tc>
          <w:tcPr>
            <w:tcW w:w="1890" w:type="dxa"/>
            <w:tcBorders>
              <w:top w:val="dotted" w:sz="4" w:space="0" w:color="auto"/>
            </w:tcBorders>
            <w:tcMar>
              <w:top w:w="0" w:type="dxa"/>
              <w:left w:w="108" w:type="dxa"/>
              <w:bottom w:w="0" w:type="dxa"/>
              <w:right w:w="108" w:type="dxa"/>
            </w:tcMar>
          </w:tcPr>
          <w:p w14:paraId="48761E84" w14:textId="77777777" w:rsidR="00C659AE" w:rsidRPr="009B2F32" w:rsidRDefault="00C659AE" w:rsidP="004D7D64">
            <w:pPr>
              <w:pStyle w:val="BMSTableText"/>
              <w:keepNext/>
              <w:keepLines/>
              <w:jc w:val="left"/>
              <w:rPr>
                <w:rFonts w:eastAsia="MS Mincho"/>
              </w:rPr>
            </w:pPr>
            <w:r w:rsidRPr="009B2F32">
              <w:t>(12.7, 32.3)</w:t>
            </w:r>
          </w:p>
        </w:tc>
      </w:tr>
      <w:tr w:rsidR="00C659AE" w:rsidRPr="00CC329D" w14:paraId="7AB2CB2D" w14:textId="77777777" w:rsidTr="00C659AE">
        <w:tc>
          <w:tcPr>
            <w:tcW w:w="1908" w:type="dxa"/>
            <w:vMerge/>
            <w:tcMar>
              <w:top w:w="0" w:type="dxa"/>
              <w:left w:w="108" w:type="dxa"/>
              <w:bottom w:w="0" w:type="dxa"/>
              <w:right w:w="108" w:type="dxa"/>
            </w:tcMar>
            <w:vAlign w:val="center"/>
            <w:hideMark/>
          </w:tcPr>
          <w:p w14:paraId="48482E7F" w14:textId="77777777" w:rsidR="00C659AE" w:rsidRPr="009B2F32" w:rsidRDefault="00C659AE" w:rsidP="004D7D64">
            <w:pPr>
              <w:pStyle w:val="BMSTableText"/>
              <w:keepNext/>
              <w:keepLines/>
              <w:jc w:val="left"/>
              <w:rPr>
                <w:b/>
              </w:rPr>
            </w:pPr>
          </w:p>
        </w:tc>
        <w:tc>
          <w:tcPr>
            <w:tcW w:w="2250" w:type="dxa"/>
            <w:tcMar>
              <w:top w:w="0" w:type="dxa"/>
              <w:left w:w="108" w:type="dxa"/>
              <w:bottom w:w="0" w:type="dxa"/>
              <w:right w:w="108" w:type="dxa"/>
            </w:tcMar>
            <w:hideMark/>
          </w:tcPr>
          <w:p w14:paraId="142C997A" w14:textId="77777777" w:rsidR="00C659AE" w:rsidRPr="009B2F32" w:rsidRDefault="00C659AE" w:rsidP="004D7D64">
            <w:pPr>
              <w:pStyle w:val="BMSTableText"/>
              <w:keepNext/>
              <w:keepLines/>
              <w:rPr>
                <w:rFonts w:eastAsia="MS Mincho"/>
              </w:rPr>
            </w:pPr>
            <w:r w:rsidRPr="009B2F32">
              <w:t>&lt;5%</w:t>
            </w:r>
          </w:p>
        </w:tc>
        <w:tc>
          <w:tcPr>
            <w:tcW w:w="1800" w:type="dxa"/>
            <w:tcMar>
              <w:top w:w="0" w:type="dxa"/>
              <w:left w:w="108" w:type="dxa"/>
              <w:bottom w:w="0" w:type="dxa"/>
              <w:right w:w="108" w:type="dxa"/>
            </w:tcMar>
            <w:hideMark/>
          </w:tcPr>
          <w:p w14:paraId="0E08A0E9" w14:textId="77777777" w:rsidR="00C659AE" w:rsidRPr="009B2F32" w:rsidRDefault="00C659AE" w:rsidP="004D7D64">
            <w:pPr>
              <w:pStyle w:val="BMSTableText"/>
              <w:keepNext/>
              <w:keepLines/>
              <w:rPr>
                <w:rFonts w:eastAsia="MS Mincho"/>
              </w:rPr>
            </w:pPr>
            <w:r w:rsidRPr="009B2F32">
              <w:t>202</w:t>
            </w:r>
          </w:p>
        </w:tc>
        <w:tc>
          <w:tcPr>
            <w:tcW w:w="1260" w:type="dxa"/>
            <w:tcMar>
              <w:top w:w="0" w:type="dxa"/>
              <w:left w:w="108" w:type="dxa"/>
              <w:bottom w:w="0" w:type="dxa"/>
              <w:right w:w="108" w:type="dxa"/>
            </w:tcMar>
            <w:hideMark/>
          </w:tcPr>
          <w:p w14:paraId="7C11B7F9" w14:textId="77777777" w:rsidR="00C659AE" w:rsidRPr="009B2F32" w:rsidRDefault="00C659AE" w:rsidP="004D7D64">
            <w:pPr>
              <w:pStyle w:val="BMSTableText"/>
              <w:keepNext/>
              <w:keepLines/>
              <w:jc w:val="right"/>
              <w:rPr>
                <w:rFonts w:eastAsia="MS Mincho"/>
              </w:rPr>
            </w:pPr>
            <w:r w:rsidRPr="009B2F32">
              <w:t>18%</w:t>
            </w:r>
          </w:p>
        </w:tc>
        <w:tc>
          <w:tcPr>
            <w:tcW w:w="1890" w:type="dxa"/>
            <w:tcMar>
              <w:top w:w="0" w:type="dxa"/>
              <w:left w:w="108" w:type="dxa"/>
              <w:bottom w:w="0" w:type="dxa"/>
              <w:right w:w="108" w:type="dxa"/>
            </w:tcMar>
          </w:tcPr>
          <w:p w14:paraId="4ECBC78A" w14:textId="77777777" w:rsidR="00C659AE" w:rsidRPr="009B2F32" w:rsidRDefault="00C659AE" w:rsidP="004D7D64">
            <w:pPr>
              <w:pStyle w:val="BMSTableText"/>
              <w:keepNext/>
              <w:keepLines/>
              <w:jc w:val="left"/>
              <w:rPr>
                <w:rFonts w:eastAsia="MS Mincho"/>
              </w:rPr>
            </w:pPr>
            <w:r w:rsidRPr="009B2F32">
              <w:t>(12.8, 23.8)</w:t>
            </w:r>
          </w:p>
        </w:tc>
      </w:tr>
      <w:tr w:rsidR="00C659AE" w:rsidRPr="00CC329D" w14:paraId="06E4913D" w14:textId="77777777" w:rsidTr="00C659AE">
        <w:tc>
          <w:tcPr>
            <w:tcW w:w="1908" w:type="dxa"/>
            <w:vMerge/>
            <w:tcMar>
              <w:top w:w="0" w:type="dxa"/>
              <w:left w:w="108" w:type="dxa"/>
              <w:bottom w:w="0" w:type="dxa"/>
              <w:right w:w="108" w:type="dxa"/>
            </w:tcMar>
            <w:vAlign w:val="center"/>
            <w:hideMark/>
          </w:tcPr>
          <w:p w14:paraId="38297994" w14:textId="77777777" w:rsidR="00C659AE" w:rsidRPr="009B2F32" w:rsidRDefault="00C659AE" w:rsidP="004D7D64">
            <w:pPr>
              <w:pStyle w:val="BMSTableText"/>
              <w:keepNext/>
              <w:keepLines/>
              <w:jc w:val="left"/>
              <w:rPr>
                <w:rFonts w:eastAsia="MS Mincho"/>
                <w:b/>
              </w:rPr>
            </w:pPr>
          </w:p>
        </w:tc>
        <w:tc>
          <w:tcPr>
            <w:tcW w:w="2250" w:type="dxa"/>
            <w:tcMar>
              <w:top w:w="0" w:type="dxa"/>
              <w:left w:w="108" w:type="dxa"/>
              <w:bottom w:w="0" w:type="dxa"/>
              <w:right w:w="108" w:type="dxa"/>
            </w:tcMar>
            <w:hideMark/>
          </w:tcPr>
          <w:p w14:paraId="2A2A02E6" w14:textId="77777777" w:rsidR="00C659AE" w:rsidRPr="009B2F32" w:rsidRDefault="00C659AE" w:rsidP="004D7D64">
            <w:pPr>
              <w:pStyle w:val="BMSTableText"/>
              <w:keepNext/>
              <w:keepLines/>
              <w:rPr>
                <w:rFonts w:eastAsia="MS Mincho"/>
              </w:rPr>
            </w:pPr>
            <w:r w:rsidRPr="009B2F32">
              <w:t>≥1%</w:t>
            </w:r>
          </w:p>
        </w:tc>
        <w:tc>
          <w:tcPr>
            <w:tcW w:w="1800" w:type="dxa"/>
            <w:tcMar>
              <w:top w:w="0" w:type="dxa"/>
              <w:left w:w="108" w:type="dxa"/>
              <w:bottom w:w="0" w:type="dxa"/>
              <w:right w:w="108" w:type="dxa"/>
            </w:tcMar>
            <w:hideMark/>
          </w:tcPr>
          <w:p w14:paraId="28BE0D1E" w14:textId="77777777" w:rsidR="00C659AE" w:rsidRPr="009B2F32" w:rsidRDefault="00C659AE" w:rsidP="004D7D64">
            <w:pPr>
              <w:pStyle w:val="BMSTableText"/>
              <w:keepNext/>
              <w:keepLines/>
            </w:pPr>
            <w:r w:rsidRPr="009B2F32">
              <w:t>164</w:t>
            </w:r>
          </w:p>
        </w:tc>
        <w:tc>
          <w:tcPr>
            <w:tcW w:w="1260" w:type="dxa"/>
            <w:tcMar>
              <w:top w:w="0" w:type="dxa"/>
              <w:left w:w="108" w:type="dxa"/>
              <w:bottom w:w="0" w:type="dxa"/>
              <w:right w:w="108" w:type="dxa"/>
            </w:tcMar>
            <w:hideMark/>
          </w:tcPr>
          <w:p w14:paraId="1E0A1064" w14:textId="77777777" w:rsidR="00C659AE" w:rsidRPr="009B2F32" w:rsidRDefault="00C659AE" w:rsidP="004D7D64">
            <w:pPr>
              <w:pStyle w:val="BMSTableText"/>
              <w:keepNext/>
              <w:keepLines/>
              <w:jc w:val="right"/>
            </w:pPr>
            <w:r w:rsidRPr="009B2F32">
              <w:t>19%</w:t>
            </w:r>
          </w:p>
        </w:tc>
        <w:tc>
          <w:tcPr>
            <w:tcW w:w="1890" w:type="dxa"/>
            <w:tcMar>
              <w:top w:w="0" w:type="dxa"/>
              <w:left w:w="108" w:type="dxa"/>
              <w:bottom w:w="0" w:type="dxa"/>
              <w:right w:w="108" w:type="dxa"/>
            </w:tcMar>
          </w:tcPr>
          <w:p w14:paraId="032393AA" w14:textId="77777777" w:rsidR="00C659AE" w:rsidRPr="009B2F32" w:rsidRDefault="00C659AE" w:rsidP="004D7D64">
            <w:pPr>
              <w:pStyle w:val="BMSTableText"/>
              <w:keepNext/>
              <w:keepLines/>
              <w:jc w:val="left"/>
            </w:pPr>
            <w:r w:rsidRPr="009B2F32">
              <w:t>(13.2, 25.7)</w:t>
            </w:r>
          </w:p>
        </w:tc>
      </w:tr>
      <w:tr w:rsidR="00C659AE" w:rsidRPr="00CC329D" w14:paraId="3A92674C" w14:textId="77777777" w:rsidTr="00C659AE">
        <w:tc>
          <w:tcPr>
            <w:tcW w:w="1908" w:type="dxa"/>
            <w:vMerge/>
            <w:tcBorders>
              <w:bottom w:val="double" w:sz="4" w:space="0" w:color="auto"/>
            </w:tcBorders>
            <w:vAlign w:val="center"/>
            <w:hideMark/>
          </w:tcPr>
          <w:p w14:paraId="09A498A6" w14:textId="77777777" w:rsidR="00C659AE" w:rsidRPr="009B2F32" w:rsidRDefault="00C659AE" w:rsidP="004D7D64">
            <w:pPr>
              <w:pStyle w:val="BMSTableText"/>
              <w:keepNext/>
              <w:keepLines/>
              <w:rPr>
                <w:rFonts w:eastAsia="MS Mincho"/>
              </w:rPr>
            </w:pPr>
          </w:p>
        </w:tc>
        <w:tc>
          <w:tcPr>
            <w:tcW w:w="2250" w:type="dxa"/>
            <w:tcBorders>
              <w:bottom w:val="double" w:sz="4" w:space="0" w:color="auto"/>
            </w:tcBorders>
            <w:tcMar>
              <w:top w:w="0" w:type="dxa"/>
              <w:left w:w="108" w:type="dxa"/>
              <w:bottom w:w="0" w:type="dxa"/>
              <w:right w:w="108" w:type="dxa"/>
            </w:tcMar>
            <w:hideMark/>
          </w:tcPr>
          <w:p w14:paraId="0A80C75B" w14:textId="77777777" w:rsidR="00C659AE" w:rsidRPr="009B2F32" w:rsidRDefault="00C659AE" w:rsidP="004D7D64">
            <w:pPr>
              <w:pStyle w:val="BMSTableText"/>
              <w:keepNext/>
              <w:keepLines/>
              <w:rPr>
                <w:rFonts w:eastAsia="MS Mincho"/>
              </w:rPr>
            </w:pPr>
            <w:r w:rsidRPr="009B2F32">
              <w:t>&lt;1%</w:t>
            </w:r>
          </w:p>
        </w:tc>
        <w:tc>
          <w:tcPr>
            <w:tcW w:w="1800" w:type="dxa"/>
            <w:tcBorders>
              <w:bottom w:val="double" w:sz="4" w:space="0" w:color="auto"/>
            </w:tcBorders>
            <w:tcMar>
              <w:top w:w="0" w:type="dxa"/>
              <w:left w:w="108" w:type="dxa"/>
              <w:bottom w:w="0" w:type="dxa"/>
              <w:right w:w="108" w:type="dxa"/>
            </w:tcMar>
            <w:hideMark/>
          </w:tcPr>
          <w:p w14:paraId="096C94FA" w14:textId="77777777" w:rsidR="00C659AE" w:rsidRPr="009B2F32" w:rsidRDefault="00C659AE" w:rsidP="004D7D64">
            <w:pPr>
              <w:pStyle w:val="BMSTableText"/>
              <w:keepNext/>
              <w:keepLines/>
            </w:pPr>
            <w:r w:rsidRPr="009B2F32">
              <w:t>113</w:t>
            </w:r>
          </w:p>
        </w:tc>
        <w:tc>
          <w:tcPr>
            <w:tcW w:w="1260" w:type="dxa"/>
            <w:tcBorders>
              <w:bottom w:val="double" w:sz="4" w:space="0" w:color="auto"/>
            </w:tcBorders>
            <w:tcMar>
              <w:top w:w="0" w:type="dxa"/>
              <w:left w:w="108" w:type="dxa"/>
              <w:bottom w:w="0" w:type="dxa"/>
              <w:right w:w="108" w:type="dxa"/>
            </w:tcMar>
            <w:hideMark/>
          </w:tcPr>
          <w:p w14:paraId="259C001F" w14:textId="77777777" w:rsidR="00C659AE" w:rsidRPr="009B2F32" w:rsidRDefault="00C659AE" w:rsidP="004D7D64">
            <w:pPr>
              <w:pStyle w:val="BMSTableText"/>
              <w:keepNext/>
              <w:keepLines/>
              <w:jc w:val="right"/>
            </w:pPr>
            <w:r w:rsidRPr="009B2F32">
              <w:t>19%</w:t>
            </w:r>
          </w:p>
        </w:tc>
        <w:tc>
          <w:tcPr>
            <w:tcW w:w="1890" w:type="dxa"/>
            <w:tcBorders>
              <w:bottom w:val="double" w:sz="4" w:space="0" w:color="auto"/>
            </w:tcBorders>
            <w:tcMar>
              <w:top w:w="0" w:type="dxa"/>
              <w:left w:w="108" w:type="dxa"/>
              <w:bottom w:w="0" w:type="dxa"/>
              <w:right w:w="108" w:type="dxa"/>
            </w:tcMar>
          </w:tcPr>
          <w:p w14:paraId="6CBD7084" w14:textId="77777777" w:rsidR="00C659AE" w:rsidRPr="009B2F32" w:rsidRDefault="00C659AE" w:rsidP="004D7D64">
            <w:pPr>
              <w:pStyle w:val="BMSTableText"/>
              <w:keepNext/>
              <w:keepLines/>
              <w:jc w:val="left"/>
            </w:pPr>
            <w:r w:rsidRPr="009B2F32">
              <w:t>(11.9, 27.0)</w:t>
            </w:r>
          </w:p>
        </w:tc>
      </w:tr>
    </w:tbl>
    <w:p w14:paraId="77851A9F" w14:textId="77777777" w:rsidR="00C659AE" w:rsidRPr="0077190B" w:rsidRDefault="00C659AE" w:rsidP="009045DE">
      <w:pPr>
        <w:spacing w:before="240"/>
        <w:rPr>
          <w:lang w:eastAsia="ja-JP"/>
        </w:rPr>
      </w:pPr>
      <w:r w:rsidRPr="0077190B">
        <w:rPr>
          <w:lang w:eastAsia="ja-JP"/>
        </w:rPr>
        <w:t xml:space="preserve">As compared to the overall study population, no meaningful differences in safety were observed based on BRAF status or </w:t>
      </w:r>
      <w:r>
        <w:rPr>
          <w:lang w:eastAsia="ja-JP"/>
        </w:rPr>
        <w:t xml:space="preserve">tumour </w:t>
      </w:r>
      <w:r w:rsidRPr="0077190B">
        <w:rPr>
          <w:lang w:eastAsia="ja-JP"/>
        </w:rPr>
        <w:t>PD-L1 expression level.</w:t>
      </w:r>
    </w:p>
    <w:p w14:paraId="6C7BD5CF" w14:textId="77777777" w:rsidR="00C659AE" w:rsidRPr="000671A0" w:rsidRDefault="00C659AE" w:rsidP="000671A0">
      <w:pPr>
        <w:rPr>
          <w:b/>
          <w:highlight w:val="yellow"/>
        </w:rPr>
      </w:pPr>
      <w:r w:rsidRPr="000671A0">
        <w:rPr>
          <w:b/>
        </w:rPr>
        <w:t xml:space="preserve">Study CA209069. A randomised, phase 2 study of OPDIVO in combination with </w:t>
      </w:r>
      <w:proofErr w:type="spellStart"/>
      <w:r w:rsidRPr="000671A0">
        <w:rPr>
          <w:b/>
        </w:rPr>
        <w:t>ipilimumab</w:t>
      </w:r>
      <w:proofErr w:type="spellEnd"/>
      <w:r w:rsidRPr="000671A0">
        <w:rPr>
          <w:b/>
        </w:rPr>
        <w:t xml:space="preserve"> vs </w:t>
      </w:r>
      <w:proofErr w:type="spellStart"/>
      <w:r w:rsidRPr="000671A0">
        <w:rPr>
          <w:b/>
        </w:rPr>
        <w:t>ipilimumab</w:t>
      </w:r>
      <w:proofErr w:type="spellEnd"/>
      <w:r w:rsidRPr="000671A0">
        <w:rPr>
          <w:b/>
        </w:rPr>
        <w:t xml:space="preserve"> alone in subjects with previously untreated, </w:t>
      </w:r>
      <w:proofErr w:type="spellStart"/>
      <w:r w:rsidRPr="000671A0">
        <w:rPr>
          <w:b/>
        </w:rPr>
        <w:t>unresectable</w:t>
      </w:r>
      <w:proofErr w:type="spellEnd"/>
      <w:r w:rsidRPr="000671A0">
        <w:rPr>
          <w:b/>
        </w:rPr>
        <w:t xml:space="preserve"> or metastatic melanoma</w:t>
      </w:r>
    </w:p>
    <w:p w14:paraId="045F511B" w14:textId="77777777" w:rsidR="00C659AE" w:rsidRPr="00471C1A" w:rsidRDefault="00C659AE" w:rsidP="009045DE">
      <w:pPr>
        <w:rPr>
          <w:lang w:eastAsia="ja-JP"/>
        </w:rPr>
      </w:pPr>
      <w:r w:rsidRPr="00471C1A">
        <w:rPr>
          <w:lang w:eastAsia="ja-JP"/>
        </w:rPr>
        <w:t xml:space="preserve">Study CA209069 was a randomised, Phase 2, double-blind study comparing the combination of </w:t>
      </w:r>
      <w:proofErr w:type="spellStart"/>
      <w:r w:rsidRPr="00471C1A">
        <w:rPr>
          <w:lang w:eastAsia="ja-JP"/>
        </w:rPr>
        <w:t>nivolumab</w:t>
      </w:r>
      <w:proofErr w:type="spellEnd"/>
      <w:r w:rsidRPr="00471C1A">
        <w:rPr>
          <w:lang w:eastAsia="ja-JP"/>
        </w:rPr>
        <w:t xml:space="preserve"> and </w:t>
      </w:r>
      <w:proofErr w:type="spellStart"/>
      <w:r w:rsidRPr="00471C1A">
        <w:rPr>
          <w:lang w:eastAsia="ja-JP"/>
        </w:rPr>
        <w:t>ipilimumab</w:t>
      </w:r>
      <w:proofErr w:type="spellEnd"/>
      <w:r w:rsidRPr="00471C1A">
        <w:rPr>
          <w:lang w:eastAsia="ja-JP"/>
        </w:rPr>
        <w:t xml:space="preserve"> with </w:t>
      </w:r>
      <w:proofErr w:type="spellStart"/>
      <w:r w:rsidRPr="00471C1A">
        <w:rPr>
          <w:lang w:eastAsia="ja-JP"/>
        </w:rPr>
        <w:t>ipilimumab</w:t>
      </w:r>
      <w:proofErr w:type="spellEnd"/>
      <w:r w:rsidRPr="00471C1A">
        <w:rPr>
          <w:lang w:eastAsia="ja-JP"/>
        </w:rPr>
        <w:t xml:space="preserve"> alone in 142 patients with advanced (</w:t>
      </w:r>
      <w:proofErr w:type="spellStart"/>
      <w:r w:rsidRPr="00471C1A">
        <w:rPr>
          <w:lang w:eastAsia="ja-JP"/>
        </w:rPr>
        <w:t>unresectable</w:t>
      </w:r>
      <w:proofErr w:type="spellEnd"/>
      <w:r w:rsidRPr="00471C1A">
        <w:rPr>
          <w:lang w:eastAsia="ja-JP"/>
        </w:rPr>
        <w:t xml:space="preserve"> or metastatic) melanoma with similar inclusion criteria to study CA209067 and the primary analysis in patients with BRAF wild-type melanoma (77% of patients). Investigator assessed ORR was 61% (95% CI: 48.9, 72.4) in the combination arm (n=72) versus 11% (95% CI: 3.0, 25.4) for the </w:t>
      </w:r>
      <w:proofErr w:type="spellStart"/>
      <w:r w:rsidRPr="00471C1A">
        <w:rPr>
          <w:lang w:eastAsia="ja-JP"/>
        </w:rPr>
        <w:t>ipilimumab</w:t>
      </w:r>
      <w:proofErr w:type="spellEnd"/>
      <w:r w:rsidRPr="00471C1A">
        <w:rPr>
          <w:lang w:eastAsia="ja-JP"/>
        </w:rPr>
        <w:t xml:space="preserve"> arm (n=37). The estimated 12 and 18 month OS rates were 79% (95% CI: 67, 87) and 73% (95% CI: 61, 82) respectively for the combination and 62% (95% CI: 44, 75) and 56% (95% CI: 39, 70) respectively for </w:t>
      </w:r>
      <w:proofErr w:type="spellStart"/>
      <w:r w:rsidRPr="00471C1A">
        <w:rPr>
          <w:lang w:eastAsia="ja-JP"/>
        </w:rPr>
        <w:t>ipilimumab</w:t>
      </w:r>
      <w:proofErr w:type="spellEnd"/>
      <w:r w:rsidRPr="00471C1A">
        <w:rPr>
          <w:lang w:eastAsia="ja-JP"/>
        </w:rPr>
        <w:t>.</w:t>
      </w:r>
    </w:p>
    <w:p w14:paraId="63A417BD" w14:textId="44E31837" w:rsidR="00C659AE" w:rsidRDefault="009B2F32" w:rsidP="003E47FA">
      <w:pPr>
        <w:pStyle w:val="Heading3"/>
      </w:pPr>
      <w:r>
        <w:t xml:space="preserve">Squamous non small cell lung cancer </w:t>
      </w:r>
      <w:r w:rsidR="00C659AE">
        <w:t>(SQ NSCLC)</w:t>
      </w:r>
    </w:p>
    <w:p w14:paraId="292FA9F8" w14:textId="77777777" w:rsidR="00C659AE" w:rsidRPr="000671A0" w:rsidRDefault="00C659AE" w:rsidP="000671A0">
      <w:pPr>
        <w:rPr>
          <w:b/>
        </w:rPr>
      </w:pPr>
      <w:r w:rsidRPr="000671A0">
        <w:rPr>
          <w:b/>
        </w:rPr>
        <w:t xml:space="preserve">Study CA209017. An Open-label Randomised Phase 3 Trial of </w:t>
      </w:r>
      <w:proofErr w:type="spellStart"/>
      <w:r w:rsidRPr="000671A0">
        <w:rPr>
          <w:b/>
        </w:rPr>
        <w:t>Nivolumab</w:t>
      </w:r>
      <w:proofErr w:type="spellEnd"/>
      <w:r w:rsidRPr="000671A0">
        <w:rPr>
          <w:b/>
        </w:rPr>
        <w:t xml:space="preserve"> versus Docetaxel in Previously Treated Advanced or Metastatic Squamous Non-small Cell Lung Cancer (SQ NSCLC).</w:t>
      </w:r>
    </w:p>
    <w:p w14:paraId="0235B615" w14:textId="77777777" w:rsidR="00C659AE" w:rsidRPr="00116DED" w:rsidRDefault="00C659AE" w:rsidP="009045DE">
      <w:r w:rsidRPr="00116DED">
        <w:t xml:space="preserve">The safety and efficacy of </w:t>
      </w:r>
      <w:proofErr w:type="spellStart"/>
      <w:r w:rsidRPr="00116DED">
        <w:t>nivolumab</w:t>
      </w:r>
      <w:proofErr w:type="spellEnd"/>
      <w:r w:rsidRPr="00116DED">
        <w:t xml:space="preserve"> 3 mg/kg as </w:t>
      </w:r>
      <w:r>
        <w:t>monotherapy</w:t>
      </w:r>
      <w:r w:rsidRPr="00116DED">
        <w:t xml:space="preserve"> for the treatment of advanced or metastatic squamous NSCLC were evaluated in a phase 3, randomi</w:t>
      </w:r>
      <w:r>
        <w:t>s</w:t>
      </w:r>
      <w:r w:rsidRPr="00116DED">
        <w:t>ed, open-label study (CA209017). The study included patients (18 years or older) who have experienced disease progression during or after one prior platinum doublet-based chemotherapy regimen.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169EB679" w14:textId="12982ADC" w:rsidR="00C659AE" w:rsidRDefault="00C659AE" w:rsidP="009045DE">
      <w:r w:rsidRPr="00BE322C">
        <w:t xml:space="preserve">A total of 272 patients were randomised to receive either </w:t>
      </w:r>
      <w:proofErr w:type="spellStart"/>
      <w:r w:rsidRPr="00BE322C">
        <w:t>nivolumab</w:t>
      </w:r>
      <w:proofErr w:type="spellEnd"/>
      <w:r w:rsidRPr="00BE322C">
        <w:t xml:space="preserve"> 3 mg/kg (n = 135) administered</w:t>
      </w:r>
      <w:r>
        <w:t xml:space="preserve"> </w:t>
      </w:r>
      <w:r w:rsidRPr="00BE322C">
        <w:t>intravenously over 60 minutes every 2 weeks or docetaxel (n = 137) 75 mg/m</w:t>
      </w:r>
      <w:r w:rsidRPr="0067671F">
        <w:rPr>
          <w:vertAlign w:val="superscript"/>
        </w:rPr>
        <w:t>2</w:t>
      </w:r>
      <w:r w:rsidRPr="00BE322C">
        <w:t xml:space="preserve"> every 3 weeks.</w:t>
      </w:r>
      <w:r>
        <w:t xml:space="preserve"> </w:t>
      </w:r>
      <w:r w:rsidRPr="00BE322C">
        <w:t>Treatment was continued as long as clinical benefit was observed or until treatment was no longer</w:t>
      </w:r>
      <w:r>
        <w:t xml:space="preserve"> </w:t>
      </w:r>
      <w:r w:rsidRPr="00BE322C">
        <w:t>tolerated. Tumour assessments, according to the RECIST, version 1.1, were conducted 9 weeks after</w:t>
      </w:r>
      <w:r>
        <w:t xml:space="preserve"> </w:t>
      </w:r>
      <w:r w:rsidRPr="00BE322C">
        <w:lastRenderedPageBreak/>
        <w:t>randomisation and continued every 6 weeks thereafter. The primary efficacy outcome measure was</w:t>
      </w:r>
      <w:r>
        <w:t xml:space="preserve"> </w:t>
      </w:r>
      <w:r w:rsidRPr="00BE322C">
        <w:t>OS. Key secondary efficacy outcome measures were investigator-assessed ORR and PFS. In addition,</w:t>
      </w:r>
      <w:r>
        <w:t xml:space="preserve"> </w:t>
      </w:r>
      <w:r w:rsidRPr="00BE322C">
        <w:t>symptom improvement and overall health status were assessed using the Lung Cancer Symptom Score</w:t>
      </w:r>
      <w:r>
        <w:t xml:space="preserve"> </w:t>
      </w:r>
      <w:r w:rsidRPr="00BE322C">
        <w:t>(LCSS) average symptom burden index and the EQ-5D Visual Analogue Scale (EQ-VAS),</w:t>
      </w:r>
      <w:r w:rsidR="00DC742F">
        <w:t xml:space="preserve"> </w:t>
      </w:r>
      <w:r w:rsidRPr="00BE322C">
        <w:t>respectively.</w:t>
      </w:r>
    </w:p>
    <w:p w14:paraId="44455FD6" w14:textId="20C4C61A" w:rsidR="00C659AE" w:rsidRDefault="00C659AE" w:rsidP="009045DE">
      <w:r w:rsidRPr="00BE322C">
        <w:t>Baseline characteristics were generally balanced between the two groups. The median age</w:t>
      </w:r>
      <w:r>
        <w:t xml:space="preserve"> </w:t>
      </w:r>
      <w:r w:rsidRPr="00BE322C">
        <w:t>was 63 years (range: 39-85) with 44% ≥65 years of age and 11% ≥75 years of age. The majority of</w:t>
      </w:r>
      <w:r>
        <w:t xml:space="preserve"> </w:t>
      </w:r>
      <w:r w:rsidRPr="00BE322C">
        <w:t>patients were white (93%) and male (76%). Thirty-one percent had progressive disease reported as the</w:t>
      </w:r>
      <w:r>
        <w:t xml:space="preserve"> </w:t>
      </w:r>
      <w:r w:rsidRPr="00BE322C">
        <w:t xml:space="preserve">best response to their most recent prior regimen and 45% received </w:t>
      </w:r>
      <w:proofErr w:type="spellStart"/>
      <w:r w:rsidRPr="00BE322C">
        <w:t>nivolumab</w:t>
      </w:r>
      <w:proofErr w:type="spellEnd"/>
      <w:r w:rsidRPr="00BE322C">
        <w:t xml:space="preserve"> within 3 months of</w:t>
      </w:r>
      <w:r>
        <w:t xml:space="preserve"> </w:t>
      </w:r>
      <w:r w:rsidRPr="00BE322C">
        <w:t>completing their most recent prior regimen. Baseline ECOG performance status score was 0 (24%) or</w:t>
      </w:r>
      <w:r>
        <w:t xml:space="preserve"> </w:t>
      </w:r>
      <w:r w:rsidRPr="00BE322C">
        <w:t>1 (76%).</w:t>
      </w:r>
    </w:p>
    <w:p w14:paraId="5A697F59" w14:textId="0C2AEABC" w:rsidR="00C659AE" w:rsidRDefault="00C659AE" w:rsidP="009045DE">
      <w:r w:rsidRPr="001E4B0C">
        <w:t xml:space="preserve">The observed OS benefit </w:t>
      </w:r>
      <w:r>
        <w:t xml:space="preserve">(Figure </w:t>
      </w:r>
      <w:r w:rsidR="00777194">
        <w:t>6</w:t>
      </w:r>
      <w:r>
        <w:t xml:space="preserve">, Table </w:t>
      </w:r>
      <w:r w:rsidR="00736CE8">
        <w:t>14</w:t>
      </w:r>
      <w:r>
        <w:t xml:space="preserve">) </w:t>
      </w:r>
      <w:r w:rsidRPr="001E4B0C">
        <w:t xml:space="preserve">was consistently demonstrated across subgroups of patients. </w:t>
      </w:r>
      <w:r w:rsidRPr="0021207F">
        <w:t xml:space="preserve">At the pre-defined PD-L1 tumour membrane expression </w:t>
      </w:r>
      <w:proofErr w:type="spellStart"/>
      <w:r w:rsidRPr="0021207F">
        <w:t>cutoff</w:t>
      </w:r>
      <w:proofErr w:type="spellEnd"/>
      <w:r w:rsidRPr="0021207F">
        <w:t xml:space="preserve"> levels of 1%, 5%, and 10%, similar survival was observed regardless of PD-L1 expression status.  </w:t>
      </w:r>
    </w:p>
    <w:p w14:paraId="7959B91E" w14:textId="14C8D05E" w:rsidR="00C659AE" w:rsidRDefault="00C659AE" w:rsidP="009045DE">
      <w:r w:rsidRPr="001E4B0C">
        <w:t xml:space="preserve">Study CA209017 included a limited number of </w:t>
      </w:r>
      <w:proofErr w:type="gramStart"/>
      <w:r w:rsidRPr="001E4B0C">
        <w:t>patients</w:t>
      </w:r>
      <w:proofErr w:type="gramEnd"/>
      <w:r w:rsidRPr="001E4B0C">
        <w:t xml:space="preserve"> ≥ 75 years (11 in the </w:t>
      </w:r>
      <w:proofErr w:type="spellStart"/>
      <w:r w:rsidRPr="001E4B0C">
        <w:t>nivolumab</w:t>
      </w:r>
      <w:proofErr w:type="spellEnd"/>
      <w:r w:rsidRPr="001E4B0C">
        <w:t xml:space="preserve"> group and 18 in the docetaxel group). </w:t>
      </w:r>
      <w:proofErr w:type="spellStart"/>
      <w:r w:rsidRPr="001E4B0C">
        <w:t>Nivolumab</w:t>
      </w:r>
      <w:proofErr w:type="spellEnd"/>
      <w:r w:rsidRPr="001E4B0C">
        <w:t xml:space="preserve"> showed numerically less effect on OS (HR 1.85; 95% CI: 0.76, 4.51), PFS (HR</w:t>
      </w:r>
      <w:r>
        <w:t xml:space="preserve"> </w:t>
      </w:r>
      <w:r w:rsidRPr="001E4B0C">
        <w:t>1.76; 95%-CI: 0.77, 4.05) and ORR (9.1% vs. 16.7%). Because of the small sample size, no definitive conclusions can be drawn from these data.</w:t>
      </w:r>
    </w:p>
    <w:p w14:paraId="12114071" w14:textId="0737B7E5" w:rsidR="00C659AE" w:rsidRPr="009B2F32" w:rsidRDefault="00C659AE" w:rsidP="004D7D64">
      <w:pPr>
        <w:keepNext/>
        <w:keepLines/>
        <w:widowControl w:val="0"/>
        <w:rPr>
          <w:b/>
        </w:rPr>
      </w:pPr>
      <w:r w:rsidRPr="009B2F32">
        <w:rPr>
          <w:b/>
        </w:rPr>
        <w:lastRenderedPageBreak/>
        <w:t xml:space="preserve">Figure </w:t>
      </w:r>
      <w:r w:rsidR="00777194">
        <w:rPr>
          <w:b/>
        </w:rPr>
        <w:t>6</w:t>
      </w:r>
      <w:r w:rsidRPr="009B2F32">
        <w:rPr>
          <w:b/>
        </w:rPr>
        <w:t>:</w:t>
      </w:r>
      <w:r w:rsidRPr="009B2F32">
        <w:rPr>
          <w:b/>
        </w:rPr>
        <w:tab/>
        <w:t xml:space="preserve">Kaplan-Meier curves of OS (CA209017) </w:t>
      </w:r>
    </w:p>
    <w:p w14:paraId="3AE1E6A7" w14:textId="77777777" w:rsidR="00C659AE" w:rsidRDefault="00C659AE" w:rsidP="004D7D64">
      <w:pPr>
        <w:pStyle w:val="EMEABodyText"/>
        <w:keepNext/>
        <w:keepLines/>
        <w:widowControl w:val="0"/>
      </w:pPr>
      <w:r>
        <w:rPr>
          <w:noProof/>
          <w:lang w:val="en-AU" w:eastAsia="en-AU"/>
        </w:rPr>
        <w:drawing>
          <wp:inline distT="0" distB="0" distL="0" distR="0" wp14:anchorId="73B4C42F" wp14:editId="78D72F50">
            <wp:extent cx="5514975" cy="552450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14975" cy="5524500"/>
                    </a:xfrm>
                    <a:prstGeom prst="rect">
                      <a:avLst/>
                    </a:prstGeom>
                    <a:noFill/>
                    <a:ln w="9525">
                      <a:noFill/>
                      <a:miter lim="800000"/>
                      <a:headEnd/>
                      <a:tailEnd/>
                    </a:ln>
                  </pic:spPr>
                </pic:pic>
              </a:graphicData>
            </a:graphic>
          </wp:inline>
        </w:drawing>
      </w:r>
    </w:p>
    <w:p w14:paraId="075A569C" w14:textId="08A63780" w:rsidR="00C659AE" w:rsidRDefault="00C659AE" w:rsidP="00C659AE">
      <w:pPr>
        <w:rPr>
          <w:lang w:val="en-GB"/>
        </w:rPr>
      </w:pPr>
    </w:p>
    <w:tbl>
      <w:tblPr>
        <w:tblW w:w="0" w:type="auto"/>
        <w:tblLook w:val="04A0" w:firstRow="1" w:lastRow="0" w:firstColumn="1" w:lastColumn="0" w:noHBand="0" w:noVBand="1"/>
      </w:tblPr>
      <w:tblGrid>
        <w:gridCol w:w="2932"/>
        <w:gridCol w:w="1540"/>
        <w:gridCol w:w="514"/>
        <w:gridCol w:w="1009"/>
        <w:gridCol w:w="1001"/>
        <w:gridCol w:w="499"/>
        <w:gridCol w:w="1531"/>
      </w:tblGrid>
      <w:tr w:rsidR="00471C1A" w:rsidRPr="0077482A" w14:paraId="43DE6AB6" w14:textId="77777777" w:rsidTr="00807021">
        <w:tc>
          <w:tcPr>
            <w:tcW w:w="9026" w:type="dxa"/>
            <w:gridSpan w:val="7"/>
            <w:tcBorders>
              <w:left w:val="nil"/>
              <w:bottom w:val="single" w:sz="4" w:space="0" w:color="auto"/>
              <w:right w:val="nil"/>
            </w:tcBorders>
          </w:tcPr>
          <w:p w14:paraId="63AE8F30" w14:textId="4DAF12B7" w:rsidR="00471C1A" w:rsidRPr="00E93BFB" w:rsidRDefault="00471C1A" w:rsidP="004D7D64">
            <w:pPr>
              <w:pStyle w:val="EMEABodyText"/>
              <w:keepNext/>
              <w:keepLines/>
              <w:widowControl w:val="0"/>
              <w:rPr>
                <w:b/>
                <w:color w:val="000000" w:themeColor="text1"/>
                <w:szCs w:val="22"/>
              </w:rPr>
            </w:pPr>
            <w:r w:rsidRPr="00E93BFB">
              <w:rPr>
                <w:b/>
                <w:color w:val="000000" w:themeColor="text1"/>
                <w:szCs w:val="22"/>
              </w:rPr>
              <w:lastRenderedPageBreak/>
              <w:t xml:space="preserve">Table </w:t>
            </w:r>
            <w:r w:rsidR="00736CE8">
              <w:rPr>
                <w:b/>
                <w:color w:val="000000" w:themeColor="text1"/>
                <w:szCs w:val="22"/>
              </w:rPr>
              <w:t>14</w:t>
            </w:r>
            <w:r w:rsidRPr="00E93BFB">
              <w:rPr>
                <w:b/>
                <w:color w:val="000000" w:themeColor="text1"/>
                <w:szCs w:val="22"/>
              </w:rPr>
              <w:t>: Efficacy results (CA209017)</w:t>
            </w:r>
          </w:p>
          <w:p w14:paraId="3AB81A86" w14:textId="77777777" w:rsidR="00471C1A" w:rsidRPr="0077482A" w:rsidRDefault="00471C1A" w:rsidP="004D7D64">
            <w:pPr>
              <w:keepNext/>
              <w:keepLines/>
              <w:widowControl w:val="0"/>
              <w:spacing w:after="0"/>
              <w:jc w:val="center"/>
              <w:rPr>
                <w:rFonts w:eastAsia="Times New Roman" w:cs="Times New Roman"/>
                <w:b/>
                <w:sz w:val="24"/>
                <w:szCs w:val="24"/>
                <w:lang w:val="en-US"/>
              </w:rPr>
            </w:pPr>
          </w:p>
        </w:tc>
      </w:tr>
      <w:tr w:rsidR="00471C1A" w:rsidRPr="0077482A" w14:paraId="52490876" w14:textId="77777777" w:rsidTr="00807021">
        <w:tc>
          <w:tcPr>
            <w:tcW w:w="2932" w:type="dxa"/>
            <w:tcBorders>
              <w:top w:val="single" w:sz="4" w:space="0" w:color="auto"/>
              <w:left w:val="nil"/>
              <w:bottom w:val="single" w:sz="4" w:space="0" w:color="auto"/>
              <w:right w:val="nil"/>
            </w:tcBorders>
          </w:tcPr>
          <w:p w14:paraId="46B08E66" w14:textId="77777777" w:rsidR="00471C1A" w:rsidRPr="00605524" w:rsidRDefault="00471C1A" w:rsidP="00807021">
            <w:pPr>
              <w:keepNext/>
              <w:keepLines/>
              <w:spacing w:after="0"/>
              <w:jc w:val="center"/>
              <w:rPr>
                <w:rFonts w:eastAsia="Times New Roman" w:cs="Times New Roman"/>
                <w:b/>
                <w:sz w:val="20"/>
                <w:szCs w:val="20"/>
                <w:lang w:val="en-US"/>
              </w:rPr>
            </w:pPr>
          </w:p>
        </w:tc>
        <w:tc>
          <w:tcPr>
            <w:tcW w:w="3063" w:type="dxa"/>
            <w:gridSpan w:val="3"/>
            <w:tcBorders>
              <w:top w:val="single" w:sz="4" w:space="0" w:color="auto"/>
              <w:left w:val="nil"/>
              <w:bottom w:val="single" w:sz="4" w:space="0" w:color="auto"/>
              <w:right w:val="nil"/>
            </w:tcBorders>
            <w:hideMark/>
          </w:tcPr>
          <w:p w14:paraId="7E53C76D" w14:textId="77777777" w:rsidR="00471C1A" w:rsidRPr="00605524" w:rsidRDefault="00471C1A" w:rsidP="004D7D64">
            <w:pPr>
              <w:keepNext/>
              <w:keepLines/>
              <w:widowControl w:val="0"/>
              <w:spacing w:after="0"/>
              <w:jc w:val="center"/>
              <w:rPr>
                <w:rFonts w:eastAsia="Times New Roman" w:cs="Times New Roman"/>
                <w:b/>
                <w:sz w:val="20"/>
                <w:szCs w:val="20"/>
                <w:lang w:val="en-US"/>
              </w:rPr>
            </w:pPr>
            <w:proofErr w:type="spellStart"/>
            <w:r w:rsidRPr="00605524">
              <w:rPr>
                <w:rFonts w:eastAsia="Times New Roman" w:cs="Times New Roman"/>
                <w:b/>
                <w:sz w:val="20"/>
                <w:szCs w:val="20"/>
                <w:lang w:val="en-US"/>
              </w:rPr>
              <w:t>nivolumab</w:t>
            </w:r>
            <w:proofErr w:type="spellEnd"/>
            <w:r w:rsidRPr="00605524">
              <w:rPr>
                <w:rFonts w:eastAsia="Times New Roman" w:cs="Times New Roman"/>
                <w:b/>
                <w:sz w:val="20"/>
                <w:szCs w:val="20"/>
                <w:lang w:val="en-US"/>
              </w:rPr>
              <w:br/>
              <w:t>(n = 135)</w:t>
            </w:r>
          </w:p>
        </w:tc>
        <w:tc>
          <w:tcPr>
            <w:tcW w:w="3031" w:type="dxa"/>
            <w:gridSpan w:val="3"/>
            <w:tcBorders>
              <w:top w:val="single" w:sz="4" w:space="0" w:color="auto"/>
              <w:left w:val="nil"/>
              <w:bottom w:val="single" w:sz="4" w:space="0" w:color="auto"/>
              <w:right w:val="nil"/>
            </w:tcBorders>
            <w:hideMark/>
          </w:tcPr>
          <w:p w14:paraId="6F16A1C5" w14:textId="77777777" w:rsidR="00471C1A" w:rsidRPr="00605524" w:rsidRDefault="00471C1A" w:rsidP="004D7D64">
            <w:pPr>
              <w:keepNext/>
              <w:keepLines/>
              <w:widowControl w:val="0"/>
              <w:spacing w:after="0"/>
              <w:jc w:val="center"/>
              <w:rPr>
                <w:rFonts w:eastAsia="Times New Roman" w:cs="Times New Roman"/>
                <w:b/>
                <w:sz w:val="20"/>
                <w:szCs w:val="20"/>
                <w:lang w:val="en-US"/>
              </w:rPr>
            </w:pPr>
            <w:r w:rsidRPr="00605524">
              <w:rPr>
                <w:rFonts w:eastAsia="Times New Roman" w:cs="Times New Roman"/>
                <w:b/>
                <w:sz w:val="20"/>
                <w:szCs w:val="20"/>
                <w:lang w:val="en-US"/>
              </w:rPr>
              <w:t>docetaxel</w:t>
            </w:r>
            <w:r w:rsidRPr="00605524">
              <w:rPr>
                <w:rFonts w:eastAsia="Times New Roman" w:cs="Times New Roman"/>
                <w:b/>
                <w:sz w:val="20"/>
                <w:szCs w:val="20"/>
                <w:lang w:val="en-US"/>
              </w:rPr>
              <w:br/>
              <w:t>(n = 137)</w:t>
            </w:r>
          </w:p>
        </w:tc>
      </w:tr>
      <w:tr w:rsidR="00471C1A" w:rsidRPr="0077482A" w14:paraId="34631605" w14:textId="77777777" w:rsidTr="00807021">
        <w:tc>
          <w:tcPr>
            <w:tcW w:w="2932" w:type="dxa"/>
            <w:tcBorders>
              <w:top w:val="single" w:sz="4" w:space="0" w:color="auto"/>
              <w:left w:val="nil"/>
              <w:bottom w:val="nil"/>
              <w:right w:val="nil"/>
            </w:tcBorders>
            <w:hideMark/>
          </w:tcPr>
          <w:p w14:paraId="56D6877C"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 xml:space="preserve">Overall survival </w:t>
            </w:r>
          </w:p>
        </w:tc>
        <w:tc>
          <w:tcPr>
            <w:tcW w:w="1540" w:type="dxa"/>
            <w:tcBorders>
              <w:top w:val="single" w:sz="4" w:space="0" w:color="auto"/>
              <w:left w:val="nil"/>
              <w:bottom w:val="nil"/>
              <w:right w:val="nil"/>
            </w:tcBorders>
          </w:tcPr>
          <w:p w14:paraId="7F187A1B"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Borders>
              <w:top w:val="single" w:sz="4" w:space="0" w:color="auto"/>
              <w:left w:val="nil"/>
              <w:bottom w:val="nil"/>
              <w:right w:val="nil"/>
            </w:tcBorders>
          </w:tcPr>
          <w:p w14:paraId="69116AB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Borders>
              <w:top w:val="single" w:sz="4" w:space="0" w:color="auto"/>
              <w:left w:val="nil"/>
              <w:bottom w:val="nil"/>
              <w:right w:val="nil"/>
            </w:tcBorders>
          </w:tcPr>
          <w:p w14:paraId="5C3914D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Borders>
              <w:top w:val="single" w:sz="4" w:space="0" w:color="auto"/>
              <w:left w:val="nil"/>
              <w:bottom w:val="nil"/>
              <w:right w:val="nil"/>
            </w:tcBorders>
          </w:tcPr>
          <w:p w14:paraId="14E1C584"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45D65BC" w14:textId="77777777" w:rsidTr="00807021">
        <w:tc>
          <w:tcPr>
            <w:tcW w:w="2932" w:type="dxa"/>
            <w:hideMark/>
          </w:tcPr>
          <w:p w14:paraId="58509914" w14:textId="77777777" w:rsidR="00471C1A" w:rsidRPr="00605524" w:rsidRDefault="00471C1A" w:rsidP="00807021">
            <w:pPr>
              <w:keepNext/>
              <w:keepLines/>
              <w:tabs>
                <w:tab w:val="left" w:pos="201"/>
              </w:tabs>
              <w:spacing w:after="0"/>
              <w:rPr>
                <w:rFonts w:eastAsia="Times New Roman" w:cs="Times New Roman"/>
                <w:sz w:val="20"/>
                <w:szCs w:val="20"/>
                <w:lang w:val="en-US"/>
              </w:rPr>
            </w:pPr>
            <w:r w:rsidRPr="00605524">
              <w:rPr>
                <w:rFonts w:eastAsia="Times New Roman" w:cs="Times New Roman"/>
                <w:sz w:val="20"/>
                <w:szCs w:val="20"/>
                <w:lang w:val="en-US"/>
              </w:rPr>
              <w:tab/>
              <w:t>Events</w:t>
            </w:r>
          </w:p>
        </w:tc>
        <w:tc>
          <w:tcPr>
            <w:tcW w:w="3063" w:type="dxa"/>
            <w:gridSpan w:val="3"/>
            <w:vAlign w:val="center"/>
            <w:hideMark/>
          </w:tcPr>
          <w:p w14:paraId="270D773F"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86 (63.7%)</w:t>
            </w:r>
          </w:p>
        </w:tc>
        <w:tc>
          <w:tcPr>
            <w:tcW w:w="3031" w:type="dxa"/>
            <w:gridSpan w:val="3"/>
            <w:vAlign w:val="center"/>
            <w:hideMark/>
          </w:tcPr>
          <w:p w14:paraId="4AA483B4"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113 (82.5%)</w:t>
            </w:r>
          </w:p>
        </w:tc>
      </w:tr>
      <w:tr w:rsidR="00471C1A" w:rsidRPr="0077482A" w14:paraId="13BC9A97" w14:textId="77777777" w:rsidTr="00807021">
        <w:tc>
          <w:tcPr>
            <w:tcW w:w="2932" w:type="dxa"/>
            <w:hideMark/>
          </w:tcPr>
          <w:p w14:paraId="2E14B2DE"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 xml:space="preserve">Hazard ratio </w:t>
            </w:r>
          </w:p>
        </w:tc>
        <w:tc>
          <w:tcPr>
            <w:tcW w:w="6094" w:type="dxa"/>
            <w:gridSpan w:val="6"/>
            <w:hideMark/>
          </w:tcPr>
          <w:p w14:paraId="6B1EB2C2"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0.59</w:t>
            </w:r>
          </w:p>
        </w:tc>
      </w:tr>
      <w:tr w:rsidR="00471C1A" w:rsidRPr="0077482A" w14:paraId="7B0C4EBD" w14:textId="77777777" w:rsidTr="00807021">
        <w:tc>
          <w:tcPr>
            <w:tcW w:w="2932" w:type="dxa"/>
            <w:hideMark/>
          </w:tcPr>
          <w:p w14:paraId="45834BBA"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color w:val="000000"/>
                <w:sz w:val="20"/>
                <w:szCs w:val="20"/>
                <w:lang w:val="en-US"/>
              </w:rPr>
              <w:t>96.85% CI</w:t>
            </w:r>
          </w:p>
        </w:tc>
        <w:tc>
          <w:tcPr>
            <w:tcW w:w="6094" w:type="dxa"/>
            <w:gridSpan w:val="6"/>
            <w:hideMark/>
          </w:tcPr>
          <w:p w14:paraId="58FCF33D"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(0.43, 0.81)</w:t>
            </w:r>
          </w:p>
        </w:tc>
      </w:tr>
      <w:tr w:rsidR="00471C1A" w:rsidRPr="0077482A" w14:paraId="5F134EF5" w14:textId="77777777" w:rsidTr="00807021">
        <w:tc>
          <w:tcPr>
            <w:tcW w:w="2932" w:type="dxa"/>
            <w:hideMark/>
          </w:tcPr>
          <w:p w14:paraId="223591DD"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7C297FA8"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0.0002</w:t>
            </w:r>
          </w:p>
        </w:tc>
      </w:tr>
      <w:tr w:rsidR="00471C1A" w:rsidRPr="0077482A" w14:paraId="47EF5DBA" w14:textId="77777777" w:rsidTr="00807021">
        <w:tc>
          <w:tcPr>
            <w:tcW w:w="2932" w:type="dxa"/>
          </w:tcPr>
          <w:p w14:paraId="02C901D2"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74578F95"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5E2C2D1B"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5FCB5DD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17DB022E"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7F8946B5" w14:textId="77777777" w:rsidTr="00807021">
        <w:tc>
          <w:tcPr>
            <w:tcW w:w="2932" w:type="dxa"/>
            <w:hideMark/>
          </w:tcPr>
          <w:p w14:paraId="44EB7931"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Median (95% CI) months</w:t>
            </w:r>
          </w:p>
        </w:tc>
        <w:tc>
          <w:tcPr>
            <w:tcW w:w="3063" w:type="dxa"/>
            <w:gridSpan w:val="3"/>
            <w:vAlign w:val="center"/>
            <w:hideMark/>
          </w:tcPr>
          <w:p w14:paraId="189537BA"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9.23 (7.33, 13.27)</w:t>
            </w:r>
          </w:p>
        </w:tc>
        <w:tc>
          <w:tcPr>
            <w:tcW w:w="3031" w:type="dxa"/>
            <w:gridSpan w:val="3"/>
            <w:vAlign w:val="center"/>
            <w:hideMark/>
          </w:tcPr>
          <w:p w14:paraId="2F8795C4"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6.01 (5.13, 7.33)</w:t>
            </w:r>
          </w:p>
        </w:tc>
      </w:tr>
      <w:tr w:rsidR="00471C1A" w:rsidRPr="0077482A" w14:paraId="2378317B" w14:textId="77777777" w:rsidTr="00807021">
        <w:tc>
          <w:tcPr>
            <w:tcW w:w="2932" w:type="dxa"/>
            <w:hideMark/>
          </w:tcPr>
          <w:p w14:paraId="506A8B09"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Rate % (95% CI) at 12 months</w:t>
            </w:r>
          </w:p>
        </w:tc>
        <w:tc>
          <w:tcPr>
            <w:tcW w:w="3063" w:type="dxa"/>
            <w:gridSpan w:val="3"/>
            <w:hideMark/>
          </w:tcPr>
          <w:p w14:paraId="2264A6B9"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42.1 (33.7, 50.3)</w:t>
            </w:r>
          </w:p>
        </w:tc>
        <w:tc>
          <w:tcPr>
            <w:tcW w:w="3031" w:type="dxa"/>
            <w:gridSpan w:val="3"/>
            <w:hideMark/>
          </w:tcPr>
          <w:p w14:paraId="0A5CC181"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23.7 (16.9, 31.1)</w:t>
            </w:r>
          </w:p>
        </w:tc>
      </w:tr>
      <w:tr w:rsidR="00471C1A" w:rsidRPr="0077482A" w14:paraId="5E39F6C3" w14:textId="77777777" w:rsidTr="00807021">
        <w:tc>
          <w:tcPr>
            <w:tcW w:w="2932" w:type="dxa"/>
          </w:tcPr>
          <w:p w14:paraId="550EF753" w14:textId="77777777" w:rsidR="00471C1A" w:rsidRPr="00605524" w:rsidRDefault="00471C1A" w:rsidP="00807021">
            <w:pPr>
              <w:keepNext/>
              <w:keepLines/>
              <w:spacing w:after="0"/>
              <w:rPr>
                <w:rFonts w:eastAsia="Times New Roman" w:cs="Times New Roman"/>
                <w:b/>
                <w:sz w:val="20"/>
                <w:szCs w:val="20"/>
                <w:lang w:val="en-US"/>
              </w:rPr>
            </w:pPr>
          </w:p>
        </w:tc>
        <w:tc>
          <w:tcPr>
            <w:tcW w:w="1540" w:type="dxa"/>
          </w:tcPr>
          <w:p w14:paraId="3A331B78"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55B1AF26"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1C99158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37DAC164"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5962611" w14:textId="77777777" w:rsidTr="00807021">
        <w:tc>
          <w:tcPr>
            <w:tcW w:w="2932" w:type="dxa"/>
            <w:hideMark/>
          </w:tcPr>
          <w:p w14:paraId="70BC8415"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 xml:space="preserve">Confirmed objective response </w:t>
            </w:r>
          </w:p>
        </w:tc>
        <w:tc>
          <w:tcPr>
            <w:tcW w:w="1540" w:type="dxa"/>
            <w:hideMark/>
          </w:tcPr>
          <w:p w14:paraId="0B241364"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27</w:t>
            </w:r>
          </w:p>
        </w:tc>
        <w:tc>
          <w:tcPr>
            <w:tcW w:w="1523" w:type="dxa"/>
            <w:gridSpan w:val="2"/>
            <w:hideMark/>
          </w:tcPr>
          <w:p w14:paraId="02089D40"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(20.0%)</w:t>
            </w:r>
          </w:p>
        </w:tc>
        <w:tc>
          <w:tcPr>
            <w:tcW w:w="1500" w:type="dxa"/>
            <w:gridSpan w:val="2"/>
            <w:hideMark/>
          </w:tcPr>
          <w:p w14:paraId="1F856363"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12</w:t>
            </w:r>
          </w:p>
        </w:tc>
        <w:tc>
          <w:tcPr>
            <w:tcW w:w="1531" w:type="dxa"/>
            <w:hideMark/>
          </w:tcPr>
          <w:p w14:paraId="5B429D37"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(8.8%)</w:t>
            </w:r>
          </w:p>
        </w:tc>
      </w:tr>
      <w:tr w:rsidR="00471C1A" w:rsidRPr="0077482A" w14:paraId="3A547C20" w14:textId="77777777" w:rsidTr="00807021">
        <w:tc>
          <w:tcPr>
            <w:tcW w:w="2932" w:type="dxa"/>
            <w:hideMark/>
          </w:tcPr>
          <w:p w14:paraId="0C3F20E9" w14:textId="77777777" w:rsidR="00471C1A" w:rsidRPr="00605524" w:rsidRDefault="00471C1A" w:rsidP="00807021">
            <w:pPr>
              <w:keepNext/>
              <w:keepLines/>
              <w:spacing w:after="0"/>
              <w:jc w:val="center"/>
              <w:rPr>
                <w:rFonts w:eastAsia="Times New Roman" w:cs="Times New Roman"/>
                <w:sz w:val="20"/>
                <w:szCs w:val="20"/>
                <w:lang w:val="en-US"/>
              </w:rPr>
            </w:pPr>
            <w:r w:rsidRPr="00605524">
              <w:rPr>
                <w:rFonts w:eastAsia="Times New Roman" w:cs="Times New Roman"/>
                <w:sz w:val="20"/>
                <w:szCs w:val="20"/>
                <w:lang w:val="en-US"/>
              </w:rPr>
              <w:t>(95% CI)</w:t>
            </w:r>
          </w:p>
        </w:tc>
        <w:tc>
          <w:tcPr>
            <w:tcW w:w="3063" w:type="dxa"/>
            <w:gridSpan w:val="3"/>
            <w:hideMark/>
          </w:tcPr>
          <w:p w14:paraId="6CDE501A"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(13.6, 27.7)</w:t>
            </w:r>
          </w:p>
        </w:tc>
        <w:tc>
          <w:tcPr>
            <w:tcW w:w="3031" w:type="dxa"/>
            <w:gridSpan w:val="3"/>
            <w:hideMark/>
          </w:tcPr>
          <w:p w14:paraId="27B3DDE6"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(4.6, 14.8)</w:t>
            </w:r>
          </w:p>
        </w:tc>
      </w:tr>
      <w:tr w:rsidR="00471C1A" w:rsidRPr="0077482A" w14:paraId="5B4395A7" w14:textId="77777777" w:rsidTr="00807021">
        <w:tc>
          <w:tcPr>
            <w:tcW w:w="2932" w:type="dxa"/>
            <w:hideMark/>
          </w:tcPr>
          <w:p w14:paraId="562A9A9C"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Odds ratio (95% CI)</w:t>
            </w:r>
          </w:p>
        </w:tc>
        <w:tc>
          <w:tcPr>
            <w:tcW w:w="6094" w:type="dxa"/>
            <w:gridSpan w:val="6"/>
            <w:hideMark/>
          </w:tcPr>
          <w:p w14:paraId="3B7A3B59"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2.64 (1.27, 5.49)</w:t>
            </w:r>
          </w:p>
        </w:tc>
      </w:tr>
      <w:tr w:rsidR="00471C1A" w:rsidRPr="0077482A" w14:paraId="1141EDB6" w14:textId="77777777" w:rsidTr="00807021">
        <w:tc>
          <w:tcPr>
            <w:tcW w:w="2932" w:type="dxa"/>
            <w:hideMark/>
          </w:tcPr>
          <w:p w14:paraId="4AD11D1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53557A4E"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0.0083</w:t>
            </w:r>
          </w:p>
        </w:tc>
      </w:tr>
      <w:tr w:rsidR="00471C1A" w:rsidRPr="0077482A" w14:paraId="7B0B9090" w14:textId="77777777" w:rsidTr="00807021">
        <w:tc>
          <w:tcPr>
            <w:tcW w:w="2932" w:type="dxa"/>
          </w:tcPr>
          <w:p w14:paraId="29491DC2"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p>
        </w:tc>
        <w:tc>
          <w:tcPr>
            <w:tcW w:w="1540" w:type="dxa"/>
          </w:tcPr>
          <w:p w14:paraId="75076F9E"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951FFE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19D406E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761ABE83"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5CA8C576" w14:textId="77777777" w:rsidTr="00807021">
        <w:tc>
          <w:tcPr>
            <w:tcW w:w="2932" w:type="dxa"/>
            <w:hideMark/>
          </w:tcPr>
          <w:p w14:paraId="05B5D096"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Complete response (CR)</w:t>
            </w:r>
          </w:p>
        </w:tc>
        <w:tc>
          <w:tcPr>
            <w:tcW w:w="1540" w:type="dxa"/>
            <w:hideMark/>
          </w:tcPr>
          <w:p w14:paraId="2B0FD01A"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1</w:t>
            </w:r>
          </w:p>
        </w:tc>
        <w:tc>
          <w:tcPr>
            <w:tcW w:w="1523" w:type="dxa"/>
            <w:gridSpan w:val="2"/>
            <w:hideMark/>
          </w:tcPr>
          <w:p w14:paraId="18AF4579"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(0.7%)</w:t>
            </w:r>
          </w:p>
        </w:tc>
        <w:tc>
          <w:tcPr>
            <w:tcW w:w="1500" w:type="dxa"/>
            <w:gridSpan w:val="2"/>
            <w:hideMark/>
          </w:tcPr>
          <w:p w14:paraId="1708E623"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0 </w:t>
            </w:r>
          </w:p>
        </w:tc>
        <w:tc>
          <w:tcPr>
            <w:tcW w:w="1531" w:type="dxa"/>
          </w:tcPr>
          <w:p w14:paraId="4B718283"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1934C10B" w14:textId="77777777" w:rsidTr="00807021">
        <w:tc>
          <w:tcPr>
            <w:tcW w:w="2932" w:type="dxa"/>
            <w:hideMark/>
          </w:tcPr>
          <w:p w14:paraId="51AC32F5"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Partial response (PR)</w:t>
            </w:r>
          </w:p>
        </w:tc>
        <w:tc>
          <w:tcPr>
            <w:tcW w:w="1540" w:type="dxa"/>
            <w:hideMark/>
          </w:tcPr>
          <w:p w14:paraId="562BBAD8"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26</w:t>
            </w:r>
          </w:p>
        </w:tc>
        <w:tc>
          <w:tcPr>
            <w:tcW w:w="1523" w:type="dxa"/>
            <w:gridSpan w:val="2"/>
            <w:hideMark/>
          </w:tcPr>
          <w:p w14:paraId="66ABC223"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(19.3%)</w:t>
            </w:r>
          </w:p>
        </w:tc>
        <w:tc>
          <w:tcPr>
            <w:tcW w:w="1500" w:type="dxa"/>
            <w:gridSpan w:val="2"/>
            <w:hideMark/>
          </w:tcPr>
          <w:p w14:paraId="6643B87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12 </w:t>
            </w:r>
          </w:p>
        </w:tc>
        <w:tc>
          <w:tcPr>
            <w:tcW w:w="1531" w:type="dxa"/>
            <w:hideMark/>
          </w:tcPr>
          <w:p w14:paraId="4F08A1D1"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(8.8%)</w:t>
            </w:r>
          </w:p>
        </w:tc>
      </w:tr>
      <w:tr w:rsidR="00471C1A" w:rsidRPr="0077482A" w14:paraId="0F30D54E" w14:textId="77777777" w:rsidTr="00807021">
        <w:tc>
          <w:tcPr>
            <w:tcW w:w="2932" w:type="dxa"/>
            <w:hideMark/>
          </w:tcPr>
          <w:p w14:paraId="17DE8EFA"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Stable disease (SD)</w:t>
            </w:r>
          </w:p>
        </w:tc>
        <w:tc>
          <w:tcPr>
            <w:tcW w:w="1540" w:type="dxa"/>
            <w:hideMark/>
          </w:tcPr>
          <w:p w14:paraId="501FC75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39</w:t>
            </w:r>
          </w:p>
        </w:tc>
        <w:tc>
          <w:tcPr>
            <w:tcW w:w="1523" w:type="dxa"/>
            <w:gridSpan w:val="2"/>
            <w:hideMark/>
          </w:tcPr>
          <w:p w14:paraId="6E2F291F"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(28.9%)</w:t>
            </w:r>
          </w:p>
        </w:tc>
        <w:tc>
          <w:tcPr>
            <w:tcW w:w="1500" w:type="dxa"/>
            <w:gridSpan w:val="2"/>
            <w:hideMark/>
          </w:tcPr>
          <w:p w14:paraId="22498645"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 xml:space="preserve">47 </w:t>
            </w:r>
          </w:p>
        </w:tc>
        <w:tc>
          <w:tcPr>
            <w:tcW w:w="1531" w:type="dxa"/>
            <w:hideMark/>
          </w:tcPr>
          <w:p w14:paraId="79B0D037"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(34.3%)</w:t>
            </w:r>
          </w:p>
        </w:tc>
      </w:tr>
      <w:tr w:rsidR="00471C1A" w:rsidRPr="0077482A" w14:paraId="0D517929" w14:textId="77777777" w:rsidTr="00807021">
        <w:tc>
          <w:tcPr>
            <w:tcW w:w="2932" w:type="dxa"/>
          </w:tcPr>
          <w:p w14:paraId="5F73C69C"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77972E21"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7DD1918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6BCA189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431EBD50"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DCB7C48" w14:textId="77777777" w:rsidTr="00807021">
        <w:tc>
          <w:tcPr>
            <w:tcW w:w="2932" w:type="dxa"/>
            <w:hideMark/>
          </w:tcPr>
          <w:p w14:paraId="09A1DE3C" w14:textId="77777777" w:rsidR="00471C1A" w:rsidRPr="00605524" w:rsidRDefault="00471C1A" w:rsidP="00807021">
            <w:pPr>
              <w:keepNext/>
              <w:keepLines/>
              <w:tabs>
                <w:tab w:val="left" w:pos="180"/>
              </w:tabs>
              <w:spacing w:after="0"/>
              <w:rPr>
                <w:rFonts w:eastAsia="Times New Roman" w:cs="Times New Roman"/>
                <w:b/>
                <w:sz w:val="20"/>
                <w:szCs w:val="20"/>
                <w:lang w:val="en-US"/>
              </w:rPr>
            </w:pPr>
            <w:r w:rsidRPr="00605524">
              <w:rPr>
                <w:rFonts w:eastAsia="Times New Roman" w:cs="Times New Roman"/>
                <w:b/>
                <w:sz w:val="20"/>
                <w:szCs w:val="20"/>
                <w:lang w:val="en-US"/>
              </w:rPr>
              <w:t xml:space="preserve">Median duration of response </w:t>
            </w:r>
          </w:p>
        </w:tc>
        <w:tc>
          <w:tcPr>
            <w:tcW w:w="2054" w:type="dxa"/>
            <w:gridSpan w:val="2"/>
          </w:tcPr>
          <w:p w14:paraId="21D74A16"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2010" w:type="dxa"/>
            <w:gridSpan w:val="2"/>
          </w:tcPr>
          <w:p w14:paraId="5B4200DD"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2030" w:type="dxa"/>
            <w:gridSpan w:val="2"/>
          </w:tcPr>
          <w:p w14:paraId="0E27F415"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3A194E55" w14:textId="77777777" w:rsidTr="00807021">
        <w:tc>
          <w:tcPr>
            <w:tcW w:w="2932" w:type="dxa"/>
            <w:hideMark/>
          </w:tcPr>
          <w:p w14:paraId="726BA7E6"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Months (range)</w:t>
            </w:r>
          </w:p>
        </w:tc>
        <w:tc>
          <w:tcPr>
            <w:tcW w:w="1540" w:type="dxa"/>
            <w:hideMark/>
          </w:tcPr>
          <w:p w14:paraId="27152947"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Not reached</w:t>
            </w:r>
          </w:p>
        </w:tc>
        <w:tc>
          <w:tcPr>
            <w:tcW w:w="1523" w:type="dxa"/>
            <w:gridSpan w:val="2"/>
            <w:hideMark/>
          </w:tcPr>
          <w:p w14:paraId="71DD530B"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(2.9 - 20.5</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w:t>
            </w:r>
          </w:p>
        </w:tc>
        <w:tc>
          <w:tcPr>
            <w:tcW w:w="1500" w:type="dxa"/>
            <w:gridSpan w:val="2"/>
            <w:hideMark/>
          </w:tcPr>
          <w:p w14:paraId="52C7CD6C"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noProof/>
                <w:sz w:val="20"/>
                <w:szCs w:val="20"/>
                <w:lang w:val="en-US"/>
              </w:rPr>
              <w:t>8.4</w:t>
            </w:r>
          </w:p>
        </w:tc>
        <w:tc>
          <w:tcPr>
            <w:tcW w:w="1531" w:type="dxa"/>
            <w:hideMark/>
          </w:tcPr>
          <w:p w14:paraId="56208EF6"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(1.4</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 xml:space="preserve"> - 15.2</w:t>
            </w:r>
            <w:r w:rsidRPr="00605524">
              <w:rPr>
                <w:rFonts w:eastAsia="Times New Roman" w:cs="Times New Roman"/>
                <w:noProof/>
                <w:sz w:val="20"/>
                <w:szCs w:val="20"/>
                <w:vertAlign w:val="superscript"/>
                <w:lang w:val="en-US"/>
              </w:rPr>
              <w:t>+</w:t>
            </w:r>
            <w:r w:rsidRPr="00605524">
              <w:rPr>
                <w:rFonts w:eastAsia="Times New Roman" w:cs="Times New Roman"/>
                <w:noProof/>
                <w:sz w:val="20"/>
                <w:szCs w:val="20"/>
                <w:lang w:val="en-US"/>
              </w:rPr>
              <w:t>)</w:t>
            </w:r>
          </w:p>
        </w:tc>
      </w:tr>
      <w:tr w:rsidR="00471C1A" w:rsidRPr="0077482A" w14:paraId="75C6E4BC" w14:textId="77777777" w:rsidTr="00807021">
        <w:tc>
          <w:tcPr>
            <w:tcW w:w="2932" w:type="dxa"/>
          </w:tcPr>
          <w:p w14:paraId="77DED9FC"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3B5D80D9"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0D24D8AE"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59994880"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687F46AA"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2F635C25" w14:textId="77777777" w:rsidTr="00807021">
        <w:tc>
          <w:tcPr>
            <w:tcW w:w="2932" w:type="dxa"/>
            <w:hideMark/>
          </w:tcPr>
          <w:p w14:paraId="6A41FF99" w14:textId="77777777" w:rsidR="00471C1A" w:rsidRPr="00605524" w:rsidRDefault="00471C1A" w:rsidP="00807021">
            <w:pPr>
              <w:keepNext/>
              <w:keepLines/>
              <w:tabs>
                <w:tab w:val="left" w:pos="180"/>
              </w:tabs>
              <w:spacing w:after="0"/>
              <w:rPr>
                <w:rFonts w:eastAsia="Times New Roman" w:cs="Times New Roman"/>
                <w:b/>
                <w:sz w:val="20"/>
                <w:szCs w:val="20"/>
                <w:lang w:val="en-US"/>
              </w:rPr>
            </w:pPr>
            <w:r w:rsidRPr="00605524">
              <w:rPr>
                <w:rFonts w:eastAsia="Times New Roman" w:cs="Times New Roman"/>
                <w:b/>
                <w:sz w:val="20"/>
                <w:szCs w:val="20"/>
                <w:lang w:val="en-US"/>
              </w:rPr>
              <w:t>Median time to response</w:t>
            </w:r>
          </w:p>
        </w:tc>
        <w:tc>
          <w:tcPr>
            <w:tcW w:w="1540" w:type="dxa"/>
          </w:tcPr>
          <w:p w14:paraId="00F781CE"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23B5A8F"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2A0DE58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722C7A79"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7556831A" w14:textId="77777777" w:rsidTr="00807021">
        <w:trPr>
          <w:trHeight w:val="261"/>
        </w:trPr>
        <w:tc>
          <w:tcPr>
            <w:tcW w:w="2932" w:type="dxa"/>
            <w:hideMark/>
          </w:tcPr>
          <w:p w14:paraId="11D2D421"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Months (range)</w:t>
            </w:r>
          </w:p>
        </w:tc>
        <w:tc>
          <w:tcPr>
            <w:tcW w:w="1540" w:type="dxa"/>
            <w:hideMark/>
          </w:tcPr>
          <w:p w14:paraId="6020C3E9"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sz w:val="20"/>
                <w:szCs w:val="20"/>
                <w:lang w:val="en-US"/>
              </w:rPr>
              <w:t>2.2</w:t>
            </w:r>
          </w:p>
        </w:tc>
        <w:tc>
          <w:tcPr>
            <w:tcW w:w="1523" w:type="dxa"/>
            <w:gridSpan w:val="2"/>
            <w:hideMark/>
          </w:tcPr>
          <w:p w14:paraId="6408BE40"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sz w:val="20"/>
                <w:szCs w:val="20"/>
                <w:lang w:val="en-US"/>
              </w:rPr>
              <w:t>(1.6 - 11.8)</w:t>
            </w:r>
          </w:p>
        </w:tc>
        <w:tc>
          <w:tcPr>
            <w:tcW w:w="1500" w:type="dxa"/>
            <w:gridSpan w:val="2"/>
            <w:hideMark/>
          </w:tcPr>
          <w:p w14:paraId="3E7779B6" w14:textId="77777777" w:rsidR="00471C1A" w:rsidRPr="00605524" w:rsidRDefault="00471C1A" w:rsidP="004D7D64">
            <w:pPr>
              <w:keepNext/>
              <w:keepLines/>
              <w:widowControl w:val="0"/>
              <w:spacing w:after="0"/>
              <w:jc w:val="right"/>
              <w:rPr>
                <w:rFonts w:eastAsia="Times New Roman" w:cs="Times New Roman"/>
                <w:sz w:val="20"/>
                <w:szCs w:val="20"/>
                <w:lang w:val="en-US"/>
              </w:rPr>
            </w:pPr>
            <w:r w:rsidRPr="00605524">
              <w:rPr>
                <w:rFonts w:eastAsia="Times New Roman" w:cs="Times New Roman"/>
                <w:noProof/>
                <w:sz w:val="20"/>
                <w:szCs w:val="20"/>
                <w:lang w:val="en-US"/>
              </w:rPr>
              <w:t>2.1</w:t>
            </w:r>
          </w:p>
        </w:tc>
        <w:tc>
          <w:tcPr>
            <w:tcW w:w="1531" w:type="dxa"/>
            <w:hideMark/>
          </w:tcPr>
          <w:p w14:paraId="08851A81" w14:textId="77777777" w:rsidR="00471C1A" w:rsidRPr="00605524" w:rsidRDefault="00471C1A" w:rsidP="004D7D64">
            <w:pPr>
              <w:keepNext/>
              <w:keepLines/>
              <w:widowControl w:val="0"/>
              <w:spacing w:after="0"/>
              <w:rPr>
                <w:rFonts w:eastAsia="Times New Roman" w:cs="Times New Roman"/>
                <w:sz w:val="20"/>
                <w:szCs w:val="20"/>
                <w:lang w:val="en-US"/>
              </w:rPr>
            </w:pPr>
            <w:r w:rsidRPr="00605524">
              <w:rPr>
                <w:rFonts w:eastAsia="Times New Roman" w:cs="Times New Roman"/>
                <w:noProof/>
                <w:sz w:val="20"/>
                <w:szCs w:val="20"/>
                <w:lang w:val="en-US"/>
              </w:rPr>
              <w:t>(1.8 - 9.5)</w:t>
            </w:r>
          </w:p>
        </w:tc>
      </w:tr>
      <w:tr w:rsidR="00471C1A" w:rsidRPr="0077482A" w14:paraId="0EFB542F" w14:textId="77777777" w:rsidTr="00807021">
        <w:tc>
          <w:tcPr>
            <w:tcW w:w="2932" w:type="dxa"/>
            <w:hideMark/>
          </w:tcPr>
          <w:p w14:paraId="12F07E26" w14:textId="77777777" w:rsidR="00471C1A" w:rsidRPr="00605524" w:rsidRDefault="00471C1A" w:rsidP="00807021">
            <w:pPr>
              <w:keepNext/>
              <w:keepLines/>
              <w:spacing w:after="0"/>
              <w:rPr>
                <w:rFonts w:eastAsia="Times New Roman" w:cs="Times New Roman"/>
                <w:b/>
                <w:sz w:val="20"/>
                <w:szCs w:val="20"/>
                <w:lang w:val="en-US"/>
              </w:rPr>
            </w:pPr>
            <w:r w:rsidRPr="00605524">
              <w:rPr>
                <w:rFonts w:eastAsia="Times New Roman" w:cs="Times New Roman"/>
                <w:b/>
                <w:sz w:val="20"/>
                <w:szCs w:val="20"/>
                <w:lang w:val="en-US"/>
              </w:rPr>
              <w:t>Progression-free survival</w:t>
            </w:r>
          </w:p>
        </w:tc>
        <w:tc>
          <w:tcPr>
            <w:tcW w:w="1540" w:type="dxa"/>
          </w:tcPr>
          <w:p w14:paraId="2F243B77"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1C0A1EE5" w14:textId="77777777" w:rsidR="00471C1A" w:rsidRPr="00605524" w:rsidRDefault="00471C1A" w:rsidP="004D7D64">
            <w:pPr>
              <w:keepNext/>
              <w:keepLines/>
              <w:widowControl w:val="0"/>
              <w:spacing w:after="0"/>
              <w:rPr>
                <w:rFonts w:eastAsia="Times New Roman" w:cs="Times New Roman"/>
                <w:sz w:val="20"/>
                <w:szCs w:val="20"/>
                <w:lang w:val="en-US"/>
              </w:rPr>
            </w:pPr>
          </w:p>
        </w:tc>
        <w:tc>
          <w:tcPr>
            <w:tcW w:w="1500" w:type="dxa"/>
            <w:gridSpan w:val="2"/>
          </w:tcPr>
          <w:p w14:paraId="4B5008CA"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586DFFCE" w14:textId="77777777" w:rsidR="00471C1A" w:rsidRPr="00605524" w:rsidRDefault="00471C1A" w:rsidP="004D7D64">
            <w:pPr>
              <w:keepNext/>
              <w:keepLines/>
              <w:widowControl w:val="0"/>
              <w:spacing w:after="0"/>
              <w:rPr>
                <w:rFonts w:eastAsia="Times New Roman" w:cs="Times New Roman"/>
                <w:sz w:val="20"/>
                <w:szCs w:val="20"/>
                <w:lang w:val="en-US"/>
              </w:rPr>
            </w:pPr>
          </w:p>
        </w:tc>
      </w:tr>
      <w:tr w:rsidR="00471C1A" w:rsidRPr="0077482A" w14:paraId="6AB8A109" w14:textId="77777777" w:rsidTr="00807021">
        <w:tc>
          <w:tcPr>
            <w:tcW w:w="2932" w:type="dxa"/>
            <w:hideMark/>
          </w:tcPr>
          <w:p w14:paraId="5AD95A73" w14:textId="77777777" w:rsidR="00471C1A" w:rsidRPr="00605524" w:rsidRDefault="00471C1A" w:rsidP="00807021">
            <w:pPr>
              <w:keepNext/>
              <w:keepLines/>
              <w:tabs>
                <w:tab w:val="left" w:pos="201"/>
              </w:tabs>
              <w:spacing w:after="0"/>
              <w:rPr>
                <w:rFonts w:eastAsia="Times New Roman" w:cs="Times New Roman"/>
                <w:sz w:val="20"/>
                <w:szCs w:val="20"/>
                <w:lang w:val="en-US"/>
              </w:rPr>
            </w:pPr>
            <w:r w:rsidRPr="00605524">
              <w:rPr>
                <w:rFonts w:eastAsia="Times New Roman" w:cs="Times New Roman"/>
                <w:sz w:val="20"/>
                <w:szCs w:val="20"/>
                <w:lang w:val="en-US"/>
              </w:rPr>
              <w:tab/>
              <w:t>Events</w:t>
            </w:r>
          </w:p>
        </w:tc>
        <w:tc>
          <w:tcPr>
            <w:tcW w:w="3063" w:type="dxa"/>
            <w:gridSpan w:val="3"/>
            <w:vAlign w:val="center"/>
            <w:hideMark/>
          </w:tcPr>
          <w:p w14:paraId="5F6FE3A3"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105 (77.8%)</w:t>
            </w:r>
          </w:p>
        </w:tc>
        <w:tc>
          <w:tcPr>
            <w:tcW w:w="3031" w:type="dxa"/>
            <w:gridSpan w:val="3"/>
            <w:vAlign w:val="center"/>
            <w:hideMark/>
          </w:tcPr>
          <w:p w14:paraId="627CD9B3"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122 (89.1%)</w:t>
            </w:r>
          </w:p>
        </w:tc>
      </w:tr>
      <w:tr w:rsidR="00471C1A" w:rsidRPr="0077482A" w14:paraId="5F398949" w14:textId="77777777" w:rsidTr="00807021">
        <w:tc>
          <w:tcPr>
            <w:tcW w:w="2932" w:type="dxa"/>
            <w:hideMark/>
          </w:tcPr>
          <w:p w14:paraId="4806BD8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 xml:space="preserve">Hazard ratio </w:t>
            </w:r>
          </w:p>
        </w:tc>
        <w:tc>
          <w:tcPr>
            <w:tcW w:w="6094" w:type="dxa"/>
            <w:gridSpan w:val="6"/>
            <w:hideMark/>
          </w:tcPr>
          <w:p w14:paraId="45A17CB2"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 xml:space="preserve">0.62 </w:t>
            </w:r>
          </w:p>
        </w:tc>
      </w:tr>
      <w:tr w:rsidR="00471C1A" w:rsidRPr="0077482A" w14:paraId="636A572D" w14:textId="77777777" w:rsidTr="00807021">
        <w:tc>
          <w:tcPr>
            <w:tcW w:w="2932" w:type="dxa"/>
            <w:hideMark/>
          </w:tcPr>
          <w:p w14:paraId="3D54A071"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color w:val="000000"/>
                <w:sz w:val="20"/>
                <w:szCs w:val="20"/>
                <w:lang w:val="en-US"/>
              </w:rPr>
              <w:t>95% CI</w:t>
            </w:r>
          </w:p>
        </w:tc>
        <w:tc>
          <w:tcPr>
            <w:tcW w:w="6094" w:type="dxa"/>
            <w:gridSpan w:val="6"/>
            <w:hideMark/>
          </w:tcPr>
          <w:p w14:paraId="729BF09B"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(0.47, 0.81)</w:t>
            </w:r>
          </w:p>
        </w:tc>
      </w:tr>
      <w:tr w:rsidR="00471C1A" w:rsidRPr="0077482A" w14:paraId="73CE3DBC" w14:textId="77777777" w:rsidTr="00807021">
        <w:tc>
          <w:tcPr>
            <w:tcW w:w="2932" w:type="dxa"/>
            <w:hideMark/>
          </w:tcPr>
          <w:p w14:paraId="019F56B5" w14:textId="77777777" w:rsidR="00471C1A" w:rsidRPr="00605524" w:rsidRDefault="00471C1A" w:rsidP="00807021">
            <w:pPr>
              <w:keepNext/>
              <w:keepLines/>
              <w:tabs>
                <w:tab w:val="left" w:pos="180"/>
              </w:tabs>
              <w:spacing w:after="0"/>
              <w:jc w:val="center"/>
              <w:rPr>
                <w:rFonts w:eastAsia="Times New Roman" w:cs="Times New Roman"/>
                <w:sz w:val="20"/>
                <w:szCs w:val="20"/>
                <w:lang w:val="en-US"/>
              </w:rPr>
            </w:pPr>
            <w:r w:rsidRPr="00605524">
              <w:rPr>
                <w:rFonts w:eastAsia="Times New Roman" w:cs="Times New Roman"/>
                <w:sz w:val="20"/>
                <w:szCs w:val="20"/>
                <w:lang w:val="en-US"/>
              </w:rPr>
              <w:t>p-value</w:t>
            </w:r>
          </w:p>
        </w:tc>
        <w:tc>
          <w:tcPr>
            <w:tcW w:w="6094" w:type="dxa"/>
            <w:gridSpan w:val="6"/>
            <w:hideMark/>
          </w:tcPr>
          <w:p w14:paraId="58CE0CCF" w14:textId="77777777" w:rsidR="00471C1A" w:rsidRPr="00605524" w:rsidRDefault="00471C1A" w:rsidP="004D7D64">
            <w:pPr>
              <w:keepNext/>
              <w:keepLines/>
              <w:widowControl w:val="0"/>
              <w:spacing w:after="0"/>
              <w:jc w:val="center"/>
              <w:rPr>
                <w:rFonts w:eastAsia="Times New Roman" w:cs="Times New Roman"/>
                <w:sz w:val="20"/>
                <w:szCs w:val="20"/>
                <w:lang w:val="en-US"/>
              </w:rPr>
            </w:pPr>
            <w:r w:rsidRPr="00605524">
              <w:rPr>
                <w:rFonts w:eastAsia="Times New Roman" w:cs="Times New Roman"/>
                <w:sz w:val="20"/>
                <w:szCs w:val="20"/>
                <w:lang w:val="en-US"/>
              </w:rPr>
              <w:t>&lt; 0.0004</w:t>
            </w:r>
          </w:p>
        </w:tc>
      </w:tr>
      <w:tr w:rsidR="00471C1A" w:rsidRPr="0077482A" w14:paraId="49CAC5D6" w14:textId="77777777" w:rsidTr="00807021">
        <w:tc>
          <w:tcPr>
            <w:tcW w:w="2932" w:type="dxa"/>
          </w:tcPr>
          <w:p w14:paraId="4A23471D" w14:textId="77777777" w:rsidR="00471C1A" w:rsidRPr="00605524" w:rsidRDefault="00471C1A" w:rsidP="00807021">
            <w:pPr>
              <w:keepNext/>
              <w:keepLines/>
              <w:tabs>
                <w:tab w:val="left" w:pos="180"/>
              </w:tabs>
              <w:spacing w:after="0"/>
              <w:rPr>
                <w:rFonts w:eastAsia="Times New Roman" w:cs="Times New Roman"/>
                <w:sz w:val="20"/>
                <w:szCs w:val="20"/>
                <w:lang w:val="en-US"/>
              </w:rPr>
            </w:pPr>
          </w:p>
        </w:tc>
        <w:tc>
          <w:tcPr>
            <w:tcW w:w="1540" w:type="dxa"/>
          </w:tcPr>
          <w:p w14:paraId="466BFA14"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23" w:type="dxa"/>
            <w:gridSpan w:val="2"/>
          </w:tcPr>
          <w:p w14:paraId="3765A33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c>
          <w:tcPr>
            <w:tcW w:w="1500" w:type="dxa"/>
            <w:gridSpan w:val="2"/>
          </w:tcPr>
          <w:p w14:paraId="51342A0F" w14:textId="77777777" w:rsidR="00471C1A" w:rsidRPr="00605524" w:rsidRDefault="00471C1A" w:rsidP="004D7D64">
            <w:pPr>
              <w:keepNext/>
              <w:keepLines/>
              <w:widowControl w:val="0"/>
              <w:spacing w:after="0"/>
              <w:jc w:val="right"/>
              <w:rPr>
                <w:rFonts w:eastAsia="Times New Roman" w:cs="Times New Roman"/>
                <w:sz w:val="20"/>
                <w:szCs w:val="20"/>
                <w:lang w:val="en-US"/>
              </w:rPr>
            </w:pPr>
          </w:p>
        </w:tc>
        <w:tc>
          <w:tcPr>
            <w:tcW w:w="1531" w:type="dxa"/>
          </w:tcPr>
          <w:p w14:paraId="593E658D" w14:textId="77777777" w:rsidR="00471C1A" w:rsidRPr="00605524" w:rsidRDefault="00471C1A" w:rsidP="004D7D64">
            <w:pPr>
              <w:keepNext/>
              <w:keepLines/>
              <w:widowControl w:val="0"/>
              <w:spacing w:after="0"/>
              <w:jc w:val="center"/>
              <w:rPr>
                <w:rFonts w:eastAsia="Times New Roman" w:cs="Times New Roman"/>
                <w:sz w:val="20"/>
                <w:szCs w:val="20"/>
                <w:lang w:val="en-US"/>
              </w:rPr>
            </w:pPr>
          </w:p>
        </w:tc>
      </w:tr>
      <w:tr w:rsidR="00471C1A" w:rsidRPr="0077482A" w14:paraId="5C26B5B2" w14:textId="77777777" w:rsidTr="00807021">
        <w:tc>
          <w:tcPr>
            <w:tcW w:w="2932" w:type="dxa"/>
            <w:hideMark/>
          </w:tcPr>
          <w:p w14:paraId="03148700"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Median (95% CI) (months)</w:t>
            </w:r>
          </w:p>
        </w:tc>
        <w:tc>
          <w:tcPr>
            <w:tcW w:w="3063" w:type="dxa"/>
            <w:gridSpan w:val="3"/>
            <w:hideMark/>
          </w:tcPr>
          <w:p w14:paraId="458BBFD3"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3.48 (2.14, 4.86)</w:t>
            </w:r>
          </w:p>
        </w:tc>
        <w:tc>
          <w:tcPr>
            <w:tcW w:w="3031" w:type="dxa"/>
            <w:gridSpan w:val="3"/>
            <w:hideMark/>
          </w:tcPr>
          <w:p w14:paraId="1D4ADDAB"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2.83 (2.10, 3.52)</w:t>
            </w:r>
          </w:p>
        </w:tc>
      </w:tr>
      <w:tr w:rsidR="00471C1A" w:rsidRPr="0077482A" w14:paraId="48F58B39" w14:textId="77777777" w:rsidTr="00807021">
        <w:tc>
          <w:tcPr>
            <w:tcW w:w="2932" w:type="dxa"/>
            <w:tcBorders>
              <w:top w:val="nil"/>
              <w:left w:val="nil"/>
              <w:bottom w:val="single" w:sz="4" w:space="0" w:color="auto"/>
              <w:right w:val="nil"/>
            </w:tcBorders>
            <w:hideMark/>
          </w:tcPr>
          <w:p w14:paraId="54155FEE" w14:textId="77777777" w:rsidR="00471C1A" w:rsidRPr="00605524" w:rsidRDefault="00471C1A" w:rsidP="00807021">
            <w:pPr>
              <w:keepNext/>
              <w:keepLines/>
              <w:tabs>
                <w:tab w:val="left" w:pos="180"/>
              </w:tabs>
              <w:spacing w:after="0"/>
              <w:rPr>
                <w:rFonts w:eastAsia="Times New Roman" w:cs="Times New Roman"/>
                <w:sz w:val="20"/>
                <w:szCs w:val="20"/>
                <w:lang w:val="en-US"/>
              </w:rPr>
            </w:pPr>
            <w:r w:rsidRPr="00605524">
              <w:rPr>
                <w:rFonts w:eastAsia="Times New Roman" w:cs="Times New Roman"/>
                <w:sz w:val="20"/>
                <w:szCs w:val="20"/>
                <w:lang w:val="en-US"/>
              </w:rPr>
              <w:tab/>
              <w:t>Rate % (95% CI) at 12 months</w:t>
            </w:r>
          </w:p>
        </w:tc>
        <w:tc>
          <w:tcPr>
            <w:tcW w:w="3063" w:type="dxa"/>
            <w:gridSpan w:val="3"/>
            <w:tcBorders>
              <w:top w:val="nil"/>
              <w:left w:val="nil"/>
              <w:bottom w:val="single" w:sz="4" w:space="0" w:color="auto"/>
              <w:right w:val="nil"/>
            </w:tcBorders>
            <w:hideMark/>
          </w:tcPr>
          <w:p w14:paraId="530E0760" w14:textId="77777777" w:rsidR="00471C1A" w:rsidRPr="00605524" w:rsidRDefault="00471C1A" w:rsidP="004D7D64">
            <w:pPr>
              <w:keepNext/>
              <w:keepLines/>
              <w:widowControl w:val="0"/>
              <w:tabs>
                <w:tab w:val="left" w:pos="360"/>
              </w:tabs>
              <w:spacing w:before="60" w:after="60"/>
              <w:jc w:val="center"/>
              <w:rPr>
                <w:rFonts w:eastAsia="Calibri" w:cs="Times New Roman"/>
                <w:sz w:val="20"/>
                <w:szCs w:val="20"/>
              </w:rPr>
            </w:pPr>
            <w:r w:rsidRPr="00605524">
              <w:rPr>
                <w:rFonts w:eastAsia="Calibri" w:cs="Times New Roman"/>
                <w:sz w:val="20"/>
                <w:szCs w:val="20"/>
              </w:rPr>
              <w:t>20.8 (14.0, 28.4)</w:t>
            </w:r>
          </w:p>
        </w:tc>
        <w:tc>
          <w:tcPr>
            <w:tcW w:w="3031" w:type="dxa"/>
            <w:gridSpan w:val="3"/>
            <w:tcBorders>
              <w:top w:val="nil"/>
              <w:left w:val="nil"/>
              <w:bottom w:val="single" w:sz="4" w:space="0" w:color="auto"/>
              <w:right w:val="nil"/>
            </w:tcBorders>
            <w:hideMark/>
          </w:tcPr>
          <w:p w14:paraId="5C3DC684" w14:textId="77777777" w:rsidR="00471C1A" w:rsidRPr="00605524" w:rsidRDefault="00471C1A" w:rsidP="004D7D64">
            <w:pPr>
              <w:keepNext/>
              <w:keepLines/>
              <w:widowControl w:val="0"/>
              <w:tabs>
                <w:tab w:val="left" w:pos="360"/>
              </w:tabs>
              <w:spacing w:after="60"/>
              <w:jc w:val="center"/>
              <w:rPr>
                <w:rFonts w:eastAsia="Calibri" w:cs="Times New Roman"/>
                <w:sz w:val="20"/>
                <w:szCs w:val="20"/>
              </w:rPr>
            </w:pPr>
            <w:r w:rsidRPr="00605524">
              <w:rPr>
                <w:rFonts w:eastAsia="Calibri" w:cs="Times New Roman"/>
                <w:sz w:val="20"/>
                <w:szCs w:val="20"/>
              </w:rPr>
              <w:t>6.4 (2.9, 11.8)</w:t>
            </w:r>
          </w:p>
        </w:tc>
      </w:tr>
    </w:tbl>
    <w:p w14:paraId="72480F4A" w14:textId="77777777" w:rsidR="00C659AE" w:rsidRDefault="00C659AE" w:rsidP="00C659AE">
      <w:pPr>
        <w:pStyle w:val="EMEABodyText"/>
      </w:pPr>
    </w:p>
    <w:p w14:paraId="517F704F" w14:textId="43AA3FA6" w:rsidR="00C659AE" w:rsidRDefault="00C659AE" w:rsidP="009045DE">
      <w:r w:rsidRPr="00116DED">
        <w:t xml:space="preserve">The rate of disease-related symptom improvement, as measured by LCSS, was similar between the </w:t>
      </w:r>
      <w:proofErr w:type="spellStart"/>
      <w:r w:rsidRPr="00116DED">
        <w:t>nivolumab</w:t>
      </w:r>
      <w:proofErr w:type="spellEnd"/>
      <w:r w:rsidRPr="00116DED">
        <w:t xml:space="preserve"> group (18.5%) and the docetaxel group (21.2%).  The average EQ-VAS increased over time for both treatment groups, indicating better overall health status for patients remaining on treatment.</w:t>
      </w:r>
    </w:p>
    <w:p w14:paraId="7558A17D" w14:textId="5AC21483" w:rsidR="00BF2F27" w:rsidRDefault="00BF2F27" w:rsidP="009045DE">
      <w:r w:rsidRPr="00BF2F27">
        <w:t xml:space="preserve">The OS rates at 24 months were 22.9% (95% CI: 16.2, 30.3) for </w:t>
      </w:r>
      <w:proofErr w:type="spellStart"/>
      <w:r w:rsidRPr="00BF2F27">
        <w:t>nivolumab</w:t>
      </w:r>
      <w:proofErr w:type="spellEnd"/>
      <w:r w:rsidRPr="00BF2F27">
        <w:t xml:space="preserve"> and 8.0% (95% CI: 4.3, 13.3) for docetaxel. The PFS rate at 24 months for </w:t>
      </w:r>
      <w:proofErr w:type="spellStart"/>
      <w:r w:rsidRPr="00BF2F27">
        <w:t>nivolumab</w:t>
      </w:r>
      <w:proofErr w:type="spellEnd"/>
      <w:r w:rsidRPr="00BF2F27">
        <w:t xml:space="preserve"> was 15.6% (95% CI: 9.7, 22.7) and for docetaxel there were no patients at risk at 24 months as all patients had either progressed, were censored, or lost to follow-up. With minimum 24 months follow-up, objective response rates remain 20.0% for </w:t>
      </w:r>
      <w:proofErr w:type="spellStart"/>
      <w:r w:rsidRPr="00BF2F27">
        <w:t>nivolumab</w:t>
      </w:r>
      <w:proofErr w:type="spellEnd"/>
      <w:r w:rsidRPr="00BF2F27">
        <w:t xml:space="preserve"> and 8.8% for docetaxel with median durations of response 25.2 months (range: 2.9, 30.4) and 8.4 months (range: 1.4+, 18.0+), respectively.</w:t>
      </w:r>
    </w:p>
    <w:p w14:paraId="41B8CBA1" w14:textId="141B7CB8" w:rsidR="00C659AE" w:rsidRPr="000671A0" w:rsidRDefault="00C659AE" w:rsidP="000671A0">
      <w:pPr>
        <w:rPr>
          <w:b/>
        </w:rPr>
      </w:pPr>
      <w:r w:rsidRPr="000671A0">
        <w:rPr>
          <w:b/>
        </w:rPr>
        <w:t xml:space="preserve">Study (CA209063). </w:t>
      </w:r>
      <w:proofErr w:type="gramStart"/>
      <w:r w:rsidRPr="000671A0">
        <w:rPr>
          <w:b/>
        </w:rPr>
        <w:t xml:space="preserve">A Single-Arm Phase 2 Study of </w:t>
      </w:r>
      <w:proofErr w:type="spellStart"/>
      <w:r w:rsidRPr="000671A0">
        <w:rPr>
          <w:b/>
        </w:rPr>
        <w:t>Nivolumab</w:t>
      </w:r>
      <w:proofErr w:type="spellEnd"/>
      <w:r w:rsidRPr="000671A0">
        <w:rPr>
          <w:b/>
        </w:rPr>
        <w:t xml:space="preserve"> in Subjects with Advanced or Metastatic Squamous Cell Non-Small Cell Lung Cancer Who Have Received at Least Two Prior Systemic Regimens</w:t>
      </w:r>
      <w:r w:rsidR="00471C1A" w:rsidRPr="000671A0">
        <w:rPr>
          <w:b/>
        </w:rPr>
        <w:t>.</w:t>
      </w:r>
      <w:proofErr w:type="gramEnd"/>
    </w:p>
    <w:p w14:paraId="72EDCDED" w14:textId="77777777" w:rsidR="00C659AE" w:rsidRPr="00157F29" w:rsidRDefault="00C659AE" w:rsidP="009045DE">
      <w:pPr>
        <w:rPr>
          <w:noProof/>
        </w:rPr>
      </w:pPr>
      <w:r w:rsidRPr="009623FC">
        <w:rPr>
          <w:noProof/>
        </w:rPr>
        <w:t xml:space="preserve">Study CA209063 was a single-arm, open-label study conducted in 117 patients with locally advanced or metastatic squamous NSCLC after two or more lines of therapy; otherwise similar inclusion criteria as study CA209017 were applied. Nivolumab 3 mg/kg showed an overall response rate of 14.5% (95% CI: 8.7,22.2%), a median OS of 8.21 months (95% CI: 6.05,10.9), and a median PFS of </w:t>
      </w:r>
      <w:r w:rsidRPr="009623FC">
        <w:rPr>
          <w:noProof/>
        </w:rPr>
        <w:lastRenderedPageBreak/>
        <w:t>1.87 months (95% CI 1.77,3.15). The PFS was measured by RECIST, version 1.1. The estimated 1-year survival rate was 41%.</w:t>
      </w:r>
    </w:p>
    <w:p w14:paraId="6B6B723D" w14:textId="56EBD795" w:rsidR="00C659AE" w:rsidRPr="00605524" w:rsidRDefault="00605524" w:rsidP="003E47FA">
      <w:pPr>
        <w:pStyle w:val="Heading3"/>
      </w:pPr>
      <w:r w:rsidRPr="00605524">
        <w:t xml:space="preserve">Non squamous non small cell lung cancer </w:t>
      </w:r>
      <w:r w:rsidR="00C659AE" w:rsidRPr="00605524">
        <w:t>(NSQ NSCLC)</w:t>
      </w:r>
    </w:p>
    <w:p w14:paraId="140A8DB1" w14:textId="52CF02F6" w:rsidR="00C659AE" w:rsidRPr="000671A0" w:rsidRDefault="00C659AE" w:rsidP="000671A0">
      <w:pPr>
        <w:rPr>
          <w:b/>
        </w:rPr>
      </w:pPr>
      <w:r w:rsidRPr="000671A0">
        <w:rPr>
          <w:b/>
        </w:rPr>
        <w:t xml:space="preserve">Study CA209057. An Open-label Randomised Phase 3 Trial of </w:t>
      </w:r>
      <w:proofErr w:type="spellStart"/>
      <w:r w:rsidRPr="000671A0">
        <w:rPr>
          <w:b/>
        </w:rPr>
        <w:t>Nivolumab</w:t>
      </w:r>
      <w:proofErr w:type="spellEnd"/>
      <w:r w:rsidRPr="000671A0">
        <w:rPr>
          <w:b/>
        </w:rPr>
        <w:t xml:space="preserve"> versus Docetaxel in Previously Treated Advanced or Metastatic Non Squamous Cell Non-small Cell Lung Cancer (NSQ NSCLC).</w:t>
      </w:r>
    </w:p>
    <w:p w14:paraId="0528039F" w14:textId="77777777" w:rsidR="00C659AE" w:rsidRPr="006214ED" w:rsidRDefault="00C659AE" w:rsidP="009045DE">
      <w:pPr>
        <w:rPr>
          <w:noProof/>
        </w:rPr>
      </w:pPr>
      <w:r w:rsidRPr="006214ED">
        <w:rPr>
          <w:noProof/>
        </w:rPr>
        <w:t>The safety and efficacy of nivolumab 3 mg/kg as a single agent for the treatment of advanced or metastatic non-squamous NSCLC were evaluated in a phase 3, randomised, open-label study (CA209057). The study included patients (18 years or older) who have experienced disease progression during or after one prior platinum doublet-based chemotherapy regimen which may have included maintenance therapy and who had an ECOG performance status score of 0 or 1. An additional line of TKI therapy was allowed for patients with known EGFR mutation or ALK translocation</w:t>
      </w:r>
      <w:r>
        <w:rPr>
          <w:noProof/>
        </w:rPr>
        <w:t>.</w:t>
      </w:r>
      <w:r w:rsidRPr="006214ED">
        <w:rPr>
          <w:noProof/>
        </w:rPr>
        <w:t xml:space="preserve"> Patients were enrolled regardless of their PD-L1 status. Patients with active autoimmune disease, symptomatic interstitial lung disease,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 </w:t>
      </w:r>
    </w:p>
    <w:p w14:paraId="3950C173" w14:textId="77777777" w:rsidR="00C659AE" w:rsidRPr="006214ED" w:rsidRDefault="00C659AE" w:rsidP="009045DE">
      <w:pPr>
        <w:rPr>
          <w:noProof/>
        </w:rPr>
      </w:pPr>
      <w:r w:rsidRPr="006214ED">
        <w:rPr>
          <w:noProof/>
        </w:rPr>
        <w:t>A total of 582 patients were randomised to receive either nivolumab 3 mg/kg administered intravenously over 60 minutes every 2 weeks (n = 292) or docetaxel 75 mg/m</w:t>
      </w:r>
      <w:r w:rsidRPr="006214ED">
        <w:rPr>
          <w:noProof/>
          <w:vertAlign w:val="superscript"/>
        </w:rPr>
        <w:t>2</w:t>
      </w:r>
      <w:r w:rsidRPr="006214ED">
        <w:rPr>
          <w:noProof/>
        </w:rPr>
        <w:t xml:space="preserve"> every 3 weeks (n = 290). Treatment was continued as long as clinical benefit was observed or until treatment was no longer tolerated. Tumour assessments, according to the RECIST version 1.1, were conducted 9 weeks after randomisation and continued every 6 weeks thereafter. The primary efficacy outcome measure was OS. Key secondary efficacy outcome measures were investigator-assessed ORR and PFS. In addition, symptom improvement and overall health status were assessed using the LCSS average symptom burden index and the EQ-5D Visual Analogue Scale (EQ-VAS), respectively.</w:t>
      </w:r>
    </w:p>
    <w:p w14:paraId="0A87A3E7" w14:textId="77777777" w:rsidR="00C659AE" w:rsidRPr="00AA7F53" w:rsidRDefault="00C659AE" w:rsidP="009045DE">
      <w:pPr>
        <w:rPr>
          <w:noProof/>
        </w:rPr>
      </w:pPr>
      <w:r w:rsidRPr="00AA7F53">
        <w:rPr>
          <w:noProof/>
        </w:rPr>
        <w:t xml:space="preserve">The median age was 62 years (range: 21 to 85) with 34% </w:t>
      </w:r>
      <w:r w:rsidRPr="00AA7F53">
        <w:rPr>
          <w:noProof/>
        </w:rPr>
        <w:sym w:font="Symbol" w:char="F0B3"/>
      </w:r>
      <w:r w:rsidRPr="00AA7F53">
        <w:rPr>
          <w:noProof/>
        </w:rPr>
        <w:t xml:space="preserve">65 years of age and 7% </w:t>
      </w:r>
      <w:r w:rsidRPr="00AA7F53">
        <w:rPr>
          <w:noProof/>
        </w:rPr>
        <w:sym w:font="Symbol" w:char="F0B3"/>
      </w:r>
      <w:r w:rsidRPr="00AA7F53">
        <w:rPr>
          <w:noProof/>
        </w:rPr>
        <w:t>75 years of age. The majority of patients were white (92%) and male (55%). Baseline ECOG performance status was 0 (31%) or 1 (69%). Seventy-nine percent of patients were former/current smokers.</w:t>
      </w:r>
    </w:p>
    <w:p w14:paraId="046230CD" w14:textId="5574DA80" w:rsidR="00C659AE" w:rsidRPr="006214ED" w:rsidRDefault="00C659AE" w:rsidP="009045DE">
      <w:pPr>
        <w:rPr>
          <w:noProof/>
        </w:rPr>
      </w:pPr>
      <w:r w:rsidRPr="006214ED">
        <w:rPr>
          <w:noProof/>
        </w:rPr>
        <w:t>The Kaplan-Meier curves for OS are shown in Figure </w:t>
      </w:r>
      <w:r w:rsidR="00777194">
        <w:rPr>
          <w:noProof/>
        </w:rPr>
        <w:t>7</w:t>
      </w:r>
      <w:r w:rsidRPr="006214ED">
        <w:rPr>
          <w:noProof/>
        </w:rPr>
        <w:t>.</w:t>
      </w:r>
    </w:p>
    <w:p w14:paraId="45F6DA73" w14:textId="7B015FC9" w:rsidR="00C659AE" w:rsidRPr="00605524" w:rsidRDefault="00C659AE" w:rsidP="004D7D64">
      <w:pPr>
        <w:pStyle w:val="EMEABodyText"/>
        <w:keepNext/>
        <w:keepLines/>
        <w:widowControl w:val="0"/>
        <w:ind w:left="1701" w:hanging="1701"/>
        <w:rPr>
          <w:b/>
          <w:color w:val="000000" w:themeColor="text1"/>
          <w:szCs w:val="22"/>
        </w:rPr>
      </w:pPr>
      <w:r w:rsidRPr="00605524">
        <w:rPr>
          <w:b/>
          <w:color w:val="000000" w:themeColor="text1"/>
          <w:szCs w:val="22"/>
        </w:rPr>
        <w:lastRenderedPageBreak/>
        <w:t xml:space="preserve">Figure </w:t>
      </w:r>
      <w:r w:rsidR="00777194">
        <w:rPr>
          <w:b/>
          <w:color w:val="000000" w:themeColor="text1"/>
          <w:szCs w:val="22"/>
        </w:rPr>
        <w:t>7</w:t>
      </w:r>
      <w:r w:rsidRPr="00605524">
        <w:rPr>
          <w:b/>
          <w:color w:val="000000" w:themeColor="text1"/>
          <w:szCs w:val="22"/>
        </w:rPr>
        <w:t xml:space="preserve">: </w:t>
      </w:r>
      <w:r w:rsidR="00605524" w:rsidRPr="00605524">
        <w:rPr>
          <w:b/>
          <w:color w:val="000000" w:themeColor="text1"/>
          <w:szCs w:val="22"/>
        </w:rPr>
        <w:tab/>
      </w:r>
      <w:r w:rsidRPr="00605524">
        <w:rPr>
          <w:b/>
          <w:color w:val="000000" w:themeColor="text1"/>
          <w:szCs w:val="22"/>
        </w:rPr>
        <w:t>Kaplan-Meier curves of OS (CA209057)</w:t>
      </w:r>
    </w:p>
    <w:p w14:paraId="2A274D8A" w14:textId="77777777" w:rsidR="00C659AE" w:rsidRPr="006214ED" w:rsidRDefault="00C659AE" w:rsidP="004D7D64">
      <w:pPr>
        <w:pStyle w:val="EMEABodyText"/>
        <w:keepNext/>
        <w:keepLines/>
        <w:widowControl w:val="0"/>
        <w:rPr>
          <w:noProof/>
          <w:color w:val="000000" w:themeColor="text1"/>
        </w:rPr>
      </w:pPr>
      <w:r w:rsidRPr="006214ED">
        <w:rPr>
          <w:noProof/>
          <w:color w:val="000000" w:themeColor="text1"/>
          <w:lang w:val="en-AU" w:eastAsia="en-AU"/>
        </w:rPr>
        <mc:AlternateContent>
          <mc:Choice Requires="wpg">
            <w:drawing>
              <wp:inline distT="0" distB="0" distL="0" distR="0" wp14:anchorId="723F1429" wp14:editId="78F54BB9">
                <wp:extent cx="5939155" cy="4923155"/>
                <wp:effectExtent l="0" t="0" r="4445"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4923155"/>
                          <a:chOff x="15240" y="7620"/>
                          <a:chExt cx="59889" cy="49625"/>
                        </a:xfrm>
                      </wpg:grpSpPr>
                      <pic:pic xmlns:pic="http://schemas.openxmlformats.org/drawingml/2006/picture">
                        <pic:nvPicPr>
                          <pic:cNvPr id="36" name="Picture 16"/>
                          <pic:cNvPicPr>
                            <a:picLocks noChangeAspect="1" noChangeArrowheads="1"/>
                          </pic:cNvPicPr>
                        </pic:nvPicPr>
                        <pic:blipFill>
                          <a:blip r:embed="rId16">
                            <a:extLst>
                              <a:ext uri="{28A0092B-C50C-407E-A947-70E740481C1C}">
                                <a14:useLocalDpi xmlns:a14="http://schemas.microsoft.com/office/drawing/2010/main" val="0"/>
                              </a:ext>
                            </a:extLst>
                          </a:blip>
                          <a:srcRect b="22650"/>
                          <a:stretch>
                            <a:fillRect/>
                          </a:stretch>
                        </pic:blipFill>
                        <pic:spPr bwMode="auto">
                          <a:xfrm>
                            <a:off x="15240" y="7620"/>
                            <a:ext cx="59404" cy="41148"/>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17"/>
                        <wpg:cNvGrpSpPr>
                          <a:grpSpLocks/>
                        </wpg:cNvGrpSpPr>
                        <wpg:grpSpPr bwMode="auto">
                          <a:xfrm>
                            <a:off x="24384" y="37338"/>
                            <a:ext cx="10023" cy="3990"/>
                            <a:chOff x="24384" y="37338"/>
                            <a:chExt cx="10023" cy="3990"/>
                          </a:xfrm>
                        </wpg:grpSpPr>
                        <wps:wsp>
                          <wps:cNvPr id="38" name="Isosceles Triangle 20"/>
                          <wps:cNvSpPr>
                            <a:spLocks noChangeArrowheads="1"/>
                          </wps:cNvSpPr>
                          <wps:spPr bwMode="auto">
                            <a:xfrm>
                              <a:off x="25379" y="37870"/>
                              <a:ext cx="996" cy="887"/>
                            </a:xfrm>
                            <a:prstGeom prst="triangle">
                              <a:avLst>
                                <a:gd name="adj" fmla="val 50000"/>
                              </a:avLst>
                            </a:prstGeom>
                            <a:solidFill>
                              <a:schemeClr val="bg1">
                                <a:lumMod val="100000"/>
                                <a:lumOff val="0"/>
                              </a:schemeClr>
                            </a:solidFill>
                            <a:ln w="8890">
                              <a:solidFill>
                                <a:schemeClr val="tx1">
                                  <a:lumMod val="85000"/>
                                  <a:lumOff val="15000"/>
                                </a:schemeClr>
                              </a:solidFill>
                              <a:miter lim="800000"/>
                              <a:headEnd/>
                              <a:tailEnd/>
                            </a:ln>
                          </wps:spPr>
                          <wps:bodyPr rot="0" vert="horz" wrap="square" lIns="91440" tIns="45720" rIns="91440" bIns="45720" anchor="ctr" anchorCtr="0" upright="1">
                            <a:noAutofit/>
                          </wps:bodyPr>
                        </wps:wsp>
                        <wps:wsp>
                          <wps:cNvPr id="39" name="Straight Connector 21"/>
                          <wps:cNvCnPr>
                            <a:cxnSpLocks noChangeShapeType="1"/>
                          </wps:cNvCnPr>
                          <wps:spPr bwMode="auto">
                            <a:xfrm>
                              <a:off x="24384" y="38313"/>
                              <a:ext cx="2987" cy="0"/>
                            </a:xfrm>
                            <a:prstGeom prst="line">
                              <a:avLst/>
                            </a:prstGeom>
                            <a:noFill/>
                            <a:ln w="8890">
                              <a:solidFill>
                                <a:schemeClr val="tx1">
                                  <a:lumMod val="85000"/>
                                  <a:lumOff val="15000"/>
                                </a:schemeClr>
                              </a:solidFill>
                              <a:round/>
                              <a:headEnd/>
                              <a:tailEnd/>
                            </a:ln>
                            <a:extLst>
                              <a:ext uri="{909E8E84-426E-40DD-AFC4-6F175D3DCCD1}">
                                <a14:hiddenFill xmlns:a14="http://schemas.microsoft.com/office/drawing/2010/main">
                                  <a:noFill/>
                                </a14:hiddenFill>
                              </a:ext>
                            </a:extLst>
                          </wps:spPr>
                          <wps:bodyPr/>
                        </wps:wsp>
                        <wps:wsp>
                          <wps:cNvPr id="40" name="Oval 22"/>
                          <wps:cNvSpPr>
                            <a:spLocks noChangeArrowheads="1"/>
                          </wps:cNvSpPr>
                          <wps:spPr bwMode="auto">
                            <a:xfrm>
                              <a:off x="25379" y="39644"/>
                              <a:ext cx="996" cy="887"/>
                            </a:xfrm>
                            <a:prstGeom prst="ellipse">
                              <a:avLst/>
                            </a:prstGeom>
                            <a:noFill/>
                            <a:ln w="8890">
                              <a:solidFill>
                                <a:schemeClr val="tx1">
                                  <a:lumMod val="85000"/>
                                  <a:lumOff val="15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Straight Connector 23"/>
                          <wps:cNvCnPr>
                            <a:cxnSpLocks noChangeShapeType="1"/>
                          </wps:cNvCnPr>
                          <wps:spPr bwMode="auto">
                            <a:xfrm>
                              <a:off x="24384" y="40088"/>
                              <a:ext cx="2987" cy="0"/>
                            </a:xfrm>
                            <a:prstGeom prst="line">
                              <a:avLst/>
                            </a:prstGeom>
                            <a:noFill/>
                            <a:ln w="8890">
                              <a:solidFill>
                                <a:schemeClr val="tx1">
                                  <a:lumMod val="85000"/>
                                  <a:lumOff val="15000"/>
                                </a:schemeClr>
                              </a:solidFill>
                              <a:prstDash val="dash"/>
                              <a:round/>
                              <a:headEnd/>
                              <a:tailEnd/>
                            </a:ln>
                            <a:extLst>
                              <a:ext uri="{909E8E84-426E-40DD-AFC4-6F175D3DCCD1}">
                                <a14:hiddenFill xmlns:a14="http://schemas.microsoft.com/office/drawing/2010/main">
                                  <a:noFill/>
                                </a14:hiddenFill>
                              </a:ext>
                            </a:extLst>
                          </wps:spPr>
                          <wps:bodyPr/>
                        </wps:wsp>
                        <wps:wsp>
                          <wps:cNvPr id="42" name="TextBox 9"/>
                          <wps:cNvSpPr txBox="1">
                            <a:spLocks noChangeArrowheads="1"/>
                          </wps:cNvSpPr>
                          <wps:spPr bwMode="auto">
                            <a:xfrm>
                              <a:off x="27370" y="37338"/>
                              <a:ext cx="6826"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F0A70" w14:textId="77777777" w:rsidR="00683B20" w:rsidRDefault="00683B20" w:rsidP="00C659AE">
                                <w:pPr>
                                  <w:pStyle w:val="NormalWeb"/>
                                  <w:spacing w:before="0" w:beforeAutospacing="0" w:after="0" w:afterAutospacing="0"/>
                                </w:pPr>
                                <w:r>
                                  <w:rPr>
                                    <w:rFonts w:ascii="Arial" w:hAnsi="Arial" w:cs="Arial"/>
                                    <w:color w:val="000000" w:themeColor="text1"/>
                                    <w:kern w:val="24"/>
                                    <w:sz w:val="20"/>
                                    <w:szCs w:val="20"/>
                                  </w:rPr>
                                  <w:t>OPDIVO</w:t>
                                </w:r>
                              </w:p>
                            </w:txbxContent>
                          </wps:txbx>
                          <wps:bodyPr rot="0" vert="horz" wrap="none" lIns="91440" tIns="45720" rIns="91440" bIns="45720" anchor="t" anchorCtr="0" upright="1">
                            <a:spAutoFit/>
                          </wps:bodyPr>
                        </wps:wsp>
                        <wps:wsp>
                          <wps:cNvPr id="43" name="TextBox 10"/>
                          <wps:cNvSpPr txBox="1">
                            <a:spLocks noChangeArrowheads="1"/>
                          </wps:cNvSpPr>
                          <wps:spPr bwMode="auto">
                            <a:xfrm>
                              <a:off x="27370" y="38934"/>
                              <a:ext cx="7037"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58489" w14:textId="77777777" w:rsidR="00683B20" w:rsidRDefault="00683B20" w:rsidP="00C659AE">
                                <w:pPr>
                                  <w:pStyle w:val="NormalWeb"/>
                                  <w:spacing w:before="0" w:beforeAutospacing="0" w:after="0" w:afterAutospacing="0"/>
                                </w:pPr>
                                <w:r>
                                  <w:rPr>
                                    <w:color w:val="000000" w:themeColor="text1"/>
                                    <w:kern w:val="24"/>
                                    <w:sz w:val="20"/>
                                    <w:szCs w:val="20"/>
                                  </w:rPr>
                                  <w:t>Docetaxel</w:t>
                                </w:r>
                              </w:p>
                            </w:txbxContent>
                          </wps:txbx>
                          <wps:bodyPr rot="0" vert="horz" wrap="none" lIns="91440" tIns="45720" rIns="91440" bIns="45720" anchor="t" anchorCtr="0" upright="1">
                            <a:spAutoFit/>
                          </wps:bodyPr>
                        </wps:wsp>
                      </wpg:grpSp>
                      <wps:wsp>
                        <wps:cNvPr id="44" name="TextBox 11"/>
                        <wps:cNvSpPr txBox="1">
                          <a:spLocks noChangeArrowheads="1"/>
                        </wps:cNvSpPr>
                        <wps:spPr bwMode="auto">
                          <a:xfrm>
                            <a:off x="17456" y="48768"/>
                            <a:ext cx="10674" cy="3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A4213" w14:textId="77777777" w:rsidR="00683B20" w:rsidRPr="00CD7A52" w:rsidRDefault="00683B20"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Number at Risk</w:t>
                              </w:r>
                            </w:p>
                            <w:p w14:paraId="249588B4" w14:textId="77777777" w:rsidR="00683B20" w:rsidRPr="00CD7A52" w:rsidRDefault="00683B20"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OPDIVO</w:t>
                              </w:r>
                            </w:p>
                          </w:txbxContent>
                        </wps:txbx>
                        <wps:bodyPr rot="0" vert="horz" wrap="none" lIns="91440" tIns="45720" rIns="91440" bIns="45720" anchor="t" anchorCtr="0" upright="1">
                          <a:spAutoFit/>
                        </wps:bodyPr>
                      </wps:wsp>
                      <pic:pic xmlns:pic="http://schemas.openxmlformats.org/drawingml/2006/picture">
                        <pic:nvPicPr>
                          <pic:cNvPr id="45" name="Picture 19"/>
                          <pic:cNvPicPr>
                            <a:picLocks noChangeAspect="1" noChangeArrowheads="1"/>
                          </pic:cNvPicPr>
                        </pic:nvPicPr>
                        <pic:blipFill>
                          <a:blip r:embed="rId16">
                            <a:extLst>
                              <a:ext uri="{28A0092B-C50C-407E-A947-70E740481C1C}">
                                <a14:useLocalDpi xmlns:a14="http://schemas.microsoft.com/office/drawing/2010/main" val="0"/>
                              </a:ext>
                            </a:extLst>
                          </a:blip>
                          <a:srcRect t="83797" b="6177"/>
                          <a:stretch>
                            <a:fillRect/>
                          </a:stretch>
                        </pic:blipFill>
                        <pic:spPr bwMode="auto">
                          <a:xfrm>
                            <a:off x="15724" y="51911"/>
                            <a:ext cx="59405" cy="53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35" o:spid="_x0000_s1028" style="width:467.65pt;height:387.65pt;mso-position-horizontal-relative:char;mso-position-vertical-relative:line" coordorigin="15240,7620" coordsize="59889,49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5240;top:7620;width:59404;height:41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rwfCAAAA2wAAAA8AAABkcnMvZG93bnJldi54bWxEj0FrwkAUhO8F/8PyCr01u20gSHQVEYSe&#10;Co0p4u2RfSbB7NuQXZP037uC0OMwM98w6+1sOzHS4FvHGj4SBYK4cqblWkN5PLwvQfiAbLBzTBr+&#10;yMN2s3hZY27cxD80FqEWEcI+Rw1NCH0upa8asugT1xNH7+IGiyHKoZZmwCnCbSc/lcqkxZbjQoM9&#10;7RuqrsXNajj3IT2UJ6bu19nLzi5Vpr5Lrd9e590KRKA5/Ief7S+jIc3g8SX+ALm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q8HwgAAANsAAAAPAAAAAAAAAAAAAAAAAJ8C&#10;AABkcnMvZG93bnJldi54bWxQSwUGAAAAAAQABAD3AAAAjgMAAAAA&#10;">
                  <v:imagedata r:id="rId17" o:title="" cropbottom="14844f"/>
                </v:shape>
                <v:group id="Group 17" o:spid="_x0000_s1030" style="position:absolute;left:24384;top:37338;width:10023;height:3990" coordorigin="24384,37338" coordsize="10023,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31" type="#_x0000_t5" style="position:absolute;left:25379;top:37870;width:996;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pG74A&#10;AADbAAAADwAAAGRycy9kb3ducmV2LnhtbERPz2vCMBS+D/wfwhN2W1MVZNZGkbGBtzErnh/Na1Js&#10;XkqTtd1/vxwEjx/f7/I4u06MNITWs4JVloMgrr1u2Si4Vl9v7yBCRNbYeSYFfxTgeFi8lFhoP/EP&#10;jZdoRArhUKACG2NfSBlqSw5D5nvixDV+cBgTHIzUA04p3HVynedb6bDl1GCxpw9L9f3y6xToqfn2&#10;bqe362ozj9Xn2cjpZpR6Xc6nPYhIc3yKH+6zVrBJY9OX9APk4R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eiaRu+AAAA2wAAAA8AAAAAAAAAAAAAAAAAmAIAAGRycy9kb3ducmV2&#10;LnhtbFBLBQYAAAAABAAEAPUAAACDAwAAAAA=&#10;" fillcolor="white [3212]" strokecolor="#272727 [2749]" strokeweight=".7pt"/>
                  <v:line id="Straight Connector 21" o:spid="_x0000_s1032" style="position:absolute;visibility:visible;mso-wrap-style:square" from="24384,38313" to="27371,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hksUAAADbAAAADwAAAGRycy9kb3ducmV2LnhtbESP3WrCQBSE7wt9h+UUvNNNDdqYukpR&#10;FKm98ecBDtnTJCR7NmRXE316tyD0cpiZb5j5sje1uFLrSssK3kcRCOLM6pJzBefTZpiAcB5ZY22Z&#10;FNzIwXLx+jLHVNuOD3Q9+lwECLsUFRTeN6mULivIoBvZhjh4v7Y16INsc6lb7ALc1HIcRVNpsOSw&#10;UGBDq4Ky6ngxCrJq322ncWJv6+S7+jDx5N7/TJQavPVfnyA89f4//GzvtIJ4Bn9fw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ChksUAAADbAAAADwAAAAAAAAAA&#10;AAAAAAChAgAAZHJzL2Rvd25yZXYueG1sUEsFBgAAAAAEAAQA+QAAAJMDAAAAAA==&#10;" strokecolor="#272727 [2749]" strokeweight=".7pt"/>
                  <v:oval id="Oval 22" o:spid="_x0000_s1033" style="position:absolute;left:25379;top:39644;width:996;height: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gQsIA&#10;AADbAAAADwAAAGRycy9kb3ducmV2LnhtbERPz2vCMBS+C/4P4Q282XSzDOmMIo6xXcaYrgdvz+bZ&#10;FJuX2mS1/e+Xw8Djx/d7tRlsI3rqfO1YwWOSgiAuna65UvBzeJsvQfiArLFxTApG8rBZTycrzLW7&#10;8Tf1+1CJGMI+RwUmhDaX0peGLPrEtcSRO7vOYoiwq6Tu8BbDbSOf0vRZWqw5NhhsaWeovOx/rYLC&#10;nN8vpvg6jidnFsesv5afr1elZg/D9gVEoCHcxf/uD60gi+vj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yBCwgAAANsAAAAPAAAAAAAAAAAAAAAAAJgCAABkcnMvZG93&#10;bnJldi54bWxQSwUGAAAAAAQABAD1AAAAhwMAAAAA&#10;" filled="f" strokecolor="#272727 [2749]" strokeweight=".7pt"/>
                  <v:line id="Straight Connector 23" o:spid="_x0000_s1034" style="position:absolute;visibility:visible;mso-wrap-style:square" from="24384,40088" to="27371,4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WVr8AAADbAAAADwAAAGRycy9kb3ducmV2LnhtbESPywrCMBBF94L/EEZwI5oqIlKNooKi&#10;K58fMDTTBzaT0kStf28EweXlPg53vmxMKZ5Uu8KyguEgAkGcWF1wpuB23fanIJxH1lhaJgVvcrBc&#10;tFtzjLV98ZmeF5+JMMIuRgW591UspUtyMugGtiIOXmprgz7IOpO6xlcYN6UcRdFEGiw4EHKsaJNT&#10;cr88TOBOzkdzOG4PaTbdrdL1uCevp55S3U6zmoHw1Ph/+NfeawXjIXy/hB8gF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vWVr8AAADbAAAADwAAAAAAAAAAAAAAAACh&#10;AgAAZHJzL2Rvd25yZXYueG1sUEsFBgAAAAAEAAQA+QAAAI0DAAAAAA==&#10;" strokecolor="#272727 [2749]" strokeweight=".7pt">
                    <v:stroke dashstyle="dash"/>
                  </v:line>
                  <v:shape id="TextBox 9" o:spid="_x0000_s1035" type="#_x0000_t202" style="position:absolute;left:27370;top:37338;width:6826;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uKsMA&#10;AADbAAAADwAAAGRycy9kb3ducmV2LnhtbESP0WrCQBRE34X+w3ILvunGoKLRVYpV8E2rfsAle5tN&#10;k70bsqum/XpXEPo4zMwZZrnubC1u1PrSsYLRMAFBnDtdcqHgct4NZiB8QNZYOyYFv+RhvXrrLTHT&#10;7s5fdDuFQkQI+wwVmBCaTEqfG7Loh64hjt63ay2GKNtC6hbvEW5rmSbJVFosOS4YbGhjKK9OV6tg&#10;lthDVc3To7fjv9HEbD7dtvlRqv/efSxABOrCf/jV3msF4x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3uKsMAAADbAAAADwAAAAAAAAAAAAAAAACYAgAAZHJzL2Rv&#10;d25yZXYueG1sUEsFBgAAAAAEAAQA9QAAAIgDAAAAAA==&#10;" filled="f" stroked="f">
                    <v:textbox style="mso-fit-shape-to-text:t">
                      <w:txbxContent>
                        <w:p w14:paraId="295F0A70" w14:textId="77777777" w:rsidR="00683B20" w:rsidRDefault="00683B20" w:rsidP="00C659AE">
                          <w:pPr>
                            <w:pStyle w:val="NormalWeb"/>
                            <w:spacing w:before="0" w:beforeAutospacing="0" w:after="0" w:afterAutospacing="0"/>
                          </w:pPr>
                          <w:r>
                            <w:rPr>
                              <w:rFonts w:ascii="Arial" w:hAnsi="Arial" w:cs="Arial"/>
                              <w:color w:val="000000" w:themeColor="text1"/>
                              <w:kern w:val="24"/>
                              <w:sz w:val="20"/>
                              <w:szCs w:val="20"/>
                            </w:rPr>
                            <w:t>OPDIVO</w:t>
                          </w:r>
                        </w:p>
                      </w:txbxContent>
                    </v:textbox>
                  </v:shape>
                  <v:shape id="TextBox 10" o:spid="_x0000_s1036" type="#_x0000_t202" style="position:absolute;left:27370;top:38934;width:7037;height:23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LscQA&#10;AADbAAAADwAAAGRycy9kb3ducmV2LnhtbESPzW7CMBCE70h9B2sr9QZO+KkgjUEVtFJv0LQPsIqX&#10;OE28jmIXUp4eV0LiOJqZbzT5ZrCtOFHva8cK0kkCgrh0uuZKwffX+3gJwgdkja1jUvBHHjbrh1GO&#10;mXZn/qRTESoRIewzVGBC6DIpfWnIop+4jjh6R9dbDFH2ldQ9niPctnKaJM/SYs1xwWBHW0NlU/xa&#10;BcvE7ptmNT14O7+kC7PdubfuR6mnx+H1BUSgIdzDt/aHVjCfwf+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S7HEAAAA2wAAAA8AAAAAAAAAAAAAAAAAmAIAAGRycy9k&#10;b3ducmV2LnhtbFBLBQYAAAAABAAEAPUAAACJAwAAAAA=&#10;" filled="f" stroked="f">
                    <v:textbox style="mso-fit-shape-to-text:t">
                      <w:txbxContent>
                        <w:p w14:paraId="73D58489" w14:textId="77777777" w:rsidR="00683B20" w:rsidRDefault="00683B20" w:rsidP="00C659AE">
                          <w:pPr>
                            <w:pStyle w:val="NormalWeb"/>
                            <w:spacing w:before="0" w:beforeAutospacing="0" w:after="0" w:afterAutospacing="0"/>
                          </w:pPr>
                          <w:r>
                            <w:rPr>
                              <w:color w:val="000000" w:themeColor="text1"/>
                              <w:kern w:val="24"/>
                              <w:sz w:val="20"/>
                              <w:szCs w:val="20"/>
                            </w:rPr>
                            <w:t>Docetaxel</w:t>
                          </w:r>
                        </w:p>
                      </w:txbxContent>
                    </v:textbox>
                  </v:shape>
                </v:group>
                <v:shape id="TextBox 11" o:spid="_x0000_s1037" type="#_x0000_t202" style="position:absolute;left:17456;top:48768;width:10674;height:38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TxcQA&#10;AADbAAAADwAAAGRycy9kb3ducmV2LnhtbESP0WrCQBRE3wv9h+UW+lY3kVg0upFiLfjWGv2AS/aa&#10;jcneDdlV0359t1DwcZiZM8xqPdpOXGnwjWMF6SQBQVw53XCt4Hj4eJmD8AFZY+eYFHyTh3Xx+LDC&#10;XLsb7+lahlpECPscFZgQ+lxKXxmy6CeuJ47eyQ0WQ5RDLfWAtwi3nZwmyau02HBcMNjTxlDVlher&#10;YJ7Yz7ZdTL+8zX7Smdm8u21/Vur5aXxbggg0hnv4v73TCrIM/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08XEAAAA2wAAAA8AAAAAAAAAAAAAAAAAmAIAAGRycy9k&#10;b3ducmV2LnhtbFBLBQYAAAAABAAEAPUAAACJAwAAAAA=&#10;" filled="f" stroked="f">
                  <v:textbox style="mso-fit-shape-to-text:t">
                    <w:txbxContent>
                      <w:p w14:paraId="000A4213" w14:textId="77777777" w:rsidR="00683B20" w:rsidRPr="00CD7A52" w:rsidRDefault="00683B20"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Number at Risk</w:t>
                        </w:r>
                      </w:p>
                      <w:p w14:paraId="249588B4" w14:textId="77777777" w:rsidR="00683B20" w:rsidRPr="00CD7A52" w:rsidRDefault="00683B20" w:rsidP="00C659AE">
                        <w:pPr>
                          <w:pStyle w:val="NormalWeb"/>
                          <w:spacing w:before="0" w:beforeAutospacing="0" w:after="0" w:afterAutospacing="0"/>
                          <w:rPr>
                            <w:rFonts w:ascii="Arial" w:hAnsi="Arial" w:cs="Arial"/>
                            <w:sz w:val="20"/>
                            <w:szCs w:val="20"/>
                          </w:rPr>
                        </w:pPr>
                        <w:r w:rsidRPr="00CD7A52">
                          <w:rPr>
                            <w:rFonts w:ascii="Arial" w:hAnsi="Arial" w:cs="Arial"/>
                            <w:color w:val="000000" w:themeColor="text1"/>
                            <w:kern w:val="24"/>
                            <w:sz w:val="20"/>
                            <w:szCs w:val="20"/>
                          </w:rPr>
                          <w:t>OPDIVO</w:t>
                        </w:r>
                      </w:p>
                    </w:txbxContent>
                  </v:textbox>
                </v:shape>
                <v:shape id="Picture 19" o:spid="_x0000_s1038" type="#_x0000_t75" style="position:absolute;left:15724;top:51911;width:59405;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IvHEAAAA2wAAAA8AAABkcnMvZG93bnJldi54bWxEj19rwjAUxd8Hfodwhb3NVJkinWkR3Zgw&#10;ENSN4duluTbB5qY0mdZvvwiDPR7Onx9nUfauERfqgvWsYDzKQBBXXluuFXwe3p7mIEJE1th4JgU3&#10;ClAWg4cF5tpfeUeXfaxFGuGQowITY5tLGSpDDsPIt8TJO/nOYUyyq6Xu8JrGXSMnWTaTDi0ngsGW&#10;Voaq8/7HJe45bta92X69Hk8T/n5f2m39YZV6HPbLFxCR+vgf/mtvtILnKdy/pB8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tIvHEAAAA2wAAAA8AAAAAAAAAAAAAAAAA&#10;nwIAAGRycy9kb3ducmV2LnhtbFBLBQYAAAAABAAEAPcAAACQAwAAAAA=&#10;">
                  <v:imagedata r:id="rId17" o:title="" croptop="54917f" cropbottom="4048f"/>
                </v:shape>
                <w10:anchorlock/>
              </v:group>
            </w:pict>
          </mc:Fallback>
        </mc:AlternateContent>
      </w:r>
    </w:p>
    <w:p w14:paraId="3272B2FB" w14:textId="688E3085" w:rsidR="003E47FA" w:rsidRDefault="00C659AE" w:rsidP="009045DE">
      <w:pPr>
        <w:spacing w:before="240"/>
        <w:rPr>
          <w:noProof/>
        </w:rPr>
      </w:pPr>
      <w:r w:rsidRPr="006214ED">
        <w:rPr>
          <w:noProof/>
        </w:rPr>
        <w:t>The trial demonstrated a statistically significant improvement in OS for patients randomi</w:t>
      </w:r>
      <w:r>
        <w:rPr>
          <w:noProof/>
        </w:rPr>
        <w:t>s</w:t>
      </w:r>
      <w:r w:rsidRPr="006214ED">
        <w:rPr>
          <w:noProof/>
        </w:rPr>
        <w:t>ed to nivolumab as compared with docetaxel at the prespecified interim analysis when 413 events were observed (93% of the planned number of events for final analysis). Efficacy results are shown in Table </w:t>
      </w:r>
      <w:r w:rsidR="00736CE8">
        <w:rPr>
          <w:noProof/>
        </w:rPr>
        <w:t>15</w:t>
      </w:r>
      <w:r w:rsidR="009045DE">
        <w:rPr>
          <w:noProof/>
        </w:rPr>
        <w:t>.</w:t>
      </w:r>
    </w:p>
    <w:p w14:paraId="6E46CE84" w14:textId="32D4133E" w:rsidR="003E47FA" w:rsidRDefault="003E47FA">
      <w:pPr>
        <w:spacing w:line="276" w:lineRule="auto"/>
        <w:jc w:val="left"/>
        <w:rPr>
          <w:noProof/>
        </w:rPr>
      </w:pPr>
    </w:p>
    <w:tbl>
      <w:tblPr>
        <w:tblW w:w="0" w:type="auto"/>
        <w:tblLook w:val="04A0" w:firstRow="1" w:lastRow="0" w:firstColumn="1" w:lastColumn="0" w:noHBand="0" w:noVBand="1"/>
      </w:tblPr>
      <w:tblGrid>
        <w:gridCol w:w="3343"/>
        <w:gridCol w:w="342"/>
        <w:gridCol w:w="2634"/>
        <w:gridCol w:w="39"/>
        <w:gridCol w:w="2668"/>
      </w:tblGrid>
      <w:tr w:rsidR="00605524" w:rsidRPr="00FF1901" w14:paraId="5204501F" w14:textId="77777777" w:rsidTr="00605524">
        <w:tc>
          <w:tcPr>
            <w:tcW w:w="9026" w:type="dxa"/>
            <w:gridSpan w:val="5"/>
            <w:tcBorders>
              <w:left w:val="nil"/>
              <w:bottom w:val="single" w:sz="4" w:space="0" w:color="auto"/>
              <w:right w:val="nil"/>
            </w:tcBorders>
          </w:tcPr>
          <w:p w14:paraId="187EC2CF" w14:textId="625E0B82" w:rsidR="00605524" w:rsidRPr="001D1088" w:rsidRDefault="00605524" w:rsidP="00736CE8">
            <w:pPr>
              <w:keepNext/>
              <w:keepLines/>
              <w:widowControl w:val="0"/>
              <w:rPr>
                <w:b/>
              </w:rPr>
            </w:pPr>
            <w:r w:rsidRPr="001D1088">
              <w:rPr>
                <w:b/>
              </w:rPr>
              <w:lastRenderedPageBreak/>
              <w:t xml:space="preserve">Table </w:t>
            </w:r>
            <w:r w:rsidR="00736CE8">
              <w:rPr>
                <w:b/>
              </w:rPr>
              <w:t>15</w:t>
            </w:r>
            <w:r w:rsidRPr="001D1088">
              <w:rPr>
                <w:b/>
              </w:rPr>
              <w:t>:</w:t>
            </w:r>
            <w:r w:rsidRPr="001D1088">
              <w:rPr>
                <w:b/>
              </w:rPr>
              <w:tab/>
              <w:t>Efficacy Results (CA209057)</w:t>
            </w:r>
          </w:p>
        </w:tc>
      </w:tr>
      <w:tr w:rsidR="00FF1901" w:rsidRPr="00FF1901" w14:paraId="52FF8945" w14:textId="77777777" w:rsidTr="00FF1901">
        <w:tc>
          <w:tcPr>
            <w:tcW w:w="3685" w:type="dxa"/>
            <w:gridSpan w:val="2"/>
            <w:tcBorders>
              <w:top w:val="single" w:sz="4" w:space="0" w:color="auto"/>
              <w:left w:val="nil"/>
              <w:bottom w:val="single" w:sz="4" w:space="0" w:color="auto"/>
              <w:right w:val="nil"/>
            </w:tcBorders>
          </w:tcPr>
          <w:p w14:paraId="73B8D6CC"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p>
        </w:tc>
        <w:tc>
          <w:tcPr>
            <w:tcW w:w="2673" w:type="dxa"/>
            <w:gridSpan w:val="2"/>
            <w:tcBorders>
              <w:top w:val="single" w:sz="4" w:space="0" w:color="auto"/>
              <w:left w:val="nil"/>
              <w:bottom w:val="single" w:sz="4" w:space="0" w:color="auto"/>
              <w:right w:val="nil"/>
            </w:tcBorders>
            <w:hideMark/>
          </w:tcPr>
          <w:p w14:paraId="1515442D" w14:textId="77777777" w:rsidR="00FF1901" w:rsidRPr="00605524" w:rsidRDefault="00FF1901" w:rsidP="004D7D64">
            <w:pPr>
              <w:keepNext/>
              <w:keepLines/>
              <w:widowControl w:val="0"/>
              <w:spacing w:after="0"/>
              <w:jc w:val="center"/>
              <w:rPr>
                <w:rFonts w:eastAsia="Times New Roman" w:cs="Times New Roman"/>
                <w:b/>
                <w:color w:val="000000"/>
                <w:sz w:val="20"/>
                <w:szCs w:val="20"/>
                <w:lang w:val="en-US"/>
              </w:rPr>
            </w:pPr>
            <w:proofErr w:type="spellStart"/>
            <w:r w:rsidRPr="00605524">
              <w:rPr>
                <w:rFonts w:eastAsia="Times New Roman" w:cs="Times New Roman"/>
                <w:b/>
                <w:color w:val="000000"/>
                <w:sz w:val="20"/>
                <w:szCs w:val="20"/>
                <w:lang w:val="en-US"/>
              </w:rPr>
              <w:t>nivolumab</w:t>
            </w:r>
            <w:proofErr w:type="spellEnd"/>
            <w:r w:rsidRPr="00605524">
              <w:rPr>
                <w:rFonts w:eastAsia="Times New Roman" w:cs="Times New Roman"/>
                <w:b/>
                <w:color w:val="000000"/>
                <w:sz w:val="20"/>
                <w:szCs w:val="20"/>
                <w:lang w:val="en-US"/>
              </w:rPr>
              <w:br/>
              <w:t>(n = 292)</w:t>
            </w:r>
          </w:p>
        </w:tc>
        <w:tc>
          <w:tcPr>
            <w:tcW w:w="2668" w:type="dxa"/>
            <w:tcBorders>
              <w:top w:val="single" w:sz="4" w:space="0" w:color="auto"/>
              <w:left w:val="nil"/>
              <w:bottom w:val="single" w:sz="4" w:space="0" w:color="auto"/>
              <w:right w:val="nil"/>
            </w:tcBorders>
            <w:hideMark/>
          </w:tcPr>
          <w:p w14:paraId="6BE533C2" w14:textId="77777777" w:rsidR="00FF1901" w:rsidRPr="00605524" w:rsidRDefault="00FF1901" w:rsidP="004D7D64">
            <w:pPr>
              <w:keepNext/>
              <w:keepLines/>
              <w:widowControl w:val="0"/>
              <w:spacing w:after="0"/>
              <w:jc w:val="center"/>
              <w:rPr>
                <w:rFonts w:eastAsia="Times New Roman" w:cs="Times New Roman"/>
                <w:b/>
                <w:color w:val="000000"/>
                <w:sz w:val="20"/>
                <w:szCs w:val="20"/>
                <w:lang w:val="en-US"/>
              </w:rPr>
            </w:pPr>
            <w:r w:rsidRPr="00605524">
              <w:rPr>
                <w:rFonts w:eastAsia="Times New Roman" w:cs="Times New Roman"/>
                <w:b/>
                <w:color w:val="000000"/>
                <w:sz w:val="20"/>
                <w:szCs w:val="20"/>
                <w:lang w:val="en-US"/>
              </w:rPr>
              <w:t>docetaxel</w:t>
            </w:r>
            <w:r w:rsidRPr="00605524">
              <w:rPr>
                <w:rFonts w:eastAsia="Times New Roman" w:cs="Times New Roman"/>
                <w:b/>
                <w:color w:val="000000"/>
                <w:sz w:val="20"/>
                <w:szCs w:val="20"/>
                <w:lang w:val="en-US"/>
              </w:rPr>
              <w:br/>
              <w:t>(n = 290)</w:t>
            </w:r>
          </w:p>
        </w:tc>
      </w:tr>
      <w:tr w:rsidR="00FF1901" w:rsidRPr="00FF1901" w14:paraId="6AFD8A04" w14:textId="77777777" w:rsidTr="00FF1901">
        <w:tc>
          <w:tcPr>
            <w:tcW w:w="3685" w:type="dxa"/>
            <w:gridSpan w:val="2"/>
            <w:tcBorders>
              <w:top w:val="single" w:sz="4" w:space="0" w:color="auto"/>
              <w:left w:val="nil"/>
              <w:bottom w:val="nil"/>
              <w:right w:val="nil"/>
            </w:tcBorders>
            <w:hideMark/>
          </w:tcPr>
          <w:p w14:paraId="3041F635" w14:textId="77777777" w:rsidR="00FF1901" w:rsidRPr="00605524" w:rsidRDefault="00FF1901" w:rsidP="004D7D64">
            <w:pPr>
              <w:keepNext/>
              <w:keepLines/>
              <w:widowControl w:val="0"/>
              <w:tabs>
                <w:tab w:val="left" w:pos="180"/>
              </w:tabs>
              <w:spacing w:after="0"/>
              <w:rPr>
                <w:rFonts w:eastAsia="Times New Roman" w:cs="Times New Roman"/>
                <w:b/>
                <w:color w:val="000000"/>
                <w:sz w:val="20"/>
                <w:szCs w:val="20"/>
                <w:lang w:val="en-US"/>
              </w:rPr>
            </w:pPr>
            <w:proofErr w:type="spellStart"/>
            <w:r w:rsidRPr="00605524">
              <w:rPr>
                <w:rFonts w:eastAsia="Times New Roman" w:cs="Times New Roman"/>
                <w:b/>
                <w:color w:val="000000"/>
                <w:sz w:val="20"/>
                <w:szCs w:val="20"/>
                <w:lang w:val="en-US"/>
              </w:rPr>
              <w:t>Prespecified</w:t>
            </w:r>
            <w:proofErr w:type="spellEnd"/>
            <w:r w:rsidRPr="00605524">
              <w:rPr>
                <w:rFonts w:eastAsia="Times New Roman" w:cs="Times New Roman"/>
                <w:b/>
                <w:color w:val="000000"/>
                <w:sz w:val="20"/>
                <w:szCs w:val="20"/>
                <w:lang w:val="en-US"/>
              </w:rPr>
              <w:t xml:space="preserve"> interim analysis</w:t>
            </w:r>
          </w:p>
        </w:tc>
        <w:tc>
          <w:tcPr>
            <w:tcW w:w="2673" w:type="dxa"/>
            <w:gridSpan w:val="2"/>
            <w:tcBorders>
              <w:top w:val="single" w:sz="4" w:space="0" w:color="auto"/>
              <w:left w:val="nil"/>
              <w:bottom w:val="nil"/>
              <w:right w:val="nil"/>
            </w:tcBorders>
          </w:tcPr>
          <w:p w14:paraId="6D8F166F"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c>
          <w:tcPr>
            <w:tcW w:w="2668" w:type="dxa"/>
            <w:tcBorders>
              <w:top w:val="single" w:sz="4" w:space="0" w:color="auto"/>
              <w:left w:val="nil"/>
              <w:bottom w:val="nil"/>
              <w:right w:val="nil"/>
            </w:tcBorders>
          </w:tcPr>
          <w:p w14:paraId="255C8F98"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r>
      <w:tr w:rsidR="00FF1901" w:rsidRPr="00FF1901" w14:paraId="791B7C7F" w14:textId="77777777" w:rsidTr="00FF1901">
        <w:tc>
          <w:tcPr>
            <w:tcW w:w="3685" w:type="dxa"/>
            <w:gridSpan w:val="2"/>
            <w:hideMark/>
          </w:tcPr>
          <w:p w14:paraId="1BA4A674" w14:textId="77777777" w:rsidR="00FF1901" w:rsidRPr="00605524" w:rsidRDefault="00FF1901" w:rsidP="004D7D64">
            <w:pPr>
              <w:keepNext/>
              <w:keepLines/>
              <w:widowControl w:val="0"/>
              <w:tabs>
                <w:tab w:val="left" w:pos="180"/>
              </w:tabs>
              <w:spacing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Overall survival</w:t>
            </w:r>
          </w:p>
        </w:tc>
        <w:tc>
          <w:tcPr>
            <w:tcW w:w="2673" w:type="dxa"/>
            <w:gridSpan w:val="2"/>
          </w:tcPr>
          <w:p w14:paraId="1692724E"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c>
          <w:tcPr>
            <w:tcW w:w="2668" w:type="dxa"/>
          </w:tcPr>
          <w:p w14:paraId="0B37DCBA"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p>
        </w:tc>
      </w:tr>
      <w:tr w:rsidR="00FF1901" w:rsidRPr="00FF1901" w14:paraId="360840F3" w14:textId="77777777" w:rsidTr="00FF1901">
        <w:tc>
          <w:tcPr>
            <w:tcW w:w="3685" w:type="dxa"/>
            <w:gridSpan w:val="2"/>
            <w:hideMark/>
          </w:tcPr>
          <w:p w14:paraId="2E84056E"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Events (%)</w:t>
            </w:r>
          </w:p>
        </w:tc>
        <w:tc>
          <w:tcPr>
            <w:tcW w:w="2673" w:type="dxa"/>
            <w:gridSpan w:val="2"/>
            <w:hideMark/>
          </w:tcPr>
          <w:p w14:paraId="19D11904"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190 (65.1%)</w:t>
            </w:r>
          </w:p>
        </w:tc>
        <w:tc>
          <w:tcPr>
            <w:tcW w:w="2668" w:type="dxa"/>
            <w:hideMark/>
          </w:tcPr>
          <w:p w14:paraId="05B96FF2"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223 (76.9%)</w:t>
            </w:r>
          </w:p>
        </w:tc>
      </w:tr>
      <w:tr w:rsidR="00FF1901" w:rsidRPr="00FF1901" w14:paraId="3F515614" w14:textId="77777777" w:rsidTr="00FF1901">
        <w:tc>
          <w:tcPr>
            <w:tcW w:w="3685" w:type="dxa"/>
            <w:gridSpan w:val="2"/>
            <w:hideMark/>
          </w:tcPr>
          <w:p w14:paraId="75B0804B"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 xml:space="preserve">Hazard </w:t>
            </w:r>
            <w:proofErr w:type="spellStart"/>
            <w:r w:rsidRPr="00605524">
              <w:rPr>
                <w:rFonts w:eastAsia="Times New Roman" w:cs="Times New Roman"/>
                <w:color w:val="000000"/>
                <w:sz w:val="20"/>
                <w:szCs w:val="20"/>
                <w:lang w:val="en-US"/>
              </w:rPr>
              <w:t>ratio</w:t>
            </w:r>
            <w:r w:rsidRPr="00605524">
              <w:rPr>
                <w:rFonts w:eastAsia="Times New Roman" w:cs="Times New Roman"/>
                <w:color w:val="000000"/>
                <w:sz w:val="20"/>
                <w:szCs w:val="20"/>
                <w:vertAlign w:val="superscript"/>
                <w:lang w:val="en-US"/>
              </w:rPr>
              <w:t>a</w:t>
            </w:r>
            <w:proofErr w:type="spellEnd"/>
          </w:p>
        </w:tc>
        <w:tc>
          <w:tcPr>
            <w:tcW w:w="5341" w:type="dxa"/>
            <w:gridSpan w:val="3"/>
            <w:hideMark/>
          </w:tcPr>
          <w:p w14:paraId="0F36AB2B"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0.73</w:t>
            </w:r>
          </w:p>
        </w:tc>
      </w:tr>
      <w:tr w:rsidR="00FF1901" w:rsidRPr="00FF1901" w14:paraId="741D48C0" w14:textId="77777777" w:rsidTr="00FF1901">
        <w:tc>
          <w:tcPr>
            <w:tcW w:w="3685" w:type="dxa"/>
            <w:gridSpan w:val="2"/>
            <w:hideMark/>
          </w:tcPr>
          <w:p w14:paraId="2E6025B8"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(95.92% CI)</w:t>
            </w:r>
          </w:p>
        </w:tc>
        <w:tc>
          <w:tcPr>
            <w:tcW w:w="5341" w:type="dxa"/>
            <w:gridSpan w:val="3"/>
            <w:hideMark/>
          </w:tcPr>
          <w:p w14:paraId="3993BF43"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(0.59, 0.89)</w:t>
            </w:r>
          </w:p>
        </w:tc>
      </w:tr>
      <w:tr w:rsidR="00FF1901" w:rsidRPr="00FF1901" w14:paraId="128B03A1" w14:textId="77777777" w:rsidTr="00FF1901">
        <w:tc>
          <w:tcPr>
            <w:tcW w:w="3685" w:type="dxa"/>
            <w:gridSpan w:val="2"/>
            <w:hideMark/>
          </w:tcPr>
          <w:p w14:paraId="227CDEAB"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b/>
                <w:color w:val="000000"/>
                <w:sz w:val="20"/>
                <w:szCs w:val="20"/>
                <w:lang w:val="en-US"/>
              </w:rPr>
              <w:tab/>
            </w:r>
            <w:r w:rsidRPr="00605524">
              <w:rPr>
                <w:rFonts w:eastAsia="Times New Roman" w:cs="Times New Roman"/>
                <w:b/>
                <w:color w:val="000000"/>
                <w:sz w:val="20"/>
                <w:szCs w:val="20"/>
                <w:lang w:val="en-US"/>
              </w:rPr>
              <w:tab/>
            </w:r>
            <w:r w:rsidRPr="00605524">
              <w:rPr>
                <w:rFonts w:eastAsia="Times New Roman" w:cs="Times New Roman"/>
                <w:color w:val="000000"/>
                <w:sz w:val="20"/>
                <w:szCs w:val="20"/>
                <w:lang w:val="en-US"/>
              </w:rPr>
              <w:t>p-</w:t>
            </w:r>
            <w:proofErr w:type="spellStart"/>
            <w:r w:rsidRPr="00605524">
              <w:rPr>
                <w:rFonts w:eastAsia="Times New Roman" w:cs="Times New Roman"/>
                <w:color w:val="000000"/>
                <w:sz w:val="20"/>
                <w:szCs w:val="20"/>
                <w:lang w:val="en-US"/>
              </w:rPr>
              <w:t>value</w:t>
            </w:r>
            <w:r w:rsidRPr="00605524">
              <w:rPr>
                <w:rFonts w:eastAsia="Times New Roman" w:cs="Times New Roman"/>
                <w:color w:val="000000"/>
                <w:sz w:val="20"/>
                <w:szCs w:val="20"/>
                <w:vertAlign w:val="superscript"/>
                <w:lang w:val="en-US"/>
              </w:rPr>
              <w:t>b</w:t>
            </w:r>
            <w:proofErr w:type="spellEnd"/>
          </w:p>
        </w:tc>
        <w:tc>
          <w:tcPr>
            <w:tcW w:w="5341" w:type="dxa"/>
            <w:gridSpan w:val="3"/>
            <w:hideMark/>
          </w:tcPr>
          <w:p w14:paraId="2B7715C5"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0.0015</w:t>
            </w:r>
          </w:p>
        </w:tc>
      </w:tr>
      <w:tr w:rsidR="00FF1901" w:rsidRPr="00FF1901" w14:paraId="4EFDA878" w14:textId="77777777" w:rsidTr="00FF1901">
        <w:tc>
          <w:tcPr>
            <w:tcW w:w="3685" w:type="dxa"/>
            <w:gridSpan w:val="2"/>
            <w:hideMark/>
          </w:tcPr>
          <w:p w14:paraId="7A1701E4" w14:textId="7777777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Median (95% CI) months</w:t>
            </w:r>
          </w:p>
        </w:tc>
        <w:tc>
          <w:tcPr>
            <w:tcW w:w="2673" w:type="dxa"/>
            <w:gridSpan w:val="2"/>
            <w:hideMark/>
          </w:tcPr>
          <w:p w14:paraId="5FB06FD4"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12.19 (9.66, 14.98)</w:t>
            </w:r>
          </w:p>
        </w:tc>
        <w:tc>
          <w:tcPr>
            <w:tcW w:w="2668" w:type="dxa"/>
            <w:hideMark/>
          </w:tcPr>
          <w:p w14:paraId="0EBEF65B"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9.36 (8.05, 10.68)</w:t>
            </w:r>
          </w:p>
        </w:tc>
      </w:tr>
      <w:tr w:rsidR="00FF1901" w:rsidRPr="00FF1901" w14:paraId="33905F23" w14:textId="77777777" w:rsidTr="00FF1901">
        <w:tc>
          <w:tcPr>
            <w:tcW w:w="3685" w:type="dxa"/>
            <w:gridSpan w:val="2"/>
            <w:hideMark/>
          </w:tcPr>
          <w:p w14:paraId="7434F243" w14:textId="7777777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Rate % (95% CI) at 12 months</w:t>
            </w:r>
          </w:p>
        </w:tc>
        <w:tc>
          <w:tcPr>
            <w:tcW w:w="2673" w:type="dxa"/>
            <w:gridSpan w:val="2"/>
            <w:hideMark/>
          </w:tcPr>
          <w:p w14:paraId="2E3ED90B"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50.5 (44.6, 56.1)</w:t>
            </w:r>
          </w:p>
        </w:tc>
        <w:tc>
          <w:tcPr>
            <w:tcW w:w="2668" w:type="dxa"/>
            <w:hideMark/>
          </w:tcPr>
          <w:p w14:paraId="3C1959A2"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39.0 (33.3, 44.6)</w:t>
            </w:r>
          </w:p>
        </w:tc>
      </w:tr>
      <w:tr w:rsidR="00FF1901" w:rsidRPr="00FF1901" w14:paraId="34216123" w14:textId="77777777" w:rsidTr="00FF1901">
        <w:tc>
          <w:tcPr>
            <w:tcW w:w="3685" w:type="dxa"/>
            <w:gridSpan w:val="2"/>
            <w:hideMark/>
          </w:tcPr>
          <w:p w14:paraId="449E9FE6" w14:textId="77777777" w:rsidR="00FF1901" w:rsidRPr="00605524" w:rsidRDefault="00FF1901" w:rsidP="004D7D64">
            <w:pPr>
              <w:keepNext/>
              <w:keepLines/>
              <w:widowControl w:val="0"/>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Confirmed objective response</w:t>
            </w:r>
          </w:p>
        </w:tc>
        <w:tc>
          <w:tcPr>
            <w:tcW w:w="2634" w:type="dxa"/>
            <w:hideMark/>
          </w:tcPr>
          <w:p w14:paraId="146920C3"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56 (19.2%)</w:t>
            </w:r>
          </w:p>
        </w:tc>
        <w:tc>
          <w:tcPr>
            <w:tcW w:w="2707" w:type="dxa"/>
            <w:gridSpan w:val="2"/>
            <w:hideMark/>
          </w:tcPr>
          <w:p w14:paraId="201A8307"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36 (12.4%)</w:t>
            </w:r>
          </w:p>
        </w:tc>
      </w:tr>
      <w:tr w:rsidR="00FF1901" w:rsidRPr="00FF1901" w14:paraId="7380EF97" w14:textId="77777777" w:rsidTr="00FF1901">
        <w:tc>
          <w:tcPr>
            <w:tcW w:w="3685" w:type="dxa"/>
            <w:gridSpan w:val="2"/>
            <w:hideMark/>
          </w:tcPr>
          <w:p w14:paraId="7F983B07"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 CI)</w:t>
            </w:r>
          </w:p>
        </w:tc>
        <w:tc>
          <w:tcPr>
            <w:tcW w:w="2673" w:type="dxa"/>
            <w:gridSpan w:val="2"/>
            <w:hideMark/>
          </w:tcPr>
          <w:p w14:paraId="0E1D680B"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(14.8, 24.2)</w:t>
            </w:r>
          </w:p>
        </w:tc>
        <w:tc>
          <w:tcPr>
            <w:tcW w:w="2668" w:type="dxa"/>
            <w:hideMark/>
          </w:tcPr>
          <w:p w14:paraId="192D2213"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(8.8, 16.8)</w:t>
            </w:r>
          </w:p>
        </w:tc>
      </w:tr>
      <w:tr w:rsidR="00FF1901" w:rsidRPr="00FF1901" w14:paraId="4F4DEC4E" w14:textId="77777777" w:rsidTr="00FF1901">
        <w:tc>
          <w:tcPr>
            <w:tcW w:w="3685" w:type="dxa"/>
            <w:gridSpan w:val="2"/>
            <w:hideMark/>
          </w:tcPr>
          <w:p w14:paraId="34747901"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Odds ratio (95% CI)</w:t>
            </w:r>
          </w:p>
        </w:tc>
        <w:tc>
          <w:tcPr>
            <w:tcW w:w="5341" w:type="dxa"/>
            <w:gridSpan w:val="3"/>
            <w:hideMark/>
          </w:tcPr>
          <w:p w14:paraId="7352ECA8"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1.68 (1.07, 2.64)</w:t>
            </w:r>
          </w:p>
        </w:tc>
      </w:tr>
      <w:tr w:rsidR="00FF1901" w:rsidRPr="00FF1901" w14:paraId="5496823C" w14:textId="77777777" w:rsidTr="00FF1901">
        <w:tc>
          <w:tcPr>
            <w:tcW w:w="3685" w:type="dxa"/>
            <w:gridSpan w:val="2"/>
            <w:hideMark/>
          </w:tcPr>
          <w:p w14:paraId="7B6F4F2A"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p-value</w:t>
            </w:r>
          </w:p>
        </w:tc>
        <w:tc>
          <w:tcPr>
            <w:tcW w:w="5341" w:type="dxa"/>
            <w:gridSpan w:val="3"/>
            <w:hideMark/>
          </w:tcPr>
          <w:p w14:paraId="783CEE7F"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0.0246</w:t>
            </w:r>
          </w:p>
        </w:tc>
      </w:tr>
      <w:tr w:rsidR="00FF1901" w:rsidRPr="00FF1901" w14:paraId="365E841E" w14:textId="77777777" w:rsidTr="00FF1901">
        <w:tc>
          <w:tcPr>
            <w:tcW w:w="3685" w:type="dxa"/>
            <w:gridSpan w:val="2"/>
            <w:hideMark/>
          </w:tcPr>
          <w:p w14:paraId="2D0F1AA1" w14:textId="7777777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Complete response (CR)</w:t>
            </w:r>
          </w:p>
        </w:tc>
        <w:tc>
          <w:tcPr>
            <w:tcW w:w="2634" w:type="dxa"/>
            <w:hideMark/>
          </w:tcPr>
          <w:p w14:paraId="377D5C5E"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4 (1.4%)</w:t>
            </w:r>
          </w:p>
        </w:tc>
        <w:tc>
          <w:tcPr>
            <w:tcW w:w="2707" w:type="dxa"/>
            <w:gridSpan w:val="2"/>
            <w:hideMark/>
          </w:tcPr>
          <w:p w14:paraId="5F4D5FBB"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 (0.3%)</w:t>
            </w:r>
          </w:p>
        </w:tc>
      </w:tr>
      <w:tr w:rsidR="00FF1901" w:rsidRPr="00FF1901" w14:paraId="4E76FBA0" w14:textId="77777777" w:rsidTr="00FF1901">
        <w:tc>
          <w:tcPr>
            <w:tcW w:w="3685" w:type="dxa"/>
            <w:gridSpan w:val="2"/>
            <w:hideMark/>
          </w:tcPr>
          <w:p w14:paraId="62FF3E0D"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Partial response (PR)</w:t>
            </w:r>
          </w:p>
        </w:tc>
        <w:tc>
          <w:tcPr>
            <w:tcW w:w="2634" w:type="dxa"/>
            <w:hideMark/>
          </w:tcPr>
          <w:p w14:paraId="74FC59AD"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52 (17.8%)</w:t>
            </w:r>
          </w:p>
        </w:tc>
        <w:tc>
          <w:tcPr>
            <w:tcW w:w="2707" w:type="dxa"/>
            <w:gridSpan w:val="2"/>
            <w:hideMark/>
          </w:tcPr>
          <w:p w14:paraId="100943B4"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35 (12.1%)</w:t>
            </w:r>
          </w:p>
        </w:tc>
      </w:tr>
      <w:tr w:rsidR="00FF1901" w:rsidRPr="00FF1901" w14:paraId="73B03E59" w14:textId="77777777" w:rsidTr="00FF1901">
        <w:tc>
          <w:tcPr>
            <w:tcW w:w="3685" w:type="dxa"/>
            <w:gridSpan w:val="2"/>
            <w:hideMark/>
          </w:tcPr>
          <w:p w14:paraId="459FFB8C"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Stable disease (SD)</w:t>
            </w:r>
          </w:p>
        </w:tc>
        <w:tc>
          <w:tcPr>
            <w:tcW w:w="2634" w:type="dxa"/>
            <w:hideMark/>
          </w:tcPr>
          <w:p w14:paraId="2581FC35"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74 (25.3%)</w:t>
            </w:r>
          </w:p>
        </w:tc>
        <w:tc>
          <w:tcPr>
            <w:tcW w:w="2707" w:type="dxa"/>
            <w:gridSpan w:val="2"/>
            <w:hideMark/>
          </w:tcPr>
          <w:p w14:paraId="06B548A3"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122 (42.1%)</w:t>
            </w:r>
          </w:p>
        </w:tc>
      </w:tr>
      <w:tr w:rsidR="00FF1901" w:rsidRPr="00FF1901" w14:paraId="746AC547" w14:textId="77777777" w:rsidTr="00FF1901">
        <w:tc>
          <w:tcPr>
            <w:tcW w:w="3685" w:type="dxa"/>
            <w:gridSpan w:val="2"/>
            <w:hideMark/>
          </w:tcPr>
          <w:p w14:paraId="4B54D1D2" w14:textId="77777777"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 xml:space="preserve">Median duration of response </w:t>
            </w:r>
          </w:p>
        </w:tc>
        <w:tc>
          <w:tcPr>
            <w:tcW w:w="2634" w:type="dxa"/>
          </w:tcPr>
          <w:p w14:paraId="100237F0"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c>
          <w:tcPr>
            <w:tcW w:w="2707" w:type="dxa"/>
            <w:gridSpan w:val="2"/>
          </w:tcPr>
          <w:p w14:paraId="4028B313"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r>
      <w:tr w:rsidR="00FF1901" w:rsidRPr="00FF1901" w14:paraId="7FB2F3A3" w14:textId="77777777" w:rsidTr="00FF1901">
        <w:tc>
          <w:tcPr>
            <w:tcW w:w="3343" w:type="dxa"/>
            <w:hideMark/>
          </w:tcPr>
          <w:p w14:paraId="3F1F2BC8"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 xml:space="preserve"> </w:t>
            </w:r>
            <w:r w:rsidRPr="00605524">
              <w:rPr>
                <w:rFonts w:eastAsia="Times New Roman" w:cs="Times New Roman"/>
                <w:color w:val="000000"/>
                <w:sz w:val="20"/>
                <w:szCs w:val="20"/>
                <w:lang w:val="en-US"/>
              </w:rPr>
              <w:tab/>
              <w:t>Months (range)</w:t>
            </w:r>
          </w:p>
        </w:tc>
        <w:tc>
          <w:tcPr>
            <w:tcW w:w="2976" w:type="dxa"/>
            <w:gridSpan w:val="2"/>
            <w:hideMark/>
          </w:tcPr>
          <w:p w14:paraId="29DF5C38"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17.15 (1.8, 22.6+)</w:t>
            </w:r>
          </w:p>
        </w:tc>
        <w:tc>
          <w:tcPr>
            <w:tcW w:w="2707" w:type="dxa"/>
            <w:gridSpan w:val="2"/>
            <w:hideMark/>
          </w:tcPr>
          <w:p w14:paraId="78E18B89"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5.55 (1.2+, 15.2+)</w:t>
            </w:r>
          </w:p>
        </w:tc>
      </w:tr>
      <w:tr w:rsidR="00FF1901" w:rsidRPr="00FF1901" w14:paraId="6064DBE0" w14:textId="77777777" w:rsidTr="00FF1901">
        <w:tc>
          <w:tcPr>
            <w:tcW w:w="3685" w:type="dxa"/>
            <w:gridSpan w:val="2"/>
            <w:hideMark/>
          </w:tcPr>
          <w:p w14:paraId="0F39B193" w14:textId="77777777"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Median time to response</w:t>
            </w:r>
          </w:p>
        </w:tc>
        <w:tc>
          <w:tcPr>
            <w:tcW w:w="2634" w:type="dxa"/>
          </w:tcPr>
          <w:p w14:paraId="335E0389"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c>
          <w:tcPr>
            <w:tcW w:w="2707" w:type="dxa"/>
            <w:gridSpan w:val="2"/>
          </w:tcPr>
          <w:p w14:paraId="38BA5BE9" w14:textId="77777777" w:rsidR="00FF1901" w:rsidRPr="00605524" w:rsidRDefault="00FF1901" w:rsidP="004D7D64">
            <w:pPr>
              <w:keepNext/>
              <w:keepLines/>
              <w:widowControl w:val="0"/>
              <w:spacing w:before="120" w:after="0"/>
              <w:jc w:val="center"/>
              <w:rPr>
                <w:rFonts w:eastAsia="Times New Roman" w:cs="Times New Roman"/>
                <w:color w:val="000000"/>
                <w:sz w:val="20"/>
                <w:szCs w:val="20"/>
                <w:lang w:val="en-US"/>
              </w:rPr>
            </w:pPr>
          </w:p>
        </w:tc>
      </w:tr>
      <w:tr w:rsidR="00FF1901" w:rsidRPr="00FF1901" w14:paraId="179A1443" w14:textId="77777777" w:rsidTr="00FF1901">
        <w:trPr>
          <w:trHeight w:val="261"/>
        </w:trPr>
        <w:tc>
          <w:tcPr>
            <w:tcW w:w="3685" w:type="dxa"/>
            <w:gridSpan w:val="2"/>
            <w:hideMark/>
          </w:tcPr>
          <w:p w14:paraId="1853FF3D"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Months (range)</w:t>
            </w:r>
          </w:p>
        </w:tc>
        <w:tc>
          <w:tcPr>
            <w:tcW w:w="2634" w:type="dxa"/>
            <w:hideMark/>
          </w:tcPr>
          <w:p w14:paraId="697378FC"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2.10 (1.2, 8.6)</w:t>
            </w:r>
          </w:p>
        </w:tc>
        <w:tc>
          <w:tcPr>
            <w:tcW w:w="2707" w:type="dxa"/>
            <w:gridSpan w:val="2"/>
            <w:hideMark/>
          </w:tcPr>
          <w:p w14:paraId="0DF553BC"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2.61 (1.4, 6.3)</w:t>
            </w:r>
          </w:p>
        </w:tc>
      </w:tr>
      <w:tr w:rsidR="00FF1901" w:rsidRPr="00FF1901" w14:paraId="52A4EEC4" w14:textId="77777777" w:rsidTr="00FF1901">
        <w:trPr>
          <w:trHeight w:val="261"/>
        </w:trPr>
        <w:tc>
          <w:tcPr>
            <w:tcW w:w="3685" w:type="dxa"/>
            <w:gridSpan w:val="2"/>
            <w:hideMark/>
          </w:tcPr>
          <w:p w14:paraId="0D081454" w14:textId="77777777" w:rsidR="00FF1901" w:rsidRPr="00605524" w:rsidRDefault="00FF1901" w:rsidP="004D7D64">
            <w:pPr>
              <w:keepNext/>
              <w:keepLines/>
              <w:widowControl w:val="0"/>
              <w:tabs>
                <w:tab w:val="left" w:pos="180"/>
              </w:tabs>
              <w:spacing w:before="120" w:after="0"/>
              <w:rPr>
                <w:rFonts w:eastAsia="Times New Roman" w:cs="Times New Roman"/>
                <w:b/>
                <w:color w:val="000000"/>
                <w:sz w:val="20"/>
                <w:szCs w:val="20"/>
                <w:lang w:val="en-US"/>
              </w:rPr>
            </w:pPr>
            <w:r w:rsidRPr="00605524">
              <w:rPr>
                <w:rFonts w:eastAsia="Times New Roman" w:cs="Times New Roman"/>
                <w:b/>
                <w:color w:val="000000"/>
                <w:sz w:val="20"/>
                <w:szCs w:val="20"/>
                <w:lang w:val="en-US"/>
              </w:rPr>
              <w:t>Progression-free survival</w:t>
            </w:r>
          </w:p>
        </w:tc>
        <w:tc>
          <w:tcPr>
            <w:tcW w:w="2634" w:type="dxa"/>
          </w:tcPr>
          <w:p w14:paraId="0A0080A8" w14:textId="77777777" w:rsidR="00FF1901" w:rsidRPr="00605524" w:rsidRDefault="00FF1901" w:rsidP="004D7D64">
            <w:pPr>
              <w:keepNext/>
              <w:keepLines/>
              <w:widowControl w:val="0"/>
              <w:spacing w:before="120" w:after="0"/>
              <w:jc w:val="center"/>
              <w:rPr>
                <w:rFonts w:eastAsia="Times New Roman" w:cs="Times New Roman"/>
                <w:b/>
                <w:color w:val="000000"/>
                <w:sz w:val="20"/>
                <w:szCs w:val="20"/>
                <w:lang w:val="en-US"/>
              </w:rPr>
            </w:pPr>
          </w:p>
        </w:tc>
        <w:tc>
          <w:tcPr>
            <w:tcW w:w="2707" w:type="dxa"/>
            <w:gridSpan w:val="2"/>
          </w:tcPr>
          <w:p w14:paraId="505471F7" w14:textId="77777777" w:rsidR="00FF1901" w:rsidRPr="00605524" w:rsidRDefault="00FF1901" w:rsidP="004D7D64">
            <w:pPr>
              <w:keepNext/>
              <w:keepLines/>
              <w:widowControl w:val="0"/>
              <w:spacing w:before="120" w:after="0"/>
              <w:jc w:val="center"/>
              <w:rPr>
                <w:rFonts w:eastAsia="Times New Roman" w:cs="Times New Roman"/>
                <w:b/>
                <w:color w:val="000000"/>
                <w:sz w:val="20"/>
                <w:szCs w:val="20"/>
                <w:lang w:val="en-US"/>
              </w:rPr>
            </w:pPr>
          </w:p>
        </w:tc>
      </w:tr>
      <w:tr w:rsidR="00FF1901" w:rsidRPr="00FF1901" w14:paraId="31C7AA8F" w14:textId="77777777" w:rsidTr="00FF1901">
        <w:trPr>
          <w:trHeight w:val="261"/>
        </w:trPr>
        <w:tc>
          <w:tcPr>
            <w:tcW w:w="3685" w:type="dxa"/>
            <w:gridSpan w:val="2"/>
            <w:hideMark/>
          </w:tcPr>
          <w:p w14:paraId="1C68AD79"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t>Events</w:t>
            </w:r>
          </w:p>
        </w:tc>
        <w:tc>
          <w:tcPr>
            <w:tcW w:w="2634" w:type="dxa"/>
            <w:hideMark/>
          </w:tcPr>
          <w:p w14:paraId="76D3AD61"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234 (80.1%)</w:t>
            </w:r>
          </w:p>
        </w:tc>
        <w:tc>
          <w:tcPr>
            <w:tcW w:w="2707" w:type="dxa"/>
            <w:gridSpan w:val="2"/>
            <w:hideMark/>
          </w:tcPr>
          <w:p w14:paraId="31AF6BCF"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245 (84.5%)</w:t>
            </w:r>
          </w:p>
        </w:tc>
      </w:tr>
      <w:tr w:rsidR="00FF1901" w:rsidRPr="00FF1901" w14:paraId="1C484D14" w14:textId="77777777" w:rsidTr="00FF1901">
        <w:trPr>
          <w:trHeight w:val="261"/>
        </w:trPr>
        <w:tc>
          <w:tcPr>
            <w:tcW w:w="3685" w:type="dxa"/>
            <w:gridSpan w:val="2"/>
            <w:hideMark/>
          </w:tcPr>
          <w:p w14:paraId="53E6F8EE"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Hazard ratio</w:t>
            </w:r>
          </w:p>
        </w:tc>
        <w:tc>
          <w:tcPr>
            <w:tcW w:w="5341" w:type="dxa"/>
            <w:gridSpan w:val="3"/>
            <w:hideMark/>
          </w:tcPr>
          <w:p w14:paraId="5EE89927"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0.92</w:t>
            </w:r>
          </w:p>
        </w:tc>
      </w:tr>
      <w:tr w:rsidR="00FF1901" w:rsidRPr="00FF1901" w14:paraId="04DB8F11" w14:textId="77777777" w:rsidTr="00FF1901">
        <w:trPr>
          <w:trHeight w:val="261"/>
        </w:trPr>
        <w:tc>
          <w:tcPr>
            <w:tcW w:w="3685" w:type="dxa"/>
            <w:gridSpan w:val="2"/>
            <w:hideMark/>
          </w:tcPr>
          <w:p w14:paraId="1CC1BEED"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95% CI</w:t>
            </w:r>
          </w:p>
        </w:tc>
        <w:tc>
          <w:tcPr>
            <w:tcW w:w="5341" w:type="dxa"/>
            <w:gridSpan w:val="3"/>
            <w:hideMark/>
          </w:tcPr>
          <w:p w14:paraId="4FC64896"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(0.77, 1.11)</w:t>
            </w:r>
          </w:p>
        </w:tc>
      </w:tr>
      <w:tr w:rsidR="00FF1901" w:rsidRPr="00FF1901" w14:paraId="162E6408" w14:textId="77777777" w:rsidTr="00FF1901">
        <w:trPr>
          <w:trHeight w:val="261"/>
        </w:trPr>
        <w:tc>
          <w:tcPr>
            <w:tcW w:w="3685" w:type="dxa"/>
            <w:gridSpan w:val="2"/>
            <w:hideMark/>
          </w:tcPr>
          <w:p w14:paraId="760C3A37" w14:textId="77777777" w:rsidR="00FF1901" w:rsidRPr="00605524" w:rsidRDefault="00FF1901" w:rsidP="004D7D64">
            <w:pPr>
              <w:keepNext/>
              <w:keepLines/>
              <w:widowControl w:val="0"/>
              <w:tabs>
                <w:tab w:val="left" w:pos="180"/>
              </w:tabs>
              <w:spacing w:after="0"/>
              <w:rPr>
                <w:rFonts w:eastAsia="Times New Roman" w:cs="Times New Roman"/>
                <w:color w:val="000000"/>
                <w:sz w:val="20"/>
                <w:szCs w:val="20"/>
                <w:lang w:val="en-US"/>
              </w:rPr>
            </w:pPr>
            <w:r w:rsidRPr="00605524">
              <w:rPr>
                <w:rFonts w:eastAsia="Times New Roman" w:cs="Times New Roman"/>
                <w:color w:val="000000"/>
                <w:sz w:val="20"/>
                <w:szCs w:val="20"/>
                <w:lang w:val="en-US"/>
              </w:rPr>
              <w:tab/>
            </w:r>
            <w:r w:rsidRPr="00605524">
              <w:rPr>
                <w:rFonts w:eastAsia="Times New Roman" w:cs="Times New Roman"/>
                <w:color w:val="000000"/>
                <w:sz w:val="20"/>
                <w:szCs w:val="20"/>
                <w:lang w:val="en-US"/>
              </w:rPr>
              <w:tab/>
              <w:t>p-value</w:t>
            </w:r>
          </w:p>
        </w:tc>
        <w:tc>
          <w:tcPr>
            <w:tcW w:w="5341" w:type="dxa"/>
            <w:gridSpan w:val="3"/>
            <w:hideMark/>
          </w:tcPr>
          <w:p w14:paraId="4E225547"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0.3932</w:t>
            </w:r>
          </w:p>
        </w:tc>
      </w:tr>
      <w:tr w:rsidR="00FF1901" w:rsidRPr="00FF1901" w14:paraId="16BF5187" w14:textId="77777777" w:rsidTr="00FF1901">
        <w:trPr>
          <w:trHeight w:val="261"/>
        </w:trPr>
        <w:tc>
          <w:tcPr>
            <w:tcW w:w="3685" w:type="dxa"/>
            <w:gridSpan w:val="2"/>
            <w:hideMark/>
          </w:tcPr>
          <w:p w14:paraId="0CC03537" w14:textId="7777777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Median (95% CI) months</w:t>
            </w:r>
          </w:p>
        </w:tc>
        <w:tc>
          <w:tcPr>
            <w:tcW w:w="2634" w:type="dxa"/>
            <w:hideMark/>
          </w:tcPr>
          <w:p w14:paraId="44C63C32"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2.33 (2.17, 3.32)</w:t>
            </w:r>
          </w:p>
        </w:tc>
        <w:tc>
          <w:tcPr>
            <w:tcW w:w="2707" w:type="dxa"/>
            <w:gridSpan w:val="2"/>
            <w:hideMark/>
          </w:tcPr>
          <w:p w14:paraId="0400335E"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4.21 (3.45, 4.86)</w:t>
            </w:r>
          </w:p>
        </w:tc>
      </w:tr>
      <w:tr w:rsidR="00FF1901" w:rsidRPr="00FF1901" w14:paraId="5F7F99C0" w14:textId="77777777" w:rsidTr="00FF1901">
        <w:trPr>
          <w:trHeight w:val="261"/>
        </w:trPr>
        <w:tc>
          <w:tcPr>
            <w:tcW w:w="3685" w:type="dxa"/>
            <w:gridSpan w:val="2"/>
            <w:tcBorders>
              <w:top w:val="nil"/>
              <w:left w:val="nil"/>
              <w:bottom w:val="single" w:sz="4" w:space="0" w:color="auto"/>
              <w:right w:val="nil"/>
            </w:tcBorders>
            <w:hideMark/>
          </w:tcPr>
          <w:p w14:paraId="44A75A3F" w14:textId="77777777" w:rsidR="00FF1901" w:rsidRPr="00605524" w:rsidRDefault="00FF1901" w:rsidP="004D7D64">
            <w:pPr>
              <w:keepNext/>
              <w:keepLines/>
              <w:widowControl w:val="0"/>
              <w:tabs>
                <w:tab w:val="left" w:pos="180"/>
              </w:tabs>
              <w:spacing w:before="120" w:after="0"/>
              <w:rPr>
                <w:rFonts w:eastAsia="Times New Roman" w:cs="Times New Roman"/>
                <w:color w:val="000000"/>
                <w:sz w:val="20"/>
                <w:szCs w:val="20"/>
                <w:lang w:val="en-US"/>
              </w:rPr>
            </w:pPr>
            <w:r w:rsidRPr="00605524">
              <w:rPr>
                <w:rFonts w:eastAsia="Times New Roman" w:cs="Times New Roman"/>
                <w:color w:val="000000"/>
                <w:sz w:val="20"/>
                <w:szCs w:val="20"/>
                <w:lang w:val="en-US"/>
              </w:rPr>
              <w:tab/>
              <w:t>Rate % (95% CI) at 12 months</w:t>
            </w:r>
          </w:p>
        </w:tc>
        <w:tc>
          <w:tcPr>
            <w:tcW w:w="2634" w:type="dxa"/>
            <w:tcBorders>
              <w:top w:val="nil"/>
              <w:left w:val="nil"/>
              <w:bottom w:val="single" w:sz="4" w:space="0" w:color="auto"/>
              <w:right w:val="nil"/>
            </w:tcBorders>
            <w:hideMark/>
          </w:tcPr>
          <w:p w14:paraId="633DF12F"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18.5 (14.1, 23.4)</w:t>
            </w:r>
          </w:p>
        </w:tc>
        <w:tc>
          <w:tcPr>
            <w:tcW w:w="2707" w:type="dxa"/>
            <w:gridSpan w:val="2"/>
            <w:tcBorders>
              <w:top w:val="nil"/>
              <w:left w:val="nil"/>
              <w:bottom w:val="single" w:sz="4" w:space="0" w:color="auto"/>
              <w:right w:val="nil"/>
            </w:tcBorders>
            <w:hideMark/>
          </w:tcPr>
          <w:p w14:paraId="5A5A9128" w14:textId="77777777" w:rsidR="00FF1901" w:rsidRPr="00605524" w:rsidRDefault="00FF1901" w:rsidP="004D7D64">
            <w:pPr>
              <w:keepNext/>
              <w:keepLines/>
              <w:widowControl w:val="0"/>
              <w:spacing w:after="0"/>
              <w:jc w:val="center"/>
              <w:rPr>
                <w:rFonts w:eastAsia="Times New Roman" w:cs="Times New Roman"/>
                <w:color w:val="000000"/>
                <w:sz w:val="20"/>
                <w:szCs w:val="20"/>
                <w:lang w:val="en-US"/>
              </w:rPr>
            </w:pPr>
            <w:r w:rsidRPr="00605524">
              <w:rPr>
                <w:rFonts w:eastAsia="Times New Roman" w:cs="Times New Roman"/>
                <w:color w:val="000000"/>
                <w:sz w:val="20"/>
                <w:szCs w:val="20"/>
                <w:lang w:val="en-US"/>
              </w:rPr>
              <w:t>8.1 (5.1, 12.0)</w:t>
            </w:r>
          </w:p>
        </w:tc>
      </w:tr>
    </w:tbl>
    <w:p w14:paraId="28A1545B" w14:textId="183F333E" w:rsidR="00C659AE" w:rsidRPr="00605524" w:rsidRDefault="00C659AE" w:rsidP="004D7D64">
      <w:pPr>
        <w:pStyle w:val="EMEABodyText"/>
        <w:keepNext/>
        <w:keepLines/>
        <w:widowControl w:val="0"/>
        <w:ind w:left="567" w:hanging="567"/>
        <w:rPr>
          <w:color w:val="000000" w:themeColor="text1"/>
          <w:sz w:val="18"/>
          <w:szCs w:val="18"/>
        </w:rPr>
      </w:pPr>
      <w:proofErr w:type="gramStart"/>
      <w:r w:rsidRPr="00605524">
        <w:rPr>
          <w:color w:val="000000" w:themeColor="text1"/>
          <w:sz w:val="18"/>
          <w:szCs w:val="18"/>
          <w:vertAlign w:val="superscript"/>
        </w:rPr>
        <w:t>a</w:t>
      </w:r>
      <w:proofErr w:type="gramEnd"/>
      <w:r w:rsidR="00605524">
        <w:rPr>
          <w:color w:val="000000" w:themeColor="text1"/>
          <w:sz w:val="18"/>
          <w:szCs w:val="18"/>
          <w:vertAlign w:val="superscript"/>
        </w:rPr>
        <w:t xml:space="preserve"> </w:t>
      </w:r>
      <w:r w:rsidRPr="00605524">
        <w:rPr>
          <w:color w:val="000000" w:themeColor="text1"/>
          <w:sz w:val="18"/>
          <w:szCs w:val="18"/>
        </w:rPr>
        <w:t>Derived from a stratified proportional hazards model.</w:t>
      </w:r>
    </w:p>
    <w:p w14:paraId="502DE792" w14:textId="4B9D7F61" w:rsidR="00C659AE" w:rsidRPr="00605524" w:rsidRDefault="00C659AE" w:rsidP="004D7D64">
      <w:pPr>
        <w:pStyle w:val="EMEABodyText"/>
        <w:keepNext/>
        <w:keepLines/>
        <w:widowControl w:val="0"/>
        <w:ind w:left="567" w:hanging="567"/>
        <w:rPr>
          <w:color w:val="000000" w:themeColor="text1"/>
          <w:sz w:val="18"/>
          <w:szCs w:val="18"/>
          <w:vertAlign w:val="superscript"/>
        </w:rPr>
      </w:pPr>
      <w:proofErr w:type="gramStart"/>
      <w:r w:rsidRPr="00605524">
        <w:rPr>
          <w:color w:val="000000" w:themeColor="text1"/>
          <w:sz w:val="18"/>
          <w:szCs w:val="18"/>
          <w:vertAlign w:val="superscript"/>
        </w:rPr>
        <w:t>b</w:t>
      </w:r>
      <w:proofErr w:type="gramEnd"/>
      <w:r w:rsidR="00605524">
        <w:rPr>
          <w:color w:val="000000" w:themeColor="text1"/>
          <w:sz w:val="18"/>
          <w:szCs w:val="18"/>
          <w:vertAlign w:val="superscript"/>
        </w:rPr>
        <w:t xml:space="preserve"> </w:t>
      </w:r>
      <w:r w:rsidRPr="00605524">
        <w:rPr>
          <w:color w:val="000000" w:themeColor="text1"/>
          <w:sz w:val="18"/>
          <w:szCs w:val="18"/>
        </w:rPr>
        <w:t>P-value is derived from a log-rank test stratified by prior maintenance therapy and line of therapy; the corresponding O’Brien-Fleming efficacy boundary significance level is 0.0408.</w:t>
      </w:r>
    </w:p>
    <w:p w14:paraId="513F406A" w14:textId="578852B2" w:rsidR="00C659AE" w:rsidRDefault="00C659AE" w:rsidP="009045DE">
      <w:pPr>
        <w:spacing w:before="240"/>
      </w:pPr>
      <w:bookmarkStart w:id="15" w:name="Table6_EfficacyResults"/>
      <w:bookmarkEnd w:id="15"/>
      <w:r w:rsidRPr="006214ED">
        <w:t xml:space="preserve">The rate of disease-related symptom improvement, as measured by LCSS, was similar between the </w:t>
      </w:r>
      <w:proofErr w:type="spellStart"/>
      <w:r w:rsidRPr="006214ED">
        <w:t>nivolumab</w:t>
      </w:r>
      <w:proofErr w:type="spellEnd"/>
      <w:r w:rsidRPr="006214ED">
        <w:t xml:space="preserve"> group (17.8%) and the docetaxel group (19.7%). The average EQ-VAS increased over time for both treatment groups, indicating better overall health status for patients remaining on treatment.</w:t>
      </w:r>
    </w:p>
    <w:p w14:paraId="23D96BC7" w14:textId="7E22F7AD" w:rsidR="00BF2F27" w:rsidRDefault="00BF2F27" w:rsidP="009045DE">
      <w:pPr>
        <w:spacing w:before="240"/>
      </w:pPr>
      <w:r w:rsidRPr="00BF2F27">
        <w:rPr>
          <w:color w:val="000000" w:themeColor="text1"/>
          <w:sz w:val="24"/>
        </w:rPr>
        <w:t xml:space="preserve">The OS rates at 24 months were 28.7% (95% CI: 23.6, 34.0) for </w:t>
      </w:r>
      <w:proofErr w:type="spellStart"/>
      <w:r w:rsidRPr="00BF2F27">
        <w:rPr>
          <w:color w:val="000000" w:themeColor="text1"/>
          <w:sz w:val="24"/>
        </w:rPr>
        <w:t>nivolumab</w:t>
      </w:r>
      <w:proofErr w:type="spellEnd"/>
      <w:r w:rsidRPr="00BF2F27">
        <w:rPr>
          <w:color w:val="000000" w:themeColor="text1"/>
          <w:sz w:val="24"/>
        </w:rPr>
        <w:t xml:space="preserve"> and 15.8% (95% CI: 11.9, 20.3) for docetaxel. The PFS rates at 24 months were 11.9% (95% CI: 8.3, 16.2) for </w:t>
      </w:r>
      <w:proofErr w:type="spellStart"/>
      <w:r w:rsidRPr="00BF2F27">
        <w:rPr>
          <w:color w:val="000000" w:themeColor="text1"/>
          <w:sz w:val="24"/>
        </w:rPr>
        <w:t>nivolumab</w:t>
      </w:r>
      <w:proofErr w:type="spellEnd"/>
      <w:r w:rsidRPr="00BF2F27">
        <w:rPr>
          <w:color w:val="000000" w:themeColor="text1"/>
          <w:sz w:val="24"/>
        </w:rPr>
        <w:t xml:space="preserve"> and 1.0% (95% CI: 0.2, 3.3) for docetaxel. With minimum 24 months follow-up, objective response rates remain 19.2% for </w:t>
      </w:r>
      <w:proofErr w:type="spellStart"/>
      <w:r w:rsidRPr="00BF2F27">
        <w:rPr>
          <w:color w:val="000000" w:themeColor="text1"/>
          <w:sz w:val="24"/>
        </w:rPr>
        <w:t>nivolumab</w:t>
      </w:r>
      <w:proofErr w:type="spellEnd"/>
      <w:r w:rsidRPr="00BF2F27">
        <w:rPr>
          <w:color w:val="000000" w:themeColor="text1"/>
          <w:sz w:val="24"/>
        </w:rPr>
        <w:t xml:space="preserve"> and 12.4% for docetaxel with median durations of response 17.2 months (range: 1.8, 33.7+) and 5.6 months (range: 1.2+, 16.8), respectively.</w:t>
      </w:r>
    </w:p>
    <w:p w14:paraId="77A339BF" w14:textId="55FAEC5F" w:rsidR="00C659AE" w:rsidRPr="00D71068" w:rsidRDefault="001D1088" w:rsidP="003E47FA">
      <w:pPr>
        <w:pStyle w:val="Heading3"/>
      </w:pPr>
      <w:r>
        <w:t>Renal Cell Carcinoma</w:t>
      </w:r>
      <w:r w:rsidR="00C659AE" w:rsidRPr="00D71068">
        <w:t xml:space="preserve"> (RCC)</w:t>
      </w:r>
    </w:p>
    <w:p w14:paraId="4BEB5B8F" w14:textId="77777777" w:rsidR="00C659AE" w:rsidRPr="000671A0" w:rsidRDefault="00C659AE" w:rsidP="000671A0">
      <w:pPr>
        <w:rPr>
          <w:b/>
        </w:rPr>
      </w:pPr>
      <w:r w:rsidRPr="000671A0">
        <w:rPr>
          <w:b/>
        </w:rPr>
        <w:t xml:space="preserve">Study CA209025. A Randomised, Open-label, Phase 3 Study of </w:t>
      </w:r>
      <w:proofErr w:type="spellStart"/>
      <w:r w:rsidRPr="000671A0">
        <w:rPr>
          <w:b/>
        </w:rPr>
        <w:t>Nivolumab</w:t>
      </w:r>
      <w:proofErr w:type="spellEnd"/>
      <w:r w:rsidRPr="000671A0">
        <w:rPr>
          <w:b/>
        </w:rPr>
        <w:t xml:space="preserve"> versus </w:t>
      </w:r>
      <w:proofErr w:type="spellStart"/>
      <w:r w:rsidRPr="000671A0">
        <w:rPr>
          <w:b/>
        </w:rPr>
        <w:t>Everolimus</w:t>
      </w:r>
      <w:proofErr w:type="spellEnd"/>
      <w:r w:rsidRPr="000671A0">
        <w:rPr>
          <w:b/>
        </w:rPr>
        <w:t xml:space="preserve"> in Subjects with Advanced or Metastatic Clear-Cell Renal Cell Carcinoma who have received Prior Anti-Angiogenic Therapy.</w:t>
      </w:r>
    </w:p>
    <w:p w14:paraId="51C0426E" w14:textId="77777777" w:rsidR="00C659AE" w:rsidRPr="00D71068" w:rsidRDefault="00C659AE" w:rsidP="009045DE">
      <w:pPr>
        <w:rPr>
          <w:noProof/>
        </w:rPr>
      </w:pPr>
      <w:r w:rsidRPr="00D71068">
        <w:rPr>
          <w:noProof/>
        </w:rPr>
        <w:lastRenderedPageBreak/>
        <w:t xml:space="preserve">The safety and efficacy of nivolumab 3 mg/kg as a single agent for the treatment of advanced RCC was evaluated in a Phase 3, randomised, open-label study (CA209025). The study included patients (18 years or older) who have experienced disease progression during or after 1 or 2 prior anti-angiogenic therapy regimens and no more than 3 total prior systemic treatment regimens. Patients had to have a Karnofsky Performance Score (KPS) </w:t>
      </w:r>
      <w:r w:rsidRPr="00D71068">
        <w:rPr>
          <w:noProof/>
        </w:rPr>
        <w:sym w:font="Symbol" w:char="F0B3"/>
      </w:r>
      <w:r w:rsidRPr="00D71068">
        <w:rPr>
          <w:noProof/>
        </w:rPr>
        <w:t xml:space="preserve">70%. </w:t>
      </w:r>
      <w:r w:rsidRPr="00CB4B99">
        <w:rPr>
          <w:noProof/>
        </w:rPr>
        <w:t>All patients had clear cell histology</w:t>
      </w:r>
      <w:r>
        <w:rPr>
          <w:noProof/>
        </w:rPr>
        <w:t xml:space="preserve"> component.</w:t>
      </w:r>
      <w:r w:rsidRPr="00D71068">
        <w:rPr>
          <w:noProof/>
        </w:rPr>
        <w:t xml:space="preserve"> This study included patients regardless of their PD-L1 status. Patients with any history of or concurrent brain metastases, prior treatment with an mammalian target of rapamycin (mTOR) inhibitor, active autoimmune disease, or medical conditions requiring systemic immunosuppression were excluded from the study.</w:t>
      </w:r>
    </w:p>
    <w:p w14:paraId="311BDABF" w14:textId="77777777" w:rsidR="00C659AE" w:rsidRPr="00D71068" w:rsidRDefault="00C659AE" w:rsidP="009045DE">
      <w:pPr>
        <w:rPr>
          <w:noProof/>
        </w:rPr>
      </w:pPr>
      <w:r w:rsidRPr="00D71068">
        <w:rPr>
          <w:noProof/>
        </w:rPr>
        <w:t>A total of 821 patients were randomised to receive either nivolumab 3 mg/kg (n</w:t>
      </w:r>
      <w:r>
        <w:rPr>
          <w:noProof/>
        </w:rPr>
        <w:t xml:space="preserve"> </w:t>
      </w:r>
      <w:r w:rsidRPr="00D71068">
        <w:rPr>
          <w:noProof/>
        </w:rPr>
        <w:t>=</w:t>
      </w:r>
      <w:r>
        <w:rPr>
          <w:noProof/>
        </w:rPr>
        <w:t xml:space="preserve"> </w:t>
      </w:r>
      <w:r w:rsidRPr="00D71068">
        <w:rPr>
          <w:noProof/>
        </w:rPr>
        <w:t xml:space="preserve">410) administered intravenously over 60 minutes every </w:t>
      </w:r>
      <w:r w:rsidRPr="00D71068">
        <w:t>2 weeks</w:t>
      </w:r>
      <w:r w:rsidRPr="00D71068">
        <w:rPr>
          <w:noProof/>
        </w:rPr>
        <w:t xml:space="preserve"> or everolimus (n</w:t>
      </w:r>
      <w:r>
        <w:rPr>
          <w:noProof/>
        </w:rPr>
        <w:t xml:space="preserve"> </w:t>
      </w:r>
      <w:r w:rsidRPr="00D71068">
        <w:rPr>
          <w:noProof/>
        </w:rPr>
        <w:t>=</w:t>
      </w:r>
      <w:r>
        <w:rPr>
          <w:noProof/>
        </w:rPr>
        <w:t xml:space="preserve"> </w:t>
      </w:r>
      <w:r w:rsidRPr="00D71068">
        <w:rPr>
          <w:noProof/>
        </w:rPr>
        <w:t xml:space="preserve">411) </w:t>
      </w:r>
      <w:r w:rsidRPr="00D71068">
        <w:t>10 mg</w:t>
      </w:r>
      <w:r w:rsidRPr="00D71068">
        <w:rPr>
          <w:noProof/>
        </w:rPr>
        <w:t xml:space="preserve"> daily, administered orally. Treatment was continued as long as clinical benefit was observed or until treatment was no longer tolerated. The first tumour assessments were conducted 8 weeks after randomisation and continued every 8 weeks thereafter for the first year and then every 12 weeks until progression or treatment discontinuation, whichever occurred later. Tumour assessments were continued after treatment discontinuation in patients who discontinued treatment for reasons other than progression. Treatment beyond initial investigator-assessed RECIST 1.1-defined progression was permitted if the patient had a clinical benefit and was tolerating study drug as determined by the investigator. The primary efficacy outcome measure was OS. Secondary efficacy assessments included investigator-assessed ORR</w:t>
      </w:r>
      <w:r>
        <w:rPr>
          <w:noProof/>
        </w:rPr>
        <w:t xml:space="preserve"> </w:t>
      </w:r>
      <w:r w:rsidRPr="00D71068">
        <w:rPr>
          <w:noProof/>
        </w:rPr>
        <w:t>and</w:t>
      </w:r>
      <w:r>
        <w:rPr>
          <w:noProof/>
        </w:rPr>
        <w:t xml:space="preserve"> </w:t>
      </w:r>
      <w:r w:rsidRPr="00D71068">
        <w:rPr>
          <w:noProof/>
        </w:rPr>
        <w:t>PFS.</w:t>
      </w:r>
    </w:p>
    <w:p w14:paraId="628E488A" w14:textId="77777777" w:rsidR="00C659AE" w:rsidRDefault="00C659AE" w:rsidP="009045DE">
      <w:pPr>
        <w:rPr>
          <w:noProof/>
        </w:rPr>
      </w:pPr>
      <w:r w:rsidRPr="00D71068">
        <w:rPr>
          <w:noProof/>
        </w:rPr>
        <w:t xml:space="preserve">Baseline characteristics were generally balanced between the two groups. The median age was 62 years (range: 18-88) with 40% </w:t>
      </w:r>
      <w:r w:rsidRPr="00D71068">
        <w:rPr>
          <w:noProof/>
        </w:rPr>
        <w:sym w:font="Symbol" w:char="F0B3"/>
      </w:r>
      <w:r w:rsidRPr="00D71068">
        <w:rPr>
          <w:noProof/>
        </w:rPr>
        <w:t xml:space="preserve">65 years of age and 9% </w:t>
      </w:r>
      <w:r w:rsidRPr="00D71068">
        <w:rPr>
          <w:noProof/>
        </w:rPr>
        <w:sym w:font="Symbol" w:char="F0B3"/>
      </w:r>
      <w:r w:rsidRPr="00D71068">
        <w:rPr>
          <w:noProof/>
        </w:rPr>
        <w:t>75 years of age. The majority of patients were male (75%) and white (88%), all Memorial Sloan Kettering Cancer Center (MSKCC) risk groups were represented, and 34% and 66% of patients had a baseline KPS of 70 to 80% and 90 to 100%, respectively. The majority of patients (72%) were treated with one prior anti-angiogenic therapy The median duration of time from initial diagnosis to randomisation was 2.6 years in both the nivolumab and everolimus groups. The median duration of treatment was 5.5 months (range: 0- 29.6</w:t>
      </w:r>
      <w:r w:rsidRPr="00D71068">
        <w:rPr>
          <w:noProof/>
          <w:vertAlign w:val="superscript"/>
        </w:rPr>
        <w:t>+</w:t>
      </w:r>
      <w:r w:rsidRPr="00D71068">
        <w:rPr>
          <w:noProof/>
        </w:rPr>
        <w:t xml:space="preserve"> months) in nivolumab-treated patients</w:t>
      </w:r>
      <w:r w:rsidRPr="00D71068">
        <w:rPr>
          <w:noProof/>
          <w:vertAlign w:val="superscript"/>
        </w:rPr>
        <w:t xml:space="preserve"> </w:t>
      </w:r>
      <w:r w:rsidRPr="00D71068">
        <w:rPr>
          <w:noProof/>
        </w:rPr>
        <w:t>and was 3.7 months (range: 6 days-25.7</w:t>
      </w:r>
      <w:r w:rsidRPr="00D71068">
        <w:rPr>
          <w:noProof/>
          <w:vertAlign w:val="superscript"/>
        </w:rPr>
        <w:t>+</w:t>
      </w:r>
      <w:r w:rsidRPr="00D71068">
        <w:rPr>
          <w:noProof/>
        </w:rPr>
        <w:t> months) in everolimus-treated patients.</w:t>
      </w:r>
    </w:p>
    <w:p w14:paraId="1684E6E8" w14:textId="41E438B4" w:rsidR="00DB5FE1" w:rsidRDefault="00C659AE" w:rsidP="009045DE">
      <w:pPr>
        <w:rPr>
          <w:noProof/>
        </w:rPr>
      </w:pPr>
      <w:r w:rsidRPr="00D71068">
        <w:rPr>
          <w:noProof/>
        </w:rPr>
        <w:t>Nivolumab was continued beyond progression in 44% of patients.</w:t>
      </w:r>
    </w:p>
    <w:p w14:paraId="6E35A9C4" w14:textId="20347131" w:rsidR="00C659AE" w:rsidRPr="00D71068" w:rsidRDefault="00C659AE" w:rsidP="009045DE">
      <w:pPr>
        <w:rPr>
          <w:noProof/>
        </w:rPr>
      </w:pPr>
      <w:r w:rsidRPr="00D71068">
        <w:rPr>
          <w:noProof/>
        </w:rPr>
        <w:t>The Kaplan-Meier curves for OS are shown in Figure </w:t>
      </w:r>
      <w:r w:rsidR="00777194">
        <w:rPr>
          <w:noProof/>
        </w:rPr>
        <w:t>8</w:t>
      </w:r>
      <w:r w:rsidRPr="00D71068">
        <w:rPr>
          <w:noProof/>
        </w:rPr>
        <w:t>.</w:t>
      </w:r>
    </w:p>
    <w:p w14:paraId="7DD57A4E" w14:textId="5C2B1E32" w:rsidR="00C659AE" w:rsidRPr="00EE6520" w:rsidRDefault="00C659AE" w:rsidP="004D7D64">
      <w:pPr>
        <w:keepNext/>
        <w:keepLines/>
        <w:widowControl w:val="0"/>
        <w:rPr>
          <w:b/>
        </w:rPr>
      </w:pPr>
      <w:r w:rsidRPr="00EE6520">
        <w:rPr>
          <w:b/>
        </w:rPr>
        <w:lastRenderedPageBreak/>
        <w:t xml:space="preserve">Figure </w:t>
      </w:r>
      <w:r w:rsidR="00777194">
        <w:rPr>
          <w:b/>
        </w:rPr>
        <w:t>8</w:t>
      </w:r>
      <w:r w:rsidRPr="00EE6520">
        <w:rPr>
          <w:b/>
        </w:rPr>
        <w:t>: Kaplan-Meier curves of OS (CA209025)</w:t>
      </w:r>
    </w:p>
    <w:p w14:paraId="09642B44" w14:textId="77777777" w:rsidR="00C659AE" w:rsidRPr="00D71068" w:rsidRDefault="00C659AE" w:rsidP="004D7D64">
      <w:pPr>
        <w:pStyle w:val="EMEABodyText"/>
        <w:keepNext/>
        <w:keepLines/>
        <w:widowControl w:val="0"/>
        <w:jc w:val="center"/>
        <w:rPr>
          <w:b/>
          <w:noProof/>
          <w:color w:val="000000" w:themeColor="text1"/>
          <w:lang w:val="en-US"/>
        </w:rPr>
      </w:pPr>
      <w:r w:rsidRPr="00D71068">
        <w:rPr>
          <w:b/>
          <w:noProof/>
          <w:color w:val="000000" w:themeColor="text1"/>
          <w:lang w:val="en-AU" w:eastAsia="en-AU"/>
        </w:rPr>
        <mc:AlternateContent>
          <mc:Choice Requires="wps">
            <w:drawing>
              <wp:anchor distT="0" distB="0" distL="114300" distR="114300" simplePos="0" relativeHeight="251662336" behindDoc="0" locked="0" layoutInCell="1" allowOverlap="1" wp14:anchorId="7566E886" wp14:editId="07F34150">
                <wp:simplePos x="0" y="0"/>
                <wp:positionH relativeFrom="column">
                  <wp:posOffset>-111125</wp:posOffset>
                </wp:positionH>
                <wp:positionV relativeFrom="paragraph">
                  <wp:posOffset>824865</wp:posOffset>
                </wp:positionV>
                <wp:extent cx="358140" cy="1496695"/>
                <wp:effectExtent l="3175" t="0" r="127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568C47" w14:textId="77777777" w:rsidR="00683B20" w:rsidRDefault="00683B20" w:rsidP="00C659AE">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6" o:spid="_x0000_s1039" type="#_x0000_t202" style="position:absolute;left:0;text-align:left;margin-left:-8.75pt;margin-top:64.95pt;width:28.2pt;height:117.8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" stroked="f">
                <v:textbox style="layout-flow:vertical;mso-layout-flow-alt:bottom-to-top;mso-fit-shape-to-text:t">
                  <w:txbxContent>
                    <w:p w14:paraId="75568C47" w14:textId="77777777" w:rsidR="00683B20" w:rsidRDefault="00683B20" w:rsidP="00C659AE">
                      <w:r>
                        <w:t>Probability of Survival</w:t>
                      </w:r>
                    </w:p>
                  </w:txbxContent>
                </v:textbox>
              </v:shape>
            </w:pict>
          </mc:Fallback>
        </mc:AlternateContent>
      </w:r>
      <w:r w:rsidRPr="00D71068">
        <w:rPr>
          <w:b/>
          <w:noProof/>
          <w:color w:val="000000" w:themeColor="text1"/>
          <w:lang w:val="en-AU" w:eastAsia="en-AU"/>
        </w:rPr>
        <mc:AlternateContent>
          <mc:Choice Requires="wps">
            <w:drawing>
              <wp:anchor distT="0" distB="0" distL="114300" distR="114300" simplePos="0" relativeHeight="251661312" behindDoc="0" locked="0" layoutInCell="1" allowOverlap="1" wp14:anchorId="1A1D4B71" wp14:editId="70E3FC6C">
                <wp:simplePos x="0" y="0"/>
                <wp:positionH relativeFrom="column">
                  <wp:posOffset>2159000</wp:posOffset>
                </wp:positionH>
                <wp:positionV relativeFrom="paragraph">
                  <wp:posOffset>3415030</wp:posOffset>
                </wp:positionV>
                <wp:extent cx="1840865" cy="265430"/>
                <wp:effectExtent l="0" t="0" r="63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65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16780" w14:textId="2DFBA0F4" w:rsidR="00683B20" w:rsidRDefault="00683B20" w:rsidP="00C659AE">
                            <w:r>
                              <w:t>(Overall Survival (Months)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0" type="#_x0000_t202" style="position:absolute;left:0;text-align:left;margin-left:170pt;margin-top:268.9pt;width:144.95pt;height:2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" stroked="f">
                <v:textbox>
                  <w:txbxContent>
                    <w:p w14:paraId="6FA16780" w14:textId="2DFBA0F4" w:rsidR="00683B20" w:rsidRDefault="00683B20" w:rsidP="00C659AE">
                      <w:r>
                        <w:t>(Overall Survival (Months)</w:t>
                      </w:r>
                    </w:p>
                  </w:txbxContent>
                </v:textbox>
              </v:shape>
            </w:pict>
          </mc:Fallback>
        </mc:AlternateContent>
      </w:r>
      <w:r w:rsidRPr="00D71068">
        <w:rPr>
          <w:b/>
          <w:noProof/>
          <w:color w:val="000000" w:themeColor="text1"/>
          <w:lang w:val="en-AU" w:eastAsia="en-AU"/>
        </w:rPr>
        <w:drawing>
          <wp:inline distT="0" distB="0" distL="0" distR="0" wp14:anchorId="7557BB49" wp14:editId="41B8C9B1">
            <wp:extent cx="5361940" cy="3503930"/>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4131" b="34557"/>
                    <a:stretch>
                      <a:fillRect/>
                    </a:stretch>
                  </pic:blipFill>
                  <pic:spPr bwMode="auto">
                    <a:xfrm>
                      <a:off x="0" y="0"/>
                      <a:ext cx="5361940" cy="3503930"/>
                    </a:xfrm>
                    <a:prstGeom prst="rect">
                      <a:avLst/>
                    </a:prstGeom>
                    <a:noFill/>
                    <a:ln w="9525">
                      <a:noFill/>
                      <a:miter lim="800000"/>
                      <a:headEnd/>
                      <a:tailEnd/>
                    </a:ln>
                  </pic:spPr>
                </pic:pic>
              </a:graphicData>
            </a:graphic>
          </wp:inline>
        </w:drawing>
      </w:r>
    </w:p>
    <w:p w14:paraId="6B4D4F8D" w14:textId="77777777" w:rsidR="00EE6520" w:rsidRDefault="00EE6520" w:rsidP="004D7D64">
      <w:pPr>
        <w:keepNext/>
        <w:keepLines/>
        <w:widowControl w:val="0"/>
        <w:rPr>
          <w:noProof/>
          <w:sz w:val="18"/>
          <w:szCs w:val="18"/>
        </w:rPr>
      </w:pPr>
    </w:p>
    <w:p w14:paraId="4372E3EA" w14:textId="2D853BA1" w:rsidR="00C659AE" w:rsidRPr="00EE6520" w:rsidRDefault="00C659AE" w:rsidP="004D7D64">
      <w:pPr>
        <w:keepNext/>
        <w:keepLines/>
        <w:widowControl w:val="0"/>
        <w:rPr>
          <w:noProof/>
          <w:sz w:val="18"/>
          <w:szCs w:val="18"/>
        </w:rPr>
      </w:pPr>
      <w:r w:rsidRPr="00EE6520">
        <w:rPr>
          <w:noProof/>
          <w:sz w:val="18"/>
          <w:szCs w:val="18"/>
        </w:rPr>
        <w:t>Number of Subjects at Risk</w:t>
      </w:r>
    </w:p>
    <w:tbl>
      <w:tblPr>
        <w:tblW w:w="8755" w:type="dxa"/>
        <w:tblLayout w:type="fixed"/>
        <w:tblLook w:val="04A0" w:firstRow="1" w:lastRow="0" w:firstColumn="1" w:lastColumn="0" w:noHBand="0" w:noVBand="1"/>
      </w:tblPr>
      <w:tblGrid>
        <w:gridCol w:w="959"/>
        <w:gridCol w:w="708"/>
        <w:gridCol w:w="709"/>
        <w:gridCol w:w="709"/>
        <w:gridCol w:w="708"/>
        <w:gridCol w:w="709"/>
        <w:gridCol w:w="709"/>
        <w:gridCol w:w="709"/>
        <w:gridCol w:w="708"/>
        <w:gridCol w:w="709"/>
        <w:gridCol w:w="709"/>
        <w:gridCol w:w="709"/>
      </w:tblGrid>
      <w:tr w:rsidR="00C659AE" w:rsidRPr="00EE6520" w14:paraId="3E5B79A4" w14:textId="77777777" w:rsidTr="00C659AE">
        <w:tc>
          <w:tcPr>
            <w:tcW w:w="8755" w:type="dxa"/>
            <w:gridSpan w:val="12"/>
          </w:tcPr>
          <w:p w14:paraId="299E70D6" w14:textId="77777777" w:rsidR="00C659AE" w:rsidRPr="00EE6520" w:rsidRDefault="00C659AE" w:rsidP="004D7D64">
            <w:pPr>
              <w:keepNext/>
              <w:keepLines/>
              <w:widowControl w:val="0"/>
              <w:rPr>
                <w:noProof/>
                <w:sz w:val="18"/>
                <w:szCs w:val="18"/>
              </w:rPr>
            </w:pPr>
            <w:proofErr w:type="spellStart"/>
            <w:r w:rsidRPr="00EE6520">
              <w:rPr>
                <w:sz w:val="18"/>
                <w:szCs w:val="18"/>
              </w:rPr>
              <w:t>Nivolumab</w:t>
            </w:r>
            <w:proofErr w:type="spellEnd"/>
          </w:p>
        </w:tc>
      </w:tr>
      <w:tr w:rsidR="00C659AE" w:rsidRPr="00EE6520" w14:paraId="344F4292" w14:textId="77777777" w:rsidTr="00C659AE">
        <w:tc>
          <w:tcPr>
            <w:tcW w:w="959" w:type="dxa"/>
          </w:tcPr>
          <w:p w14:paraId="56564F62" w14:textId="77777777" w:rsidR="00C659AE" w:rsidRPr="00EE6520" w:rsidRDefault="00C659AE" w:rsidP="004D7D64">
            <w:pPr>
              <w:keepNext/>
              <w:keepLines/>
              <w:widowControl w:val="0"/>
              <w:rPr>
                <w:noProof/>
                <w:sz w:val="18"/>
                <w:szCs w:val="18"/>
              </w:rPr>
            </w:pPr>
            <w:r w:rsidRPr="00EE6520">
              <w:rPr>
                <w:noProof/>
                <w:sz w:val="18"/>
                <w:szCs w:val="18"/>
              </w:rPr>
              <w:t>410</w:t>
            </w:r>
          </w:p>
        </w:tc>
        <w:tc>
          <w:tcPr>
            <w:tcW w:w="708" w:type="dxa"/>
          </w:tcPr>
          <w:p w14:paraId="48305564"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389</w:t>
            </w:r>
          </w:p>
        </w:tc>
        <w:tc>
          <w:tcPr>
            <w:tcW w:w="709" w:type="dxa"/>
          </w:tcPr>
          <w:p w14:paraId="0148C1A9"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359</w:t>
            </w:r>
          </w:p>
        </w:tc>
        <w:tc>
          <w:tcPr>
            <w:tcW w:w="709" w:type="dxa"/>
          </w:tcPr>
          <w:p w14:paraId="5F3A2C30"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337</w:t>
            </w:r>
          </w:p>
        </w:tc>
        <w:tc>
          <w:tcPr>
            <w:tcW w:w="708" w:type="dxa"/>
          </w:tcPr>
          <w:p w14:paraId="55BE0554"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305</w:t>
            </w:r>
          </w:p>
        </w:tc>
        <w:tc>
          <w:tcPr>
            <w:tcW w:w="709" w:type="dxa"/>
          </w:tcPr>
          <w:p w14:paraId="75DF4F4A"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275</w:t>
            </w:r>
          </w:p>
        </w:tc>
        <w:tc>
          <w:tcPr>
            <w:tcW w:w="709" w:type="dxa"/>
          </w:tcPr>
          <w:p w14:paraId="12F1B9AE"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213</w:t>
            </w:r>
          </w:p>
        </w:tc>
        <w:tc>
          <w:tcPr>
            <w:tcW w:w="709" w:type="dxa"/>
          </w:tcPr>
          <w:p w14:paraId="5E6CFBFC"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139</w:t>
            </w:r>
          </w:p>
        </w:tc>
        <w:tc>
          <w:tcPr>
            <w:tcW w:w="708" w:type="dxa"/>
          </w:tcPr>
          <w:p w14:paraId="160BE018"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73</w:t>
            </w:r>
          </w:p>
        </w:tc>
        <w:tc>
          <w:tcPr>
            <w:tcW w:w="709" w:type="dxa"/>
          </w:tcPr>
          <w:p w14:paraId="60A0C19F"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29</w:t>
            </w:r>
          </w:p>
        </w:tc>
        <w:tc>
          <w:tcPr>
            <w:tcW w:w="709" w:type="dxa"/>
          </w:tcPr>
          <w:p w14:paraId="1230E6DA"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w:t>
            </w:r>
          </w:p>
        </w:tc>
        <w:tc>
          <w:tcPr>
            <w:tcW w:w="709" w:type="dxa"/>
          </w:tcPr>
          <w:p w14:paraId="7914F6DC"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0</w:t>
            </w:r>
          </w:p>
        </w:tc>
      </w:tr>
      <w:tr w:rsidR="00C659AE" w:rsidRPr="00EE6520" w14:paraId="6ED09646" w14:textId="77777777" w:rsidTr="00C659AE">
        <w:tc>
          <w:tcPr>
            <w:tcW w:w="8755" w:type="dxa"/>
            <w:gridSpan w:val="12"/>
          </w:tcPr>
          <w:p w14:paraId="5FB99D33" w14:textId="77777777" w:rsidR="00C659AE" w:rsidRPr="00EE6520" w:rsidRDefault="00C659AE" w:rsidP="004D7D64">
            <w:pPr>
              <w:keepNext/>
              <w:keepLines/>
              <w:widowControl w:val="0"/>
              <w:rPr>
                <w:noProof/>
                <w:sz w:val="18"/>
                <w:szCs w:val="18"/>
              </w:rPr>
            </w:pPr>
            <w:r w:rsidRPr="00EE6520">
              <w:rPr>
                <w:noProof/>
                <w:sz w:val="18"/>
                <w:szCs w:val="18"/>
              </w:rPr>
              <w:t>Everolimus</w:t>
            </w:r>
          </w:p>
        </w:tc>
      </w:tr>
      <w:tr w:rsidR="00C659AE" w:rsidRPr="00EE6520" w14:paraId="18FAE10A" w14:textId="77777777" w:rsidTr="00C659AE">
        <w:tc>
          <w:tcPr>
            <w:tcW w:w="959" w:type="dxa"/>
          </w:tcPr>
          <w:p w14:paraId="5321F915" w14:textId="77777777" w:rsidR="00C659AE" w:rsidRPr="00EE6520" w:rsidRDefault="00C659AE" w:rsidP="004D7D64">
            <w:pPr>
              <w:keepNext/>
              <w:keepLines/>
              <w:widowControl w:val="0"/>
              <w:rPr>
                <w:noProof/>
                <w:sz w:val="18"/>
                <w:szCs w:val="18"/>
              </w:rPr>
            </w:pPr>
            <w:r w:rsidRPr="00EE6520">
              <w:rPr>
                <w:noProof/>
                <w:sz w:val="18"/>
                <w:szCs w:val="18"/>
              </w:rPr>
              <w:t>411</w:t>
            </w:r>
          </w:p>
        </w:tc>
        <w:tc>
          <w:tcPr>
            <w:tcW w:w="708" w:type="dxa"/>
          </w:tcPr>
          <w:p w14:paraId="595D8BFF"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366</w:t>
            </w:r>
          </w:p>
        </w:tc>
        <w:tc>
          <w:tcPr>
            <w:tcW w:w="709" w:type="dxa"/>
          </w:tcPr>
          <w:p w14:paraId="74D088A8"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324</w:t>
            </w:r>
          </w:p>
        </w:tc>
        <w:tc>
          <w:tcPr>
            <w:tcW w:w="709" w:type="dxa"/>
          </w:tcPr>
          <w:p w14:paraId="7F1778C2"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287</w:t>
            </w:r>
          </w:p>
        </w:tc>
        <w:tc>
          <w:tcPr>
            <w:tcW w:w="708" w:type="dxa"/>
          </w:tcPr>
          <w:p w14:paraId="4280A1B0"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265</w:t>
            </w:r>
          </w:p>
        </w:tc>
        <w:tc>
          <w:tcPr>
            <w:tcW w:w="709" w:type="dxa"/>
          </w:tcPr>
          <w:p w14:paraId="5BC7B67A"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241</w:t>
            </w:r>
          </w:p>
        </w:tc>
        <w:tc>
          <w:tcPr>
            <w:tcW w:w="709" w:type="dxa"/>
          </w:tcPr>
          <w:p w14:paraId="17B0427C"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187</w:t>
            </w:r>
          </w:p>
        </w:tc>
        <w:tc>
          <w:tcPr>
            <w:tcW w:w="709" w:type="dxa"/>
          </w:tcPr>
          <w:p w14:paraId="5FF3528E"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115</w:t>
            </w:r>
          </w:p>
        </w:tc>
        <w:tc>
          <w:tcPr>
            <w:tcW w:w="708" w:type="dxa"/>
          </w:tcPr>
          <w:p w14:paraId="14B304AE"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61</w:t>
            </w:r>
          </w:p>
        </w:tc>
        <w:tc>
          <w:tcPr>
            <w:tcW w:w="709" w:type="dxa"/>
          </w:tcPr>
          <w:p w14:paraId="32C73AB0"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20</w:t>
            </w:r>
          </w:p>
        </w:tc>
        <w:tc>
          <w:tcPr>
            <w:tcW w:w="709" w:type="dxa"/>
          </w:tcPr>
          <w:p w14:paraId="2023439D"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2</w:t>
            </w:r>
          </w:p>
        </w:tc>
        <w:tc>
          <w:tcPr>
            <w:tcW w:w="709" w:type="dxa"/>
          </w:tcPr>
          <w:p w14:paraId="03E59111" w14:textId="77777777" w:rsidR="00C659AE" w:rsidRPr="00EE6520" w:rsidRDefault="00C659AE" w:rsidP="004D7D64">
            <w:pPr>
              <w:pStyle w:val="EMEABodyText"/>
              <w:keepNext/>
              <w:keepLines/>
              <w:widowControl w:val="0"/>
              <w:jc w:val="center"/>
              <w:rPr>
                <w:noProof/>
                <w:color w:val="000000" w:themeColor="text1"/>
                <w:sz w:val="18"/>
                <w:szCs w:val="18"/>
              </w:rPr>
            </w:pPr>
            <w:r w:rsidRPr="00EE6520">
              <w:rPr>
                <w:noProof/>
                <w:color w:val="000000" w:themeColor="text1"/>
                <w:sz w:val="18"/>
                <w:szCs w:val="18"/>
              </w:rPr>
              <w:t>0</w:t>
            </w:r>
          </w:p>
        </w:tc>
      </w:tr>
    </w:tbl>
    <w:p w14:paraId="6B980862" w14:textId="77777777" w:rsidR="00C659AE" w:rsidRPr="00EE6520" w:rsidRDefault="00C659AE" w:rsidP="004D7D64">
      <w:pPr>
        <w:pStyle w:val="EMEABodyText"/>
        <w:keepNext/>
        <w:keepLines/>
        <w:widowControl w:val="0"/>
        <w:rPr>
          <w:noProof/>
          <w:color w:val="000000" w:themeColor="text1"/>
          <w:sz w:val="18"/>
          <w:szCs w:val="18"/>
        </w:rPr>
      </w:pPr>
      <w:r w:rsidRPr="00EE6520">
        <w:rPr>
          <w:noProof/>
          <w:color w:val="000000" w:themeColor="text1"/>
          <w:sz w:val="18"/>
          <w:szCs w:val="18"/>
          <w:lang w:val="en-AU" w:eastAsia="en-AU"/>
        </w:rPr>
        <w:drawing>
          <wp:inline distT="0" distB="0" distL="0" distR="0" wp14:anchorId="691E73F9" wp14:editId="50540E25">
            <wp:extent cx="475615" cy="197485"/>
            <wp:effectExtent l="19050" t="0" r="63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475615" cy="197485"/>
                    </a:xfrm>
                    <a:prstGeom prst="rect">
                      <a:avLst/>
                    </a:prstGeom>
                    <a:noFill/>
                    <a:ln w="9525">
                      <a:noFill/>
                      <a:miter lim="800000"/>
                      <a:headEnd/>
                      <a:tailEnd/>
                    </a:ln>
                  </pic:spPr>
                </pic:pic>
              </a:graphicData>
            </a:graphic>
          </wp:inline>
        </w:drawing>
      </w:r>
      <w:r w:rsidRPr="00EE6520">
        <w:rPr>
          <w:noProof/>
          <w:color w:val="000000" w:themeColor="text1"/>
          <w:sz w:val="18"/>
          <w:szCs w:val="18"/>
        </w:rPr>
        <w:t>Nivolumab 3 mg/kg (events: 183/410), median and 95% CI: 25.00 (21.75, N.A.)</w:t>
      </w:r>
    </w:p>
    <w:p w14:paraId="428689F1" w14:textId="424AE00A" w:rsidR="00C659AE" w:rsidRDefault="00C659AE" w:rsidP="004D7D64">
      <w:pPr>
        <w:pStyle w:val="EMEABodyText"/>
        <w:keepNext/>
        <w:keepLines/>
        <w:widowControl w:val="0"/>
        <w:rPr>
          <w:noProof/>
          <w:color w:val="000000" w:themeColor="text1"/>
          <w:sz w:val="18"/>
          <w:szCs w:val="18"/>
        </w:rPr>
      </w:pPr>
      <w:r w:rsidRPr="00EE6520">
        <w:rPr>
          <w:noProof/>
          <w:color w:val="000000" w:themeColor="text1"/>
          <w:sz w:val="18"/>
          <w:szCs w:val="18"/>
          <w:lang w:val="en-AU" w:eastAsia="en-AU"/>
        </w:rPr>
        <w:drawing>
          <wp:inline distT="0" distB="0" distL="0" distR="0" wp14:anchorId="43AF707E" wp14:editId="3C7B5D74">
            <wp:extent cx="431800" cy="197485"/>
            <wp:effectExtent l="19050" t="0" r="635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31800" cy="197485"/>
                    </a:xfrm>
                    <a:prstGeom prst="rect">
                      <a:avLst/>
                    </a:prstGeom>
                    <a:noFill/>
                    <a:ln w="9525">
                      <a:noFill/>
                      <a:miter lim="800000"/>
                      <a:headEnd/>
                      <a:tailEnd/>
                    </a:ln>
                  </pic:spPr>
                </pic:pic>
              </a:graphicData>
            </a:graphic>
          </wp:inline>
        </w:drawing>
      </w:r>
      <w:r w:rsidRPr="00EE6520">
        <w:rPr>
          <w:noProof/>
          <w:color w:val="000000" w:themeColor="text1"/>
          <w:sz w:val="18"/>
          <w:szCs w:val="18"/>
        </w:rPr>
        <w:t xml:space="preserve"> Everolimus 10 mg (events: 215/411), median and 95% CI: 19.55 (17.64, 23.06)</w:t>
      </w:r>
    </w:p>
    <w:p w14:paraId="4D81BF9E" w14:textId="77777777" w:rsidR="00EE6520" w:rsidRPr="00EE6520" w:rsidRDefault="00EE6520" w:rsidP="00C659AE">
      <w:pPr>
        <w:pStyle w:val="EMEABodyText"/>
        <w:rPr>
          <w:noProof/>
          <w:color w:val="000000" w:themeColor="text1"/>
          <w:sz w:val="18"/>
          <w:szCs w:val="18"/>
        </w:rPr>
      </w:pPr>
    </w:p>
    <w:p w14:paraId="076A0D97" w14:textId="4986D8D0" w:rsidR="00C659AE" w:rsidRPr="00D71068" w:rsidRDefault="00C659AE" w:rsidP="00310419">
      <w:pPr>
        <w:rPr>
          <w:noProof/>
          <w:lang w:val="en-US"/>
        </w:rPr>
      </w:pPr>
      <w:r w:rsidRPr="00D71068">
        <w:rPr>
          <w:noProof/>
          <w:lang w:val="en-US"/>
        </w:rPr>
        <w:t xml:space="preserve">The trial demonstrated a statistically significant improvement in OS for patients randomised to nivolumab as compared with everolimus at the prespecified interim analysis when </w:t>
      </w:r>
      <w:r w:rsidRPr="00D71068">
        <w:t>398 events</w:t>
      </w:r>
      <w:r w:rsidRPr="00D71068">
        <w:rPr>
          <w:noProof/>
          <w:lang w:val="en-US"/>
        </w:rPr>
        <w:t xml:space="preserve"> were observed (70% of the planned number of events for final analysis) (Table </w:t>
      </w:r>
      <w:r w:rsidR="008863B1">
        <w:rPr>
          <w:noProof/>
          <w:lang w:val="en-US"/>
        </w:rPr>
        <w:t>15</w:t>
      </w:r>
      <w:r w:rsidR="008863B1" w:rsidRPr="00D71068">
        <w:rPr>
          <w:noProof/>
          <w:lang w:val="en-US"/>
        </w:rPr>
        <w:t xml:space="preserve"> </w:t>
      </w:r>
      <w:r w:rsidRPr="00D71068">
        <w:rPr>
          <w:noProof/>
          <w:lang w:val="en-US"/>
        </w:rPr>
        <w:t>and Figure </w:t>
      </w:r>
      <w:r>
        <w:rPr>
          <w:noProof/>
          <w:lang w:val="en-US"/>
        </w:rPr>
        <w:t>7</w:t>
      </w:r>
      <w:r w:rsidRPr="00D71068">
        <w:rPr>
          <w:noProof/>
          <w:lang w:val="en-US"/>
        </w:rPr>
        <w:t>). OS benefit was observed regardless of PD-L1 expression level.</w:t>
      </w:r>
    </w:p>
    <w:p w14:paraId="7AF49820" w14:textId="77C8638E" w:rsidR="00EE6520" w:rsidRDefault="00C659AE" w:rsidP="004D7D64">
      <w:pPr>
        <w:rPr>
          <w:noProof/>
          <w:lang w:val="en-US"/>
        </w:rPr>
      </w:pPr>
      <w:r w:rsidRPr="00D71068">
        <w:rPr>
          <w:noProof/>
          <w:lang w:val="en-US"/>
        </w:rPr>
        <w:t>Efficacy results are shown in Table </w:t>
      </w:r>
      <w:r w:rsidR="00736CE8">
        <w:rPr>
          <w:noProof/>
          <w:lang w:val="en-US"/>
        </w:rPr>
        <w:t>16</w:t>
      </w:r>
      <w:r w:rsidRPr="00D71068">
        <w:rPr>
          <w:noProof/>
          <w:lang w:val="en-US"/>
        </w:rPr>
        <w:t>.</w:t>
      </w:r>
    </w:p>
    <w:tbl>
      <w:tblPr>
        <w:tblW w:w="0" w:type="auto"/>
        <w:tblLook w:val="04A0" w:firstRow="1" w:lastRow="0" w:firstColumn="1" w:lastColumn="0" w:noHBand="0" w:noVBand="1"/>
      </w:tblPr>
      <w:tblGrid>
        <w:gridCol w:w="2940"/>
        <w:gridCol w:w="1541"/>
        <w:gridCol w:w="1737"/>
        <w:gridCol w:w="1181"/>
        <w:gridCol w:w="1627"/>
      </w:tblGrid>
      <w:tr w:rsidR="00807021" w:rsidRPr="00807021" w14:paraId="253A1A44" w14:textId="77777777" w:rsidTr="00807021">
        <w:tc>
          <w:tcPr>
            <w:tcW w:w="9026" w:type="dxa"/>
            <w:gridSpan w:val="5"/>
            <w:tcBorders>
              <w:left w:val="nil"/>
              <w:bottom w:val="single" w:sz="4" w:space="0" w:color="auto"/>
              <w:right w:val="nil"/>
            </w:tcBorders>
          </w:tcPr>
          <w:p w14:paraId="7330765F" w14:textId="436C5633" w:rsidR="00807021" w:rsidRPr="00807021" w:rsidRDefault="00807021" w:rsidP="00736CE8">
            <w:pPr>
              <w:keepNext/>
              <w:keepLines/>
              <w:widowControl w:val="0"/>
              <w:rPr>
                <w:rFonts w:eastAsia="Times New Roman" w:cs="Times New Roman"/>
                <w:b/>
                <w:color w:val="000000"/>
                <w:sz w:val="20"/>
                <w:szCs w:val="24"/>
                <w:lang w:val="en-US"/>
              </w:rPr>
            </w:pPr>
            <w:r w:rsidRPr="00EE6520">
              <w:rPr>
                <w:b/>
              </w:rPr>
              <w:lastRenderedPageBreak/>
              <w:t>Table </w:t>
            </w:r>
            <w:r w:rsidR="00736CE8">
              <w:rPr>
                <w:b/>
              </w:rPr>
              <w:t>16</w:t>
            </w:r>
            <w:r w:rsidRPr="00EE6520">
              <w:rPr>
                <w:b/>
              </w:rPr>
              <w:t>: Efficacy results (CA209025)</w:t>
            </w:r>
            <w:r w:rsidR="00EE6520" w:rsidRPr="00EE6520" w:rsidDel="00EE6520">
              <w:rPr>
                <w:b/>
              </w:rPr>
              <w:t xml:space="preserve"> </w:t>
            </w:r>
          </w:p>
        </w:tc>
      </w:tr>
      <w:tr w:rsidR="00807021" w:rsidRPr="00807021" w14:paraId="26860D7B" w14:textId="77777777" w:rsidTr="00807021">
        <w:tc>
          <w:tcPr>
            <w:tcW w:w="2940" w:type="dxa"/>
            <w:tcBorders>
              <w:top w:val="single" w:sz="4" w:space="0" w:color="auto"/>
              <w:left w:val="nil"/>
              <w:bottom w:val="single" w:sz="4" w:space="0" w:color="auto"/>
              <w:right w:val="nil"/>
            </w:tcBorders>
          </w:tcPr>
          <w:p w14:paraId="155DFDC9" w14:textId="77777777" w:rsidR="00807021" w:rsidRPr="00EE6520" w:rsidRDefault="00807021" w:rsidP="004D7D64">
            <w:pPr>
              <w:keepNext/>
              <w:keepLines/>
              <w:widowControl w:val="0"/>
              <w:spacing w:after="0"/>
              <w:jc w:val="center"/>
              <w:rPr>
                <w:rFonts w:eastAsia="Times New Roman" w:cs="Times New Roman"/>
                <w:b/>
                <w:color w:val="000000"/>
                <w:sz w:val="20"/>
                <w:szCs w:val="20"/>
                <w:lang w:val="en-US"/>
              </w:rPr>
            </w:pPr>
          </w:p>
        </w:tc>
        <w:tc>
          <w:tcPr>
            <w:tcW w:w="3278" w:type="dxa"/>
            <w:gridSpan w:val="2"/>
            <w:tcBorders>
              <w:top w:val="single" w:sz="4" w:space="0" w:color="auto"/>
              <w:left w:val="nil"/>
              <w:bottom w:val="single" w:sz="4" w:space="0" w:color="auto"/>
              <w:right w:val="nil"/>
            </w:tcBorders>
            <w:hideMark/>
          </w:tcPr>
          <w:p w14:paraId="51DDD7AB" w14:textId="77777777" w:rsidR="00807021" w:rsidRPr="00CC4036" w:rsidRDefault="00807021" w:rsidP="004D7D64">
            <w:pPr>
              <w:keepNext/>
              <w:keepLines/>
              <w:widowControl w:val="0"/>
              <w:spacing w:after="0"/>
              <w:jc w:val="center"/>
              <w:rPr>
                <w:rFonts w:eastAsia="Times New Roman" w:cs="Times New Roman"/>
                <w:b/>
                <w:color w:val="000000"/>
                <w:sz w:val="20"/>
                <w:szCs w:val="20"/>
                <w:lang w:val="en-US"/>
              </w:rPr>
            </w:pPr>
            <w:proofErr w:type="spellStart"/>
            <w:r w:rsidRPr="00DA06A7">
              <w:rPr>
                <w:rFonts w:eastAsia="Times New Roman" w:cs="Times New Roman"/>
                <w:b/>
                <w:color w:val="000000"/>
                <w:sz w:val="20"/>
                <w:szCs w:val="20"/>
                <w:lang w:val="en-US"/>
              </w:rPr>
              <w:t>ni</w:t>
            </w:r>
            <w:r w:rsidRPr="00CC4036">
              <w:rPr>
                <w:rFonts w:eastAsia="Times New Roman" w:cs="Times New Roman"/>
                <w:b/>
                <w:color w:val="000000"/>
                <w:sz w:val="20"/>
                <w:szCs w:val="20"/>
                <w:lang w:val="en-US"/>
              </w:rPr>
              <w:t>volumab</w:t>
            </w:r>
            <w:proofErr w:type="spellEnd"/>
            <w:r w:rsidRPr="00CC4036">
              <w:rPr>
                <w:rFonts w:eastAsia="Times New Roman" w:cs="Times New Roman"/>
                <w:b/>
                <w:color w:val="000000"/>
                <w:sz w:val="20"/>
                <w:szCs w:val="20"/>
                <w:lang w:val="en-US"/>
              </w:rPr>
              <w:br/>
              <w:t>(n = 410)</w:t>
            </w:r>
          </w:p>
        </w:tc>
        <w:tc>
          <w:tcPr>
            <w:tcW w:w="2808" w:type="dxa"/>
            <w:gridSpan w:val="2"/>
            <w:tcBorders>
              <w:top w:val="single" w:sz="4" w:space="0" w:color="auto"/>
              <w:left w:val="nil"/>
              <w:bottom w:val="single" w:sz="4" w:space="0" w:color="auto"/>
              <w:right w:val="nil"/>
            </w:tcBorders>
            <w:hideMark/>
          </w:tcPr>
          <w:p w14:paraId="46A7982F" w14:textId="77777777" w:rsidR="00807021" w:rsidRPr="00312D0B" w:rsidRDefault="00807021" w:rsidP="004D7D64">
            <w:pPr>
              <w:keepNext/>
              <w:keepLines/>
              <w:widowControl w:val="0"/>
              <w:spacing w:after="0"/>
              <w:jc w:val="center"/>
              <w:rPr>
                <w:rFonts w:eastAsia="Times New Roman" w:cs="Times New Roman"/>
                <w:b/>
                <w:color w:val="000000"/>
                <w:sz w:val="20"/>
                <w:szCs w:val="20"/>
                <w:lang w:val="en-US"/>
              </w:rPr>
            </w:pPr>
            <w:proofErr w:type="spellStart"/>
            <w:r w:rsidRPr="00312D0B">
              <w:rPr>
                <w:rFonts w:eastAsia="Times New Roman" w:cs="Times New Roman"/>
                <w:b/>
                <w:color w:val="000000"/>
                <w:sz w:val="20"/>
                <w:szCs w:val="20"/>
                <w:lang w:val="en-US"/>
              </w:rPr>
              <w:t>everolimus</w:t>
            </w:r>
            <w:proofErr w:type="spellEnd"/>
            <w:r w:rsidRPr="00312D0B">
              <w:rPr>
                <w:rFonts w:eastAsia="Times New Roman" w:cs="Times New Roman"/>
                <w:b/>
                <w:color w:val="000000"/>
                <w:sz w:val="20"/>
                <w:szCs w:val="20"/>
                <w:lang w:val="en-US"/>
              </w:rPr>
              <w:br/>
              <w:t>(n = 411)</w:t>
            </w:r>
          </w:p>
        </w:tc>
      </w:tr>
      <w:tr w:rsidR="00807021" w:rsidRPr="00807021" w14:paraId="5EBD1FA2" w14:textId="77777777" w:rsidTr="00807021">
        <w:tc>
          <w:tcPr>
            <w:tcW w:w="2940" w:type="dxa"/>
            <w:tcBorders>
              <w:top w:val="single" w:sz="4" w:space="0" w:color="auto"/>
              <w:left w:val="nil"/>
              <w:bottom w:val="nil"/>
              <w:right w:val="nil"/>
            </w:tcBorders>
            <w:hideMark/>
          </w:tcPr>
          <w:p w14:paraId="7FBFE951" w14:textId="77777777" w:rsidR="00807021" w:rsidRPr="00EE6520" w:rsidRDefault="00807021" w:rsidP="004D7D64">
            <w:pPr>
              <w:keepNext/>
              <w:keepLines/>
              <w:widowControl w:val="0"/>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Overall survival </w:t>
            </w:r>
          </w:p>
        </w:tc>
        <w:tc>
          <w:tcPr>
            <w:tcW w:w="1541" w:type="dxa"/>
            <w:tcBorders>
              <w:top w:val="single" w:sz="4" w:space="0" w:color="auto"/>
              <w:left w:val="nil"/>
              <w:bottom w:val="nil"/>
              <w:right w:val="nil"/>
            </w:tcBorders>
          </w:tcPr>
          <w:p w14:paraId="0066CD21"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Borders>
              <w:top w:val="single" w:sz="4" w:space="0" w:color="auto"/>
              <w:left w:val="nil"/>
              <w:bottom w:val="nil"/>
              <w:right w:val="nil"/>
            </w:tcBorders>
          </w:tcPr>
          <w:p w14:paraId="02D8127B"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Borders>
              <w:top w:val="single" w:sz="4" w:space="0" w:color="auto"/>
              <w:left w:val="nil"/>
              <w:bottom w:val="nil"/>
              <w:right w:val="nil"/>
            </w:tcBorders>
          </w:tcPr>
          <w:p w14:paraId="3649A199"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Borders>
              <w:top w:val="single" w:sz="4" w:space="0" w:color="auto"/>
              <w:left w:val="nil"/>
              <w:bottom w:val="nil"/>
              <w:right w:val="nil"/>
            </w:tcBorders>
          </w:tcPr>
          <w:p w14:paraId="41C9332D"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360C211A" w14:textId="77777777" w:rsidTr="00807021">
        <w:tc>
          <w:tcPr>
            <w:tcW w:w="2940" w:type="dxa"/>
            <w:hideMark/>
          </w:tcPr>
          <w:p w14:paraId="18738556" w14:textId="77777777" w:rsidR="00807021" w:rsidRPr="00EE6520" w:rsidRDefault="00807021" w:rsidP="004D7D64">
            <w:pPr>
              <w:keepNext/>
              <w:keepLines/>
              <w:widowControl w:val="0"/>
              <w:tabs>
                <w:tab w:val="left" w:pos="201"/>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Events</w:t>
            </w:r>
          </w:p>
        </w:tc>
        <w:tc>
          <w:tcPr>
            <w:tcW w:w="3278" w:type="dxa"/>
            <w:gridSpan w:val="2"/>
            <w:hideMark/>
          </w:tcPr>
          <w:p w14:paraId="22CEF4E8"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183 (45)</w:t>
            </w:r>
          </w:p>
        </w:tc>
        <w:tc>
          <w:tcPr>
            <w:tcW w:w="2808" w:type="dxa"/>
            <w:gridSpan w:val="2"/>
            <w:hideMark/>
          </w:tcPr>
          <w:p w14:paraId="789638C0"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215 (52)</w:t>
            </w:r>
          </w:p>
        </w:tc>
      </w:tr>
      <w:tr w:rsidR="00807021" w:rsidRPr="00807021" w14:paraId="74B803C5" w14:textId="77777777" w:rsidTr="00807021">
        <w:tc>
          <w:tcPr>
            <w:tcW w:w="2940" w:type="dxa"/>
            <w:hideMark/>
          </w:tcPr>
          <w:p w14:paraId="0A5EA5F6"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Hazard ratio </w:t>
            </w:r>
          </w:p>
        </w:tc>
        <w:tc>
          <w:tcPr>
            <w:tcW w:w="6086" w:type="dxa"/>
            <w:gridSpan w:val="4"/>
            <w:hideMark/>
          </w:tcPr>
          <w:p w14:paraId="6C1174BA"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0.73</w:t>
            </w:r>
          </w:p>
        </w:tc>
      </w:tr>
      <w:tr w:rsidR="00807021" w:rsidRPr="00807021" w14:paraId="3333483B" w14:textId="77777777" w:rsidTr="00807021">
        <w:tc>
          <w:tcPr>
            <w:tcW w:w="2940" w:type="dxa"/>
            <w:hideMark/>
          </w:tcPr>
          <w:p w14:paraId="527594AD"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6086" w:type="dxa"/>
            <w:gridSpan w:val="4"/>
            <w:hideMark/>
          </w:tcPr>
          <w:p w14:paraId="03D59149"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(0.57, 0.93)</w:t>
            </w:r>
          </w:p>
        </w:tc>
      </w:tr>
      <w:tr w:rsidR="00807021" w:rsidRPr="00807021" w14:paraId="21C160DC" w14:textId="77777777" w:rsidTr="00807021">
        <w:tc>
          <w:tcPr>
            <w:tcW w:w="2940" w:type="dxa"/>
            <w:hideMark/>
          </w:tcPr>
          <w:p w14:paraId="5166C770"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6EFE02E1"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&lt; 0.0018</w:t>
            </w:r>
          </w:p>
        </w:tc>
      </w:tr>
      <w:tr w:rsidR="00807021" w:rsidRPr="00807021" w14:paraId="0C6B188D" w14:textId="77777777" w:rsidTr="00807021">
        <w:tc>
          <w:tcPr>
            <w:tcW w:w="2940" w:type="dxa"/>
          </w:tcPr>
          <w:p w14:paraId="12AD99C9"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28F180E6"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53EAB8F7"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6EC6CB85"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5B7AADD1"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02FC2822" w14:textId="77777777" w:rsidTr="00807021">
        <w:tc>
          <w:tcPr>
            <w:tcW w:w="2940" w:type="dxa"/>
            <w:hideMark/>
          </w:tcPr>
          <w:p w14:paraId="039982BD"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Median (95% CI) months</w:t>
            </w:r>
          </w:p>
        </w:tc>
        <w:tc>
          <w:tcPr>
            <w:tcW w:w="3278" w:type="dxa"/>
            <w:gridSpan w:val="2"/>
            <w:hideMark/>
          </w:tcPr>
          <w:p w14:paraId="333931E7"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25.0 (21.7, NE)</w:t>
            </w:r>
          </w:p>
        </w:tc>
        <w:tc>
          <w:tcPr>
            <w:tcW w:w="2808" w:type="dxa"/>
            <w:gridSpan w:val="2"/>
            <w:hideMark/>
          </w:tcPr>
          <w:p w14:paraId="343C28F6"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19.6 (17.6, 23.1)</w:t>
            </w:r>
          </w:p>
        </w:tc>
      </w:tr>
      <w:tr w:rsidR="00807021" w:rsidRPr="00807021" w14:paraId="4A2CACFD" w14:textId="77777777" w:rsidTr="00807021">
        <w:tc>
          <w:tcPr>
            <w:tcW w:w="2940" w:type="dxa"/>
            <w:hideMark/>
          </w:tcPr>
          <w:p w14:paraId="1E9C4DC3"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Rate % (95% CI)</w:t>
            </w:r>
          </w:p>
        </w:tc>
        <w:tc>
          <w:tcPr>
            <w:tcW w:w="1541" w:type="dxa"/>
          </w:tcPr>
          <w:p w14:paraId="6D5FE82A"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135A7830"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10C196B1"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6DBEC230"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48F6E06F" w14:textId="77777777" w:rsidTr="00807021">
        <w:tc>
          <w:tcPr>
            <w:tcW w:w="2940" w:type="dxa"/>
            <w:hideMark/>
          </w:tcPr>
          <w:p w14:paraId="2EF54200"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6 months</w:t>
            </w:r>
          </w:p>
        </w:tc>
        <w:tc>
          <w:tcPr>
            <w:tcW w:w="3278" w:type="dxa"/>
            <w:gridSpan w:val="2"/>
            <w:hideMark/>
          </w:tcPr>
          <w:p w14:paraId="11F1B68C" w14:textId="77777777" w:rsidR="00807021" w:rsidRPr="00CC4036"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89.2 (</w:t>
            </w:r>
            <w:r w:rsidRPr="00CC4036">
              <w:rPr>
                <w:rFonts w:eastAsia="Times New Roman" w:cs="Times New Roman"/>
                <w:color w:val="000000"/>
                <w:sz w:val="20"/>
                <w:szCs w:val="20"/>
                <w:lang w:val="en-US"/>
              </w:rPr>
              <w:t>85.7, 91.8)</w:t>
            </w:r>
          </w:p>
        </w:tc>
        <w:tc>
          <w:tcPr>
            <w:tcW w:w="2808" w:type="dxa"/>
            <w:gridSpan w:val="2"/>
            <w:hideMark/>
          </w:tcPr>
          <w:p w14:paraId="00F4C359"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81.2 (77.0, 84.7)</w:t>
            </w:r>
          </w:p>
        </w:tc>
      </w:tr>
      <w:tr w:rsidR="00807021" w:rsidRPr="00807021" w14:paraId="36A63520" w14:textId="77777777" w:rsidTr="00807021">
        <w:tc>
          <w:tcPr>
            <w:tcW w:w="2940" w:type="dxa"/>
            <w:hideMark/>
          </w:tcPr>
          <w:p w14:paraId="420CD785"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12 months</w:t>
            </w:r>
          </w:p>
        </w:tc>
        <w:tc>
          <w:tcPr>
            <w:tcW w:w="3278" w:type="dxa"/>
            <w:gridSpan w:val="2"/>
            <w:hideMark/>
          </w:tcPr>
          <w:p w14:paraId="01B4DC6A"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76.0 (71.5, 79.9)</w:t>
            </w:r>
          </w:p>
        </w:tc>
        <w:tc>
          <w:tcPr>
            <w:tcW w:w="2808" w:type="dxa"/>
            <w:gridSpan w:val="2"/>
            <w:hideMark/>
          </w:tcPr>
          <w:p w14:paraId="127892D8"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66.7 (61.8, 71.0))</w:t>
            </w:r>
          </w:p>
        </w:tc>
      </w:tr>
      <w:tr w:rsidR="00807021" w:rsidRPr="00807021" w14:paraId="3358D30E" w14:textId="77777777" w:rsidTr="00807021">
        <w:tc>
          <w:tcPr>
            <w:tcW w:w="2940" w:type="dxa"/>
          </w:tcPr>
          <w:p w14:paraId="2150D023"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344D9B71"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205117E4"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620E5780"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5B3FA2E3"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46916973" w14:textId="77777777" w:rsidTr="00807021">
        <w:tc>
          <w:tcPr>
            <w:tcW w:w="2940" w:type="dxa"/>
            <w:hideMark/>
          </w:tcPr>
          <w:p w14:paraId="71A58BD6" w14:textId="77777777" w:rsidR="00807021" w:rsidRPr="00EE6520" w:rsidRDefault="00807021" w:rsidP="004D7D64">
            <w:pPr>
              <w:keepNext/>
              <w:keepLines/>
              <w:widowControl w:val="0"/>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Objective  response </w:t>
            </w:r>
          </w:p>
        </w:tc>
        <w:tc>
          <w:tcPr>
            <w:tcW w:w="1541" w:type="dxa"/>
            <w:hideMark/>
          </w:tcPr>
          <w:p w14:paraId="76F28314"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103</w:t>
            </w:r>
          </w:p>
        </w:tc>
        <w:tc>
          <w:tcPr>
            <w:tcW w:w="1737" w:type="dxa"/>
            <w:hideMark/>
          </w:tcPr>
          <w:p w14:paraId="509B9DA9" w14:textId="77777777"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(25.1%)</w:t>
            </w:r>
          </w:p>
        </w:tc>
        <w:tc>
          <w:tcPr>
            <w:tcW w:w="1181" w:type="dxa"/>
            <w:hideMark/>
          </w:tcPr>
          <w:p w14:paraId="7CFC3EEC" w14:textId="77777777"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22</w:t>
            </w:r>
          </w:p>
        </w:tc>
        <w:tc>
          <w:tcPr>
            <w:tcW w:w="1627" w:type="dxa"/>
            <w:hideMark/>
          </w:tcPr>
          <w:p w14:paraId="7406DE77" w14:textId="77777777"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(5.4%)</w:t>
            </w:r>
          </w:p>
        </w:tc>
      </w:tr>
      <w:tr w:rsidR="00807021" w:rsidRPr="00807021" w14:paraId="1FA624F7" w14:textId="77777777" w:rsidTr="00807021">
        <w:tc>
          <w:tcPr>
            <w:tcW w:w="2940" w:type="dxa"/>
            <w:hideMark/>
          </w:tcPr>
          <w:p w14:paraId="5387421C" w14:textId="77777777" w:rsidR="00807021" w:rsidRPr="00EE6520" w:rsidRDefault="00807021" w:rsidP="004D7D64">
            <w:pPr>
              <w:keepNext/>
              <w:keepLines/>
              <w:widowControl w:val="0"/>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3278" w:type="dxa"/>
            <w:gridSpan w:val="2"/>
            <w:hideMark/>
          </w:tcPr>
          <w:p w14:paraId="07000424"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(21.0, 29.6)</w:t>
            </w:r>
          </w:p>
        </w:tc>
        <w:tc>
          <w:tcPr>
            <w:tcW w:w="2808" w:type="dxa"/>
            <w:gridSpan w:val="2"/>
            <w:hideMark/>
          </w:tcPr>
          <w:p w14:paraId="26AB95FF"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(3.4, 8.0)</w:t>
            </w:r>
          </w:p>
        </w:tc>
      </w:tr>
      <w:tr w:rsidR="00807021" w:rsidRPr="00807021" w14:paraId="23D9311F" w14:textId="77777777" w:rsidTr="00807021">
        <w:tc>
          <w:tcPr>
            <w:tcW w:w="2940" w:type="dxa"/>
            <w:hideMark/>
          </w:tcPr>
          <w:p w14:paraId="43E4DC97"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Odds ratio (95% CI)</w:t>
            </w:r>
          </w:p>
        </w:tc>
        <w:tc>
          <w:tcPr>
            <w:tcW w:w="6086" w:type="dxa"/>
            <w:gridSpan w:val="4"/>
            <w:hideMark/>
          </w:tcPr>
          <w:p w14:paraId="3DEF63EC"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5.98 (3.68, 9.72)</w:t>
            </w:r>
          </w:p>
        </w:tc>
      </w:tr>
      <w:tr w:rsidR="00807021" w:rsidRPr="00807021" w14:paraId="6D19A35D" w14:textId="77777777" w:rsidTr="00807021">
        <w:tc>
          <w:tcPr>
            <w:tcW w:w="2940" w:type="dxa"/>
            <w:hideMark/>
          </w:tcPr>
          <w:p w14:paraId="5E3E4AAD"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16C3B594"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&lt; 0.0001</w:t>
            </w:r>
          </w:p>
        </w:tc>
      </w:tr>
      <w:tr w:rsidR="00807021" w:rsidRPr="00807021" w14:paraId="163459FD" w14:textId="77777777" w:rsidTr="00807021">
        <w:tc>
          <w:tcPr>
            <w:tcW w:w="2940" w:type="dxa"/>
          </w:tcPr>
          <w:p w14:paraId="0B9D1442"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p>
        </w:tc>
        <w:tc>
          <w:tcPr>
            <w:tcW w:w="1541" w:type="dxa"/>
          </w:tcPr>
          <w:p w14:paraId="241EE9FE"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510369B9"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c>
          <w:tcPr>
            <w:tcW w:w="1181" w:type="dxa"/>
          </w:tcPr>
          <w:p w14:paraId="0AFBBDBF"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76AAEC33"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1C13695A" w14:textId="77777777" w:rsidTr="00807021">
        <w:tc>
          <w:tcPr>
            <w:tcW w:w="2940" w:type="dxa"/>
            <w:hideMark/>
          </w:tcPr>
          <w:p w14:paraId="716D0351"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Complete response (CR)</w:t>
            </w:r>
          </w:p>
        </w:tc>
        <w:tc>
          <w:tcPr>
            <w:tcW w:w="1541" w:type="dxa"/>
            <w:hideMark/>
          </w:tcPr>
          <w:p w14:paraId="7E253468" w14:textId="77777777" w:rsidR="00807021" w:rsidRPr="00CC4036"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4</w:t>
            </w:r>
          </w:p>
        </w:tc>
        <w:tc>
          <w:tcPr>
            <w:tcW w:w="1737" w:type="dxa"/>
            <w:hideMark/>
          </w:tcPr>
          <w:p w14:paraId="74586EE4" w14:textId="77777777"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(1.0%)</w:t>
            </w:r>
          </w:p>
        </w:tc>
        <w:tc>
          <w:tcPr>
            <w:tcW w:w="1181" w:type="dxa"/>
            <w:hideMark/>
          </w:tcPr>
          <w:p w14:paraId="7FA31D6E" w14:textId="77777777"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w:t>
            </w:r>
          </w:p>
        </w:tc>
        <w:tc>
          <w:tcPr>
            <w:tcW w:w="1627" w:type="dxa"/>
            <w:hideMark/>
          </w:tcPr>
          <w:p w14:paraId="2FAD07DD" w14:textId="77777777"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(0.5%)</w:t>
            </w:r>
          </w:p>
        </w:tc>
      </w:tr>
      <w:tr w:rsidR="00807021" w:rsidRPr="00807021" w14:paraId="0002A164" w14:textId="77777777" w:rsidTr="00807021">
        <w:tc>
          <w:tcPr>
            <w:tcW w:w="2940" w:type="dxa"/>
            <w:hideMark/>
          </w:tcPr>
          <w:p w14:paraId="2FBD60C9"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Partial response (PR)</w:t>
            </w:r>
          </w:p>
        </w:tc>
        <w:tc>
          <w:tcPr>
            <w:tcW w:w="1541" w:type="dxa"/>
            <w:hideMark/>
          </w:tcPr>
          <w:p w14:paraId="0F36D69D"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99</w:t>
            </w:r>
          </w:p>
        </w:tc>
        <w:tc>
          <w:tcPr>
            <w:tcW w:w="1737" w:type="dxa"/>
            <w:hideMark/>
          </w:tcPr>
          <w:p w14:paraId="45D40579" w14:textId="77777777"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(24.1%)</w:t>
            </w:r>
          </w:p>
        </w:tc>
        <w:tc>
          <w:tcPr>
            <w:tcW w:w="1181" w:type="dxa"/>
            <w:hideMark/>
          </w:tcPr>
          <w:p w14:paraId="71E2D4E3" w14:textId="77777777"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20</w:t>
            </w:r>
          </w:p>
        </w:tc>
        <w:tc>
          <w:tcPr>
            <w:tcW w:w="1627" w:type="dxa"/>
            <w:hideMark/>
          </w:tcPr>
          <w:p w14:paraId="260DF1D1" w14:textId="77777777"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(4.9%)</w:t>
            </w:r>
          </w:p>
        </w:tc>
      </w:tr>
      <w:tr w:rsidR="00807021" w:rsidRPr="00807021" w14:paraId="70E618B4" w14:textId="77777777" w:rsidTr="00807021">
        <w:tc>
          <w:tcPr>
            <w:tcW w:w="2940" w:type="dxa"/>
            <w:hideMark/>
          </w:tcPr>
          <w:p w14:paraId="7FF63139"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Stable disease (SD)</w:t>
            </w:r>
          </w:p>
        </w:tc>
        <w:tc>
          <w:tcPr>
            <w:tcW w:w="1541" w:type="dxa"/>
            <w:hideMark/>
          </w:tcPr>
          <w:p w14:paraId="22CB44E2"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141</w:t>
            </w:r>
          </w:p>
        </w:tc>
        <w:tc>
          <w:tcPr>
            <w:tcW w:w="1737" w:type="dxa"/>
            <w:hideMark/>
          </w:tcPr>
          <w:p w14:paraId="6B1E4606" w14:textId="77777777" w:rsidR="00807021" w:rsidRPr="00312D0B" w:rsidRDefault="00807021" w:rsidP="004D7D64">
            <w:pPr>
              <w:keepNext/>
              <w:keepLines/>
              <w:widowControl w:val="0"/>
              <w:spacing w:after="0"/>
              <w:rPr>
                <w:rFonts w:eastAsia="Times New Roman" w:cs="Times New Roman"/>
                <w:color w:val="000000"/>
                <w:sz w:val="20"/>
                <w:szCs w:val="20"/>
                <w:lang w:val="en-US"/>
              </w:rPr>
            </w:pPr>
            <w:r w:rsidRPr="00312D0B">
              <w:rPr>
                <w:rFonts w:eastAsia="Times New Roman" w:cs="Times New Roman"/>
                <w:color w:val="000000"/>
                <w:sz w:val="20"/>
                <w:szCs w:val="20"/>
                <w:lang w:val="en-US"/>
              </w:rPr>
              <w:t>(34.4%)</w:t>
            </w:r>
          </w:p>
        </w:tc>
        <w:tc>
          <w:tcPr>
            <w:tcW w:w="1181" w:type="dxa"/>
            <w:hideMark/>
          </w:tcPr>
          <w:p w14:paraId="03714FAA" w14:textId="77777777" w:rsidR="00807021" w:rsidRPr="0092231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227</w:t>
            </w:r>
          </w:p>
        </w:tc>
        <w:tc>
          <w:tcPr>
            <w:tcW w:w="1627" w:type="dxa"/>
            <w:hideMark/>
          </w:tcPr>
          <w:p w14:paraId="2D09ED6C" w14:textId="77777777" w:rsidR="00807021" w:rsidRPr="0076382D" w:rsidRDefault="00807021" w:rsidP="004D7D64">
            <w:pPr>
              <w:keepNext/>
              <w:keepLines/>
              <w:widowControl w:val="0"/>
              <w:spacing w:after="0"/>
              <w:rPr>
                <w:rFonts w:eastAsia="Times New Roman" w:cs="Times New Roman"/>
                <w:color w:val="000000"/>
                <w:sz w:val="20"/>
                <w:szCs w:val="20"/>
                <w:lang w:val="en-US"/>
              </w:rPr>
            </w:pPr>
            <w:r w:rsidRPr="0076382D">
              <w:rPr>
                <w:rFonts w:eastAsia="Times New Roman" w:cs="Times New Roman"/>
                <w:color w:val="000000"/>
                <w:sz w:val="20"/>
                <w:szCs w:val="20"/>
                <w:lang w:val="en-US"/>
              </w:rPr>
              <w:t>(55.2%)</w:t>
            </w:r>
          </w:p>
        </w:tc>
      </w:tr>
      <w:tr w:rsidR="00807021" w:rsidRPr="00807021" w14:paraId="7359D029" w14:textId="77777777" w:rsidTr="00807021">
        <w:tc>
          <w:tcPr>
            <w:tcW w:w="2940" w:type="dxa"/>
          </w:tcPr>
          <w:p w14:paraId="464EB4BD"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5478A088"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32B3747F"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298905FA"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08B7197F"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1205D0FE" w14:textId="77777777" w:rsidTr="00807021">
        <w:tc>
          <w:tcPr>
            <w:tcW w:w="2940" w:type="dxa"/>
            <w:hideMark/>
          </w:tcPr>
          <w:p w14:paraId="5793A97B" w14:textId="77777777" w:rsidR="00807021" w:rsidRPr="00EE6520" w:rsidRDefault="00807021" w:rsidP="004D7D64">
            <w:pPr>
              <w:keepNext/>
              <w:keepLines/>
              <w:widowControl w:val="0"/>
              <w:tabs>
                <w:tab w:val="left" w:pos="180"/>
              </w:tabs>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 xml:space="preserve">Median duration of response </w:t>
            </w:r>
          </w:p>
        </w:tc>
        <w:tc>
          <w:tcPr>
            <w:tcW w:w="3278" w:type="dxa"/>
            <w:gridSpan w:val="2"/>
          </w:tcPr>
          <w:p w14:paraId="56D9C5CC" w14:textId="77777777" w:rsidR="00807021" w:rsidRPr="00DA06A7"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7B861572"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61F1BDA8"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21F5294C" w14:textId="77777777" w:rsidTr="00807021">
        <w:tc>
          <w:tcPr>
            <w:tcW w:w="2940" w:type="dxa"/>
            <w:hideMark/>
          </w:tcPr>
          <w:p w14:paraId="042F5687"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 </w:t>
            </w:r>
            <w:r w:rsidRPr="00EE6520">
              <w:rPr>
                <w:rFonts w:eastAsia="Times New Roman" w:cs="Times New Roman"/>
                <w:color w:val="000000"/>
                <w:sz w:val="20"/>
                <w:szCs w:val="20"/>
                <w:lang w:val="en-US"/>
              </w:rPr>
              <w:tab/>
              <w:t>Months (range)</w:t>
            </w:r>
          </w:p>
        </w:tc>
        <w:tc>
          <w:tcPr>
            <w:tcW w:w="1541" w:type="dxa"/>
            <w:hideMark/>
          </w:tcPr>
          <w:p w14:paraId="271719A3"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r w:rsidRPr="00DA06A7">
              <w:rPr>
                <w:rFonts w:eastAsia="Times New Roman" w:cs="Times New Roman"/>
                <w:color w:val="000000"/>
                <w:sz w:val="20"/>
                <w:szCs w:val="20"/>
                <w:lang w:val="en-US"/>
              </w:rPr>
              <w:t>11.99</w:t>
            </w:r>
          </w:p>
        </w:tc>
        <w:tc>
          <w:tcPr>
            <w:tcW w:w="1737" w:type="dxa"/>
            <w:hideMark/>
          </w:tcPr>
          <w:p w14:paraId="3C3F5C94" w14:textId="77777777" w:rsidR="00807021" w:rsidRPr="0092231B" w:rsidRDefault="00807021" w:rsidP="004D7D64">
            <w:pPr>
              <w:keepNext/>
              <w:keepLines/>
              <w:widowControl w:val="0"/>
              <w:spacing w:after="0"/>
              <w:ind w:left="-121"/>
              <w:rPr>
                <w:rFonts w:eastAsia="Times New Roman" w:cs="Times New Roman"/>
                <w:color w:val="000000"/>
                <w:sz w:val="20"/>
                <w:szCs w:val="20"/>
                <w:lang w:val="en-US"/>
              </w:rPr>
            </w:pPr>
            <w:r w:rsidRPr="00312D0B">
              <w:rPr>
                <w:rFonts w:eastAsia="Times New Roman" w:cs="Times New Roman"/>
                <w:color w:val="000000"/>
                <w:sz w:val="20"/>
                <w:szCs w:val="20"/>
                <w:lang w:val="en-US"/>
              </w:rPr>
              <w:t>(0.0-27.6</w:t>
            </w:r>
            <w:r w:rsidRPr="00312D0B">
              <w:rPr>
                <w:rFonts w:eastAsia="Times New Roman" w:cs="Times New Roman"/>
                <w:color w:val="000000"/>
                <w:sz w:val="20"/>
                <w:szCs w:val="20"/>
                <w:vertAlign w:val="superscript"/>
                <w:lang w:val="en-US"/>
              </w:rPr>
              <w:t>+</w:t>
            </w:r>
            <w:r w:rsidRPr="00312D0B">
              <w:rPr>
                <w:rFonts w:eastAsia="Times New Roman" w:cs="Times New Roman"/>
                <w:color w:val="000000"/>
                <w:sz w:val="20"/>
                <w:szCs w:val="20"/>
                <w:lang w:val="en-US"/>
              </w:rPr>
              <w:t>)</w:t>
            </w:r>
          </w:p>
        </w:tc>
        <w:tc>
          <w:tcPr>
            <w:tcW w:w="1181" w:type="dxa"/>
            <w:hideMark/>
          </w:tcPr>
          <w:p w14:paraId="65CF75DA" w14:textId="77777777" w:rsidR="00807021" w:rsidRPr="0076382D" w:rsidRDefault="00807021" w:rsidP="004D7D64">
            <w:pPr>
              <w:keepNext/>
              <w:keepLines/>
              <w:widowControl w:val="0"/>
              <w:spacing w:after="0"/>
              <w:jc w:val="right"/>
              <w:rPr>
                <w:rFonts w:eastAsia="Times New Roman" w:cs="Times New Roman"/>
                <w:color w:val="000000"/>
                <w:sz w:val="20"/>
                <w:szCs w:val="20"/>
                <w:lang w:val="en-US"/>
              </w:rPr>
            </w:pPr>
            <w:r w:rsidRPr="0076382D">
              <w:rPr>
                <w:rFonts w:eastAsia="Times New Roman" w:cs="Times New Roman"/>
                <w:color w:val="000000"/>
                <w:sz w:val="20"/>
                <w:szCs w:val="20"/>
                <w:lang w:val="en-US"/>
              </w:rPr>
              <w:t>11.99</w:t>
            </w:r>
          </w:p>
        </w:tc>
        <w:tc>
          <w:tcPr>
            <w:tcW w:w="1627" w:type="dxa"/>
            <w:hideMark/>
          </w:tcPr>
          <w:p w14:paraId="62E90F19" w14:textId="77777777" w:rsidR="00807021" w:rsidRPr="003F65AB" w:rsidRDefault="00807021" w:rsidP="004D7D64">
            <w:pPr>
              <w:keepNext/>
              <w:keepLines/>
              <w:widowControl w:val="0"/>
              <w:spacing w:after="0"/>
              <w:ind w:left="-57"/>
              <w:rPr>
                <w:rFonts w:eastAsia="Times New Roman" w:cs="Times New Roman"/>
                <w:color w:val="000000"/>
                <w:sz w:val="20"/>
                <w:szCs w:val="20"/>
                <w:lang w:val="en-US"/>
              </w:rPr>
            </w:pPr>
            <w:r w:rsidRPr="003F65AB">
              <w:rPr>
                <w:rFonts w:eastAsia="Times New Roman" w:cs="Times New Roman"/>
                <w:color w:val="000000"/>
                <w:sz w:val="20"/>
                <w:szCs w:val="20"/>
                <w:lang w:val="en-US"/>
              </w:rPr>
              <w:t>(0.0</w:t>
            </w:r>
            <w:r w:rsidRPr="003F65AB">
              <w:rPr>
                <w:rFonts w:eastAsia="Times New Roman" w:cs="Times New Roman"/>
                <w:color w:val="000000"/>
                <w:sz w:val="20"/>
                <w:szCs w:val="20"/>
                <w:vertAlign w:val="superscript"/>
                <w:lang w:val="en-US"/>
              </w:rPr>
              <w:t>+</w:t>
            </w:r>
            <w:r w:rsidRPr="003F65AB">
              <w:rPr>
                <w:rFonts w:eastAsia="Times New Roman" w:cs="Times New Roman"/>
                <w:color w:val="000000"/>
                <w:sz w:val="20"/>
                <w:szCs w:val="20"/>
                <w:lang w:val="en-US"/>
              </w:rPr>
              <w:t>-22.2</w:t>
            </w:r>
            <w:r w:rsidRPr="003F65AB">
              <w:rPr>
                <w:rFonts w:eastAsia="Times New Roman" w:cs="Times New Roman"/>
                <w:color w:val="000000"/>
                <w:sz w:val="20"/>
                <w:szCs w:val="20"/>
                <w:vertAlign w:val="superscript"/>
                <w:lang w:val="en-US"/>
              </w:rPr>
              <w:t>+</w:t>
            </w:r>
            <w:r w:rsidRPr="003F65AB">
              <w:rPr>
                <w:rFonts w:eastAsia="Times New Roman" w:cs="Times New Roman"/>
                <w:color w:val="000000"/>
                <w:sz w:val="20"/>
                <w:szCs w:val="20"/>
                <w:lang w:val="en-US"/>
              </w:rPr>
              <w:t>)</w:t>
            </w:r>
          </w:p>
        </w:tc>
      </w:tr>
      <w:tr w:rsidR="00807021" w:rsidRPr="00807021" w14:paraId="4FD32ED7" w14:textId="77777777" w:rsidTr="00807021">
        <w:tc>
          <w:tcPr>
            <w:tcW w:w="2940" w:type="dxa"/>
          </w:tcPr>
          <w:p w14:paraId="553DFBB6"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tcPr>
          <w:p w14:paraId="45EE4A50"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61A5A6B1"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2AF8C705"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24F7C1D1"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49A8FE26" w14:textId="77777777" w:rsidTr="00807021">
        <w:tc>
          <w:tcPr>
            <w:tcW w:w="2940" w:type="dxa"/>
            <w:hideMark/>
          </w:tcPr>
          <w:p w14:paraId="73B8C59E" w14:textId="77777777" w:rsidR="00807021" w:rsidRPr="00EE6520" w:rsidRDefault="00807021" w:rsidP="004D7D64">
            <w:pPr>
              <w:keepNext/>
              <w:keepLines/>
              <w:widowControl w:val="0"/>
              <w:tabs>
                <w:tab w:val="left" w:pos="180"/>
              </w:tabs>
              <w:spacing w:after="0"/>
              <w:rPr>
                <w:rFonts w:eastAsia="Times New Roman" w:cs="Times New Roman"/>
                <w:b/>
                <w:color w:val="000000"/>
                <w:sz w:val="20"/>
                <w:szCs w:val="20"/>
                <w:lang w:val="en-US"/>
              </w:rPr>
            </w:pPr>
            <w:r w:rsidRPr="00EE6520">
              <w:rPr>
                <w:rFonts w:eastAsia="Times New Roman" w:cs="Times New Roman"/>
                <w:b/>
                <w:color w:val="000000"/>
                <w:sz w:val="20"/>
                <w:szCs w:val="20"/>
                <w:lang w:val="en-US"/>
              </w:rPr>
              <w:t>Median time to response</w:t>
            </w:r>
          </w:p>
        </w:tc>
        <w:tc>
          <w:tcPr>
            <w:tcW w:w="1541" w:type="dxa"/>
          </w:tcPr>
          <w:p w14:paraId="12824499" w14:textId="77777777" w:rsidR="00807021" w:rsidRPr="00DA06A7" w:rsidRDefault="00807021" w:rsidP="004D7D64">
            <w:pPr>
              <w:keepNext/>
              <w:keepLines/>
              <w:widowControl w:val="0"/>
              <w:spacing w:after="0"/>
              <w:jc w:val="right"/>
              <w:rPr>
                <w:rFonts w:eastAsia="Times New Roman" w:cs="Times New Roman"/>
                <w:color w:val="000000"/>
                <w:sz w:val="20"/>
                <w:szCs w:val="20"/>
                <w:lang w:val="en-US"/>
              </w:rPr>
            </w:pPr>
          </w:p>
        </w:tc>
        <w:tc>
          <w:tcPr>
            <w:tcW w:w="1737" w:type="dxa"/>
          </w:tcPr>
          <w:p w14:paraId="2A8E6159"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c>
          <w:tcPr>
            <w:tcW w:w="1181" w:type="dxa"/>
          </w:tcPr>
          <w:p w14:paraId="33395CEA"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p>
        </w:tc>
        <w:tc>
          <w:tcPr>
            <w:tcW w:w="1627" w:type="dxa"/>
          </w:tcPr>
          <w:p w14:paraId="3AAE3EB8"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2C5CF284" w14:textId="77777777" w:rsidTr="00807021">
        <w:trPr>
          <w:trHeight w:val="261"/>
        </w:trPr>
        <w:tc>
          <w:tcPr>
            <w:tcW w:w="2940" w:type="dxa"/>
          </w:tcPr>
          <w:p w14:paraId="732AC175"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Months (range)</w:t>
            </w:r>
          </w:p>
          <w:p w14:paraId="4A4C948C" w14:textId="77777777" w:rsidR="00807021" w:rsidRPr="00DA06A7" w:rsidRDefault="00807021" w:rsidP="004D7D64">
            <w:pPr>
              <w:keepNext/>
              <w:keepLines/>
              <w:widowControl w:val="0"/>
              <w:tabs>
                <w:tab w:val="left" w:pos="180"/>
              </w:tabs>
              <w:spacing w:after="0"/>
              <w:rPr>
                <w:rFonts w:eastAsia="Times New Roman" w:cs="Times New Roman"/>
                <w:color w:val="000000"/>
                <w:sz w:val="20"/>
                <w:szCs w:val="20"/>
                <w:lang w:val="en-US"/>
              </w:rPr>
            </w:pPr>
          </w:p>
        </w:tc>
        <w:tc>
          <w:tcPr>
            <w:tcW w:w="1541" w:type="dxa"/>
            <w:hideMark/>
          </w:tcPr>
          <w:p w14:paraId="76EBA030" w14:textId="77777777" w:rsidR="00807021" w:rsidRPr="00312D0B" w:rsidRDefault="00807021" w:rsidP="004D7D64">
            <w:pPr>
              <w:keepNext/>
              <w:keepLines/>
              <w:widowControl w:val="0"/>
              <w:spacing w:after="0"/>
              <w:jc w:val="right"/>
              <w:rPr>
                <w:rFonts w:eastAsia="Times New Roman" w:cs="Times New Roman"/>
                <w:color w:val="000000"/>
                <w:sz w:val="20"/>
                <w:szCs w:val="20"/>
                <w:lang w:val="en-US"/>
              </w:rPr>
            </w:pPr>
            <w:r w:rsidRPr="00312D0B">
              <w:rPr>
                <w:rFonts w:eastAsia="Times New Roman" w:cs="Times New Roman"/>
                <w:color w:val="000000"/>
                <w:sz w:val="20"/>
                <w:szCs w:val="20"/>
                <w:lang w:val="en-US"/>
              </w:rPr>
              <w:t>3.5</w:t>
            </w:r>
          </w:p>
        </w:tc>
        <w:tc>
          <w:tcPr>
            <w:tcW w:w="1737" w:type="dxa"/>
            <w:hideMark/>
          </w:tcPr>
          <w:p w14:paraId="486D4FC4" w14:textId="77777777" w:rsidR="00807021" w:rsidRPr="0092231B" w:rsidRDefault="00807021" w:rsidP="004D7D64">
            <w:pPr>
              <w:keepNext/>
              <w:keepLines/>
              <w:widowControl w:val="0"/>
              <w:spacing w:after="0"/>
              <w:ind w:left="-121"/>
              <w:rPr>
                <w:rFonts w:eastAsia="Times New Roman" w:cs="Times New Roman"/>
                <w:color w:val="000000"/>
                <w:sz w:val="20"/>
                <w:szCs w:val="20"/>
                <w:lang w:val="en-US"/>
              </w:rPr>
            </w:pPr>
            <w:r w:rsidRPr="00312D0B">
              <w:rPr>
                <w:rFonts w:eastAsia="Times New Roman" w:cs="Times New Roman"/>
                <w:color w:val="000000"/>
                <w:sz w:val="20"/>
                <w:szCs w:val="20"/>
                <w:lang w:val="en-US"/>
              </w:rPr>
              <w:t>(1.4-24.8)</w:t>
            </w:r>
          </w:p>
        </w:tc>
        <w:tc>
          <w:tcPr>
            <w:tcW w:w="1181" w:type="dxa"/>
            <w:hideMark/>
          </w:tcPr>
          <w:p w14:paraId="2499F5A3" w14:textId="77777777" w:rsidR="00807021" w:rsidRPr="0076382D" w:rsidRDefault="00807021" w:rsidP="004D7D64">
            <w:pPr>
              <w:keepNext/>
              <w:keepLines/>
              <w:widowControl w:val="0"/>
              <w:spacing w:after="0"/>
              <w:jc w:val="right"/>
              <w:rPr>
                <w:rFonts w:eastAsia="Times New Roman" w:cs="Times New Roman"/>
                <w:color w:val="000000"/>
                <w:sz w:val="20"/>
                <w:szCs w:val="20"/>
                <w:lang w:val="en-US"/>
              </w:rPr>
            </w:pPr>
            <w:r w:rsidRPr="0076382D">
              <w:rPr>
                <w:rFonts w:eastAsia="Times New Roman" w:cs="Times New Roman"/>
                <w:color w:val="000000"/>
                <w:sz w:val="20"/>
                <w:szCs w:val="20"/>
                <w:lang w:val="en-US"/>
              </w:rPr>
              <w:t>3.7</w:t>
            </w:r>
          </w:p>
        </w:tc>
        <w:tc>
          <w:tcPr>
            <w:tcW w:w="1627" w:type="dxa"/>
            <w:hideMark/>
          </w:tcPr>
          <w:p w14:paraId="4171231D" w14:textId="77777777" w:rsidR="00807021" w:rsidRPr="003F65AB" w:rsidRDefault="00807021" w:rsidP="004D7D64">
            <w:pPr>
              <w:keepNext/>
              <w:keepLines/>
              <w:widowControl w:val="0"/>
              <w:spacing w:after="0"/>
              <w:ind w:left="-57"/>
              <w:rPr>
                <w:rFonts w:eastAsia="Times New Roman" w:cs="Times New Roman"/>
                <w:color w:val="000000"/>
                <w:sz w:val="20"/>
                <w:szCs w:val="20"/>
                <w:lang w:val="en-US"/>
              </w:rPr>
            </w:pPr>
            <w:r w:rsidRPr="003F65AB">
              <w:rPr>
                <w:rFonts w:eastAsia="Times New Roman" w:cs="Times New Roman"/>
                <w:color w:val="000000"/>
                <w:sz w:val="20"/>
                <w:szCs w:val="20"/>
                <w:lang w:val="en-US"/>
              </w:rPr>
              <w:t>(1,5-11,2)</w:t>
            </w:r>
          </w:p>
        </w:tc>
      </w:tr>
      <w:tr w:rsidR="00807021" w:rsidRPr="00807021" w14:paraId="3EBB1917" w14:textId="77777777" w:rsidTr="00807021">
        <w:trPr>
          <w:trHeight w:val="261"/>
        </w:trPr>
        <w:tc>
          <w:tcPr>
            <w:tcW w:w="2940" w:type="dxa"/>
            <w:hideMark/>
          </w:tcPr>
          <w:p w14:paraId="04D089C6"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b/>
                <w:color w:val="000000"/>
                <w:sz w:val="20"/>
                <w:szCs w:val="20"/>
                <w:lang w:val="en-US"/>
              </w:rPr>
              <w:t>Progression-free survival</w:t>
            </w:r>
          </w:p>
        </w:tc>
        <w:tc>
          <w:tcPr>
            <w:tcW w:w="3278" w:type="dxa"/>
            <w:gridSpan w:val="2"/>
          </w:tcPr>
          <w:p w14:paraId="4F421FE9" w14:textId="77777777" w:rsidR="00807021" w:rsidRPr="00DA06A7" w:rsidRDefault="00807021" w:rsidP="004D7D64">
            <w:pPr>
              <w:keepNext/>
              <w:keepLines/>
              <w:widowControl w:val="0"/>
              <w:spacing w:after="0"/>
              <w:rPr>
                <w:rFonts w:eastAsia="Times New Roman" w:cs="Times New Roman"/>
                <w:color w:val="000000"/>
                <w:sz w:val="20"/>
                <w:szCs w:val="20"/>
                <w:lang w:val="en-US"/>
              </w:rPr>
            </w:pPr>
          </w:p>
        </w:tc>
        <w:tc>
          <w:tcPr>
            <w:tcW w:w="2808" w:type="dxa"/>
            <w:gridSpan w:val="2"/>
          </w:tcPr>
          <w:p w14:paraId="36CF0337" w14:textId="77777777" w:rsidR="00807021" w:rsidRPr="00312D0B" w:rsidRDefault="00807021" w:rsidP="004D7D64">
            <w:pPr>
              <w:keepNext/>
              <w:keepLines/>
              <w:widowControl w:val="0"/>
              <w:spacing w:after="0"/>
              <w:rPr>
                <w:rFonts w:eastAsia="Times New Roman" w:cs="Times New Roman"/>
                <w:color w:val="000000"/>
                <w:sz w:val="20"/>
                <w:szCs w:val="20"/>
                <w:lang w:val="en-US"/>
              </w:rPr>
            </w:pPr>
          </w:p>
        </w:tc>
      </w:tr>
      <w:tr w:rsidR="00807021" w:rsidRPr="00807021" w14:paraId="18080D23" w14:textId="77777777" w:rsidTr="00807021">
        <w:trPr>
          <w:trHeight w:val="261"/>
        </w:trPr>
        <w:tc>
          <w:tcPr>
            <w:tcW w:w="2940" w:type="dxa"/>
            <w:hideMark/>
          </w:tcPr>
          <w:p w14:paraId="2ABE6578"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Events</w:t>
            </w:r>
          </w:p>
        </w:tc>
        <w:tc>
          <w:tcPr>
            <w:tcW w:w="3278" w:type="dxa"/>
            <w:gridSpan w:val="2"/>
            <w:hideMark/>
          </w:tcPr>
          <w:p w14:paraId="65476576"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318 (77.6)</w:t>
            </w:r>
          </w:p>
        </w:tc>
        <w:tc>
          <w:tcPr>
            <w:tcW w:w="2808" w:type="dxa"/>
            <w:gridSpan w:val="2"/>
            <w:hideMark/>
          </w:tcPr>
          <w:p w14:paraId="7F0C5AE5"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322 (78.3)</w:t>
            </w:r>
          </w:p>
        </w:tc>
      </w:tr>
      <w:tr w:rsidR="00807021" w:rsidRPr="00807021" w14:paraId="344258D3" w14:textId="77777777" w:rsidTr="00807021">
        <w:trPr>
          <w:trHeight w:val="261"/>
        </w:trPr>
        <w:tc>
          <w:tcPr>
            <w:tcW w:w="2940" w:type="dxa"/>
            <w:hideMark/>
          </w:tcPr>
          <w:p w14:paraId="07ECBAA1"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 xml:space="preserve">Hazard ratio </w:t>
            </w:r>
          </w:p>
        </w:tc>
        <w:tc>
          <w:tcPr>
            <w:tcW w:w="6086" w:type="dxa"/>
            <w:gridSpan w:val="4"/>
            <w:hideMark/>
          </w:tcPr>
          <w:p w14:paraId="1FC06DD5"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0.88</w:t>
            </w:r>
          </w:p>
        </w:tc>
      </w:tr>
      <w:tr w:rsidR="00807021" w:rsidRPr="00807021" w14:paraId="0FC6442C" w14:textId="77777777" w:rsidTr="00807021">
        <w:trPr>
          <w:trHeight w:val="261"/>
        </w:trPr>
        <w:tc>
          <w:tcPr>
            <w:tcW w:w="2940" w:type="dxa"/>
            <w:hideMark/>
          </w:tcPr>
          <w:p w14:paraId="70566553"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95% CI</w:t>
            </w:r>
          </w:p>
        </w:tc>
        <w:tc>
          <w:tcPr>
            <w:tcW w:w="6086" w:type="dxa"/>
            <w:gridSpan w:val="4"/>
            <w:hideMark/>
          </w:tcPr>
          <w:p w14:paraId="3D7A16B7"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(0.75, 1.03)</w:t>
            </w:r>
          </w:p>
        </w:tc>
      </w:tr>
      <w:tr w:rsidR="00807021" w:rsidRPr="00807021" w14:paraId="2B6A00CC" w14:textId="77777777" w:rsidTr="00807021">
        <w:trPr>
          <w:trHeight w:val="261"/>
        </w:trPr>
        <w:tc>
          <w:tcPr>
            <w:tcW w:w="2940" w:type="dxa"/>
            <w:hideMark/>
          </w:tcPr>
          <w:p w14:paraId="44320FB8" w14:textId="77777777" w:rsidR="00807021" w:rsidRPr="00EE6520" w:rsidRDefault="00807021" w:rsidP="004D7D64">
            <w:pPr>
              <w:keepNext/>
              <w:keepLines/>
              <w:widowControl w:val="0"/>
              <w:tabs>
                <w:tab w:val="left" w:pos="180"/>
              </w:tabs>
              <w:spacing w:after="0"/>
              <w:jc w:val="center"/>
              <w:rPr>
                <w:rFonts w:eastAsia="Times New Roman" w:cs="Times New Roman"/>
                <w:color w:val="000000"/>
                <w:sz w:val="20"/>
                <w:szCs w:val="20"/>
                <w:lang w:val="en-US"/>
              </w:rPr>
            </w:pPr>
            <w:r w:rsidRPr="00EE6520">
              <w:rPr>
                <w:rFonts w:eastAsia="Times New Roman" w:cs="Times New Roman"/>
                <w:color w:val="000000"/>
                <w:sz w:val="20"/>
                <w:szCs w:val="20"/>
                <w:lang w:val="en-US"/>
              </w:rPr>
              <w:t>p</w:t>
            </w:r>
            <w:r w:rsidRPr="00EE6520">
              <w:rPr>
                <w:rFonts w:eastAsia="Times New Roman" w:cs="Times New Roman"/>
                <w:color w:val="000000"/>
                <w:sz w:val="20"/>
                <w:szCs w:val="20"/>
                <w:lang w:val="en-US"/>
              </w:rPr>
              <w:noBreakHyphen/>
              <w:t>value</w:t>
            </w:r>
          </w:p>
        </w:tc>
        <w:tc>
          <w:tcPr>
            <w:tcW w:w="6086" w:type="dxa"/>
            <w:gridSpan w:val="4"/>
            <w:hideMark/>
          </w:tcPr>
          <w:p w14:paraId="4F91E77A"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0.1135</w:t>
            </w:r>
          </w:p>
        </w:tc>
      </w:tr>
      <w:tr w:rsidR="00807021" w:rsidRPr="00807021" w14:paraId="0929BC4A" w14:textId="77777777" w:rsidTr="00807021">
        <w:trPr>
          <w:trHeight w:val="261"/>
        </w:trPr>
        <w:tc>
          <w:tcPr>
            <w:tcW w:w="2940" w:type="dxa"/>
            <w:hideMark/>
          </w:tcPr>
          <w:p w14:paraId="1CAD64E8"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t>Median (95% CI) months</w:t>
            </w:r>
          </w:p>
        </w:tc>
        <w:tc>
          <w:tcPr>
            <w:tcW w:w="3278" w:type="dxa"/>
            <w:gridSpan w:val="2"/>
            <w:hideMark/>
          </w:tcPr>
          <w:p w14:paraId="4304E71B"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4.6 (3.71, 5.39)</w:t>
            </w:r>
          </w:p>
        </w:tc>
        <w:tc>
          <w:tcPr>
            <w:tcW w:w="2808" w:type="dxa"/>
            <w:gridSpan w:val="2"/>
            <w:hideMark/>
          </w:tcPr>
          <w:p w14:paraId="2E22D3F2"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4.4 (3.71, 5.52)</w:t>
            </w:r>
          </w:p>
        </w:tc>
      </w:tr>
      <w:tr w:rsidR="00807021" w:rsidRPr="00807021" w14:paraId="0D388692" w14:textId="77777777" w:rsidTr="00807021">
        <w:trPr>
          <w:trHeight w:val="261"/>
        </w:trPr>
        <w:tc>
          <w:tcPr>
            <w:tcW w:w="2940" w:type="dxa"/>
            <w:hideMark/>
          </w:tcPr>
          <w:p w14:paraId="21292067"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Rate % (95% CI)</w:t>
            </w:r>
          </w:p>
        </w:tc>
        <w:tc>
          <w:tcPr>
            <w:tcW w:w="3278" w:type="dxa"/>
            <w:gridSpan w:val="2"/>
          </w:tcPr>
          <w:p w14:paraId="41CCC7C4"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p>
        </w:tc>
        <w:tc>
          <w:tcPr>
            <w:tcW w:w="2808" w:type="dxa"/>
            <w:gridSpan w:val="2"/>
          </w:tcPr>
          <w:p w14:paraId="68187474"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p>
        </w:tc>
      </w:tr>
      <w:tr w:rsidR="00807021" w:rsidRPr="00807021" w14:paraId="7469EAA5" w14:textId="77777777" w:rsidTr="00807021">
        <w:trPr>
          <w:trHeight w:val="261"/>
        </w:trPr>
        <w:tc>
          <w:tcPr>
            <w:tcW w:w="2940" w:type="dxa"/>
            <w:hideMark/>
          </w:tcPr>
          <w:p w14:paraId="4C8F4F41"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6 months</w:t>
            </w:r>
          </w:p>
        </w:tc>
        <w:tc>
          <w:tcPr>
            <w:tcW w:w="3278" w:type="dxa"/>
            <w:gridSpan w:val="2"/>
            <w:hideMark/>
          </w:tcPr>
          <w:p w14:paraId="30E03DA4"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39 (35, 44)</w:t>
            </w:r>
          </w:p>
        </w:tc>
        <w:tc>
          <w:tcPr>
            <w:tcW w:w="2808" w:type="dxa"/>
            <w:gridSpan w:val="2"/>
            <w:hideMark/>
          </w:tcPr>
          <w:p w14:paraId="25A98BEE"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39 (33, 44)</w:t>
            </w:r>
          </w:p>
        </w:tc>
      </w:tr>
      <w:tr w:rsidR="00807021" w:rsidRPr="00807021" w14:paraId="03E69D0E" w14:textId="77777777" w:rsidTr="00807021">
        <w:trPr>
          <w:trHeight w:val="261"/>
        </w:trPr>
        <w:tc>
          <w:tcPr>
            <w:tcW w:w="2940" w:type="dxa"/>
            <w:tcBorders>
              <w:bottom w:val="single" w:sz="4" w:space="0" w:color="auto"/>
            </w:tcBorders>
            <w:hideMark/>
          </w:tcPr>
          <w:p w14:paraId="1E5BBD32" w14:textId="77777777" w:rsidR="00807021" w:rsidRPr="00EE6520" w:rsidRDefault="00807021" w:rsidP="004D7D64">
            <w:pPr>
              <w:keepNext/>
              <w:keepLines/>
              <w:widowControl w:val="0"/>
              <w:tabs>
                <w:tab w:val="left" w:pos="180"/>
              </w:tabs>
              <w:spacing w:after="0"/>
              <w:rPr>
                <w:rFonts w:eastAsia="Times New Roman" w:cs="Times New Roman"/>
                <w:color w:val="000000"/>
                <w:sz w:val="20"/>
                <w:szCs w:val="20"/>
                <w:lang w:val="en-US"/>
              </w:rPr>
            </w:pPr>
            <w:r w:rsidRPr="00EE6520">
              <w:rPr>
                <w:rFonts w:eastAsia="Times New Roman" w:cs="Times New Roman"/>
                <w:color w:val="000000"/>
                <w:sz w:val="20"/>
                <w:szCs w:val="20"/>
                <w:lang w:val="en-US"/>
              </w:rPr>
              <w:tab/>
            </w:r>
            <w:r w:rsidRPr="00EE6520">
              <w:rPr>
                <w:rFonts w:eastAsia="Times New Roman" w:cs="Times New Roman"/>
                <w:color w:val="000000"/>
                <w:sz w:val="20"/>
                <w:szCs w:val="20"/>
                <w:lang w:val="en-US"/>
              </w:rPr>
              <w:tab/>
              <w:t>At 12 months</w:t>
            </w:r>
          </w:p>
        </w:tc>
        <w:tc>
          <w:tcPr>
            <w:tcW w:w="3278" w:type="dxa"/>
            <w:gridSpan w:val="2"/>
            <w:tcBorders>
              <w:bottom w:val="single" w:sz="4" w:space="0" w:color="auto"/>
            </w:tcBorders>
            <w:hideMark/>
          </w:tcPr>
          <w:p w14:paraId="4075E761" w14:textId="77777777" w:rsidR="00807021" w:rsidRPr="00DA06A7" w:rsidRDefault="00807021" w:rsidP="004D7D64">
            <w:pPr>
              <w:keepNext/>
              <w:keepLines/>
              <w:widowControl w:val="0"/>
              <w:spacing w:after="0"/>
              <w:jc w:val="center"/>
              <w:rPr>
                <w:rFonts w:eastAsia="Times New Roman" w:cs="Times New Roman"/>
                <w:color w:val="000000"/>
                <w:sz w:val="20"/>
                <w:szCs w:val="20"/>
                <w:lang w:val="en-US"/>
              </w:rPr>
            </w:pPr>
            <w:r w:rsidRPr="00DA06A7">
              <w:rPr>
                <w:rFonts w:eastAsia="Times New Roman" w:cs="Times New Roman"/>
                <w:color w:val="000000"/>
                <w:sz w:val="20"/>
                <w:szCs w:val="20"/>
                <w:lang w:val="en-US"/>
              </w:rPr>
              <w:t>23 (19, 27)</w:t>
            </w:r>
          </w:p>
        </w:tc>
        <w:tc>
          <w:tcPr>
            <w:tcW w:w="2808" w:type="dxa"/>
            <w:gridSpan w:val="2"/>
            <w:tcBorders>
              <w:bottom w:val="single" w:sz="4" w:space="0" w:color="auto"/>
            </w:tcBorders>
            <w:hideMark/>
          </w:tcPr>
          <w:p w14:paraId="063A4145" w14:textId="77777777" w:rsidR="00807021" w:rsidRPr="00312D0B" w:rsidRDefault="00807021" w:rsidP="004D7D64">
            <w:pPr>
              <w:keepNext/>
              <w:keepLines/>
              <w:widowControl w:val="0"/>
              <w:spacing w:after="0"/>
              <w:jc w:val="center"/>
              <w:rPr>
                <w:rFonts w:eastAsia="Times New Roman" w:cs="Times New Roman"/>
                <w:color w:val="000000"/>
                <w:sz w:val="20"/>
                <w:szCs w:val="20"/>
                <w:lang w:val="en-US"/>
              </w:rPr>
            </w:pPr>
            <w:r w:rsidRPr="00312D0B">
              <w:rPr>
                <w:rFonts w:eastAsia="Times New Roman" w:cs="Times New Roman"/>
                <w:color w:val="000000"/>
                <w:sz w:val="20"/>
                <w:szCs w:val="20"/>
                <w:lang w:val="en-US"/>
              </w:rPr>
              <w:t>19 (15, 23)</w:t>
            </w:r>
          </w:p>
        </w:tc>
      </w:tr>
    </w:tbl>
    <w:p w14:paraId="67D8E7FA" w14:textId="77777777" w:rsidR="00C659AE" w:rsidRPr="00310419" w:rsidRDefault="00C659AE" w:rsidP="004D7D64">
      <w:pPr>
        <w:pStyle w:val="BMSBodyText"/>
        <w:keepNext/>
        <w:keepLines/>
        <w:widowControl w:val="0"/>
        <w:rPr>
          <w:noProof/>
          <w:color w:val="000000" w:themeColor="text1"/>
          <w:sz w:val="18"/>
          <w:szCs w:val="18"/>
        </w:rPr>
      </w:pPr>
      <w:bookmarkStart w:id="16" w:name="Table7_EfficacyResultsTrial4"/>
      <w:bookmarkEnd w:id="16"/>
      <w:r w:rsidRPr="00310419">
        <w:rPr>
          <w:noProof/>
          <w:color w:val="000000" w:themeColor="text1"/>
          <w:sz w:val="18"/>
          <w:szCs w:val="18"/>
        </w:rPr>
        <w:t>“</w:t>
      </w:r>
      <w:r w:rsidRPr="00310419">
        <w:rPr>
          <w:noProof/>
          <w:color w:val="000000" w:themeColor="text1"/>
          <w:sz w:val="18"/>
          <w:szCs w:val="18"/>
          <w:vertAlign w:val="superscript"/>
        </w:rPr>
        <w:t>+</w:t>
      </w:r>
      <w:r w:rsidRPr="00310419">
        <w:rPr>
          <w:noProof/>
          <w:color w:val="000000" w:themeColor="text1"/>
          <w:sz w:val="18"/>
          <w:szCs w:val="18"/>
        </w:rPr>
        <w:t>” denotes a censored observation.</w:t>
      </w:r>
    </w:p>
    <w:p w14:paraId="074844BB" w14:textId="77777777" w:rsidR="00C659AE" w:rsidRPr="00D71068" w:rsidRDefault="00C659AE" w:rsidP="00310419">
      <w:pPr>
        <w:rPr>
          <w:noProof/>
        </w:rPr>
      </w:pPr>
      <w:r w:rsidRPr="00D71068">
        <w:rPr>
          <w:noProof/>
        </w:rPr>
        <w:t>The median time to onset of objective response was 3.5 months (range: 1.4-24.8 months) after the start of nivolumab treatment. Forty-nine (47.6%) responders had ongoing responses with a duration ranging from 0.0-27.6</w:t>
      </w:r>
      <w:r w:rsidRPr="00D71068">
        <w:rPr>
          <w:rStyle w:val="EMEASuperscript"/>
          <w:color w:val="000000" w:themeColor="text1"/>
          <w:sz w:val="24"/>
        </w:rPr>
        <w:t>+</w:t>
      </w:r>
      <w:r w:rsidRPr="00D71068">
        <w:rPr>
          <w:noProof/>
        </w:rPr>
        <w:t xml:space="preserve"> months. </w:t>
      </w:r>
    </w:p>
    <w:p w14:paraId="108F5697" w14:textId="42615E43" w:rsidR="00807021" w:rsidRPr="00AC3E58" w:rsidRDefault="00C659AE">
      <w:pPr>
        <w:rPr>
          <w:noProof/>
        </w:rPr>
      </w:pPr>
      <w:r w:rsidRPr="00310419">
        <w:t>Overall survival could be accompanied by an improvement over time in disease related symptoms and non-disease specific quality of life (</w:t>
      </w:r>
      <w:proofErr w:type="spellStart"/>
      <w:r w:rsidRPr="00310419">
        <w:t>QoL</w:t>
      </w:r>
      <w:proofErr w:type="spellEnd"/>
      <w:r w:rsidRPr="00310419">
        <w:t xml:space="preserve">) as assessed using valid and reliable scales in the Functional Assessment of Cancer Therapy-Kidney Symptom Index-Disease Related Symptoms (FKSI-DRS) and the </w:t>
      </w:r>
      <w:proofErr w:type="spellStart"/>
      <w:r w:rsidRPr="00310419">
        <w:t>EuroQoL</w:t>
      </w:r>
      <w:proofErr w:type="spellEnd"/>
      <w:r w:rsidRPr="00310419">
        <w:t xml:space="preserve"> EQ-5D. Apparently meaningful symptom improvement (MID=2 point change in FKSI-DRS score; p&lt;0.001) and time to improvement (HR= 1.66 (1.33</w:t>
      </w:r>
      <w:proofErr w:type="gramStart"/>
      <w:r w:rsidRPr="00310419">
        <w:t>,2.08</w:t>
      </w:r>
      <w:proofErr w:type="gramEnd"/>
      <w:r w:rsidRPr="00310419">
        <w:t xml:space="preserve">), p&lt;0.001) were significantly better for patients on the </w:t>
      </w:r>
      <w:proofErr w:type="spellStart"/>
      <w:r w:rsidRPr="00310419">
        <w:t>nivolumab</w:t>
      </w:r>
      <w:proofErr w:type="spellEnd"/>
      <w:r w:rsidRPr="00310419">
        <w:t xml:space="preserve"> arm. While both arms of the study received active therapy, the </w:t>
      </w:r>
      <w:proofErr w:type="spellStart"/>
      <w:r w:rsidRPr="00310419">
        <w:t>QoL</w:t>
      </w:r>
      <w:proofErr w:type="spellEnd"/>
      <w:r w:rsidRPr="00310419">
        <w:t xml:space="preserve"> data should be interpreted in the context of the open-label study design and therefore cautiously taken</w:t>
      </w:r>
      <w:r w:rsidRPr="00AA7F53">
        <w:rPr>
          <w:noProof/>
        </w:rPr>
        <w:t>.</w:t>
      </w:r>
    </w:p>
    <w:p w14:paraId="31CBBFEC" w14:textId="5D5DC8F7" w:rsidR="00C659AE" w:rsidRPr="0067671F" w:rsidRDefault="00EE6520" w:rsidP="003E47FA">
      <w:pPr>
        <w:pStyle w:val="Heading3"/>
      </w:pPr>
      <w:r>
        <w:lastRenderedPageBreak/>
        <w:t>Classical Hodgkin Lymphoma (cHL)</w:t>
      </w:r>
    </w:p>
    <w:p w14:paraId="2A70A3B4" w14:textId="77777777" w:rsidR="00C659AE" w:rsidRPr="00A50875" w:rsidRDefault="00C659AE" w:rsidP="009045DE">
      <w:r w:rsidRPr="00A50875">
        <w:t xml:space="preserve">Two open-label studies evaluated the safety and efficacy of </w:t>
      </w:r>
      <w:proofErr w:type="spellStart"/>
      <w:r w:rsidRPr="00A50875">
        <w:t>nivolumab</w:t>
      </w:r>
      <w:proofErr w:type="spellEnd"/>
      <w:r w:rsidRPr="00A50875">
        <w:t xml:space="preserve"> 3 mg/kg as a single agent for the treatment of relapsed or refractory </w:t>
      </w:r>
      <w:proofErr w:type="spellStart"/>
      <w:r w:rsidRPr="00A50875">
        <w:t>cHL</w:t>
      </w:r>
      <w:proofErr w:type="spellEnd"/>
      <w:r w:rsidRPr="00A50875">
        <w:t xml:space="preserve"> following autologous stem cell transplantation (ASCT) and treatment with </w:t>
      </w:r>
      <w:proofErr w:type="spellStart"/>
      <w:r w:rsidRPr="00A50875">
        <w:t>brentuximab</w:t>
      </w:r>
      <w:proofErr w:type="spellEnd"/>
      <w:r w:rsidRPr="00A50875">
        <w:t xml:space="preserve"> </w:t>
      </w:r>
      <w:proofErr w:type="spellStart"/>
      <w:r w:rsidRPr="00A50875">
        <w:t>vedotin</w:t>
      </w:r>
      <w:proofErr w:type="spellEnd"/>
      <w:r w:rsidRPr="00A50875">
        <w:t xml:space="preserve">. </w:t>
      </w:r>
    </w:p>
    <w:p w14:paraId="78E2D3E5" w14:textId="77777777" w:rsidR="00C659AE" w:rsidRPr="00A50875" w:rsidRDefault="00C659AE" w:rsidP="009045DE">
      <w:r w:rsidRPr="00A50875">
        <w:t xml:space="preserve">Study CA209205 is an ongoing Phase 2, open-label, multi-cohort, single-arm study of </w:t>
      </w:r>
      <w:proofErr w:type="spellStart"/>
      <w:r w:rsidRPr="00A50875">
        <w:t>nivolumab</w:t>
      </w:r>
      <w:proofErr w:type="spellEnd"/>
      <w:r w:rsidRPr="00A50875">
        <w:t xml:space="preserve"> in </w:t>
      </w:r>
      <w:proofErr w:type="spellStart"/>
      <w:r w:rsidRPr="00A50875">
        <w:t>cHL</w:t>
      </w:r>
      <w:proofErr w:type="spellEnd"/>
      <w:r w:rsidRPr="00A50875">
        <w:t xml:space="preserve"> - Cohort B of this study included 80 patients who received </w:t>
      </w:r>
      <w:proofErr w:type="spellStart"/>
      <w:r w:rsidRPr="00A50875">
        <w:t>nivolumab</w:t>
      </w:r>
      <w:proofErr w:type="spellEnd"/>
      <w:r w:rsidRPr="00A50875">
        <w:t xml:space="preserve"> following ASCT and </w:t>
      </w:r>
      <w:proofErr w:type="spellStart"/>
      <w:r w:rsidRPr="00A50875">
        <w:t>brentuximab</w:t>
      </w:r>
      <w:proofErr w:type="spellEnd"/>
      <w:r w:rsidRPr="00A50875">
        <w:t xml:space="preserve"> </w:t>
      </w:r>
      <w:proofErr w:type="spellStart"/>
      <w:r w:rsidRPr="00A50875">
        <w:t>vedotin</w:t>
      </w:r>
      <w:proofErr w:type="spellEnd"/>
      <w:r w:rsidRPr="00A50875">
        <w:t xml:space="preserve"> treatment. Study CA209039 was an open-label, </w:t>
      </w:r>
      <w:proofErr w:type="spellStart"/>
      <w:r w:rsidRPr="00A50875">
        <w:t>multicenter</w:t>
      </w:r>
      <w:proofErr w:type="spellEnd"/>
      <w:r w:rsidRPr="00A50875">
        <w:t xml:space="preserve">, dose escalation Phase 1 study that included 23 patients with </w:t>
      </w:r>
      <w:proofErr w:type="spellStart"/>
      <w:r w:rsidRPr="00A50875">
        <w:t>cHL</w:t>
      </w:r>
      <w:proofErr w:type="spellEnd"/>
      <w:r w:rsidRPr="00A50875">
        <w:t xml:space="preserve">, 15 of whom received </w:t>
      </w:r>
      <w:proofErr w:type="spellStart"/>
      <w:r w:rsidRPr="00A50875">
        <w:t>nivolumab</w:t>
      </w:r>
      <w:proofErr w:type="spellEnd"/>
      <w:r w:rsidRPr="00A50875">
        <w:t xml:space="preserve"> following ASCT and </w:t>
      </w:r>
      <w:proofErr w:type="spellStart"/>
      <w:r w:rsidRPr="00A50875">
        <w:t>brentuximab</w:t>
      </w:r>
      <w:proofErr w:type="spellEnd"/>
      <w:r w:rsidRPr="00A50875">
        <w:t xml:space="preserve"> </w:t>
      </w:r>
      <w:proofErr w:type="spellStart"/>
      <w:r w:rsidRPr="00A50875">
        <w:t>vedotin</w:t>
      </w:r>
      <w:proofErr w:type="spellEnd"/>
      <w:r w:rsidRPr="00A50875">
        <w:t xml:space="preserve"> treatment and 5 of whom were ASCT naive. </w:t>
      </w:r>
    </w:p>
    <w:p w14:paraId="4FE0390A" w14:textId="77777777" w:rsidR="00C659AE" w:rsidRPr="00A50875" w:rsidRDefault="00C659AE" w:rsidP="009045DE">
      <w:r w:rsidRPr="00A50875">
        <w:t>Both studies included patients regardless of their tumour PD-L1 status and excluded patients with ECOG performance status of 2 or greater, autoimmune disease, hepatic transaminases more than 3 times ULN, creatinine clearance less than 40 mL/min, prior allogeneic haematopoietic stem cell transplant (HSCT), chest irradiation within 24 weeks or symptomatic interstitial lung disease.</w:t>
      </w:r>
    </w:p>
    <w:p w14:paraId="590065E1" w14:textId="4F208A69" w:rsidR="00C659AE" w:rsidRDefault="00C659AE" w:rsidP="009045DE">
      <w:pPr>
        <w:rPr>
          <w:szCs w:val="24"/>
          <w:lang w:val="en-GB"/>
        </w:rPr>
      </w:pPr>
      <w:r w:rsidRPr="00A50875">
        <w:rPr>
          <w:szCs w:val="24"/>
          <w:lang w:val="en-GB"/>
        </w:rPr>
        <w:t xml:space="preserve">In both studies, patients received 3 mg/kg of OPDIVO administered intravenously over 60 minutes every 2 weeks until disease progression or unacceptable toxicity (or maximal clinical benefit in CA209039). Dose reduction was not permitted. Tumour assessments were conducted 4 weeks (CA209039) or 9 weeks (CA209205) after the start of treatment and continued thereafter until disease progression or treatment discontinuation. </w:t>
      </w:r>
    </w:p>
    <w:p w14:paraId="6AB921D7" w14:textId="77777777" w:rsidR="00C659AE" w:rsidRPr="00A50875" w:rsidRDefault="00C659AE" w:rsidP="009045DE">
      <w:r w:rsidRPr="00A50875">
        <w:t>The primary efficacy outcome measure was Objective Response Rate (ORR).  Additional efficacy measures included duration of response. The baseline and disease characteristics of the patients in each study were similar. In CA209205, the median age was 37 years with 3 subjects aged 65 years or older; 89% were white, 64% were male; 67.5% had Stage IV disease at study entry; the median number of prior systemic regimens was 4 (range 3 to 15); 89% had had a best response of CR or PR to regimen prior to ASCT. In CA209039, the median age was 35 years (range 20-54), 87% were white, the median number of prior systemic regimens was 5 (range 2 to 15).</w:t>
      </w:r>
    </w:p>
    <w:p w14:paraId="4865AB2E" w14:textId="00EFA747" w:rsidR="00C659AE" w:rsidRPr="00A50875" w:rsidRDefault="00C659AE" w:rsidP="009045DE">
      <w:pPr>
        <w:rPr>
          <w:noProof/>
          <w:szCs w:val="24"/>
        </w:rPr>
      </w:pPr>
      <w:r w:rsidRPr="00A50875">
        <w:rPr>
          <w:noProof/>
          <w:szCs w:val="24"/>
        </w:rPr>
        <w:t xml:space="preserve">Efficacy from both studies was evaluated by the same IRRC using the 2007 revised International Working Group criteria. </w:t>
      </w:r>
      <w:r w:rsidRPr="00A50875">
        <w:rPr>
          <w:szCs w:val="24"/>
        </w:rPr>
        <w:t xml:space="preserve">Median duration of follow-up 15.4 months (range 1.9 to 18.5 months) in Study CA209205 and 21.9 months (range 11.2 to 27.6 months) in Study CA209039. Follow-up was ongoing at the time of data submission.  </w:t>
      </w:r>
      <w:r w:rsidRPr="00A50875">
        <w:rPr>
          <w:noProof/>
          <w:szCs w:val="24"/>
        </w:rPr>
        <w:t xml:space="preserve">Results are shown in Table </w:t>
      </w:r>
      <w:r w:rsidR="00736CE8">
        <w:rPr>
          <w:noProof/>
          <w:szCs w:val="24"/>
        </w:rPr>
        <w:t>17</w:t>
      </w:r>
      <w:r w:rsidRPr="00A50875">
        <w:rPr>
          <w:noProof/>
          <w:szCs w:val="24"/>
        </w:rPr>
        <w:t>.</w:t>
      </w:r>
    </w:p>
    <w:p w14:paraId="5E689B4E" w14:textId="0C96075B" w:rsidR="00C659AE" w:rsidRPr="00EE6520" w:rsidRDefault="00C659AE" w:rsidP="00AC3E58">
      <w:pPr>
        <w:keepNext/>
        <w:keepLines/>
        <w:widowControl w:val="0"/>
        <w:rPr>
          <w:b/>
        </w:rPr>
      </w:pPr>
      <w:r w:rsidRPr="00EE6520">
        <w:rPr>
          <w:b/>
        </w:rPr>
        <w:t>Table </w:t>
      </w:r>
      <w:r w:rsidR="00736CE8">
        <w:rPr>
          <w:b/>
        </w:rPr>
        <w:t>17</w:t>
      </w:r>
      <w:r w:rsidRPr="00EE6520">
        <w:rPr>
          <w:b/>
        </w:rPr>
        <w:t>: Efficacy results, per IRRC, in patients with relapsed/refractory classical Hodgkin lymphoma</w:t>
      </w:r>
    </w:p>
    <w:tbl>
      <w:tblPr>
        <w:tblW w:w="9648" w:type="dxa"/>
        <w:tblInd w:w="-108" w:type="dxa"/>
        <w:tblCellMar>
          <w:left w:w="0" w:type="dxa"/>
          <w:right w:w="0" w:type="dxa"/>
        </w:tblCellMar>
        <w:tblLook w:val="04A0" w:firstRow="1" w:lastRow="0" w:firstColumn="1" w:lastColumn="0" w:noHBand="0" w:noVBand="1"/>
      </w:tblPr>
      <w:tblGrid>
        <w:gridCol w:w="4518"/>
        <w:gridCol w:w="2565"/>
        <w:gridCol w:w="2565"/>
      </w:tblGrid>
      <w:tr w:rsidR="00807021" w:rsidRPr="00807021" w14:paraId="0FADA6DE" w14:textId="77777777" w:rsidTr="00807021">
        <w:tc>
          <w:tcPr>
            <w:tcW w:w="4518" w:type="dxa"/>
            <w:tcBorders>
              <w:top w:val="single" w:sz="4" w:space="0" w:color="auto"/>
              <w:left w:val="nil"/>
              <w:bottom w:val="single" w:sz="4" w:space="0" w:color="auto"/>
              <w:right w:val="nil"/>
            </w:tcBorders>
            <w:tcMar>
              <w:top w:w="0" w:type="dxa"/>
              <w:left w:w="108" w:type="dxa"/>
              <w:bottom w:w="0" w:type="dxa"/>
              <w:right w:w="108" w:type="dxa"/>
            </w:tcMar>
            <w:hideMark/>
          </w:tcPr>
          <w:p w14:paraId="58BD15A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Efficacy Parameter</w:t>
            </w:r>
          </w:p>
        </w:tc>
        <w:tc>
          <w:tcPr>
            <w:tcW w:w="2565" w:type="dxa"/>
            <w:tcBorders>
              <w:top w:val="single" w:sz="8" w:space="0" w:color="auto"/>
              <w:left w:val="nil"/>
              <w:bottom w:val="single" w:sz="4" w:space="0" w:color="auto"/>
              <w:right w:val="nil"/>
            </w:tcBorders>
            <w:hideMark/>
          </w:tcPr>
          <w:p w14:paraId="68F5A6A0"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 xml:space="preserve">CA209205 </w:t>
            </w:r>
          </w:p>
          <w:p w14:paraId="33063B71"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Cohort B</w:t>
            </w:r>
            <w:r w:rsidRPr="00EE6520">
              <w:rPr>
                <w:rFonts w:eastAsia="Calibri" w:cs="Times New Roman"/>
                <w:color w:val="000000"/>
                <w:sz w:val="20"/>
                <w:szCs w:val="20"/>
                <w:vertAlign w:val="superscript"/>
                <w:lang w:val="en-US"/>
              </w:rPr>
              <w:t>a</w:t>
            </w:r>
          </w:p>
          <w:p w14:paraId="1123266F"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(n = 80)</w:t>
            </w:r>
          </w:p>
        </w:tc>
        <w:tc>
          <w:tcPr>
            <w:tcW w:w="2565" w:type="dxa"/>
            <w:tcBorders>
              <w:top w:val="single" w:sz="4" w:space="0" w:color="auto"/>
              <w:left w:val="nil"/>
              <w:bottom w:val="single" w:sz="4" w:space="0" w:color="auto"/>
              <w:right w:val="nil"/>
            </w:tcBorders>
            <w:hideMark/>
          </w:tcPr>
          <w:p w14:paraId="0C8635A3"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CA209039</w:t>
            </w:r>
          </w:p>
          <w:p w14:paraId="13C4625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ASCT-Bren failed group</w:t>
            </w:r>
          </w:p>
          <w:p w14:paraId="6FFE73CE" w14:textId="77777777" w:rsidR="00807021" w:rsidRPr="00EE6520" w:rsidRDefault="00807021" w:rsidP="00AC3E58">
            <w:pPr>
              <w:keepNext/>
              <w:keepLines/>
              <w:widowControl w:val="0"/>
              <w:spacing w:after="0" w:line="252" w:lineRule="auto"/>
              <w:jc w:val="center"/>
              <w:rPr>
                <w:rFonts w:eastAsia="Calibri" w:cs="Times New Roman"/>
                <w:b/>
                <w:bCs/>
                <w:color w:val="000000"/>
                <w:sz w:val="20"/>
                <w:szCs w:val="20"/>
                <w:lang w:val="en-US"/>
              </w:rPr>
            </w:pPr>
            <w:r w:rsidRPr="00EE6520">
              <w:rPr>
                <w:rFonts w:eastAsia="Calibri" w:cs="Times New Roman"/>
                <w:b/>
                <w:bCs/>
                <w:color w:val="000000"/>
                <w:sz w:val="20"/>
                <w:szCs w:val="20"/>
                <w:lang w:val="en-US"/>
              </w:rPr>
              <w:t>(n = 15)</w:t>
            </w:r>
          </w:p>
        </w:tc>
      </w:tr>
      <w:tr w:rsidR="00807021" w:rsidRPr="00807021" w14:paraId="50A8C453" w14:textId="77777777" w:rsidTr="00807021">
        <w:trPr>
          <w:trHeight w:val="227"/>
        </w:trPr>
        <w:tc>
          <w:tcPr>
            <w:tcW w:w="4518" w:type="dxa"/>
            <w:tcBorders>
              <w:top w:val="single" w:sz="4" w:space="0" w:color="auto"/>
              <w:left w:val="nil"/>
              <w:bottom w:val="nil"/>
              <w:right w:val="nil"/>
            </w:tcBorders>
            <w:tcMar>
              <w:top w:w="0" w:type="dxa"/>
              <w:left w:w="108" w:type="dxa"/>
              <w:bottom w:w="0" w:type="dxa"/>
              <w:right w:w="108" w:type="dxa"/>
            </w:tcMar>
            <w:hideMark/>
          </w:tcPr>
          <w:p w14:paraId="13E73E09"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bCs/>
                <w:color w:val="000000"/>
                <w:sz w:val="20"/>
                <w:szCs w:val="20"/>
                <w:lang w:val="en-US"/>
              </w:rPr>
              <w:t>Objective Response Rate; </w:t>
            </w:r>
            <w:r w:rsidRPr="00EE6520">
              <w:rPr>
                <w:rFonts w:eastAsia="Calibri" w:cs="Times New Roman"/>
                <w:color w:val="000000"/>
                <w:sz w:val="20"/>
                <w:szCs w:val="20"/>
                <w:lang w:val="en-US"/>
              </w:rPr>
              <w:t>(95% CI)</w:t>
            </w:r>
          </w:p>
        </w:tc>
        <w:tc>
          <w:tcPr>
            <w:tcW w:w="2565" w:type="dxa"/>
            <w:tcBorders>
              <w:top w:val="single" w:sz="4" w:space="0" w:color="auto"/>
              <w:left w:val="nil"/>
              <w:bottom w:val="nil"/>
              <w:right w:val="nil"/>
            </w:tcBorders>
            <w:hideMark/>
          </w:tcPr>
          <w:p w14:paraId="29439944"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54 (68%); (56, 78)</w:t>
            </w:r>
          </w:p>
        </w:tc>
        <w:tc>
          <w:tcPr>
            <w:tcW w:w="2565" w:type="dxa"/>
            <w:tcBorders>
              <w:top w:val="single" w:sz="4" w:space="0" w:color="auto"/>
              <w:left w:val="nil"/>
              <w:bottom w:val="nil"/>
              <w:right w:val="nil"/>
            </w:tcBorders>
            <w:hideMark/>
          </w:tcPr>
          <w:p w14:paraId="215B8FCF"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9 (60%); (32, 84)</w:t>
            </w:r>
          </w:p>
        </w:tc>
      </w:tr>
      <w:tr w:rsidR="00807021" w:rsidRPr="00807021" w14:paraId="5FF59A13" w14:textId="77777777" w:rsidTr="00807021">
        <w:trPr>
          <w:trHeight w:val="227"/>
        </w:trPr>
        <w:tc>
          <w:tcPr>
            <w:tcW w:w="4518" w:type="dxa"/>
            <w:tcMar>
              <w:top w:w="0" w:type="dxa"/>
              <w:left w:w="108" w:type="dxa"/>
              <w:bottom w:w="0" w:type="dxa"/>
              <w:right w:w="108" w:type="dxa"/>
            </w:tcMar>
            <w:hideMark/>
          </w:tcPr>
          <w:p w14:paraId="758092F8"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Complete Remission Rate; (95% CI)</w:t>
            </w:r>
          </w:p>
        </w:tc>
        <w:tc>
          <w:tcPr>
            <w:tcW w:w="2565" w:type="dxa"/>
            <w:hideMark/>
          </w:tcPr>
          <w:p w14:paraId="609326BB"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6 (8%); (3, 16)</w:t>
            </w:r>
          </w:p>
        </w:tc>
        <w:tc>
          <w:tcPr>
            <w:tcW w:w="2565" w:type="dxa"/>
            <w:hideMark/>
          </w:tcPr>
          <w:p w14:paraId="0841D0D8"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 (0%); (0, 22)</w:t>
            </w:r>
          </w:p>
        </w:tc>
      </w:tr>
      <w:tr w:rsidR="00807021" w:rsidRPr="00807021" w14:paraId="7B4D8D85" w14:textId="77777777" w:rsidTr="00807021">
        <w:trPr>
          <w:trHeight w:val="227"/>
        </w:trPr>
        <w:tc>
          <w:tcPr>
            <w:tcW w:w="4518" w:type="dxa"/>
            <w:tcMar>
              <w:top w:w="0" w:type="dxa"/>
              <w:left w:w="108" w:type="dxa"/>
              <w:bottom w:w="0" w:type="dxa"/>
              <w:right w:w="108" w:type="dxa"/>
            </w:tcMar>
            <w:hideMark/>
          </w:tcPr>
          <w:p w14:paraId="6C24C02A"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Partial Remission Rate; (95% CI)</w:t>
            </w:r>
          </w:p>
        </w:tc>
        <w:tc>
          <w:tcPr>
            <w:tcW w:w="2565" w:type="dxa"/>
            <w:hideMark/>
          </w:tcPr>
          <w:p w14:paraId="58ECEF5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48 (60%); (48, 71)</w:t>
            </w:r>
          </w:p>
        </w:tc>
        <w:tc>
          <w:tcPr>
            <w:tcW w:w="2565" w:type="dxa"/>
            <w:hideMark/>
          </w:tcPr>
          <w:p w14:paraId="14A7900A"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9 (60%); (32, 84)</w:t>
            </w:r>
          </w:p>
        </w:tc>
      </w:tr>
      <w:tr w:rsidR="00807021" w:rsidRPr="00807021" w14:paraId="1377F6BE" w14:textId="77777777" w:rsidTr="00807021">
        <w:trPr>
          <w:trHeight w:val="227"/>
        </w:trPr>
        <w:tc>
          <w:tcPr>
            <w:tcW w:w="4518" w:type="dxa"/>
            <w:tcMar>
              <w:top w:w="0" w:type="dxa"/>
              <w:left w:w="108" w:type="dxa"/>
              <w:bottom w:w="0" w:type="dxa"/>
              <w:right w:w="108" w:type="dxa"/>
            </w:tcMar>
            <w:hideMark/>
          </w:tcPr>
          <w:p w14:paraId="693B28DE"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color w:val="000000"/>
                <w:sz w:val="20"/>
                <w:szCs w:val="20"/>
                <w:lang w:val="en-US"/>
              </w:rPr>
              <w:t xml:space="preserve">Stable disease, </w:t>
            </w:r>
            <w:r w:rsidRPr="00EE6520">
              <w:rPr>
                <w:rFonts w:eastAsia="Calibri" w:cs="Times New Roman"/>
                <w:color w:val="000000"/>
                <w:sz w:val="20"/>
                <w:szCs w:val="20"/>
                <w:lang w:val="en-US"/>
              </w:rPr>
              <w:t>n (%)</w:t>
            </w:r>
          </w:p>
        </w:tc>
        <w:tc>
          <w:tcPr>
            <w:tcW w:w="2565" w:type="dxa"/>
            <w:hideMark/>
          </w:tcPr>
          <w:p w14:paraId="1D9BA8BD"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17 (21)</w:t>
            </w:r>
          </w:p>
        </w:tc>
        <w:tc>
          <w:tcPr>
            <w:tcW w:w="2565" w:type="dxa"/>
            <w:hideMark/>
          </w:tcPr>
          <w:p w14:paraId="77A51733"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5 (33)</w:t>
            </w:r>
          </w:p>
        </w:tc>
      </w:tr>
      <w:tr w:rsidR="00807021" w:rsidRPr="00807021" w14:paraId="199FDD6D" w14:textId="77777777" w:rsidTr="00807021">
        <w:trPr>
          <w:trHeight w:val="467"/>
        </w:trPr>
        <w:tc>
          <w:tcPr>
            <w:tcW w:w="4518" w:type="dxa"/>
            <w:tcMar>
              <w:top w:w="0" w:type="dxa"/>
              <w:left w:w="108" w:type="dxa"/>
              <w:bottom w:w="0" w:type="dxa"/>
              <w:right w:w="108" w:type="dxa"/>
            </w:tcMar>
            <w:hideMark/>
          </w:tcPr>
          <w:p w14:paraId="7C418A32"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b/>
                <w:bCs/>
                <w:color w:val="000000"/>
                <w:sz w:val="20"/>
                <w:szCs w:val="20"/>
                <w:lang w:val="en-US"/>
              </w:rPr>
              <w:t>Median Duration of Response (months)</w:t>
            </w:r>
            <w:r w:rsidRPr="00EE6520">
              <w:rPr>
                <w:rFonts w:eastAsia="Calibri" w:cs="Times New Roman"/>
                <w:color w:val="000000"/>
                <w:sz w:val="20"/>
                <w:szCs w:val="20"/>
                <w:vertAlign w:val="superscript"/>
                <w:lang w:val="en-US"/>
              </w:rPr>
              <w:t>b</w:t>
            </w:r>
          </w:p>
          <w:p w14:paraId="795FA2B0"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(95% CI)</w:t>
            </w:r>
          </w:p>
          <w:p w14:paraId="64F123F6"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Min, Max</w:t>
            </w:r>
          </w:p>
        </w:tc>
        <w:tc>
          <w:tcPr>
            <w:tcW w:w="2565" w:type="dxa"/>
            <w:hideMark/>
          </w:tcPr>
          <w:p w14:paraId="11FD6F1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13.1</w:t>
            </w:r>
          </w:p>
          <w:p w14:paraId="429C3760"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(8.7, N.A.)</w:t>
            </w:r>
          </w:p>
          <w:p w14:paraId="7E052C2C"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0.0+, 14.2+</w:t>
            </w:r>
          </w:p>
        </w:tc>
        <w:tc>
          <w:tcPr>
            <w:tcW w:w="2565" w:type="dxa"/>
            <w:hideMark/>
          </w:tcPr>
          <w:p w14:paraId="277C8D1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12.0</w:t>
            </w:r>
          </w:p>
          <w:p w14:paraId="703CB365"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(1.8, N.A.)</w:t>
            </w:r>
          </w:p>
          <w:p w14:paraId="63BB0AF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1.8, 23.1+</w:t>
            </w:r>
          </w:p>
        </w:tc>
      </w:tr>
      <w:tr w:rsidR="00807021" w:rsidRPr="00807021" w14:paraId="25F70BCB" w14:textId="77777777" w:rsidTr="00807021">
        <w:trPr>
          <w:trHeight w:val="368"/>
        </w:trPr>
        <w:tc>
          <w:tcPr>
            <w:tcW w:w="4518" w:type="dxa"/>
            <w:tcBorders>
              <w:bottom w:val="single" w:sz="4" w:space="0" w:color="auto"/>
            </w:tcBorders>
            <w:tcMar>
              <w:top w:w="0" w:type="dxa"/>
              <w:left w:w="108" w:type="dxa"/>
              <w:bottom w:w="0" w:type="dxa"/>
              <w:right w:w="108" w:type="dxa"/>
            </w:tcMar>
            <w:hideMark/>
          </w:tcPr>
          <w:p w14:paraId="24FE6D93" w14:textId="77777777" w:rsidR="00807021" w:rsidRPr="00EE6520" w:rsidRDefault="00807021" w:rsidP="00AC3E58">
            <w:pPr>
              <w:keepNext/>
              <w:keepLines/>
              <w:widowControl w:val="0"/>
              <w:spacing w:after="0" w:line="252" w:lineRule="auto"/>
              <w:rPr>
                <w:rFonts w:eastAsia="Calibri" w:cs="Times New Roman"/>
                <w:b/>
                <w:bCs/>
                <w:color w:val="000000"/>
                <w:sz w:val="20"/>
                <w:szCs w:val="20"/>
                <w:lang w:val="en-US"/>
              </w:rPr>
            </w:pPr>
            <w:r w:rsidRPr="00EE6520">
              <w:rPr>
                <w:rFonts w:eastAsia="Calibri" w:cs="Times New Roman"/>
                <w:b/>
                <w:bCs/>
                <w:color w:val="000000"/>
                <w:sz w:val="20"/>
                <w:szCs w:val="20"/>
                <w:lang w:val="en-US"/>
              </w:rPr>
              <w:t>Median Time to Response (months)</w:t>
            </w:r>
          </w:p>
          <w:p w14:paraId="4FBE651C" w14:textId="77777777" w:rsidR="00807021" w:rsidRPr="00EE6520" w:rsidRDefault="00807021" w:rsidP="00AC3E58">
            <w:pPr>
              <w:keepNext/>
              <w:keepLines/>
              <w:widowControl w:val="0"/>
              <w:spacing w:after="0" w:line="252" w:lineRule="auto"/>
              <w:rPr>
                <w:rFonts w:eastAsia="Calibri" w:cs="Times New Roman"/>
                <w:color w:val="000000"/>
                <w:sz w:val="20"/>
                <w:szCs w:val="20"/>
                <w:lang w:val="en-US"/>
              </w:rPr>
            </w:pPr>
            <w:r w:rsidRPr="00EE6520">
              <w:rPr>
                <w:rFonts w:eastAsia="Calibri" w:cs="Times New Roman"/>
                <w:color w:val="000000"/>
                <w:sz w:val="20"/>
                <w:szCs w:val="20"/>
                <w:lang w:val="en-US"/>
              </w:rPr>
              <w:t>    Min, Max</w:t>
            </w:r>
          </w:p>
        </w:tc>
        <w:tc>
          <w:tcPr>
            <w:tcW w:w="2565" w:type="dxa"/>
            <w:tcBorders>
              <w:bottom w:val="single" w:sz="4" w:space="0" w:color="auto"/>
            </w:tcBorders>
            <w:hideMark/>
          </w:tcPr>
          <w:p w14:paraId="5639D2AA"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2.1</w:t>
            </w:r>
          </w:p>
          <w:p w14:paraId="0353A864"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1.6, 11.1</w:t>
            </w:r>
          </w:p>
        </w:tc>
        <w:tc>
          <w:tcPr>
            <w:tcW w:w="2565" w:type="dxa"/>
            <w:tcBorders>
              <w:bottom w:val="single" w:sz="4" w:space="0" w:color="auto"/>
            </w:tcBorders>
            <w:hideMark/>
          </w:tcPr>
          <w:p w14:paraId="3B6FB5A2"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0.8</w:t>
            </w:r>
          </w:p>
          <w:p w14:paraId="4797CF43" w14:textId="77777777" w:rsidR="00807021" w:rsidRPr="00EE6520" w:rsidRDefault="00807021" w:rsidP="00AC3E58">
            <w:pPr>
              <w:keepNext/>
              <w:keepLines/>
              <w:widowControl w:val="0"/>
              <w:spacing w:after="0" w:line="252" w:lineRule="auto"/>
              <w:jc w:val="center"/>
              <w:rPr>
                <w:rFonts w:eastAsia="Calibri" w:cs="Times New Roman"/>
                <w:color w:val="000000"/>
                <w:sz w:val="20"/>
                <w:szCs w:val="20"/>
                <w:lang w:val="en-US"/>
              </w:rPr>
            </w:pPr>
            <w:r w:rsidRPr="00EE6520">
              <w:rPr>
                <w:rFonts w:eastAsia="Calibri" w:cs="Times New Roman"/>
                <w:color w:val="000000"/>
                <w:sz w:val="20"/>
                <w:szCs w:val="20"/>
                <w:lang w:val="en-US"/>
              </w:rPr>
              <w:t>0.7, 4.1</w:t>
            </w:r>
          </w:p>
        </w:tc>
      </w:tr>
    </w:tbl>
    <w:p w14:paraId="5AE2901E" w14:textId="78FFFA22" w:rsidR="00310419" w:rsidRPr="00310419"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color w:val="000000" w:themeColor="text1"/>
          <w:sz w:val="18"/>
          <w:szCs w:val="18"/>
          <w:vertAlign w:val="superscript"/>
        </w:rPr>
        <w:t>a</w:t>
      </w:r>
      <w:r w:rsidRPr="00310419">
        <w:rPr>
          <w:noProof/>
          <w:color w:val="000000" w:themeColor="text1"/>
          <w:sz w:val="18"/>
          <w:szCs w:val="18"/>
        </w:rPr>
        <w:t xml:space="preserve"> Follow</w:t>
      </w:r>
      <w:r w:rsidRPr="00310419">
        <w:rPr>
          <w:noProof/>
          <w:color w:val="000000" w:themeColor="text1"/>
          <w:sz w:val="18"/>
          <w:szCs w:val="18"/>
        </w:rPr>
        <w:noBreakHyphen/>
        <w:t>up was ongoing at the time of data submission</w:t>
      </w:r>
    </w:p>
    <w:p w14:paraId="4179393A" w14:textId="3FBD43E5" w:rsidR="00C659AE" w:rsidRPr="00310419"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sz w:val="18"/>
          <w:szCs w:val="18"/>
          <w:vertAlign w:val="superscript"/>
        </w:rPr>
        <w:t>b</w:t>
      </w:r>
      <w:r w:rsidRPr="00310419">
        <w:rPr>
          <w:noProof/>
          <w:color w:val="000000" w:themeColor="text1"/>
          <w:sz w:val="18"/>
          <w:szCs w:val="18"/>
        </w:rPr>
        <w:t xml:space="preserve"> Data unstable due to the limited DOR for Cohort B resulting from censoring. </w:t>
      </w:r>
    </w:p>
    <w:p w14:paraId="629542E8" w14:textId="6B6040EA" w:rsidR="00C659AE" w:rsidRDefault="00C659AE" w:rsidP="00AC3E58">
      <w:pPr>
        <w:pStyle w:val="BMSBodyText"/>
        <w:keepNext/>
        <w:keepLines/>
        <w:widowControl w:val="0"/>
        <w:spacing w:before="0" w:after="0" w:line="240" w:lineRule="auto"/>
        <w:jc w:val="left"/>
        <w:rPr>
          <w:noProof/>
          <w:color w:val="000000" w:themeColor="text1"/>
          <w:sz w:val="18"/>
          <w:szCs w:val="18"/>
        </w:rPr>
      </w:pPr>
      <w:r w:rsidRPr="00310419">
        <w:rPr>
          <w:noProof/>
          <w:color w:val="000000" w:themeColor="text1"/>
          <w:sz w:val="18"/>
          <w:szCs w:val="18"/>
        </w:rPr>
        <w:t>N.A. = not available</w:t>
      </w:r>
    </w:p>
    <w:p w14:paraId="66A74106" w14:textId="77777777" w:rsidR="00EE6520" w:rsidRPr="00310419" w:rsidRDefault="00EE6520" w:rsidP="00310419">
      <w:pPr>
        <w:pStyle w:val="BMSBodyText"/>
        <w:spacing w:before="0" w:after="0" w:line="240" w:lineRule="auto"/>
        <w:jc w:val="left"/>
        <w:rPr>
          <w:noProof/>
          <w:color w:val="000000" w:themeColor="text1"/>
          <w:sz w:val="18"/>
          <w:szCs w:val="18"/>
        </w:rPr>
      </w:pPr>
    </w:p>
    <w:p w14:paraId="640A4B71" w14:textId="77777777" w:rsidR="00C659AE" w:rsidRPr="0067671F" w:rsidRDefault="00C659AE" w:rsidP="009045DE">
      <w:r w:rsidRPr="0067671F">
        <w:t xml:space="preserve">PFS and OS were exploratory endpoints in these studies. The median PFS was 14.8 months (95% CI: 11.3, NA) and 12.7 months (95% CI: 5.91, NA) in CA209205 Cohort B and CA209039, respectively.  The PFS rate at 12 months was 55% (95% CI 41, 66) and 69% (95% CI 37, 88) in CA209205 Cohort </w:t>
      </w:r>
      <w:r w:rsidRPr="0067671F">
        <w:lastRenderedPageBreak/>
        <w:t xml:space="preserve">B and CA209039, respectively.  At the time of database lock, OS data were immature and the median had not been reached in CA209205 Cohort B and CA209039.  The OS rate at 12 months was 95% (95% CI 87, 98) and 93% (95% CI 61, 99) in CA209205 Cohort B and CA209039, respectively.  </w:t>
      </w:r>
    </w:p>
    <w:p w14:paraId="7BA5E1AD" w14:textId="77777777" w:rsidR="00C659AE" w:rsidRPr="0067671F" w:rsidRDefault="00C659AE" w:rsidP="009045DE">
      <w:r w:rsidRPr="0067671F">
        <w:t xml:space="preserve">Objective response per IRRC with </w:t>
      </w:r>
      <w:proofErr w:type="spellStart"/>
      <w:r w:rsidRPr="0067671F">
        <w:t>nivolumab</w:t>
      </w:r>
      <w:proofErr w:type="spellEnd"/>
      <w:r w:rsidRPr="0067671F">
        <w:t xml:space="preserve"> was observed regardless of baseline tumour PD-L1 expression status.</w:t>
      </w:r>
    </w:p>
    <w:p w14:paraId="2BA17C20" w14:textId="77777777" w:rsidR="00C659AE" w:rsidRPr="0067671F" w:rsidRDefault="00C659AE" w:rsidP="009045DE">
      <w:r w:rsidRPr="0067671F">
        <w:t xml:space="preserve">B -symptoms were present in 25% (18/80) of the patients in CA209205 Cohort B at baseline. </w:t>
      </w:r>
      <w:proofErr w:type="spellStart"/>
      <w:r w:rsidRPr="0067671F">
        <w:t>Nivolumab</w:t>
      </w:r>
      <w:proofErr w:type="spellEnd"/>
      <w:r w:rsidRPr="0067671F">
        <w:t xml:space="preserve"> treatment resulted in rapid resolution of B-symptoms in 88.9% (16/18) of the patients, with a median time to resolution of 1.9 months.</w:t>
      </w:r>
    </w:p>
    <w:p w14:paraId="0AEC2FF8" w14:textId="77777777" w:rsidR="00C659AE" w:rsidRPr="0067671F" w:rsidRDefault="00C659AE" w:rsidP="009045DE">
      <w:r w:rsidRPr="0067671F">
        <w:t>Health related Quality of Life (</w:t>
      </w:r>
      <w:proofErr w:type="spellStart"/>
      <w:r w:rsidRPr="0067671F">
        <w:t>QoL</w:t>
      </w:r>
      <w:proofErr w:type="spellEnd"/>
      <w:r w:rsidRPr="0067671F">
        <w:t xml:space="preserve">) was assessed in CA209205 using the patient reported EQ 5D VAS and EORTC-QLQ-C30 (overall health status).  There was a high rate of completion up to Week 33 of treatment.  During this time, mean EQ-5D VAS scores increased from baseline and EORTC QLQ-C30 scores remained stable. </w:t>
      </w:r>
    </w:p>
    <w:p w14:paraId="67EC8ECB" w14:textId="1FDA5E5D" w:rsidR="00C659AE" w:rsidRDefault="00C659AE" w:rsidP="009045DE">
      <w:r w:rsidRPr="0067671F">
        <w:t xml:space="preserve">Data from </w:t>
      </w:r>
      <w:proofErr w:type="spellStart"/>
      <w:r w:rsidRPr="0067671F">
        <w:t>cHL</w:t>
      </w:r>
      <w:proofErr w:type="spellEnd"/>
      <w:r w:rsidRPr="0067671F">
        <w:t xml:space="preserve"> patients 65 years of age or older are too limited to draw conclusions on this population. </w:t>
      </w:r>
    </w:p>
    <w:p w14:paraId="183A3DAE" w14:textId="7F447B0D" w:rsidR="00C659AE" w:rsidRPr="00E34A67" w:rsidRDefault="00EE6520" w:rsidP="003E47FA">
      <w:pPr>
        <w:pStyle w:val="Heading3"/>
      </w:pPr>
      <w:r>
        <w:t xml:space="preserve">Recurrent or metastatic squamous cell carcinoma of the head and neck (SCCHN) </w:t>
      </w:r>
    </w:p>
    <w:p w14:paraId="4443E381" w14:textId="77777777" w:rsidR="00C659AE" w:rsidRDefault="00C659AE" w:rsidP="009045DE">
      <w:r w:rsidRPr="00CF6AC2">
        <w:t xml:space="preserve">The safety and efficacy of </w:t>
      </w:r>
      <w:proofErr w:type="spellStart"/>
      <w:r w:rsidRPr="00CF6AC2">
        <w:t>nivolumab</w:t>
      </w:r>
      <w:proofErr w:type="spellEnd"/>
      <w:r w:rsidRPr="00CF6AC2">
        <w:t> 3 mg/kg as a single agent for the treatment of metastatic or recurrent SCCHN were evaluated in a phase 3, randomised, open-label study (CA209141). The study included patients (18 years or older) who have experienced disease progression during or within 6 months of receiving a prior platinum-based therapy regimen and had an Eastern Cooperative Oncology Group (ECOG) performance status score of 0 or 1. Prior platinum-based therapy was administered in either the adjuvant, neo-adjuvant, primary, recurrent</w:t>
      </w:r>
      <w:r>
        <w:t xml:space="preserve"> </w:t>
      </w:r>
      <w:r w:rsidRPr="005B0BF1">
        <w:t xml:space="preserve">or metastatic setting. Patients were enrolled regardless of their PD-L1 or </w:t>
      </w:r>
      <w:r>
        <w:t>human papilloma virus (</w:t>
      </w:r>
      <w:r w:rsidRPr="005B0BF1">
        <w:t>HPV</w:t>
      </w:r>
      <w:r>
        <w:t>)</w:t>
      </w:r>
      <w:r w:rsidRPr="005B0BF1">
        <w:t xml:space="preserve"> status. </w:t>
      </w:r>
    </w:p>
    <w:p w14:paraId="5C7B2BD9" w14:textId="77777777" w:rsidR="00C659AE" w:rsidRDefault="00C659AE" w:rsidP="009045DE">
      <w:r w:rsidRPr="005B0BF1">
        <w:t xml:space="preserve">Patients with active autoimmune disease, medical conditions requiring immunosuppression, recurrent or metastatic carcinoma of the nasopharynx, squamous cell carcinoma of unknown primary histology, salivary gland or non-squamous </w:t>
      </w:r>
      <w:proofErr w:type="spellStart"/>
      <w:r w:rsidRPr="005B0BF1">
        <w:t>histologies</w:t>
      </w:r>
      <w:proofErr w:type="spellEnd"/>
      <w:r w:rsidRPr="005B0BF1">
        <w:t xml:space="preserve"> (</w:t>
      </w:r>
      <w:proofErr w:type="spellStart"/>
      <w:r w:rsidRPr="005B0BF1">
        <w:t>eg</w:t>
      </w:r>
      <w:proofErr w:type="spellEnd"/>
      <w:r w:rsidRPr="005B0BF1">
        <w:t>, mucosal melanoma), or untreated brain metastasis were excluded from the study. Patients with treated brain metastases were eligible if neurologically returned to baseline at least 2 weeks prior to enrolment, and either off corticosteroids, or on a stable or decreasing dose of &lt;10 mg daily prednisone equivalents.</w:t>
      </w:r>
    </w:p>
    <w:p w14:paraId="57D597F9" w14:textId="77777777" w:rsidR="00C659AE" w:rsidRPr="00643A47" w:rsidRDefault="00C659AE" w:rsidP="009045DE">
      <w:pPr>
        <w:rPr>
          <w:strike/>
          <w:noProof/>
        </w:rPr>
      </w:pPr>
      <w:r w:rsidRPr="005B0BF1">
        <w:t xml:space="preserve">A total of 361 patients were randomised to receive either </w:t>
      </w:r>
      <w:proofErr w:type="spellStart"/>
      <w:r w:rsidRPr="005B0BF1">
        <w:t>nivolumab</w:t>
      </w:r>
      <w:proofErr w:type="spellEnd"/>
      <w:r w:rsidRPr="005B0BF1">
        <w:t xml:space="preserve"> 3 mg/kg (n=240) administered intravenously over 60 minutes every 2 weeks or investigator’s choice of either </w:t>
      </w:r>
      <w:proofErr w:type="spellStart"/>
      <w:r w:rsidRPr="005B0BF1">
        <w:t>cetuximab</w:t>
      </w:r>
      <w:proofErr w:type="spellEnd"/>
      <w:r w:rsidRPr="005B0BF1">
        <w:t xml:space="preserve"> (n=15), 400 mg/m</w:t>
      </w:r>
      <w:r w:rsidRPr="005B0BF1">
        <w:rPr>
          <w:rStyle w:val="BMSSuperscript"/>
          <w:rFonts w:eastAsia="Calibri"/>
          <w:sz w:val="24"/>
        </w:rPr>
        <w:t>2</w:t>
      </w:r>
      <w:r w:rsidRPr="005B0BF1">
        <w:t xml:space="preserve"> loading dose followed by 250 mg/m</w:t>
      </w:r>
      <w:r w:rsidRPr="005B0BF1">
        <w:rPr>
          <w:rStyle w:val="BMSSuperscript"/>
          <w:rFonts w:eastAsia="Calibri"/>
          <w:sz w:val="24"/>
        </w:rPr>
        <w:t>2</w:t>
      </w:r>
      <w:r w:rsidRPr="005B0BF1">
        <w:t xml:space="preserve"> weekly or methotrexate (n=52) 40 to 60 mg/m</w:t>
      </w:r>
      <w:r w:rsidRPr="005B0BF1">
        <w:rPr>
          <w:rStyle w:val="BMSSuperscript"/>
          <w:rFonts w:eastAsia="Calibri"/>
          <w:sz w:val="24"/>
        </w:rPr>
        <w:t>2</w:t>
      </w:r>
      <w:r w:rsidRPr="005B0BF1">
        <w:t xml:space="preserve"> weekly, or docetaxel (n=54) 30 to 40 mg/m</w:t>
      </w:r>
      <w:r w:rsidRPr="000F48E7">
        <w:rPr>
          <w:rStyle w:val="BMSSuperscript"/>
          <w:rFonts w:eastAsia="Calibri"/>
          <w:sz w:val="24"/>
        </w:rPr>
        <w:t>2</w:t>
      </w:r>
      <w:r w:rsidRPr="000F48E7">
        <w:t xml:space="preserve"> weekly. Randomi</w:t>
      </w:r>
      <w:r>
        <w:t>s</w:t>
      </w:r>
      <w:r w:rsidRPr="000F48E7">
        <w:t xml:space="preserve">ation was stratified by prior </w:t>
      </w:r>
      <w:proofErr w:type="spellStart"/>
      <w:r w:rsidRPr="000F48E7">
        <w:t>cetuximab</w:t>
      </w:r>
      <w:proofErr w:type="spellEnd"/>
      <w:r w:rsidRPr="000F48E7">
        <w:t xml:space="preserve"> treatment. </w:t>
      </w:r>
      <w:r w:rsidRPr="002D2665">
        <w:t>Treatment was continued as long as clinical benefit was observed or until treatment was no longer tolerated</w:t>
      </w:r>
      <w:r w:rsidRPr="00DC02D2">
        <w:t xml:space="preserve">. Tumour assessments, according to RECIST version 1.1, were conducted 9 weeks after randomisation and continued every 6 weeks thereafter. </w:t>
      </w:r>
      <w:r w:rsidRPr="00DC02D2">
        <w:rPr>
          <w:lang w:val="en-US"/>
        </w:rPr>
        <w:t xml:space="preserve">Treatment beyond initial investigator-assessed RECIST, version 1.1-defined progression was permitted in patients receiving </w:t>
      </w:r>
      <w:proofErr w:type="spellStart"/>
      <w:r w:rsidRPr="00DC02D2">
        <w:rPr>
          <w:lang w:val="en-US"/>
        </w:rPr>
        <w:t>nivolumab</w:t>
      </w:r>
      <w:proofErr w:type="spellEnd"/>
      <w:r w:rsidRPr="00DC02D2">
        <w:rPr>
          <w:lang w:val="en-US"/>
        </w:rPr>
        <w:t xml:space="preserve"> if the patient had a clinical benefit and was tolerating study drug as determined by the investigator.</w:t>
      </w:r>
      <w:r>
        <w:rPr>
          <w:lang w:val="en-US"/>
        </w:rPr>
        <w:t xml:space="preserve"> </w:t>
      </w:r>
      <w:r w:rsidRPr="00F70725">
        <w:t xml:space="preserve">The primary efficacy outcome measure was OS. Key secondary efficacy outcome measures were investigator-assessed PFS and ORR. </w:t>
      </w:r>
    </w:p>
    <w:p w14:paraId="40D2AE3A" w14:textId="77777777" w:rsidR="00C659AE" w:rsidRPr="00C832F2" w:rsidRDefault="00C659AE" w:rsidP="009045DE">
      <w:pPr>
        <w:rPr>
          <w:strike/>
        </w:rPr>
      </w:pPr>
      <w:r w:rsidRPr="00F70725">
        <w:t>Baseline characteristics were generally balanced between the two groups. The median age was 60 years (range: 28</w:t>
      </w:r>
      <w:r w:rsidRPr="00F70725">
        <w:noBreakHyphen/>
        <w:t xml:space="preserve">83) with 31% </w:t>
      </w:r>
      <w:r w:rsidRPr="00F70725">
        <w:sym w:font="Symbol" w:char="F0B3"/>
      </w:r>
      <w:r w:rsidRPr="00F70725">
        <w:t xml:space="preserve">65 years of age and 5% </w:t>
      </w:r>
      <w:r w:rsidRPr="00F70725">
        <w:sym w:font="Symbol" w:char="F0B3"/>
      </w:r>
      <w:r w:rsidRPr="00F70725">
        <w:t>75 years of age, 83% were male, and 83% were white. Baseline ECOG performance status score was 0 (20%) or 1 (78%)</w:t>
      </w:r>
      <w:r w:rsidRPr="00CF6AC2">
        <w:t>, 77% were former/current smokers, 90% had Stage IV disease, 66% had two or more lesions, 45%, 34%</w:t>
      </w:r>
      <w:r w:rsidRPr="00F70725">
        <w:t xml:space="preserve"> and 20% received 1, 2, or 3 or more prior lines of systemic therapy, respectively</w:t>
      </w:r>
      <w:r>
        <w:t>.</w:t>
      </w:r>
      <w:r w:rsidRPr="00F70725">
        <w:t xml:space="preserve"> </w:t>
      </w:r>
    </w:p>
    <w:p w14:paraId="666AFBCC" w14:textId="40855C90" w:rsidR="00C659AE" w:rsidRDefault="00C659AE" w:rsidP="009045DE">
      <w:r w:rsidRPr="00CF6AC2">
        <w:t xml:space="preserve">With a minimum follow-up of 11.4 months, the trial demonstrated a statistically significant improvement in OS for patients randomised to </w:t>
      </w:r>
      <w:proofErr w:type="spellStart"/>
      <w:r w:rsidRPr="00CF6AC2">
        <w:t>nivolumab</w:t>
      </w:r>
      <w:proofErr w:type="spellEnd"/>
      <w:r w:rsidRPr="00CF6AC2">
        <w:t xml:space="preserve"> as compared with investigator’s choice. The Kaplan-Meier curves for OS are shown in Figure </w:t>
      </w:r>
      <w:r w:rsidR="00777194">
        <w:t>9</w:t>
      </w:r>
      <w:r w:rsidRPr="00CF6AC2">
        <w:t xml:space="preserve">. Efficacy results are shown in Table </w:t>
      </w:r>
      <w:r w:rsidR="00736CE8">
        <w:t>18</w:t>
      </w:r>
      <w:r w:rsidRPr="00CF6AC2">
        <w:t>.</w:t>
      </w:r>
    </w:p>
    <w:p w14:paraId="196308B5" w14:textId="586ED198" w:rsidR="00C659AE" w:rsidRPr="00DA06A7" w:rsidRDefault="00C659AE" w:rsidP="00AC3E58">
      <w:pPr>
        <w:keepNext/>
        <w:keepLines/>
        <w:widowControl w:val="0"/>
        <w:rPr>
          <w:b/>
        </w:rPr>
      </w:pPr>
      <w:r w:rsidRPr="00DA06A7">
        <w:rPr>
          <w:b/>
        </w:rPr>
        <w:lastRenderedPageBreak/>
        <w:t xml:space="preserve">Figure </w:t>
      </w:r>
      <w:r w:rsidR="00777194">
        <w:rPr>
          <w:b/>
        </w:rPr>
        <w:t>9</w:t>
      </w:r>
      <w:r w:rsidRPr="00DA06A7">
        <w:rPr>
          <w:b/>
        </w:rPr>
        <w:t>:</w:t>
      </w:r>
      <w:r w:rsidRPr="00DA06A7">
        <w:rPr>
          <w:b/>
        </w:rPr>
        <w:tab/>
        <w:t>Kaplan-Meier curves of OS (CA209141)</w:t>
      </w:r>
    </w:p>
    <w:p w14:paraId="65D354BE" w14:textId="41E2851F" w:rsidR="00C659AE" w:rsidRDefault="00C659AE" w:rsidP="00AC3E58">
      <w:pPr>
        <w:keepNext/>
        <w:keepLines/>
        <w:widowControl w:val="0"/>
        <w:jc w:val="center"/>
        <w:rPr>
          <w:color w:val="000000" w:themeColor="text1"/>
          <w:lang w:val="en-GB"/>
        </w:rPr>
      </w:pPr>
      <w:r>
        <w:rPr>
          <w:b/>
          <w:noProof/>
          <w:lang w:eastAsia="en-AU"/>
        </w:rPr>
        <mc:AlternateContent>
          <mc:Choice Requires="wps">
            <w:drawing>
              <wp:anchor distT="0" distB="0" distL="114300" distR="114300" simplePos="0" relativeHeight="251663360" behindDoc="0" locked="0" layoutInCell="1" allowOverlap="1" wp14:anchorId="63BCF026" wp14:editId="3ACFECF0">
                <wp:simplePos x="0" y="0"/>
                <wp:positionH relativeFrom="leftMargin">
                  <wp:posOffset>903605</wp:posOffset>
                </wp:positionH>
                <wp:positionV relativeFrom="paragraph">
                  <wp:posOffset>885190</wp:posOffset>
                </wp:positionV>
                <wp:extent cx="343535" cy="1496695"/>
                <wp:effectExtent l="0" t="0" r="635"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149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3C38D" w14:textId="77777777" w:rsidR="00683B20" w:rsidRDefault="00683B20" w:rsidP="00C659AE">
                            <w:r>
                              <w:t>Probability of Survival</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2" o:spid="_x0000_s1041" type="#_x0000_t202" style="position:absolute;left:0;text-align:left;margin-left:71.15pt;margin-top:69.7pt;width:27.05pt;height:117.85pt;z-index:251663360;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" stroked="f">
                <v:textbox style="layout-flow:vertical;mso-layout-flow-alt:bottom-to-top;mso-fit-shape-to-text:t">
                  <w:txbxContent>
                    <w:p w14:paraId="6423C38D" w14:textId="77777777" w:rsidR="00683B20" w:rsidRDefault="00683B20" w:rsidP="00C659AE">
                      <w:r>
                        <w:t>Probability of Survival</w:t>
                      </w:r>
                    </w:p>
                  </w:txbxContent>
                </v:textbox>
                <w10:wrap anchorx="margin"/>
              </v:shape>
            </w:pict>
          </mc:Fallback>
        </mc:AlternateContent>
      </w:r>
      <w:r w:rsidRPr="00141F66">
        <w:rPr>
          <w:noProof/>
          <w:lang w:eastAsia="en-AU"/>
        </w:rPr>
        <w:drawing>
          <wp:inline distT="0" distB="0" distL="0" distR="0" wp14:anchorId="0FB8C759" wp14:editId="3EC45422">
            <wp:extent cx="4705350" cy="3524250"/>
            <wp:effectExtent l="0" t="0" r="0" b="0"/>
            <wp:docPr id="8" name="Picture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2"/>
                    <pic:cNvPicPr>
                      <a:picLocks noChangeAspect="1" noChangeArrowheads="1"/>
                    </pic:cNvPicPr>
                  </pic:nvPicPr>
                  <pic:blipFill>
                    <a:blip r:embed="rId21">
                      <a:extLst>
                        <a:ext uri="{28A0092B-C50C-407E-A947-70E740481C1C}">
                          <a14:useLocalDpi xmlns:a14="http://schemas.microsoft.com/office/drawing/2010/main" val="0"/>
                        </a:ext>
                      </a:extLst>
                    </a:blip>
                    <a:srcRect l="9180" r="1019" b="10550"/>
                    <a:stretch>
                      <a:fillRect/>
                    </a:stretch>
                  </pic:blipFill>
                  <pic:spPr bwMode="auto">
                    <a:xfrm>
                      <a:off x="0" y="0"/>
                      <a:ext cx="4705350" cy="3524250"/>
                    </a:xfrm>
                    <a:prstGeom prst="rect">
                      <a:avLst/>
                    </a:prstGeom>
                    <a:noFill/>
                    <a:ln>
                      <a:noFill/>
                    </a:ln>
                  </pic:spPr>
                </pic:pic>
              </a:graphicData>
            </a:graphic>
          </wp:inline>
        </w:drawing>
      </w:r>
    </w:p>
    <w:p w14:paraId="7766DE5A" w14:textId="159CC249" w:rsidR="00C659AE" w:rsidRPr="00CF6AC2" w:rsidRDefault="00AC3E58" w:rsidP="00AC3E58">
      <w:pPr>
        <w:keepNext/>
        <w:keepLines/>
        <w:widowControl w:val="0"/>
        <w:ind w:left="2880" w:firstLine="720"/>
        <w:rPr>
          <w:color w:val="000000" w:themeColor="text1"/>
          <w:lang w:val="en-GB"/>
        </w:rPr>
      </w:pPr>
      <w:r w:rsidRPr="00CF6AC2">
        <w:rPr>
          <w:noProof/>
          <w:color w:val="000000" w:themeColor="text1"/>
          <w:lang w:eastAsia="en-AU"/>
        </w:rPr>
        <w:drawing>
          <wp:anchor distT="0" distB="0" distL="114300" distR="114300" simplePos="0" relativeHeight="251664384" behindDoc="0" locked="0" layoutInCell="1" allowOverlap="1" wp14:anchorId="0CDC7C0A" wp14:editId="118649E4">
            <wp:simplePos x="0" y="0"/>
            <wp:positionH relativeFrom="margin">
              <wp:posOffset>241935</wp:posOffset>
            </wp:positionH>
            <wp:positionV relativeFrom="margin">
              <wp:posOffset>4572000</wp:posOffset>
            </wp:positionV>
            <wp:extent cx="219075" cy="247015"/>
            <wp:effectExtent l="0" t="0" r="9525" b="63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47015"/>
                    </a:xfrm>
                    <a:prstGeom prst="rect">
                      <a:avLst/>
                    </a:prstGeom>
                    <a:noFill/>
                  </pic:spPr>
                </pic:pic>
              </a:graphicData>
            </a:graphic>
            <wp14:sizeRelH relativeFrom="page">
              <wp14:pctWidth>0</wp14:pctWidth>
            </wp14:sizeRelH>
            <wp14:sizeRelV relativeFrom="page">
              <wp14:pctHeight>0</wp14:pctHeight>
            </wp14:sizeRelV>
          </wp:anchor>
        </w:drawing>
      </w:r>
      <w:r w:rsidR="00C659AE" w:rsidRPr="00CF6AC2">
        <w:rPr>
          <w:color w:val="000000" w:themeColor="text1"/>
          <w:lang w:val="en-GB"/>
        </w:rPr>
        <w:t>Overall Survival (Months)</w:t>
      </w:r>
    </w:p>
    <w:tbl>
      <w:tblPr>
        <w:tblW w:w="0" w:type="dxa"/>
        <w:jc w:val="center"/>
        <w:tblLayout w:type="fixed"/>
        <w:tblLook w:val="04A0" w:firstRow="1" w:lastRow="0" w:firstColumn="1" w:lastColumn="0" w:noHBand="0" w:noVBand="1"/>
      </w:tblPr>
      <w:tblGrid>
        <w:gridCol w:w="851"/>
        <w:gridCol w:w="810"/>
        <w:gridCol w:w="810"/>
        <w:gridCol w:w="720"/>
        <w:gridCol w:w="720"/>
        <w:gridCol w:w="720"/>
        <w:gridCol w:w="756"/>
        <w:gridCol w:w="709"/>
        <w:gridCol w:w="810"/>
        <w:gridCol w:w="888"/>
        <w:gridCol w:w="275"/>
      </w:tblGrid>
      <w:tr w:rsidR="002B376A" w:rsidRPr="002B376A" w14:paraId="4B2D8EC8" w14:textId="77777777" w:rsidTr="00DA06A7">
        <w:trPr>
          <w:gridAfter w:val="1"/>
          <w:wAfter w:w="275" w:type="dxa"/>
          <w:trHeight w:val="259"/>
          <w:jc w:val="center"/>
        </w:trPr>
        <w:tc>
          <w:tcPr>
            <w:tcW w:w="7794" w:type="dxa"/>
            <w:gridSpan w:val="10"/>
            <w:hideMark/>
          </w:tcPr>
          <w:p w14:paraId="4525835E" w14:textId="77777777" w:rsidR="002B376A" w:rsidRPr="00DA06A7" w:rsidRDefault="002B376A" w:rsidP="00AC3E58">
            <w:pPr>
              <w:keepNext/>
              <w:keepLines/>
              <w:widowControl w:val="0"/>
              <w:spacing w:after="0"/>
              <w:rPr>
                <w:rFonts w:eastAsia="Times New Roman" w:cs="Times New Roman"/>
                <w:sz w:val="18"/>
                <w:szCs w:val="18"/>
                <w:lang w:val="en-US"/>
              </w:rPr>
            </w:pPr>
            <w:r w:rsidRPr="00DA06A7">
              <w:rPr>
                <w:rFonts w:eastAsia="Times New Roman" w:cs="Times New Roman"/>
                <w:sz w:val="18"/>
                <w:szCs w:val="18"/>
                <w:lang w:val="en-US"/>
              </w:rPr>
              <w:t>Number of Subjects at Risk</w:t>
            </w:r>
          </w:p>
        </w:tc>
      </w:tr>
      <w:tr w:rsidR="002B376A" w:rsidRPr="002B376A" w14:paraId="6D9A5725" w14:textId="77777777" w:rsidTr="00DA06A7">
        <w:trPr>
          <w:gridAfter w:val="1"/>
          <w:wAfter w:w="275" w:type="dxa"/>
          <w:jc w:val="center"/>
        </w:trPr>
        <w:tc>
          <w:tcPr>
            <w:tcW w:w="7794" w:type="dxa"/>
            <w:gridSpan w:val="10"/>
            <w:hideMark/>
          </w:tcPr>
          <w:p w14:paraId="2DCB5C22" w14:textId="77777777" w:rsidR="002B376A" w:rsidRPr="00DA06A7" w:rsidRDefault="002B376A" w:rsidP="00AC3E58">
            <w:pPr>
              <w:keepNext/>
              <w:keepLines/>
              <w:widowControl w:val="0"/>
              <w:spacing w:after="0"/>
              <w:rPr>
                <w:rFonts w:eastAsia="Times New Roman" w:cs="Times New Roman"/>
                <w:sz w:val="18"/>
                <w:szCs w:val="18"/>
                <w:lang w:val="en-US"/>
              </w:rPr>
            </w:pPr>
            <w:proofErr w:type="spellStart"/>
            <w:r w:rsidRPr="00DA06A7">
              <w:rPr>
                <w:rFonts w:eastAsia="Times New Roman" w:cs="Times New Roman"/>
                <w:sz w:val="18"/>
                <w:szCs w:val="18"/>
                <w:lang w:val="en-US"/>
              </w:rPr>
              <w:t>Nivolumab</w:t>
            </w:r>
            <w:proofErr w:type="spellEnd"/>
          </w:p>
        </w:tc>
      </w:tr>
      <w:tr w:rsidR="002B376A" w:rsidRPr="002B376A" w14:paraId="6799C15B" w14:textId="77777777" w:rsidTr="00DA06A7">
        <w:trPr>
          <w:gridAfter w:val="2"/>
          <w:wAfter w:w="1163" w:type="dxa"/>
          <w:jc w:val="center"/>
        </w:trPr>
        <w:tc>
          <w:tcPr>
            <w:tcW w:w="851" w:type="dxa"/>
            <w:vAlign w:val="center"/>
            <w:hideMark/>
          </w:tcPr>
          <w:p w14:paraId="550E1BA1" w14:textId="5ED467BE"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240</w:t>
            </w:r>
          </w:p>
        </w:tc>
        <w:tc>
          <w:tcPr>
            <w:tcW w:w="810" w:type="dxa"/>
            <w:vAlign w:val="center"/>
            <w:hideMark/>
          </w:tcPr>
          <w:p w14:paraId="1946CCA0"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169</w:t>
            </w:r>
          </w:p>
        </w:tc>
        <w:tc>
          <w:tcPr>
            <w:tcW w:w="810" w:type="dxa"/>
            <w:vAlign w:val="center"/>
            <w:hideMark/>
          </w:tcPr>
          <w:p w14:paraId="4C24E77F"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132</w:t>
            </w:r>
          </w:p>
        </w:tc>
        <w:tc>
          <w:tcPr>
            <w:tcW w:w="720" w:type="dxa"/>
            <w:vAlign w:val="center"/>
            <w:hideMark/>
          </w:tcPr>
          <w:p w14:paraId="3ED1D704"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98</w:t>
            </w:r>
          </w:p>
        </w:tc>
        <w:tc>
          <w:tcPr>
            <w:tcW w:w="720" w:type="dxa"/>
            <w:vAlign w:val="center"/>
            <w:hideMark/>
          </w:tcPr>
          <w:p w14:paraId="1332932A"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76</w:t>
            </w:r>
          </w:p>
        </w:tc>
        <w:tc>
          <w:tcPr>
            <w:tcW w:w="720" w:type="dxa"/>
            <w:vAlign w:val="center"/>
            <w:hideMark/>
          </w:tcPr>
          <w:p w14:paraId="16447C84"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45</w:t>
            </w:r>
          </w:p>
        </w:tc>
        <w:tc>
          <w:tcPr>
            <w:tcW w:w="756" w:type="dxa"/>
            <w:vAlign w:val="center"/>
            <w:hideMark/>
          </w:tcPr>
          <w:p w14:paraId="5C6987A7"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trike/>
                <w:sz w:val="18"/>
                <w:szCs w:val="18"/>
                <w:lang w:val="en-US"/>
              </w:rPr>
              <w:t xml:space="preserve"> </w:t>
            </w:r>
            <w:r w:rsidRPr="00DA06A7">
              <w:rPr>
                <w:rFonts w:eastAsia="Times New Roman" w:cs="Times New Roman"/>
                <w:sz w:val="18"/>
                <w:szCs w:val="18"/>
                <w:lang w:val="en-US"/>
              </w:rPr>
              <w:t>27</w:t>
            </w:r>
          </w:p>
        </w:tc>
        <w:tc>
          <w:tcPr>
            <w:tcW w:w="709" w:type="dxa"/>
            <w:hideMark/>
          </w:tcPr>
          <w:p w14:paraId="5785F83E"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12</w:t>
            </w:r>
          </w:p>
        </w:tc>
        <w:tc>
          <w:tcPr>
            <w:tcW w:w="810" w:type="dxa"/>
            <w:hideMark/>
          </w:tcPr>
          <w:p w14:paraId="499155EA"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3</w:t>
            </w:r>
          </w:p>
        </w:tc>
      </w:tr>
      <w:tr w:rsidR="002B376A" w:rsidRPr="002B376A" w14:paraId="3E79E68F" w14:textId="77777777" w:rsidTr="00DA06A7">
        <w:trPr>
          <w:jc w:val="center"/>
        </w:trPr>
        <w:tc>
          <w:tcPr>
            <w:tcW w:w="8069" w:type="dxa"/>
            <w:gridSpan w:val="11"/>
            <w:hideMark/>
          </w:tcPr>
          <w:p w14:paraId="109BA79D" w14:textId="77777777" w:rsidR="002B376A" w:rsidRPr="00DA06A7" w:rsidRDefault="002B376A" w:rsidP="00AC3E58">
            <w:pPr>
              <w:keepNext/>
              <w:keepLines/>
              <w:widowControl w:val="0"/>
              <w:spacing w:after="0"/>
              <w:rPr>
                <w:rFonts w:eastAsia="Times New Roman" w:cs="Times New Roman"/>
                <w:sz w:val="18"/>
                <w:szCs w:val="18"/>
                <w:lang w:val="en-US"/>
              </w:rPr>
            </w:pPr>
            <w:r w:rsidRPr="00DA06A7">
              <w:rPr>
                <w:rFonts w:eastAsia="Times New Roman" w:cs="Times New Roman"/>
                <w:sz w:val="18"/>
                <w:szCs w:val="18"/>
                <w:lang w:val="en-US"/>
              </w:rPr>
              <w:t>Investigator’s choice</w:t>
            </w:r>
          </w:p>
        </w:tc>
      </w:tr>
      <w:tr w:rsidR="002B376A" w:rsidRPr="002B376A" w14:paraId="4466B499" w14:textId="77777777" w:rsidTr="00DA06A7">
        <w:trPr>
          <w:gridAfter w:val="2"/>
          <w:wAfter w:w="1163" w:type="dxa"/>
          <w:jc w:val="center"/>
        </w:trPr>
        <w:tc>
          <w:tcPr>
            <w:tcW w:w="851" w:type="dxa"/>
            <w:vAlign w:val="center"/>
            <w:hideMark/>
          </w:tcPr>
          <w:p w14:paraId="658EE273" w14:textId="4DBBE1FB"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121</w:t>
            </w:r>
          </w:p>
        </w:tc>
        <w:tc>
          <w:tcPr>
            <w:tcW w:w="810" w:type="dxa"/>
            <w:vAlign w:val="center"/>
            <w:hideMark/>
          </w:tcPr>
          <w:p w14:paraId="35924233"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88</w:t>
            </w:r>
          </w:p>
        </w:tc>
        <w:tc>
          <w:tcPr>
            <w:tcW w:w="810" w:type="dxa"/>
            <w:vAlign w:val="center"/>
            <w:hideMark/>
          </w:tcPr>
          <w:p w14:paraId="470271FF"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51</w:t>
            </w:r>
          </w:p>
        </w:tc>
        <w:tc>
          <w:tcPr>
            <w:tcW w:w="720" w:type="dxa"/>
            <w:vAlign w:val="center"/>
            <w:hideMark/>
          </w:tcPr>
          <w:p w14:paraId="43DC2AD0"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32</w:t>
            </w:r>
          </w:p>
        </w:tc>
        <w:tc>
          <w:tcPr>
            <w:tcW w:w="720" w:type="dxa"/>
            <w:vAlign w:val="center"/>
            <w:hideMark/>
          </w:tcPr>
          <w:p w14:paraId="70634BF8"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22</w:t>
            </w:r>
          </w:p>
        </w:tc>
        <w:tc>
          <w:tcPr>
            <w:tcW w:w="720" w:type="dxa"/>
            <w:vAlign w:val="center"/>
            <w:hideMark/>
          </w:tcPr>
          <w:p w14:paraId="2C666434"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9</w:t>
            </w:r>
          </w:p>
        </w:tc>
        <w:tc>
          <w:tcPr>
            <w:tcW w:w="756" w:type="dxa"/>
            <w:vAlign w:val="center"/>
            <w:hideMark/>
          </w:tcPr>
          <w:p w14:paraId="6F1EE326"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 xml:space="preserve"> 4</w:t>
            </w:r>
          </w:p>
        </w:tc>
        <w:tc>
          <w:tcPr>
            <w:tcW w:w="709" w:type="dxa"/>
            <w:hideMark/>
          </w:tcPr>
          <w:p w14:paraId="0EFD14DB"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3</w:t>
            </w:r>
          </w:p>
        </w:tc>
        <w:tc>
          <w:tcPr>
            <w:tcW w:w="810" w:type="dxa"/>
            <w:hideMark/>
          </w:tcPr>
          <w:p w14:paraId="1E15C657" w14:textId="77777777" w:rsidR="002B376A" w:rsidRPr="00DA06A7" w:rsidRDefault="002B376A" w:rsidP="00AC3E58">
            <w:pPr>
              <w:keepNext/>
              <w:keepLines/>
              <w:widowControl w:val="0"/>
              <w:spacing w:after="0"/>
              <w:jc w:val="right"/>
              <w:rPr>
                <w:rFonts w:eastAsia="Times New Roman" w:cs="Times New Roman"/>
                <w:sz w:val="18"/>
                <w:szCs w:val="18"/>
                <w:lang w:val="en-US"/>
              </w:rPr>
            </w:pPr>
            <w:r w:rsidRPr="00DA06A7">
              <w:rPr>
                <w:rFonts w:eastAsia="Times New Roman" w:cs="Times New Roman"/>
                <w:sz w:val="18"/>
                <w:szCs w:val="18"/>
                <w:lang w:val="en-US"/>
              </w:rPr>
              <w:t>0</w:t>
            </w:r>
          </w:p>
        </w:tc>
      </w:tr>
    </w:tbl>
    <w:p w14:paraId="0368A1AC" w14:textId="327044FA" w:rsidR="00C659AE" w:rsidRPr="00DA06A7" w:rsidRDefault="00C659AE" w:rsidP="00AC3E58">
      <w:pPr>
        <w:keepNext/>
        <w:keepLines/>
        <w:widowControl w:val="0"/>
        <w:spacing w:before="240"/>
        <w:jc w:val="left"/>
        <w:rPr>
          <w:sz w:val="18"/>
          <w:szCs w:val="18"/>
          <w:lang w:val="en-GB"/>
        </w:rPr>
      </w:pPr>
      <w:r w:rsidRPr="00DA06A7">
        <w:rPr>
          <w:noProof/>
          <w:sz w:val="18"/>
          <w:szCs w:val="18"/>
        </w:rPr>
        <w:t>Nivolumab (events:  184/240), median 7.72 months  and 95% CI: (5.68 , 8.77</w:t>
      </w:r>
      <w:r w:rsidR="009045DE" w:rsidRPr="00DA06A7">
        <w:rPr>
          <w:noProof/>
          <w:sz w:val="18"/>
          <w:szCs w:val="18"/>
        </w:rPr>
        <w:br/>
      </w:r>
      <w:r w:rsidRPr="00DA06A7">
        <w:rPr>
          <w:sz w:val="18"/>
          <w:szCs w:val="18"/>
          <w:lang w:val="en-GB"/>
        </w:rPr>
        <w:t xml:space="preserve">Investigator’s choice (events:  105/121), median 5.06 months and 95% CI:  (4.04, </w:t>
      </w:r>
      <w:proofErr w:type="gramStart"/>
      <w:r w:rsidRPr="00DA06A7">
        <w:rPr>
          <w:sz w:val="18"/>
          <w:szCs w:val="18"/>
          <w:lang w:val="en-GB"/>
        </w:rPr>
        <w:t>6.24 )</w:t>
      </w:r>
      <w:proofErr w:type="gramEnd"/>
      <w:r w:rsidRPr="00DA06A7">
        <w:rPr>
          <w:sz w:val="18"/>
          <w:szCs w:val="18"/>
          <w:lang w:val="en-GB"/>
        </w:rPr>
        <w:t>.</w:t>
      </w:r>
    </w:p>
    <w:tbl>
      <w:tblPr>
        <w:tblW w:w="0" w:type="auto"/>
        <w:tblLook w:val="04A0" w:firstRow="1" w:lastRow="0" w:firstColumn="1" w:lastColumn="0" w:noHBand="0" w:noVBand="1"/>
      </w:tblPr>
      <w:tblGrid>
        <w:gridCol w:w="3679"/>
        <w:gridCol w:w="2627"/>
        <w:gridCol w:w="39"/>
        <w:gridCol w:w="2681"/>
      </w:tblGrid>
      <w:tr w:rsidR="00366305" w:rsidRPr="00366305" w14:paraId="67678267" w14:textId="77777777" w:rsidTr="00366305">
        <w:tc>
          <w:tcPr>
            <w:tcW w:w="9026" w:type="dxa"/>
            <w:gridSpan w:val="4"/>
            <w:tcBorders>
              <w:left w:val="nil"/>
              <w:bottom w:val="single" w:sz="4" w:space="0" w:color="auto"/>
              <w:right w:val="nil"/>
            </w:tcBorders>
          </w:tcPr>
          <w:p w14:paraId="3C6D244A" w14:textId="1B53207F" w:rsidR="00366305" w:rsidRPr="00CC4036" w:rsidRDefault="00366305" w:rsidP="00366305">
            <w:pPr>
              <w:pStyle w:val="EMEABodyText"/>
              <w:keepNext/>
              <w:rPr>
                <w:b/>
                <w:szCs w:val="22"/>
              </w:rPr>
            </w:pPr>
            <w:r w:rsidRPr="00CC4036">
              <w:rPr>
                <w:b/>
                <w:szCs w:val="22"/>
              </w:rPr>
              <w:t xml:space="preserve">Table </w:t>
            </w:r>
            <w:r w:rsidR="00736CE8">
              <w:rPr>
                <w:b/>
                <w:szCs w:val="22"/>
              </w:rPr>
              <w:t>18</w:t>
            </w:r>
            <w:r w:rsidRPr="00CC4036">
              <w:rPr>
                <w:szCs w:val="22"/>
              </w:rPr>
              <w:t>:</w:t>
            </w:r>
            <w:r w:rsidRPr="00CC4036">
              <w:rPr>
                <w:szCs w:val="22"/>
              </w:rPr>
              <w:tab/>
            </w:r>
            <w:r w:rsidRPr="00CC4036">
              <w:rPr>
                <w:b/>
                <w:szCs w:val="22"/>
              </w:rPr>
              <w:t>Efficacy results (CA209141)</w:t>
            </w:r>
          </w:p>
          <w:p w14:paraId="45E11821" w14:textId="77777777" w:rsidR="00366305" w:rsidRPr="00366305" w:rsidRDefault="00366305" w:rsidP="00366305">
            <w:pPr>
              <w:keepNext/>
              <w:keepLines/>
              <w:spacing w:after="0"/>
              <w:jc w:val="center"/>
              <w:rPr>
                <w:rFonts w:eastAsia="Times New Roman" w:cs="Times New Roman"/>
                <w:b/>
                <w:sz w:val="20"/>
                <w:szCs w:val="24"/>
                <w:lang w:val="en-US"/>
              </w:rPr>
            </w:pPr>
          </w:p>
        </w:tc>
      </w:tr>
      <w:tr w:rsidR="00366305" w:rsidRPr="00366305" w14:paraId="3F530BE6" w14:textId="77777777" w:rsidTr="00366305">
        <w:tc>
          <w:tcPr>
            <w:tcW w:w="3679" w:type="dxa"/>
            <w:tcBorders>
              <w:top w:val="single" w:sz="4" w:space="0" w:color="auto"/>
              <w:left w:val="nil"/>
              <w:bottom w:val="single" w:sz="4" w:space="0" w:color="auto"/>
              <w:right w:val="nil"/>
            </w:tcBorders>
          </w:tcPr>
          <w:p w14:paraId="5A9A8CE3" w14:textId="77777777" w:rsidR="00366305" w:rsidRPr="00CC4036" w:rsidRDefault="00366305" w:rsidP="00366305">
            <w:pPr>
              <w:keepNext/>
              <w:keepLines/>
              <w:tabs>
                <w:tab w:val="left" w:pos="180"/>
              </w:tabs>
              <w:spacing w:after="0"/>
              <w:rPr>
                <w:rFonts w:eastAsia="Times New Roman" w:cs="Times New Roman"/>
                <w:sz w:val="20"/>
                <w:szCs w:val="20"/>
                <w:lang w:val="en-US"/>
              </w:rPr>
            </w:pPr>
          </w:p>
        </w:tc>
        <w:tc>
          <w:tcPr>
            <w:tcW w:w="2666" w:type="dxa"/>
            <w:gridSpan w:val="2"/>
            <w:tcBorders>
              <w:top w:val="single" w:sz="4" w:space="0" w:color="auto"/>
              <w:left w:val="nil"/>
              <w:bottom w:val="single" w:sz="4" w:space="0" w:color="auto"/>
              <w:right w:val="nil"/>
            </w:tcBorders>
            <w:hideMark/>
          </w:tcPr>
          <w:p w14:paraId="761BC577" w14:textId="77777777" w:rsidR="00366305" w:rsidRPr="00CC4036" w:rsidRDefault="00366305" w:rsidP="00366305">
            <w:pPr>
              <w:keepNext/>
              <w:keepLines/>
              <w:spacing w:after="0"/>
              <w:jc w:val="center"/>
              <w:rPr>
                <w:rFonts w:eastAsia="Times New Roman" w:cs="Times New Roman"/>
                <w:b/>
                <w:sz w:val="20"/>
                <w:szCs w:val="20"/>
                <w:lang w:val="en-US"/>
              </w:rPr>
            </w:pPr>
            <w:proofErr w:type="spellStart"/>
            <w:r w:rsidRPr="00CC4036">
              <w:rPr>
                <w:rFonts w:eastAsia="Times New Roman" w:cs="Times New Roman"/>
                <w:b/>
                <w:sz w:val="20"/>
                <w:szCs w:val="20"/>
                <w:lang w:val="en-US"/>
              </w:rPr>
              <w:t>nivolumab</w:t>
            </w:r>
            <w:proofErr w:type="spellEnd"/>
            <w:r w:rsidRPr="00CC4036">
              <w:rPr>
                <w:rFonts w:eastAsia="Times New Roman" w:cs="Times New Roman"/>
                <w:b/>
                <w:sz w:val="20"/>
                <w:szCs w:val="20"/>
                <w:lang w:val="en-US"/>
              </w:rPr>
              <w:br/>
              <w:t>(n = 240)</w:t>
            </w:r>
          </w:p>
        </w:tc>
        <w:tc>
          <w:tcPr>
            <w:tcW w:w="2681" w:type="dxa"/>
            <w:tcBorders>
              <w:top w:val="single" w:sz="4" w:space="0" w:color="auto"/>
              <w:left w:val="nil"/>
              <w:bottom w:val="single" w:sz="4" w:space="0" w:color="auto"/>
              <w:right w:val="nil"/>
            </w:tcBorders>
            <w:hideMark/>
          </w:tcPr>
          <w:p w14:paraId="227360BE" w14:textId="77777777" w:rsidR="00366305" w:rsidRPr="00CC4036" w:rsidRDefault="00366305" w:rsidP="00366305">
            <w:pPr>
              <w:keepNext/>
              <w:keepLines/>
              <w:spacing w:after="0"/>
              <w:jc w:val="center"/>
              <w:rPr>
                <w:rFonts w:eastAsia="Times New Roman" w:cs="Times New Roman"/>
                <w:b/>
                <w:sz w:val="20"/>
                <w:szCs w:val="20"/>
                <w:lang w:val="en-US"/>
              </w:rPr>
            </w:pPr>
            <w:r w:rsidRPr="00CC4036">
              <w:rPr>
                <w:rFonts w:eastAsia="Times New Roman" w:cs="Times New Roman"/>
                <w:b/>
                <w:sz w:val="20"/>
                <w:szCs w:val="20"/>
                <w:lang w:val="en-US"/>
              </w:rPr>
              <w:t>investigator’s choice</w:t>
            </w:r>
            <w:r w:rsidRPr="00CC4036">
              <w:rPr>
                <w:rFonts w:eastAsia="Times New Roman" w:cs="Times New Roman"/>
                <w:b/>
                <w:sz w:val="20"/>
                <w:szCs w:val="20"/>
                <w:lang w:val="en-US"/>
              </w:rPr>
              <w:br/>
              <w:t>(n = 121)</w:t>
            </w:r>
          </w:p>
        </w:tc>
      </w:tr>
      <w:tr w:rsidR="00366305" w:rsidRPr="00366305" w14:paraId="5825281E" w14:textId="77777777" w:rsidTr="00366305">
        <w:tc>
          <w:tcPr>
            <w:tcW w:w="3679" w:type="dxa"/>
            <w:hideMark/>
          </w:tcPr>
          <w:p w14:paraId="6FFC5D34" w14:textId="77777777" w:rsidR="00366305" w:rsidRPr="00CC4036" w:rsidRDefault="00366305" w:rsidP="00366305">
            <w:pPr>
              <w:keepNext/>
              <w:keepLines/>
              <w:tabs>
                <w:tab w:val="left" w:pos="180"/>
              </w:tabs>
              <w:spacing w:after="0"/>
              <w:rPr>
                <w:rFonts w:eastAsia="Times New Roman" w:cs="Times New Roman"/>
                <w:b/>
                <w:sz w:val="20"/>
                <w:szCs w:val="20"/>
                <w:lang w:val="en-US"/>
              </w:rPr>
            </w:pPr>
            <w:r w:rsidRPr="00CC4036">
              <w:rPr>
                <w:rFonts w:eastAsia="Times New Roman" w:cs="Times New Roman"/>
                <w:b/>
                <w:sz w:val="20"/>
                <w:szCs w:val="20"/>
                <w:lang w:val="en-US"/>
              </w:rPr>
              <w:t>Overall survival</w:t>
            </w:r>
          </w:p>
        </w:tc>
        <w:tc>
          <w:tcPr>
            <w:tcW w:w="2666" w:type="dxa"/>
            <w:gridSpan w:val="2"/>
          </w:tcPr>
          <w:p w14:paraId="3F908E40" w14:textId="77777777" w:rsidR="00366305" w:rsidRPr="00CC4036" w:rsidRDefault="00366305" w:rsidP="00366305">
            <w:pPr>
              <w:keepNext/>
              <w:keepLines/>
              <w:spacing w:after="0"/>
              <w:jc w:val="center"/>
              <w:rPr>
                <w:rFonts w:eastAsia="Times New Roman" w:cs="Times New Roman"/>
                <w:sz w:val="20"/>
                <w:szCs w:val="20"/>
                <w:lang w:val="en-US"/>
              </w:rPr>
            </w:pPr>
          </w:p>
        </w:tc>
        <w:tc>
          <w:tcPr>
            <w:tcW w:w="2681" w:type="dxa"/>
          </w:tcPr>
          <w:p w14:paraId="27ADF88E" w14:textId="77777777" w:rsidR="00366305" w:rsidRPr="00CC4036" w:rsidRDefault="00366305" w:rsidP="00366305">
            <w:pPr>
              <w:keepNext/>
              <w:keepLines/>
              <w:spacing w:after="0"/>
              <w:jc w:val="center"/>
              <w:rPr>
                <w:rFonts w:eastAsia="Times New Roman" w:cs="Times New Roman"/>
                <w:sz w:val="20"/>
                <w:szCs w:val="20"/>
                <w:lang w:val="en-US"/>
              </w:rPr>
            </w:pPr>
          </w:p>
        </w:tc>
      </w:tr>
      <w:tr w:rsidR="00366305" w:rsidRPr="00366305" w14:paraId="31D0B586" w14:textId="77777777" w:rsidTr="00366305">
        <w:tc>
          <w:tcPr>
            <w:tcW w:w="3679" w:type="dxa"/>
            <w:hideMark/>
          </w:tcPr>
          <w:p w14:paraId="2480DA25"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Events</w:t>
            </w:r>
          </w:p>
        </w:tc>
        <w:tc>
          <w:tcPr>
            <w:tcW w:w="2666" w:type="dxa"/>
            <w:gridSpan w:val="2"/>
            <w:hideMark/>
          </w:tcPr>
          <w:p w14:paraId="7E3D8FB6"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184 (76.7%)</w:t>
            </w:r>
          </w:p>
        </w:tc>
        <w:tc>
          <w:tcPr>
            <w:tcW w:w="2681" w:type="dxa"/>
            <w:hideMark/>
          </w:tcPr>
          <w:p w14:paraId="1ABF23E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105 (86.8%)</w:t>
            </w:r>
          </w:p>
        </w:tc>
      </w:tr>
      <w:tr w:rsidR="00366305" w:rsidRPr="00366305" w14:paraId="055DCD51" w14:textId="77777777" w:rsidTr="00366305">
        <w:tc>
          <w:tcPr>
            <w:tcW w:w="3679" w:type="dxa"/>
            <w:hideMark/>
          </w:tcPr>
          <w:p w14:paraId="2ED0AB66"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 xml:space="preserve">Hazard </w:t>
            </w:r>
            <w:proofErr w:type="spellStart"/>
            <w:r w:rsidRPr="00CC4036">
              <w:rPr>
                <w:rFonts w:eastAsia="Times New Roman" w:cs="Times New Roman"/>
                <w:sz w:val="20"/>
                <w:szCs w:val="20"/>
                <w:lang w:val="en-US"/>
              </w:rPr>
              <w:t>ratio</w:t>
            </w:r>
            <w:r w:rsidRPr="00CC4036">
              <w:rPr>
                <w:rFonts w:eastAsia="Times New Roman" w:cs="Times New Roman"/>
                <w:sz w:val="20"/>
                <w:szCs w:val="20"/>
                <w:vertAlign w:val="superscript"/>
                <w:lang w:val="en-US"/>
              </w:rPr>
              <w:t>a</w:t>
            </w:r>
            <w:proofErr w:type="spellEnd"/>
          </w:p>
        </w:tc>
        <w:tc>
          <w:tcPr>
            <w:tcW w:w="5347" w:type="dxa"/>
            <w:gridSpan w:val="3"/>
            <w:hideMark/>
          </w:tcPr>
          <w:p w14:paraId="164C3A1B"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 xml:space="preserve">0.71 </w:t>
            </w:r>
          </w:p>
        </w:tc>
      </w:tr>
      <w:tr w:rsidR="00366305" w:rsidRPr="00366305" w14:paraId="78E1BF47" w14:textId="77777777" w:rsidTr="00366305">
        <w:tc>
          <w:tcPr>
            <w:tcW w:w="3679" w:type="dxa"/>
            <w:hideMark/>
          </w:tcPr>
          <w:p w14:paraId="7A9A560B"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5347" w:type="dxa"/>
            <w:gridSpan w:val="3"/>
            <w:hideMark/>
          </w:tcPr>
          <w:p w14:paraId="0DE3D7FD"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(0.55,0.90)</w:t>
            </w:r>
          </w:p>
        </w:tc>
      </w:tr>
      <w:tr w:rsidR="00366305" w:rsidRPr="00366305" w14:paraId="57AEBFEE" w14:textId="77777777" w:rsidTr="00366305">
        <w:tc>
          <w:tcPr>
            <w:tcW w:w="3679" w:type="dxa"/>
            <w:hideMark/>
          </w:tcPr>
          <w:p w14:paraId="0773F3BE"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b/>
                <w:sz w:val="20"/>
                <w:szCs w:val="20"/>
                <w:lang w:val="en-US"/>
              </w:rPr>
              <w:tab/>
            </w:r>
            <w:r w:rsidRPr="00CC4036">
              <w:rPr>
                <w:rFonts w:eastAsia="Times New Roman" w:cs="Times New Roman"/>
                <w:b/>
                <w:sz w:val="20"/>
                <w:szCs w:val="20"/>
                <w:lang w:val="en-US"/>
              </w:rPr>
              <w:tab/>
            </w:r>
            <w:r w:rsidRPr="00CC4036">
              <w:rPr>
                <w:rFonts w:eastAsia="Times New Roman" w:cs="Times New Roman"/>
                <w:sz w:val="20"/>
                <w:szCs w:val="20"/>
                <w:lang w:val="en-US"/>
              </w:rPr>
              <w:t>p-</w:t>
            </w:r>
            <w:proofErr w:type="spellStart"/>
            <w:r w:rsidRPr="00CC4036">
              <w:rPr>
                <w:rFonts w:eastAsia="Times New Roman" w:cs="Times New Roman"/>
                <w:sz w:val="20"/>
                <w:szCs w:val="20"/>
                <w:lang w:val="en-US"/>
              </w:rPr>
              <w:t>value</w:t>
            </w:r>
            <w:r w:rsidRPr="00CC4036">
              <w:rPr>
                <w:rFonts w:eastAsia="Times New Roman" w:cs="Times New Roman"/>
                <w:sz w:val="20"/>
                <w:szCs w:val="20"/>
                <w:vertAlign w:val="superscript"/>
                <w:lang w:val="en-US"/>
              </w:rPr>
              <w:t>b</w:t>
            </w:r>
            <w:proofErr w:type="spellEnd"/>
          </w:p>
        </w:tc>
        <w:tc>
          <w:tcPr>
            <w:tcW w:w="5347" w:type="dxa"/>
            <w:gridSpan w:val="3"/>
            <w:hideMark/>
          </w:tcPr>
          <w:p w14:paraId="065A77B3"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0.0048</w:t>
            </w:r>
          </w:p>
        </w:tc>
      </w:tr>
      <w:tr w:rsidR="00366305" w:rsidRPr="00366305" w14:paraId="03498545" w14:textId="77777777" w:rsidTr="00366305">
        <w:tc>
          <w:tcPr>
            <w:tcW w:w="3679" w:type="dxa"/>
            <w:hideMark/>
          </w:tcPr>
          <w:p w14:paraId="6605E640"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Median (95% CI) months</w:t>
            </w:r>
          </w:p>
        </w:tc>
        <w:tc>
          <w:tcPr>
            <w:tcW w:w="2666" w:type="dxa"/>
            <w:gridSpan w:val="2"/>
            <w:hideMark/>
          </w:tcPr>
          <w:p w14:paraId="0B5F087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7.7 (5.7, 8.8)</w:t>
            </w:r>
          </w:p>
        </w:tc>
        <w:tc>
          <w:tcPr>
            <w:tcW w:w="2681" w:type="dxa"/>
            <w:hideMark/>
          </w:tcPr>
          <w:p w14:paraId="57D436DC"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5.1 (4.0</w:t>
            </w:r>
            <w:r w:rsidRPr="00CC4036">
              <w:rPr>
                <w:rFonts w:eastAsia="Times New Roman" w:cs="Times New Roman"/>
                <w:strike/>
                <w:sz w:val="20"/>
                <w:szCs w:val="20"/>
                <w:lang w:val="en-US"/>
              </w:rPr>
              <w:t>4</w:t>
            </w:r>
            <w:r w:rsidRPr="00CC4036">
              <w:rPr>
                <w:rFonts w:eastAsia="Times New Roman" w:cs="Times New Roman"/>
                <w:sz w:val="20"/>
                <w:szCs w:val="20"/>
                <w:lang w:val="en-US"/>
              </w:rPr>
              <w:t>, 6.24 )</w:t>
            </w:r>
          </w:p>
        </w:tc>
      </w:tr>
      <w:tr w:rsidR="00366305" w:rsidRPr="00366305" w14:paraId="6EE3ED3E" w14:textId="77777777" w:rsidTr="00366305">
        <w:tc>
          <w:tcPr>
            <w:tcW w:w="3679" w:type="dxa"/>
            <w:hideMark/>
          </w:tcPr>
          <w:p w14:paraId="368A5865"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6 months</w:t>
            </w:r>
          </w:p>
        </w:tc>
        <w:tc>
          <w:tcPr>
            <w:tcW w:w="2666" w:type="dxa"/>
            <w:gridSpan w:val="2"/>
            <w:hideMark/>
          </w:tcPr>
          <w:p w14:paraId="746DFA9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56.5 (49.9, 62.5)</w:t>
            </w:r>
          </w:p>
        </w:tc>
        <w:tc>
          <w:tcPr>
            <w:tcW w:w="2681" w:type="dxa"/>
            <w:hideMark/>
          </w:tcPr>
          <w:p w14:paraId="3A33C39B"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43.0 (34.0, 51.7)</w:t>
            </w:r>
          </w:p>
        </w:tc>
      </w:tr>
      <w:tr w:rsidR="00366305" w:rsidRPr="00366305" w14:paraId="79E7F4D5" w14:textId="77777777" w:rsidTr="00366305">
        <w:tc>
          <w:tcPr>
            <w:tcW w:w="3679" w:type="dxa"/>
            <w:hideMark/>
          </w:tcPr>
          <w:p w14:paraId="39115EDB"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12 months</w:t>
            </w:r>
          </w:p>
        </w:tc>
        <w:tc>
          <w:tcPr>
            <w:tcW w:w="2666" w:type="dxa"/>
            <w:gridSpan w:val="2"/>
            <w:hideMark/>
          </w:tcPr>
          <w:p w14:paraId="6A70D0CC"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34.0 (28.0, 40.1)</w:t>
            </w:r>
          </w:p>
        </w:tc>
        <w:tc>
          <w:tcPr>
            <w:tcW w:w="2681" w:type="dxa"/>
            <w:hideMark/>
          </w:tcPr>
          <w:p w14:paraId="050708C4"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19.7 (13.0, 27.3)</w:t>
            </w:r>
          </w:p>
        </w:tc>
      </w:tr>
      <w:tr w:rsidR="00366305" w:rsidRPr="00366305" w14:paraId="745259F8" w14:textId="77777777" w:rsidTr="00366305">
        <w:tc>
          <w:tcPr>
            <w:tcW w:w="3679" w:type="dxa"/>
            <w:hideMark/>
          </w:tcPr>
          <w:p w14:paraId="52A880F8"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18 months</w:t>
            </w:r>
          </w:p>
        </w:tc>
        <w:tc>
          <w:tcPr>
            <w:tcW w:w="2666" w:type="dxa"/>
            <w:gridSpan w:val="2"/>
            <w:hideMark/>
          </w:tcPr>
          <w:p w14:paraId="2568920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21.5 (16.2, 27.4)</w:t>
            </w:r>
          </w:p>
        </w:tc>
        <w:tc>
          <w:tcPr>
            <w:tcW w:w="2681" w:type="dxa"/>
            <w:hideMark/>
          </w:tcPr>
          <w:p w14:paraId="37B6A12F"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8.3 (3.6, 15.7)</w:t>
            </w:r>
          </w:p>
        </w:tc>
      </w:tr>
      <w:tr w:rsidR="00366305" w:rsidRPr="00366305" w14:paraId="20A237C7" w14:textId="77777777" w:rsidTr="00366305">
        <w:trPr>
          <w:trHeight w:val="261"/>
        </w:trPr>
        <w:tc>
          <w:tcPr>
            <w:tcW w:w="3679" w:type="dxa"/>
            <w:hideMark/>
          </w:tcPr>
          <w:p w14:paraId="16526D64" w14:textId="77777777" w:rsidR="00366305" w:rsidRPr="00CC4036" w:rsidRDefault="00366305" w:rsidP="00366305">
            <w:pPr>
              <w:keepNext/>
              <w:keepLines/>
              <w:tabs>
                <w:tab w:val="left" w:pos="180"/>
              </w:tabs>
              <w:spacing w:before="120" w:after="0"/>
              <w:rPr>
                <w:rFonts w:eastAsia="Times New Roman" w:cs="Times New Roman"/>
                <w:b/>
                <w:sz w:val="20"/>
                <w:szCs w:val="20"/>
                <w:lang w:val="en-US"/>
              </w:rPr>
            </w:pPr>
            <w:r w:rsidRPr="00CC4036">
              <w:rPr>
                <w:rFonts w:eastAsia="Times New Roman" w:cs="Times New Roman"/>
                <w:b/>
                <w:sz w:val="20"/>
                <w:szCs w:val="20"/>
                <w:lang w:val="en-US"/>
              </w:rPr>
              <w:t>Progression-free survival</w:t>
            </w:r>
          </w:p>
        </w:tc>
        <w:tc>
          <w:tcPr>
            <w:tcW w:w="2627" w:type="dxa"/>
          </w:tcPr>
          <w:p w14:paraId="733B5730" w14:textId="77777777" w:rsidR="00366305" w:rsidRPr="00CC4036" w:rsidRDefault="00366305" w:rsidP="00366305">
            <w:pPr>
              <w:keepNext/>
              <w:keepLines/>
              <w:spacing w:before="120" w:after="0"/>
              <w:jc w:val="center"/>
              <w:rPr>
                <w:rFonts w:eastAsia="Times New Roman" w:cs="Times New Roman"/>
                <w:b/>
                <w:sz w:val="20"/>
                <w:szCs w:val="20"/>
                <w:lang w:val="en-US"/>
              </w:rPr>
            </w:pPr>
          </w:p>
        </w:tc>
        <w:tc>
          <w:tcPr>
            <w:tcW w:w="2720" w:type="dxa"/>
            <w:gridSpan w:val="2"/>
          </w:tcPr>
          <w:p w14:paraId="468CBFAD" w14:textId="77777777" w:rsidR="00366305" w:rsidRPr="00CC4036" w:rsidRDefault="00366305" w:rsidP="00366305">
            <w:pPr>
              <w:keepNext/>
              <w:keepLines/>
              <w:spacing w:before="120" w:after="0"/>
              <w:jc w:val="center"/>
              <w:rPr>
                <w:rFonts w:eastAsia="Times New Roman" w:cs="Times New Roman"/>
                <w:b/>
                <w:sz w:val="20"/>
                <w:szCs w:val="20"/>
                <w:lang w:val="en-US"/>
              </w:rPr>
            </w:pPr>
          </w:p>
        </w:tc>
      </w:tr>
      <w:tr w:rsidR="00366305" w:rsidRPr="00366305" w14:paraId="6F9C50C1" w14:textId="77777777" w:rsidTr="00366305">
        <w:trPr>
          <w:trHeight w:val="261"/>
        </w:trPr>
        <w:tc>
          <w:tcPr>
            <w:tcW w:w="3679" w:type="dxa"/>
            <w:hideMark/>
          </w:tcPr>
          <w:p w14:paraId="0A427E4D"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Events</w:t>
            </w:r>
          </w:p>
        </w:tc>
        <w:tc>
          <w:tcPr>
            <w:tcW w:w="2627" w:type="dxa"/>
            <w:hideMark/>
          </w:tcPr>
          <w:p w14:paraId="33F3FB82"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204 (85.0%)</w:t>
            </w:r>
          </w:p>
        </w:tc>
        <w:tc>
          <w:tcPr>
            <w:tcW w:w="2720" w:type="dxa"/>
            <w:gridSpan w:val="2"/>
            <w:hideMark/>
          </w:tcPr>
          <w:p w14:paraId="3204722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104 (86.0%)</w:t>
            </w:r>
          </w:p>
        </w:tc>
      </w:tr>
      <w:tr w:rsidR="00366305" w:rsidRPr="00366305" w14:paraId="39A3A621" w14:textId="77777777" w:rsidTr="00366305">
        <w:trPr>
          <w:trHeight w:val="261"/>
        </w:trPr>
        <w:tc>
          <w:tcPr>
            <w:tcW w:w="3679" w:type="dxa"/>
            <w:hideMark/>
          </w:tcPr>
          <w:p w14:paraId="5AD2EF5A"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Hazard ratio</w:t>
            </w:r>
          </w:p>
        </w:tc>
        <w:tc>
          <w:tcPr>
            <w:tcW w:w="5347" w:type="dxa"/>
            <w:gridSpan w:val="3"/>
            <w:hideMark/>
          </w:tcPr>
          <w:p w14:paraId="6935379E"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0.87</w:t>
            </w:r>
          </w:p>
        </w:tc>
      </w:tr>
      <w:tr w:rsidR="00366305" w:rsidRPr="00366305" w14:paraId="142F7FEB" w14:textId="77777777" w:rsidTr="00366305">
        <w:trPr>
          <w:trHeight w:val="261"/>
        </w:trPr>
        <w:tc>
          <w:tcPr>
            <w:tcW w:w="3679" w:type="dxa"/>
            <w:hideMark/>
          </w:tcPr>
          <w:p w14:paraId="562911E2"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5347" w:type="dxa"/>
            <w:gridSpan w:val="3"/>
            <w:hideMark/>
          </w:tcPr>
          <w:p w14:paraId="009FF966"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0.69, 1.11)</w:t>
            </w:r>
          </w:p>
        </w:tc>
      </w:tr>
      <w:tr w:rsidR="00366305" w:rsidRPr="00366305" w14:paraId="39DA1673" w14:textId="77777777" w:rsidTr="00366305">
        <w:trPr>
          <w:trHeight w:val="261"/>
        </w:trPr>
        <w:tc>
          <w:tcPr>
            <w:tcW w:w="3679" w:type="dxa"/>
            <w:hideMark/>
          </w:tcPr>
          <w:p w14:paraId="7D4B273F"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p-value</w:t>
            </w:r>
          </w:p>
        </w:tc>
        <w:tc>
          <w:tcPr>
            <w:tcW w:w="5347" w:type="dxa"/>
            <w:gridSpan w:val="3"/>
            <w:hideMark/>
          </w:tcPr>
          <w:p w14:paraId="472D8F2A"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0.2597</w:t>
            </w:r>
          </w:p>
        </w:tc>
      </w:tr>
      <w:tr w:rsidR="00366305" w:rsidRPr="00366305" w14:paraId="70E467DC" w14:textId="77777777" w:rsidTr="00366305">
        <w:trPr>
          <w:trHeight w:val="261"/>
        </w:trPr>
        <w:tc>
          <w:tcPr>
            <w:tcW w:w="3679" w:type="dxa"/>
            <w:hideMark/>
          </w:tcPr>
          <w:p w14:paraId="7E9C0B98"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lastRenderedPageBreak/>
              <w:tab/>
              <w:t>Median (95% CI) (months)</w:t>
            </w:r>
          </w:p>
        </w:tc>
        <w:tc>
          <w:tcPr>
            <w:tcW w:w="2627" w:type="dxa"/>
            <w:hideMark/>
          </w:tcPr>
          <w:p w14:paraId="4375D3E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w:t>
            </w:r>
            <w:r w:rsidRPr="00CC4036">
              <w:rPr>
                <w:rFonts w:eastAsia="Times New Roman" w:cs="Times New Roman"/>
                <w:strike/>
                <w:sz w:val="20"/>
                <w:szCs w:val="20"/>
                <w:lang w:val="en-US"/>
              </w:rPr>
              <w:t>4</w:t>
            </w:r>
            <w:r w:rsidRPr="00CC4036">
              <w:rPr>
                <w:rFonts w:eastAsia="Times New Roman" w:cs="Times New Roman"/>
                <w:sz w:val="20"/>
                <w:szCs w:val="20"/>
                <w:lang w:val="en-US"/>
              </w:rPr>
              <w:t xml:space="preserve"> (1.9, 2.1)</w:t>
            </w:r>
          </w:p>
        </w:tc>
        <w:tc>
          <w:tcPr>
            <w:tcW w:w="2720" w:type="dxa"/>
            <w:gridSpan w:val="2"/>
            <w:hideMark/>
          </w:tcPr>
          <w:p w14:paraId="1A4F57B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2.3 ( 2.0 , 3.1)</w:t>
            </w:r>
          </w:p>
        </w:tc>
      </w:tr>
      <w:tr w:rsidR="00366305" w:rsidRPr="00366305" w14:paraId="5AEAF164" w14:textId="77777777" w:rsidTr="00366305">
        <w:trPr>
          <w:trHeight w:val="261"/>
        </w:trPr>
        <w:tc>
          <w:tcPr>
            <w:tcW w:w="3679" w:type="dxa"/>
            <w:hideMark/>
          </w:tcPr>
          <w:p w14:paraId="05714A1A"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6 months</w:t>
            </w:r>
          </w:p>
        </w:tc>
        <w:tc>
          <w:tcPr>
            <w:tcW w:w="2627" w:type="dxa"/>
            <w:hideMark/>
          </w:tcPr>
          <w:p w14:paraId="66347F91"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21.0 (15.9, 26.6)</w:t>
            </w:r>
          </w:p>
        </w:tc>
        <w:tc>
          <w:tcPr>
            <w:tcW w:w="2720" w:type="dxa"/>
            <w:gridSpan w:val="2"/>
            <w:hideMark/>
          </w:tcPr>
          <w:p w14:paraId="070EB964"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11.1 (5.9,18.3)</w:t>
            </w:r>
          </w:p>
        </w:tc>
      </w:tr>
      <w:tr w:rsidR="00366305" w:rsidRPr="00366305" w14:paraId="067569E0" w14:textId="77777777" w:rsidTr="00366305">
        <w:trPr>
          <w:trHeight w:val="261"/>
        </w:trPr>
        <w:tc>
          <w:tcPr>
            <w:tcW w:w="3679" w:type="dxa"/>
            <w:hideMark/>
          </w:tcPr>
          <w:p w14:paraId="023B6EC9"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Rate % (95% CI) at 12 months</w:t>
            </w:r>
          </w:p>
        </w:tc>
        <w:tc>
          <w:tcPr>
            <w:tcW w:w="2627" w:type="dxa"/>
            <w:hideMark/>
          </w:tcPr>
          <w:p w14:paraId="3D15C63F"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9.5 (6.0, 13.9)</w:t>
            </w:r>
          </w:p>
        </w:tc>
        <w:tc>
          <w:tcPr>
            <w:tcW w:w="2720" w:type="dxa"/>
            <w:gridSpan w:val="2"/>
            <w:hideMark/>
          </w:tcPr>
          <w:p w14:paraId="076345B2"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2.5 (0.5,7.8)</w:t>
            </w:r>
          </w:p>
        </w:tc>
      </w:tr>
      <w:tr w:rsidR="00366305" w:rsidRPr="00366305" w14:paraId="3A498E5F" w14:textId="77777777" w:rsidTr="00366305">
        <w:tc>
          <w:tcPr>
            <w:tcW w:w="3679" w:type="dxa"/>
            <w:hideMark/>
          </w:tcPr>
          <w:p w14:paraId="616B704B" w14:textId="77777777" w:rsidR="00366305" w:rsidRPr="00CC4036" w:rsidRDefault="00366305" w:rsidP="00366305">
            <w:pPr>
              <w:keepNext/>
              <w:keepLines/>
              <w:spacing w:before="120" w:after="0"/>
              <w:rPr>
                <w:rFonts w:eastAsia="Times New Roman" w:cs="Times New Roman"/>
                <w:b/>
                <w:sz w:val="20"/>
                <w:szCs w:val="20"/>
                <w:lang w:val="en-US"/>
              </w:rPr>
            </w:pPr>
            <w:r w:rsidRPr="00CC4036">
              <w:rPr>
                <w:rFonts w:eastAsia="Times New Roman" w:cs="Times New Roman"/>
                <w:b/>
                <w:sz w:val="20"/>
                <w:szCs w:val="20"/>
                <w:lang w:val="en-US"/>
              </w:rPr>
              <w:t>Confirmed objective response</w:t>
            </w:r>
          </w:p>
        </w:tc>
        <w:tc>
          <w:tcPr>
            <w:tcW w:w="2627" w:type="dxa"/>
            <w:hideMark/>
          </w:tcPr>
          <w:p w14:paraId="71BFD6BE" w14:textId="77777777" w:rsidR="00366305" w:rsidRPr="00CC4036" w:rsidRDefault="00366305" w:rsidP="00366305">
            <w:pPr>
              <w:keepNext/>
              <w:keepLines/>
              <w:spacing w:before="120" w:after="0"/>
              <w:jc w:val="center"/>
              <w:rPr>
                <w:rFonts w:eastAsia="Times New Roman" w:cs="Times New Roman"/>
                <w:sz w:val="20"/>
                <w:szCs w:val="20"/>
                <w:lang w:val="en-US"/>
              </w:rPr>
            </w:pPr>
            <w:r w:rsidRPr="00CC4036">
              <w:rPr>
                <w:rFonts w:eastAsia="Times New Roman" w:cs="Times New Roman"/>
                <w:sz w:val="20"/>
                <w:szCs w:val="20"/>
                <w:lang w:val="en-US"/>
              </w:rPr>
              <w:t>32 (13.3%)</w:t>
            </w:r>
          </w:p>
        </w:tc>
        <w:tc>
          <w:tcPr>
            <w:tcW w:w="2720" w:type="dxa"/>
            <w:gridSpan w:val="2"/>
            <w:hideMark/>
          </w:tcPr>
          <w:p w14:paraId="679E2DA2" w14:textId="77777777" w:rsidR="00366305" w:rsidRPr="00CC4036" w:rsidRDefault="00366305" w:rsidP="00366305">
            <w:pPr>
              <w:keepNext/>
              <w:keepLines/>
              <w:spacing w:before="120" w:after="0"/>
              <w:jc w:val="center"/>
              <w:rPr>
                <w:rFonts w:eastAsia="Times New Roman" w:cs="Times New Roman"/>
                <w:sz w:val="20"/>
                <w:szCs w:val="20"/>
                <w:lang w:val="en-US"/>
              </w:rPr>
            </w:pPr>
            <w:r w:rsidRPr="00CC4036">
              <w:rPr>
                <w:rFonts w:eastAsia="Times New Roman" w:cs="Times New Roman"/>
                <w:sz w:val="20"/>
                <w:szCs w:val="20"/>
                <w:lang w:val="en-US"/>
              </w:rPr>
              <w:t>7 (5.8%)</w:t>
            </w:r>
          </w:p>
        </w:tc>
      </w:tr>
      <w:tr w:rsidR="00366305" w:rsidRPr="00366305" w14:paraId="124F110C" w14:textId="77777777" w:rsidTr="00366305">
        <w:tc>
          <w:tcPr>
            <w:tcW w:w="3679" w:type="dxa"/>
            <w:hideMark/>
          </w:tcPr>
          <w:p w14:paraId="32E7A948"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(95% CI)</w:t>
            </w:r>
          </w:p>
        </w:tc>
        <w:tc>
          <w:tcPr>
            <w:tcW w:w="2666" w:type="dxa"/>
            <w:gridSpan w:val="2"/>
            <w:hideMark/>
          </w:tcPr>
          <w:p w14:paraId="7C55EFAB"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(9.3, 18.3)</w:t>
            </w:r>
          </w:p>
        </w:tc>
        <w:tc>
          <w:tcPr>
            <w:tcW w:w="2681" w:type="dxa"/>
            <w:hideMark/>
          </w:tcPr>
          <w:p w14:paraId="07D85C06"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(2.4, 11.6)</w:t>
            </w:r>
          </w:p>
        </w:tc>
      </w:tr>
      <w:tr w:rsidR="00366305" w:rsidRPr="00366305" w14:paraId="6CEB36C6" w14:textId="77777777" w:rsidTr="00366305">
        <w:tc>
          <w:tcPr>
            <w:tcW w:w="3679" w:type="dxa"/>
            <w:hideMark/>
          </w:tcPr>
          <w:p w14:paraId="7E4DBC0B"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r>
            <w:r w:rsidRPr="00CC4036">
              <w:rPr>
                <w:rFonts w:eastAsia="Times New Roman" w:cs="Times New Roman"/>
                <w:sz w:val="20"/>
                <w:szCs w:val="20"/>
                <w:lang w:val="en-US"/>
              </w:rPr>
              <w:tab/>
              <w:t>Odds ratio (95% CI)</w:t>
            </w:r>
          </w:p>
        </w:tc>
        <w:tc>
          <w:tcPr>
            <w:tcW w:w="5347" w:type="dxa"/>
            <w:gridSpan w:val="3"/>
            <w:hideMark/>
          </w:tcPr>
          <w:p w14:paraId="0733E52A"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2.49 (1.07, 5.82)</w:t>
            </w:r>
          </w:p>
        </w:tc>
      </w:tr>
      <w:tr w:rsidR="00366305" w:rsidRPr="00366305" w14:paraId="1119FFDF" w14:textId="77777777" w:rsidTr="00366305">
        <w:tc>
          <w:tcPr>
            <w:tcW w:w="3679" w:type="dxa"/>
            <w:hideMark/>
          </w:tcPr>
          <w:p w14:paraId="16A144D1" w14:textId="77777777" w:rsidR="00366305" w:rsidRPr="00CC4036" w:rsidRDefault="00366305" w:rsidP="00366305">
            <w:pPr>
              <w:keepNext/>
              <w:keepLines/>
              <w:tabs>
                <w:tab w:val="left" w:pos="180"/>
              </w:tabs>
              <w:spacing w:before="120" w:after="0"/>
              <w:rPr>
                <w:rFonts w:eastAsia="Times New Roman" w:cs="Times New Roman"/>
                <w:sz w:val="20"/>
                <w:szCs w:val="20"/>
                <w:lang w:val="en-US"/>
              </w:rPr>
            </w:pPr>
            <w:r w:rsidRPr="00CC4036">
              <w:rPr>
                <w:rFonts w:eastAsia="Times New Roman" w:cs="Times New Roman"/>
                <w:sz w:val="20"/>
                <w:szCs w:val="20"/>
                <w:lang w:val="en-US"/>
              </w:rPr>
              <w:tab/>
              <w:t>Complete response (CR)</w:t>
            </w:r>
          </w:p>
        </w:tc>
        <w:tc>
          <w:tcPr>
            <w:tcW w:w="2627" w:type="dxa"/>
            <w:hideMark/>
          </w:tcPr>
          <w:p w14:paraId="43D9B53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6 (2.5%)</w:t>
            </w:r>
          </w:p>
        </w:tc>
        <w:tc>
          <w:tcPr>
            <w:tcW w:w="2720" w:type="dxa"/>
            <w:gridSpan w:val="2"/>
            <w:hideMark/>
          </w:tcPr>
          <w:p w14:paraId="12097D56"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1 (0.8%)</w:t>
            </w:r>
          </w:p>
        </w:tc>
      </w:tr>
      <w:tr w:rsidR="00366305" w:rsidRPr="00366305" w14:paraId="2CB2CAA8" w14:textId="77777777" w:rsidTr="00366305">
        <w:tc>
          <w:tcPr>
            <w:tcW w:w="3679" w:type="dxa"/>
            <w:hideMark/>
          </w:tcPr>
          <w:p w14:paraId="2D79C742"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Partial response (PR)</w:t>
            </w:r>
          </w:p>
        </w:tc>
        <w:tc>
          <w:tcPr>
            <w:tcW w:w="2627" w:type="dxa"/>
            <w:hideMark/>
          </w:tcPr>
          <w:p w14:paraId="33DE0020"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26 (10.8%)</w:t>
            </w:r>
          </w:p>
        </w:tc>
        <w:tc>
          <w:tcPr>
            <w:tcW w:w="2720" w:type="dxa"/>
            <w:gridSpan w:val="2"/>
            <w:hideMark/>
          </w:tcPr>
          <w:p w14:paraId="66B79A9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6 (5.0%)</w:t>
            </w:r>
          </w:p>
        </w:tc>
      </w:tr>
      <w:tr w:rsidR="00366305" w:rsidRPr="00366305" w14:paraId="7ED9A2BC" w14:textId="77777777" w:rsidTr="00366305">
        <w:tc>
          <w:tcPr>
            <w:tcW w:w="3679" w:type="dxa"/>
            <w:hideMark/>
          </w:tcPr>
          <w:p w14:paraId="62155829"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Stable disease (SD)</w:t>
            </w:r>
          </w:p>
        </w:tc>
        <w:tc>
          <w:tcPr>
            <w:tcW w:w="2627" w:type="dxa"/>
            <w:hideMark/>
          </w:tcPr>
          <w:p w14:paraId="67E40185"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55 (22.9%)</w:t>
            </w:r>
          </w:p>
        </w:tc>
        <w:tc>
          <w:tcPr>
            <w:tcW w:w="2720" w:type="dxa"/>
            <w:gridSpan w:val="2"/>
            <w:hideMark/>
          </w:tcPr>
          <w:p w14:paraId="311B495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43 (35.5%)</w:t>
            </w:r>
          </w:p>
        </w:tc>
      </w:tr>
      <w:tr w:rsidR="00366305" w:rsidRPr="00366305" w14:paraId="44E9D6B8" w14:textId="77777777" w:rsidTr="00366305">
        <w:tc>
          <w:tcPr>
            <w:tcW w:w="3679" w:type="dxa"/>
            <w:hideMark/>
          </w:tcPr>
          <w:p w14:paraId="7E450A78" w14:textId="77777777" w:rsidR="00366305" w:rsidRPr="00CC4036" w:rsidRDefault="00366305" w:rsidP="00366305">
            <w:pPr>
              <w:keepNext/>
              <w:keepLines/>
              <w:tabs>
                <w:tab w:val="left" w:pos="180"/>
              </w:tabs>
              <w:spacing w:before="120" w:after="0"/>
              <w:rPr>
                <w:rFonts w:eastAsia="Times New Roman" w:cs="Times New Roman"/>
                <w:b/>
                <w:sz w:val="20"/>
                <w:szCs w:val="20"/>
                <w:lang w:val="en-US"/>
              </w:rPr>
            </w:pPr>
            <w:r w:rsidRPr="00CC4036">
              <w:rPr>
                <w:rFonts w:eastAsia="Times New Roman" w:cs="Times New Roman"/>
                <w:b/>
                <w:sz w:val="20"/>
                <w:szCs w:val="20"/>
                <w:lang w:val="en-US"/>
              </w:rPr>
              <w:t>Median time to response</w:t>
            </w:r>
          </w:p>
        </w:tc>
        <w:tc>
          <w:tcPr>
            <w:tcW w:w="2627" w:type="dxa"/>
          </w:tcPr>
          <w:p w14:paraId="39AF8751" w14:textId="77777777" w:rsidR="00366305" w:rsidRPr="00CC4036" w:rsidRDefault="00366305" w:rsidP="00366305">
            <w:pPr>
              <w:keepNext/>
              <w:keepLines/>
              <w:spacing w:before="120" w:after="0"/>
              <w:jc w:val="center"/>
              <w:rPr>
                <w:rFonts w:eastAsia="Times New Roman" w:cs="Times New Roman"/>
                <w:sz w:val="20"/>
                <w:szCs w:val="20"/>
                <w:lang w:val="en-US"/>
              </w:rPr>
            </w:pPr>
          </w:p>
        </w:tc>
        <w:tc>
          <w:tcPr>
            <w:tcW w:w="2720" w:type="dxa"/>
            <w:gridSpan w:val="2"/>
          </w:tcPr>
          <w:p w14:paraId="1DE713A8" w14:textId="77777777" w:rsidR="00366305" w:rsidRPr="00CC4036" w:rsidRDefault="00366305" w:rsidP="00366305">
            <w:pPr>
              <w:keepNext/>
              <w:keepLines/>
              <w:spacing w:before="120" w:after="0"/>
              <w:jc w:val="center"/>
              <w:rPr>
                <w:rFonts w:eastAsia="Times New Roman" w:cs="Times New Roman"/>
                <w:sz w:val="20"/>
                <w:szCs w:val="20"/>
                <w:lang w:val="en-US"/>
              </w:rPr>
            </w:pPr>
          </w:p>
        </w:tc>
      </w:tr>
      <w:tr w:rsidR="00366305" w:rsidRPr="00366305" w14:paraId="154045BD" w14:textId="77777777" w:rsidTr="00366305">
        <w:trPr>
          <w:trHeight w:val="261"/>
        </w:trPr>
        <w:tc>
          <w:tcPr>
            <w:tcW w:w="3679" w:type="dxa"/>
            <w:hideMark/>
          </w:tcPr>
          <w:p w14:paraId="59DF1DA5"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Months (range)</w:t>
            </w:r>
          </w:p>
        </w:tc>
        <w:tc>
          <w:tcPr>
            <w:tcW w:w="2627" w:type="dxa"/>
            <w:hideMark/>
          </w:tcPr>
          <w:p w14:paraId="5F8123BF"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2.1 (1.8, 7.4)</w:t>
            </w:r>
          </w:p>
        </w:tc>
        <w:tc>
          <w:tcPr>
            <w:tcW w:w="2720" w:type="dxa"/>
            <w:gridSpan w:val="2"/>
            <w:hideMark/>
          </w:tcPr>
          <w:p w14:paraId="78454A4C"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2.0 (1.9, 4.6)</w:t>
            </w:r>
          </w:p>
        </w:tc>
      </w:tr>
      <w:tr w:rsidR="00366305" w:rsidRPr="00366305" w14:paraId="77DBC68B" w14:textId="77777777" w:rsidTr="00366305">
        <w:trPr>
          <w:trHeight w:val="261"/>
        </w:trPr>
        <w:tc>
          <w:tcPr>
            <w:tcW w:w="3679" w:type="dxa"/>
            <w:hideMark/>
          </w:tcPr>
          <w:p w14:paraId="5DC02E83" w14:textId="77777777" w:rsidR="00366305" w:rsidRPr="00CC4036" w:rsidRDefault="00366305" w:rsidP="00366305">
            <w:pPr>
              <w:keepNext/>
              <w:keepLines/>
              <w:tabs>
                <w:tab w:val="left" w:pos="180"/>
              </w:tabs>
              <w:spacing w:after="0"/>
              <w:rPr>
                <w:rFonts w:eastAsia="Times New Roman" w:cs="Times New Roman"/>
                <w:b/>
                <w:sz w:val="20"/>
                <w:szCs w:val="20"/>
                <w:lang w:val="en-US"/>
              </w:rPr>
            </w:pPr>
            <w:r w:rsidRPr="00CC4036">
              <w:rPr>
                <w:rFonts w:eastAsia="Times New Roman" w:cs="Times New Roman"/>
                <w:b/>
                <w:sz w:val="20"/>
                <w:szCs w:val="20"/>
                <w:lang w:val="en-US"/>
              </w:rPr>
              <w:t>Median duration of response</w:t>
            </w:r>
          </w:p>
        </w:tc>
        <w:tc>
          <w:tcPr>
            <w:tcW w:w="2627" w:type="dxa"/>
          </w:tcPr>
          <w:p w14:paraId="30C5430A" w14:textId="77777777" w:rsidR="00366305" w:rsidRPr="00CC4036" w:rsidRDefault="00366305" w:rsidP="00366305">
            <w:pPr>
              <w:keepNext/>
              <w:keepLines/>
              <w:spacing w:after="0"/>
              <w:jc w:val="center"/>
              <w:rPr>
                <w:rFonts w:eastAsia="Times New Roman" w:cs="Times New Roman"/>
                <w:sz w:val="20"/>
                <w:szCs w:val="20"/>
                <w:lang w:val="en-US"/>
              </w:rPr>
            </w:pPr>
          </w:p>
        </w:tc>
        <w:tc>
          <w:tcPr>
            <w:tcW w:w="2720" w:type="dxa"/>
            <w:gridSpan w:val="2"/>
          </w:tcPr>
          <w:p w14:paraId="1AA99C3E" w14:textId="77777777" w:rsidR="00366305" w:rsidRPr="00CC4036" w:rsidRDefault="00366305" w:rsidP="00366305">
            <w:pPr>
              <w:keepNext/>
              <w:keepLines/>
              <w:spacing w:after="0"/>
              <w:jc w:val="center"/>
              <w:rPr>
                <w:rFonts w:eastAsia="Times New Roman" w:cs="Times New Roman"/>
                <w:sz w:val="20"/>
                <w:szCs w:val="20"/>
                <w:lang w:val="en-US"/>
              </w:rPr>
            </w:pPr>
          </w:p>
        </w:tc>
      </w:tr>
      <w:tr w:rsidR="00366305" w:rsidRPr="00366305" w14:paraId="67B70A2C" w14:textId="77777777" w:rsidTr="00366305">
        <w:trPr>
          <w:trHeight w:val="261"/>
        </w:trPr>
        <w:tc>
          <w:tcPr>
            <w:tcW w:w="3679" w:type="dxa"/>
            <w:tcBorders>
              <w:top w:val="nil"/>
              <w:left w:val="nil"/>
              <w:bottom w:val="single" w:sz="4" w:space="0" w:color="auto"/>
              <w:right w:val="nil"/>
            </w:tcBorders>
            <w:hideMark/>
          </w:tcPr>
          <w:p w14:paraId="455CC266" w14:textId="77777777" w:rsidR="00366305" w:rsidRPr="00CC4036" w:rsidRDefault="00366305" w:rsidP="00366305">
            <w:pPr>
              <w:keepNext/>
              <w:keepLines/>
              <w:tabs>
                <w:tab w:val="left" w:pos="180"/>
              </w:tabs>
              <w:spacing w:after="0"/>
              <w:rPr>
                <w:rFonts w:eastAsia="Times New Roman" w:cs="Times New Roman"/>
                <w:sz w:val="20"/>
                <w:szCs w:val="20"/>
                <w:lang w:val="en-US"/>
              </w:rPr>
            </w:pPr>
            <w:r w:rsidRPr="00CC4036">
              <w:rPr>
                <w:rFonts w:eastAsia="Times New Roman" w:cs="Times New Roman"/>
                <w:sz w:val="20"/>
                <w:szCs w:val="20"/>
                <w:lang w:val="en-US"/>
              </w:rPr>
              <w:tab/>
              <w:t>Months (95% CI )</w:t>
            </w:r>
          </w:p>
        </w:tc>
        <w:tc>
          <w:tcPr>
            <w:tcW w:w="2627" w:type="dxa"/>
            <w:tcBorders>
              <w:top w:val="nil"/>
              <w:left w:val="nil"/>
              <w:bottom w:val="single" w:sz="4" w:space="0" w:color="auto"/>
              <w:right w:val="nil"/>
            </w:tcBorders>
            <w:hideMark/>
          </w:tcPr>
          <w:p w14:paraId="129A9F4B"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9.7 (5.6, NR)</w:t>
            </w:r>
          </w:p>
        </w:tc>
        <w:tc>
          <w:tcPr>
            <w:tcW w:w="2720" w:type="dxa"/>
            <w:gridSpan w:val="2"/>
            <w:tcBorders>
              <w:top w:val="nil"/>
              <w:left w:val="nil"/>
              <w:bottom w:val="single" w:sz="4" w:space="0" w:color="auto"/>
              <w:right w:val="nil"/>
            </w:tcBorders>
            <w:hideMark/>
          </w:tcPr>
          <w:p w14:paraId="50DDCAB9" w14:textId="77777777" w:rsidR="00366305" w:rsidRPr="00CC4036" w:rsidRDefault="00366305" w:rsidP="00366305">
            <w:pPr>
              <w:keepNext/>
              <w:keepLines/>
              <w:spacing w:after="0"/>
              <w:jc w:val="center"/>
              <w:rPr>
                <w:rFonts w:eastAsia="Times New Roman" w:cs="Times New Roman"/>
                <w:sz w:val="20"/>
                <w:szCs w:val="20"/>
                <w:lang w:val="en-US"/>
              </w:rPr>
            </w:pPr>
            <w:r w:rsidRPr="00CC4036">
              <w:rPr>
                <w:rFonts w:eastAsia="Times New Roman" w:cs="Times New Roman"/>
                <w:sz w:val="20"/>
                <w:szCs w:val="20"/>
                <w:lang w:val="en-US"/>
              </w:rPr>
              <w:t>4.0 (2.9, NR)</w:t>
            </w:r>
          </w:p>
        </w:tc>
      </w:tr>
    </w:tbl>
    <w:p w14:paraId="7318A7BB" w14:textId="0807796A" w:rsidR="00C659AE" w:rsidRPr="008F1577" w:rsidRDefault="00C659AE" w:rsidP="00C659AE">
      <w:pPr>
        <w:pStyle w:val="EMEABodyText"/>
        <w:ind w:left="567" w:hanging="567"/>
        <w:rPr>
          <w:sz w:val="18"/>
          <w:szCs w:val="18"/>
        </w:rPr>
      </w:pPr>
      <w:proofErr w:type="gramStart"/>
      <w:r w:rsidRPr="008F1577">
        <w:rPr>
          <w:sz w:val="18"/>
          <w:szCs w:val="18"/>
          <w:vertAlign w:val="superscript"/>
        </w:rPr>
        <w:t>a</w:t>
      </w:r>
      <w:proofErr w:type="gramEnd"/>
      <w:r w:rsidR="005D3254">
        <w:rPr>
          <w:sz w:val="18"/>
          <w:szCs w:val="18"/>
        </w:rPr>
        <w:t xml:space="preserve"> </w:t>
      </w:r>
      <w:r w:rsidRPr="008F1577">
        <w:rPr>
          <w:sz w:val="18"/>
          <w:szCs w:val="18"/>
        </w:rPr>
        <w:t>Derived from a stratified proportional hazards model.</w:t>
      </w:r>
    </w:p>
    <w:p w14:paraId="3D00E69E" w14:textId="77777777" w:rsidR="005D3254" w:rsidRDefault="005D3254" w:rsidP="005D3254">
      <w:pPr>
        <w:pStyle w:val="EMEABodyText"/>
        <w:ind w:left="567" w:hanging="567"/>
        <w:jc w:val="left"/>
        <w:rPr>
          <w:sz w:val="18"/>
          <w:szCs w:val="18"/>
        </w:rPr>
      </w:pPr>
      <w:proofErr w:type="gramStart"/>
      <w:r>
        <w:rPr>
          <w:sz w:val="18"/>
          <w:szCs w:val="18"/>
          <w:vertAlign w:val="superscript"/>
        </w:rPr>
        <w:t>b</w:t>
      </w:r>
      <w:proofErr w:type="gramEnd"/>
      <w:r>
        <w:rPr>
          <w:sz w:val="18"/>
          <w:szCs w:val="18"/>
          <w:vertAlign w:val="superscript"/>
        </w:rPr>
        <w:t xml:space="preserve"> </w:t>
      </w:r>
      <w:r w:rsidR="00C659AE" w:rsidRPr="008F1577">
        <w:rPr>
          <w:sz w:val="18"/>
          <w:szCs w:val="18"/>
        </w:rPr>
        <w:t xml:space="preserve">P-value is derived from a log-rank test stratified by prior </w:t>
      </w:r>
      <w:proofErr w:type="spellStart"/>
      <w:r w:rsidR="00C659AE" w:rsidRPr="008F1577">
        <w:rPr>
          <w:sz w:val="18"/>
          <w:szCs w:val="18"/>
        </w:rPr>
        <w:t>cetuximab</w:t>
      </w:r>
      <w:proofErr w:type="spellEnd"/>
      <w:r w:rsidR="00C659AE" w:rsidRPr="008F1577">
        <w:rPr>
          <w:sz w:val="18"/>
          <w:szCs w:val="18"/>
        </w:rPr>
        <w:t xml:space="preserve">; the corresponding O’Brien-Fleming efficacy boundary </w:t>
      </w:r>
    </w:p>
    <w:p w14:paraId="13E7AB12" w14:textId="11852C4B" w:rsidR="00C659AE" w:rsidRPr="008F1577" w:rsidRDefault="00C659AE" w:rsidP="005D3254">
      <w:pPr>
        <w:pStyle w:val="EMEABodyText"/>
        <w:ind w:left="567" w:hanging="567"/>
        <w:jc w:val="left"/>
        <w:rPr>
          <w:sz w:val="18"/>
          <w:szCs w:val="18"/>
        </w:rPr>
      </w:pPr>
      <w:proofErr w:type="gramStart"/>
      <w:r w:rsidRPr="008F1577">
        <w:rPr>
          <w:sz w:val="18"/>
          <w:szCs w:val="18"/>
        </w:rPr>
        <w:t>significance</w:t>
      </w:r>
      <w:proofErr w:type="gramEnd"/>
      <w:r w:rsidRPr="008F1577">
        <w:rPr>
          <w:sz w:val="18"/>
          <w:szCs w:val="18"/>
        </w:rPr>
        <w:t xml:space="preserve"> level is 0.0227.</w:t>
      </w:r>
    </w:p>
    <w:p w14:paraId="23CE7085" w14:textId="77777777" w:rsidR="005D3254" w:rsidRDefault="005D3254" w:rsidP="005D3254">
      <w:pPr>
        <w:spacing w:after="0"/>
        <w:rPr>
          <w:noProof/>
        </w:rPr>
      </w:pPr>
    </w:p>
    <w:p w14:paraId="7BD04F60" w14:textId="7F9C21ED" w:rsidR="00C659AE" w:rsidRPr="00483996" w:rsidRDefault="00C659AE" w:rsidP="00DB5FE1">
      <w:pPr>
        <w:rPr>
          <w:noProof/>
        </w:rPr>
      </w:pPr>
      <w:r w:rsidRPr="00D15533">
        <w:rPr>
          <w:noProof/>
        </w:rPr>
        <w:t>Patients with investigator-assessed primary site of oropharyngeal cancer were tested for HPV by p16 immunohistochemistry. OS benefit was observed regardless of p16 status (p16-positive status: HR= 0.63; 95% CI: 0.38, 1.04 and p16-negative status: HR = 0.64, 95% CI: 0.40, 1.03, and p16-unknown* HR= 0.78, (95% CI: 0.55, 1.10). * Unknown includes patients with non-oropharyngeal cancer of the head and neck in whom HPV testing was not required.</w:t>
      </w:r>
    </w:p>
    <w:p w14:paraId="604CECC4" w14:textId="77777777" w:rsidR="00C659AE" w:rsidRPr="003F65AB" w:rsidRDefault="00C659AE" w:rsidP="003621D9">
      <w:pPr>
        <w:spacing w:after="0"/>
        <w:rPr>
          <w:b/>
          <w:snapToGrid w:val="0"/>
        </w:rPr>
      </w:pPr>
      <w:r w:rsidRPr="003F65AB">
        <w:rPr>
          <w:b/>
          <w:snapToGrid w:val="0"/>
        </w:rPr>
        <w:t>Safety and efficacy in elderly patients</w:t>
      </w:r>
    </w:p>
    <w:p w14:paraId="38D594A9" w14:textId="63E8D602" w:rsidR="00C659AE" w:rsidRDefault="00C659AE" w:rsidP="00DB5FE1">
      <w:pPr>
        <w:rPr>
          <w:noProof/>
        </w:rPr>
      </w:pPr>
      <w:r w:rsidRPr="00366305">
        <w:rPr>
          <w:noProof/>
        </w:rPr>
        <w:t xml:space="preserve">No overall differences in safety or efficacy were reported between elderly (≥ 65 years) and younger patients (&lt; 65 years). Data from SCCHN patients 75 years of age or older are too limited to draw conclusions on this population. </w:t>
      </w:r>
    </w:p>
    <w:p w14:paraId="2CD02980" w14:textId="77777777" w:rsidR="00DA4851" w:rsidRPr="003644CF" w:rsidRDefault="00DA4851" w:rsidP="00DA4851">
      <w:pPr>
        <w:pStyle w:val="Heading3"/>
      </w:pPr>
      <w:r w:rsidRPr="003644CF">
        <w:t>U</w:t>
      </w:r>
      <w:r>
        <w:t>rothelial</w:t>
      </w:r>
      <w:r w:rsidRPr="003644CF">
        <w:t xml:space="preserve"> C</w:t>
      </w:r>
      <w:r>
        <w:t>arcinoma</w:t>
      </w:r>
      <w:r w:rsidRPr="003644CF">
        <w:t xml:space="preserve"> (UC)</w:t>
      </w:r>
    </w:p>
    <w:p w14:paraId="0669DB29" w14:textId="77777777" w:rsidR="00DA4851" w:rsidRPr="0067671F" w:rsidRDefault="00DA4851" w:rsidP="00DA4851">
      <w:r w:rsidRPr="0067671F">
        <w:t xml:space="preserve">Two open-label studies evaluated the safety and efficacy of </w:t>
      </w:r>
      <w:proofErr w:type="spellStart"/>
      <w:r w:rsidRPr="0067671F">
        <w:t>nivolumab</w:t>
      </w:r>
      <w:proofErr w:type="spellEnd"/>
      <w:r w:rsidRPr="0067671F">
        <w:t xml:space="preserve"> 3 mg/kg as a single agent for the treatment of </w:t>
      </w:r>
      <w:r>
        <w:t>locally advanced or metastatic urothelial carcinoma</w:t>
      </w:r>
      <w:r w:rsidRPr="0067671F">
        <w:t xml:space="preserve">. </w:t>
      </w:r>
    </w:p>
    <w:p w14:paraId="707CD102" w14:textId="77777777" w:rsidR="00DA4851" w:rsidRPr="00DA4851" w:rsidRDefault="00DA4851" w:rsidP="00DA4851">
      <w:pPr>
        <w:rPr>
          <w:b/>
        </w:rPr>
      </w:pPr>
      <w:r w:rsidRPr="00DA4851">
        <w:rPr>
          <w:b/>
        </w:rPr>
        <w:t xml:space="preserve">Study CA209275. </w:t>
      </w:r>
      <w:proofErr w:type="gramStart"/>
      <w:r w:rsidRPr="00DA4851">
        <w:rPr>
          <w:b/>
        </w:rPr>
        <w:t xml:space="preserve">A Phase 2 Single Arm Clinical Trial of </w:t>
      </w:r>
      <w:proofErr w:type="spellStart"/>
      <w:r w:rsidRPr="00DA4851">
        <w:rPr>
          <w:b/>
        </w:rPr>
        <w:t>Nivolumab</w:t>
      </w:r>
      <w:proofErr w:type="spellEnd"/>
      <w:r w:rsidRPr="00DA4851">
        <w:rPr>
          <w:b/>
        </w:rPr>
        <w:t xml:space="preserve"> (BMS-936558) in Subjects with Metastatic or </w:t>
      </w:r>
      <w:proofErr w:type="spellStart"/>
      <w:r w:rsidRPr="00DA4851">
        <w:rPr>
          <w:b/>
        </w:rPr>
        <w:t>Unresectable</w:t>
      </w:r>
      <w:proofErr w:type="spellEnd"/>
      <w:r w:rsidRPr="00DA4851">
        <w:rPr>
          <w:b/>
        </w:rPr>
        <w:t xml:space="preserve"> Urothelial Cancer Who Have Progressed or Recurred Following Treatment with a Platinum Agent.</w:t>
      </w:r>
      <w:proofErr w:type="gramEnd"/>
    </w:p>
    <w:p w14:paraId="142828A8" w14:textId="77777777" w:rsidR="00DA4851" w:rsidRPr="007C6AB7" w:rsidRDefault="00DA4851" w:rsidP="00C903D1">
      <w:pPr>
        <w:rPr>
          <w:noProof/>
          <w:lang w:val="en-US"/>
        </w:rPr>
      </w:pPr>
      <w:r w:rsidRPr="007C6AB7">
        <w:rPr>
          <w:noProof/>
          <w:lang w:val="es-ES"/>
        </w:rPr>
        <w:t>The safety and efficacy of nivolumab 3 mg/kg as a single agent for the treatment of patients with locally advanced or metastatic urothelial carcinoma was evaluated in a phase 2, multicentre, open-label, single-arm study (CA209275).</w:t>
      </w:r>
    </w:p>
    <w:p w14:paraId="67352047" w14:textId="77777777" w:rsidR="00DA4851" w:rsidRPr="007C6AB7" w:rsidRDefault="00DA4851" w:rsidP="00C903D1">
      <w:pPr>
        <w:rPr>
          <w:noProof/>
        </w:rPr>
      </w:pPr>
      <w:r w:rsidRPr="007C6AB7">
        <w:rPr>
          <w:noProof/>
        </w:rPr>
        <w:t>The study included patients (18 years or older) who had disease progression during or following platinum-containing chemotherapy for advanced or metastatic disease or had disease progression within 12 months of neoadjuvant or adjuvant treatment with platinum-containing chemotherapy. Patients had an ECOG performance status score of 0 or 1 and were enrolled regardless of their tumour PD-L1 status. Patients with active brain metastases or leptomeningeal metastases, active autoimmune disease, or medical conditions requiring systemic immunosuppression were excluded from the study.</w:t>
      </w:r>
    </w:p>
    <w:p w14:paraId="131B444C" w14:textId="77777777" w:rsidR="00DA4851" w:rsidRPr="007C6AB7" w:rsidRDefault="00DA4851" w:rsidP="00C903D1">
      <w:pPr>
        <w:rPr>
          <w:noProof/>
        </w:rPr>
      </w:pPr>
      <w:r>
        <w:rPr>
          <w:noProof/>
        </w:rPr>
        <w:t>P</w:t>
      </w:r>
      <w:r w:rsidRPr="007C6AB7">
        <w:rPr>
          <w:noProof/>
        </w:rPr>
        <w:t xml:space="preserve">atients received nivolumab 3 mg/kg administered intravenously over 60 minutes every 2 weeks. Treatment was continued as long as clinical benefit was observed or until treatment was no longer tolerated. The first tumour assessments were conducted 8 weeks after the start of treatment and continued every 8 weeks thereafter up to 48 weeks, then every 12 weeks until disease progression or treatment discontinuation, whichever occurred later. Tumour assessments were continued after treatment discontinuation in patients who discontinued treatment for reasons other than progression. Treatment beyond initial investigator-assessed RECIST, version 1.1-defined progression was </w:t>
      </w:r>
      <w:r w:rsidRPr="007C6AB7">
        <w:rPr>
          <w:noProof/>
        </w:rPr>
        <w:lastRenderedPageBreak/>
        <w:t xml:space="preserve">permitted if the patient had a clinical benefit, did not have rapid disease progression, and was tolerating study drug as determined by the investigator. The primary efficacy outcome measure was ORR as determined by </w:t>
      </w:r>
      <w:r>
        <w:rPr>
          <w:noProof/>
        </w:rPr>
        <w:t>Blinded Independent Central Review (BICR)</w:t>
      </w:r>
      <w:r w:rsidRPr="007C6AB7">
        <w:rPr>
          <w:noProof/>
        </w:rPr>
        <w:t xml:space="preserve">. Additional efficacy measures included duration of response, </w:t>
      </w:r>
      <w:r w:rsidRPr="003644CF">
        <w:rPr>
          <w:noProof/>
        </w:rPr>
        <w:t>PFS</w:t>
      </w:r>
      <w:r>
        <w:rPr>
          <w:noProof/>
        </w:rPr>
        <w:t xml:space="preserve"> </w:t>
      </w:r>
      <w:r w:rsidRPr="007C6AB7">
        <w:rPr>
          <w:noProof/>
        </w:rPr>
        <w:t>and OS.</w:t>
      </w:r>
    </w:p>
    <w:p w14:paraId="67ED2D96" w14:textId="1406C7C6" w:rsidR="00DA4851" w:rsidRPr="007C6AB7" w:rsidRDefault="00DA4851" w:rsidP="00C903D1">
      <w:pPr>
        <w:rPr>
          <w:noProof/>
        </w:rPr>
      </w:pPr>
      <w:r>
        <w:rPr>
          <w:noProof/>
        </w:rPr>
        <w:t xml:space="preserve">A total of 270 patients with a minimum follow-up of </w:t>
      </w:r>
      <w:r w:rsidR="000A2F99">
        <w:rPr>
          <w:noProof/>
        </w:rPr>
        <w:t>21.3</w:t>
      </w:r>
      <w:r>
        <w:rPr>
          <w:noProof/>
        </w:rPr>
        <w:t xml:space="preserve"> months were evaluable for efficacy. </w:t>
      </w:r>
      <w:r w:rsidRPr="007C6AB7">
        <w:rPr>
          <w:noProof/>
        </w:rPr>
        <w:t xml:space="preserve">The median age was 66 years (range: 38 to 90) with 55% </w:t>
      </w:r>
      <w:r w:rsidRPr="007C6AB7">
        <w:rPr>
          <w:noProof/>
        </w:rPr>
        <w:sym w:font="Symbol" w:char="F0B3"/>
      </w:r>
      <w:r w:rsidRPr="007C6AB7">
        <w:rPr>
          <w:noProof/>
        </w:rPr>
        <w:t xml:space="preserve">65 years of age and 14% </w:t>
      </w:r>
      <w:r w:rsidRPr="007C6AB7">
        <w:rPr>
          <w:noProof/>
        </w:rPr>
        <w:sym w:font="Symbol" w:char="F0B3"/>
      </w:r>
      <w:r w:rsidRPr="007C6AB7">
        <w:rPr>
          <w:noProof/>
        </w:rPr>
        <w:t>75 years of age. The majority of patients were white (86%) and male (78%). Baseline ECOG performance status was 0 (54%) or 1 (46%).</w:t>
      </w:r>
    </w:p>
    <w:tbl>
      <w:tblPr>
        <w:tblW w:w="0" w:type="auto"/>
        <w:tblLook w:val="04A0" w:firstRow="1" w:lastRow="0" w:firstColumn="1" w:lastColumn="0" w:noHBand="0" w:noVBand="1"/>
      </w:tblPr>
      <w:tblGrid>
        <w:gridCol w:w="3701"/>
        <w:gridCol w:w="5196"/>
      </w:tblGrid>
      <w:tr w:rsidR="00DA4851" w:rsidRPr="00D67DE3" w14:paraId="7E3138B7" w14:textId="77777777" w:rsidTr="00AC3E58">
        <w:tc>
          <w:tcPr>
            <w:tcW w:w="8897" w:type="dxa"/>
            <w:gridSpan w:val="2"/>
            <w:tcBorders>
              <w:bottom w:val="single" w:sz="4" w:space="0" w:color="auto"/>
            </w:tcBorders>
          </w:tcPr>
          <w:p w14:paraId="0F02EC55" w14:textId="23D9F19C" w:rsidR="00DA4851" w:rsidRPr="00DA4851" w:rsidRDefault="00DA4851" w:rsidP="00736CE8">
            <w:pPr>
              <w:pStyle w:val="EMEABodyText"/>
              <w:keepNext/>
              <w:rPr>
                <w:b/>
                <w:szCs w:val="22"/>
              </w:rPr>
            </w:pPr>
            <w:r w:rsidRPr="00DA4851">
              <w:rPr>
                <w:b/>
                <w:szCs w:val="22"/>
              </w:rPr>
              <w:t>Table </w:t>
            </w:r>
            <w:r w:rsidR="00736CE8">
              <w:rPr>
                <w:b/>
                <w:szCs w:val="22"/>
              </w:rPr>
              <w:t>19</w:t>
            </w:r>
            <w:r w:rsidRPr="00DA4851">
              <w:rPr>
                <w:b/>
                <w:szCs w:val="22"/>
              </w:rPr>
              <w:t>: Efficacy results (CA209275)</w:t>
            </w:r>
          </w:p>
        </w:tc>
      </w:tr>
      <w:tr w:rsidR="00DA4851" w:rsidRPr="00D67DE3" w14:paraId="6B57331A" w14:textId="77777777" w:rsidTr="000A2F99">
        <w:tc>
          <w:tcPr>
            <w:tcW w:w="3701" w:type="dxa"/>
            <w:tcBorders>
              <w:top w:val="single" w:sz="4" w:space="0" w:color="auto"/>
              <w:bottom w:val="single" w:sz="4" w:space="0" w:color="auto"/>
            </w:tcBorders>
          </w:tcPr>
          <w:p w14:paraId="72E0B33F" w14:textId="77777777" w:rsidR="00DA4851" w:rsidRPr="00DA4851" w:rsidRDefault="00DA4851" w:rsidP="000A2F99">
            <w:pPr>
              <w:keepNext/>
              <w:keepLines/>
              <w:tabs>
                <w:tab w:val="left" w:pos="180"/>
              </w:tabs>
              <w:spacing w:after="60"/>
              <w:rPr>
                <w:sz w:val="20"/>
                <w:szCs w:val="20"/>
              </w:rPr>
            </w:pPr>
          </w:p>
        </w:tc>
        <w:tc>
          <w:tcPr>
            <w:tcW w:w="5196" w:type="dxa"/>
            <w:tcBorders>
              <w:top w:val="single" w:sz="4" w:space="0" w:color="auto"/>
              <w:bottom w:val="single" w:sz="4" w:space="0" w:color="auto"/>
            </w:tcBorders>
          </w:tcPr>
          <w:p w14:paraId="31497D43" w14:textId="77777777" w:rsidR="00DA4851" w:rsidRPr="00DA4851" w:rsidRDefault="00DA4851" w:rsidP="000A2F99">
            <w:pPr>
              <w:keepNext/>
              <w:keepLines/>
              <w:spacing w:after="60"/>
              <w:jc w:val="center"/>
              <w:rPr>
                <w:b/>
                <w:sz w:val="20"/>
                <w:szCs w:val="20"/>
              </w:rPr>
            </w:pPr>
            <w:proofErr w:type="spellStart"/>
            <w:r w:rsidRPr="00DA4851">
              <w:rPr>
                <w:b/>
                <w:sz w:val="20"/>
                <w:szCs w:val="20"/>
              </w:rPr>
              <w:t>nivolumab</w:t>
            </w:r>
            <w:proofErr w:type="spellEnd"/>
            <w:r w:rsidRPr="00DA4851">
              <w:rPr>
                <w:b/>
                <w:sz w:val="20"/>
                <w:szCs w:val="20"/>
              </w:rPr>
              <w:br/>
              <w:t>(n = 270)</w:t>
            </w:r>
          </w:p>
        </w:tc>
      </w:tr>
      <w:tr w:rsidR="00DA4851" w:rsidRPr="00D67DE3" w14:paraId="6C6066AD" w14:textId="77777777" w:rsidTr="000A2F99">
        <w:tc>
          <w:tcPr>
            <w:tcW w:w="3701" w:type="dxa"/>
          </w:tcPr>
          <w:p w14:paraId="0B505C64" w14:textId="77777777" w:rsidR="00DA4851" w:rsidRPr="00DA4851" w:rsidRDefault="00DA4851" w:rsidP="000A2F99">
            <w:pPr>
              <w:keepNext/>
              <w:keepLines/>
              <w:spacing w:after="60"/>
              <w:rPr>
                <w:b/>
                <w:sz w:val="20"/>
                <w:szCs w:val="20"/>
              </w:rPr>
            </w:pPr>
            <w:r w:rsidRPr="00DA4851">
              <w:rPr>
                <w:b/>
                <w:sz w:val="20"/>
                <w:szCs w:val="20"/>
              </w:rPr>
              <w:t>Confirmed objective response</w:t>
            </w:r>
          </w:p>
        </w:tc>
        <w:tc>
          <w:tcPr>
            <w:tcW w:w="5196" w:type="dxa"/>
          </w:tcPr>
          <w:p w14:paraId="24F52A31" w14:textId="328D46F3" w:rsidR="00DA4851" w:rsidRPr="00DA4851" w:rsidRDefault="000A2F99" w:rsidP="000A2F99">
            <w:pPr>
              <w:keepNext/>
              <w:keepLines/>
              <w:spacing w:after="60"/>
              <w:jc w:val="center"/>
              <w:rPr>
                <w:sz w:val="20"/>
                <w:szCs w:val="20"/>
              </w:rPr>
            </w:pPr>
            <w:r>
              <w:rPr>
                <w:sz w:val="20"/>
                <w:szCs w:val="20"/>
              </w:rPr>
              <w:t>55 (20.4%)</w:t>
            </w:r>
          </w:p>
        </w:tc>
      </w:tr>
      <w:tr w:rsidR="00DA4851" w:rsidRPr="00D67DE3" w14:paraId="14044A99" w14:textId="77777777" w:rsidTr="000A2F99">
        <w:tc>
          <w:tcPr>
            <w:tcW w:w="3701" w:type="dxa"/>
          </w:tcPr>
          <w:p w14:paraId="494FE2A0" w14:textId="77777777" w:rsidR="00DA4851" w:rsidRPr="00DA4851" w:rsidRDefault="00DA4851" w:rsidP="000A2F99">
            <w:pPr>
              <w:keepNext/>
              <w:keepLines/>
              <w:tabs>
                <w:tab w:val="left" w:pos="180"/>
              </w:tabs>
              <w:spacing w:after="60"/>
              <w:rPr>
                <w:sz w:val="20"/>
                <w:szCs w:val="20"/>
              </w:rPr>
            </w:pPr>
            <w:r w:rsidRPr="00DA4851">
              <w:rPr>
                <w:sz w:val="20"/>
                <w:szCs w:val="20"/>
              </w:rPr>
              <w:tab/>
            </w:r>
            <w:r w:rsidRPr="00DA4851">
              <w:rPr>
                <w:sz w:val="20"/>
                <w:szCs w:val="20"/>
              </w:rPr>
              <w:tab/>
              <w:t>(95% CI)</w:t>
            </w:r>
          </w:p>
        </w:tc>
        <w:tc>
          <w:tcPr>
            <w:tcW w:w="5196" w:type="dxa"/>
          </w:tcPr>
          <w:p w14:paraId="18B5DDA2" w14:textId="03587E32" w:rsidR="00DA4851" w:rsidRPr="00DA4851" w:rsidRDefault="000A2F99" w:rsidP="000A2F99">
            <w:pPr>
              <w:keepNext/>
              <w:keepLines/>
              <w:spacing w:after="60"/>
              <w:jc w:val="center"/>
              <w:rPr>
                <w:sz w:val="20"/>
                <w:szCs w:val="20"/>
              </w:rPr>
            </w:pPr>
            <w:r>
              <w:rPr>
                <w:sz w:val="20"/>
                <w:szCs w:val="20"/>
              </w:rPr>
              <w:t>(15.7, 25.7)</w:t>
            </w:r>
          </w:p>
        </w:tc>
      </w:tr>
      <w:tr w:rsidR="00DA4851" w:rsidRPr="00D67DE3" w14:paraId="3D028FE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03AE92A6" w14:textId="77777777" w:rsidR="00DA4851" w:rsidRPr="00DA4851" w:rsidRDefault="00DA4851" w:rsidP="000A2F99">
            <w:pPr>
              <w:keepNext/>
              <w:keepLines/>
              <w:tabs>
                <w:tab w:val="left" w:pos="180"/>
              </w:tabs>
              <w:spacing w:after="60"/>
              <w:rPr>
                <w:sz w:val="20"/>
                <w:szCs w:val="20"/>
              </w:rPr>
            </w:pPr>
            <w:r w:rsidRPr="00DA4851">
              <w:rPr>
                <w:sz w:val="20"/>
                <w:szCs w:val="20"/>
              </w:rPr>
              <w:tab/>
              <w:t>Complete response (CR)</w:t>
            </w:r>
          </w:p>
        </w:tc>
        <w:tc>
          <w:tcPr>
            <w:tcW w:w="5196" w:type="dxa"/>
            <w:tcBorders>
              <w:top w:val="nil"/>
              <w:left w:val="nil"/>
              <w:bottom w:val="nil"/>
              <w:right w:val="nil"/>
            </w:tcBorders>
          </w:tcPr>
          <w:p w14:paraId="5B3C8D38" w14:textId="07AD9FAD" w:rsidR="00DA4851" w:rsidRPr="00DA4851" w:rsidRDefault="000A2F99" w:rsidP="003B3E7C">
            <w:pPr>
              <w:keepNext/>
              <w:keepLines/>
              <w:spacing w:after="60"/>
              <w:jc w:val="center"/>
              <w:rPr>
                <w:sz w:val="20"/>
                <w:szCs w:val="20"/>
              </w:rPr>
            </w:pPr>
            <w:r>
              <w:rPr>
                <w:sz w:val="20"/>
                <w:szCs w:val="20"/>
              </w:rPr>
              <w:t>17 (6.3%)</w:t>
            </w:r>
          </w:p>
        </w:tc>
      </w:tr>
      <w:tr w:rsidR="00DA4851" w:rsidRPr="00D67DE3" w14:paraId="2472AA6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657AD12" w14:textId="77777777" w:rsidR="00DA4851" w:rsidRPr="00DA4851" w:rsidRDefault="00DA4851" w:rsidP="000A2F99">
            <w:pPr>
              <w:keepNext/>
              <w:keepLines/>
              <w:tabs>
                <w:tab w:val="left" w:pos="180"/>
              </w:tabs>
              <w:spacing w:after="60"/>
              <w:rPr>
                <w:sz w:val="20"/>
                <w:szCs w:val="20"/>
              </w:rPr>
            </w:pPr>
            <w:r w:rsidRPr="00DA4851">
              <w:rPr>
                <w:sz w:val="20"/>
                <w:szCs w:val="20"/>
              </w:rPr>
              <w:tab/>
              <w:t>Partial response (PR)</w:t>
            </w:r>
          </w:p>
        </w:tc>
        <w:tc>
          <w:tcPr>
            <w:tcW w:w="5196" w:type="dxa"/>
            <w:tcBorders>
              <w:top w:val="nil"/>
              <w:left w:val="nil"/>
              <w:bottom w:val="nil"/>
              <w:right w:val="nil"/>
            </w:tcBorders>
          </w:tcPr>
          <w:p w14:paraId="0C9753B3" w14:textId="079D0898" w:rsidR="00DA4851" w:rsidRPr="00DA4851" w:rsidRDefault="00E20837" w:rsidP="003B3E7C">
            <w:pPr>
              <w:keepNext/>
              <w:keepLines/>
              <w:spacing w:after="60"/>
              <w:jc w:val="center"/>
              <w:rPr>
                <w:sz w:val="20"/>
                <w:szCs w:val="20"/>
              </w:rPr>
            </w:pPr>
            <w:r>
              <w:rPr>
                <w:sz w:val="20"/>
                <w:szCs w:val="20"/>
              </w:rPr>
              <w:t>38 (14.1%)</w:t>
            </w:r>
          </w:p>
        </w:tc>
      </w:tr>
      <w:tr w:rsidR="00DA4851" w:rsidRPr="00D67DE3" w14:paraId="2A118ECF"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5E0124D6" w14:textId="77777777" w:rsidR="00DA4851" w:rsidRPr="00DA4851" w:rsidRDefault="00DA4851" w:rsidP="000A2F99">
            <w:pPr>
              <w:keepNext/>
              <w:keepLines/>
              <w:tabs>
                <w:tab w:val="left" w:pos="180"/>
              </w:tabs>
              <w:spacing w:after="60"/>
              <w:rPr>
                <w:sz w:val="20"/>
                <w:szCs w:val="20"/>
              </w:rPr>
            </w:pPr>
            <w:r w:rsidRPr="00DA4851">
              <w:rPr>
                <w:sz w:val="20"/>
                <w:szCs w:val="20"/>
              </w:rPr>
              <w:tab/>
              <w:t>Stable disease (SD)</w:t>
            </w:r>
          </w:p>
        </w:tc>
        <w:tc>
          <w:tcPr>
            <w:tcW w:w="5196" w:type="dxa"/>
            <w:tcBorders>
              <w:top w:val="nil"/>
              <w:left w:val="nil"/>
              <w:bottom w:val="nil"/>
              <w:right w:val="nil"/>
            </w:tcBorders>
          </w:tcPr>
          <w:p w14:paraId="6CEF0EA4" w14:textId="191BECF8" w:rsidR="00DA4851" w:rsidRPr="00DA4851" w:rsidRDefault="00E20837" w:rsidP="003B3E7C">
            <w:pPr>
              <w:keepNext/>
              <w:keepLines/>
              <w:spacing w:after="60"/>
              <w:jc w:val="center"/>
              <w:rPr>
                <w:sz w:val="20"/>
                <w:szCs w:val="20"/>
              </w:rPr>
            </w:pPr>
            <w:r>
              <w:rPr>
                <w:sz w:val="20"/>
                <w:szCs w:val="20"/>
              </w:rPr>
              <w:t>57 (21.1%)</w:t>
            </w:r>
          </w:p>
        </w:tc>
      </w:tr>
      <w:tr w:rsidR="00DA4851" w:rsidRPr="00D67DE3" w14:paraId="0FF76D8E"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7EA05DF5" w14:textId="77777777" w:rsidR="00DA4851" w:rsidRPr="00DA4851" w:rsidRDefault="00DA4851" w:rsidP="000A2F99">
            <w:pPr>
              <w:keepNext/>
              <w:keepLines/>
              <w:tabs>
                <w:tab w:val="left" w:pos="180"/>
              </w:tabs>
              <w:spacing w:after="60"/>
              <w:rPr>
                <w:b/>
                <w:sz w:val="20"/>
                <w:szCs w:val="20"/>
              </w:rPr>
            </w:pPr>
            <w:r w:rsidRPr="00DA4851">
              <w:rPr>
                <w:b/>
                <w:sz w:val="20"/>
                <w:szCs w:val="20"/>
              </w:rPr>
              <w:t xml:space="preserve">Median duration of response </w:t>
            </w:r>
          </w:p>
        </w:tc>
        <w:tc>
          <w:tcPr>
            <w:tcW w:w="5196" w:type="dxa"/>
            <w:tcBorders>
              <w:top w:val="nil"/>
              <w:left w:val="nil"/>
              <w:bottom w:val="nil"/>
              <w:right w:val="nil"/>
            </w:tcBorders>
          </w:tcPr>
          <w:p w14:paraId="69417A23" w14:textId="77777777" w:rsidR="00DA4851" w:rsidRPr="00DA4851" w:rsidRDefault="00DA4851" w:rsidP="000A2F99">
            <w:pPr>
              <w:keepNext/>
              <w:keepLines/>
              <w:spacing w:after="60"/>
              <w:jc w:val="center"/>
              <w:rPr>
                <w:sz w:val="20"/>
                <w:szCs w:val="20"/>
              </w:rPr>
            </w:pPr>
          </w:p>
        </w:tc>
      </w:tr>
      <w:tr w:rsidR="00DA4851" w:rsidRPr="00D67DE3" w14:paraId="7037C87B"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2329616" w14:textId="77777777" w:rsidR="00DA4851" w:rsidRPr="00DA4851" w:rsidRDefault="00DA4851" w:rsidP="000A2F99">
            <w:pPr>
              <w:keepNext/>
              <w:keepLines/>
              <w:tabs>
                <w:tab w:val="left" w:pos="180"/>
              </w:tabs>
              <w:spacing w:after="60"/>
              <w:rPr>
                <w:sz w:val="20"/>
                <w:szCs w:val="20"/>
              </w:rPr>
            </w:pPr>
            <w:r w:rsidRPr="00DA4851">
              <w:rPr>
                <w:sz w:val="20"/>
                <w:szCs w:val="20"/>
              </w:rPr>
              <w:tab/>
              <w:t>Months (range)</w:t>
            </w:r>
          </w:p>
        </w:tc>
        <w:tc>
          <w:tcPr>
            <w:tcW w:w="5196" w:type="dxa"/>
            <w:tcBorders>
              <w:top w:val="nil"/>
              <w:left w:val="nil"/>
              <w:bottom w:val="nil"/>
              <w:right w:val="nil"/>
            </w:tcBorders>
          </w:tcPr>
          <w:p w14:paraId="09B497FF" w14:textId="646E9E90" w:rsidR="00DA4851" w:rsidRPr="00DA4851" w:rsidRDefault="00E20837" w:rsidP="003B3E7C">
            <w:pPr>
              <w:keepNext/>
              <w:keepLines/>
              <w:spacing w:after="60"/>
              <w:jc w:val="center"/>
              <w:rPr>
                <w:sz w:val="20"/>
                <w:szCs w:val="20"/>
              </w:rPr>
            </w:pPr>
            <w:r>
              <w:rPr>
                <w:sz w:val="20"/>
                <w:szCs w:val="20"/>
              </w:rPr>
              <w:t>17.7 (11.5-22.0)</w:t>
            </w:r>
          </w:p>
        </w:tc>
      </w:tr>
      <w:tr w:rsidR="00DA4851" w:rsidRPr="00D67DE3" w14:paraId="0096B62A"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01" w:type="dxa"/>
            <w:tcBorders>
              <w:top w:val="nil"/>
              <w:left w:val="nil"/>
              <w:bottom w:val="nil"/>
              <w:right w:val="nil"/>
            </w:tcBorders>
          </w:tcPr>
          <w:p w14:paraId="27131564" w14:textId="77777777" w:rsidR="00DA4851" w:rsidRPr="00DA4851" w:rsidRDefault="00DA4851" w:rsidP="000A2F99">
            <w:pPr>
              <w:keepNext/>
              <w:keepLines/>
              <w:tabs>
                <w:tab w:val="left" w:pos="180"/>
              </w:tabs>
              <w:spacing w:after="60"/>
              <w:rPr>
                <w:b/>
                <w:sz w:val="20"/>
                <w:szCs w:val="20"/>
              </w:rPr>
            </w:pPr>
            <w:r w:rsidRPr="00DA4851">
              <w:rPr>
                <w:b/>
                <w:sz w:val="20"/>
                <w:szCs w:val="20"/>
              </w:rPr>
              <w:t>Median time to response</w:t>
            </w:r>
          </w:p>
        </w:tc>
        <w:tc>
          <w:tcPr>
            <w:tcW w:w="5196" w:type="dxa"/>
            <w:tcBorders>
              <w:top w:val="nil"/>
              <w:left w:val="nil"/>
              <w:bottom w:val="nil"/>
              <w:right w:val="nil"/>
            </w:tcBorders>
          </w:tcPr>
          <w:p w14:paraId="222856CD" w14:textId="77777777" w:rsidR="00DA4851" w:rsidRPr="00DA4851" w:rsidRDefault="00DA4851" w:rsidP="000A2F99">
            <w:pPr>
              <w:keepNext/>
              <w:keepLines/>
              <w:spacing w:after="60"/>
              <w:jc w:val="center"/>
              <w:rPr>
                <w:sz w:val="20"/>
                <w:szCs w:val="20"/>
              </w:rPr>
            </w:pPr>
          </w:p>
        </w:tc>
      </w:tr>
      <w:tr w:rsidR="00DA4851" w:rsidRPr="00D67DE3" w14:paraId="1EC481E7"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0D72BDF" w14:textId="77777777" w:rsidR="00DA4851" w:rsidRPr="00DA4851" w:rsidRDefault="00DA4851" w:rsidP="000A2F99">
            <w:pPr>
              <w:keepNext/>
              <w:keepLines/>
              <w:tabs>
                <w:tab w:val="left" w:pos="180"/>
              </w:tabs>
              <w:spacing w:after="60"/>
              <w:rPr>
                <w:sz w:val="20"/>
                <w:szCs w:val="20"/>
              </w:rPr>
            </w:pPr>
            <w:r w:rsidRPr="00DA4851">
              <w:rPr>
                <w:sz w:val="20"/>
                <w:szCs w:val="20"/>
              </w:rPr>
              <w:tab/>
              <w:t>Months (range)</w:t>
            </w:r>
          </w:p>
        </w:tc>
        <w:tc>
          <w:tcPr>
            <w:tcW w:w="5196" w:type="dxa"/>
            <w:tcBorders>
              <w:top w:val="nil"/>
              <w:left w:val="nil"/>
              <w:bottom w:val="nil"/>
              <w:right w:val="nil"/>
            </w:tcBorders>
          </w:tcPr>
          <w:p w14:paraId="49BACFD9" w14:textId="7FDDAEFC" w:rsidR="00DA4851" w:rsidRPr="00DA4851" w:rsidRDefault="00DA4851" w:rsidP="00E20837">
            <w:pPr>
              <w:keepNext/>
              <w:keepLines/>
              <w:spacing w:after="60"/>
              <w:jc w:val="center"/>
              <w:rPr>
                <w:sz w:val="20"/>
                <w:szCs w:val="20"/>
              </w:rPr>
            </w:pPr>
            <w:r w:rsidRPr="00DA4851">
              <w:rPr>
                <w:sz w:val="20"/>
                <w:szCs w:val="20"/>
              </w:rPr>
              <w:t xml:space="preserve">1.9 (1.6 - </w:t>
            </w:r>
            <w:r w:rsidR="00E20837">
              <w:rPr>
                <w:sz w:val="20"/>
                <w:szCs w:val="20"/>
              </w:rPr>
              <w:t>13.8</w:t>
            </w:r>
            <w:r w:rsidRPr="00DA4851">
              <w:rPr>
                <w:sz w:val="20"/>
                <w:szCs w:val="20"/>
              </w:rPr>
              <w:t>)</w:t>
            </w:r>
          </w:p>
        </w:tc>
      </w:tr>
      <w:tr w:rsidR="00DA4851" w:rsidRPr="00E30EB3" w14:paraId="6379B64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73B8306A" w14:textId="77777777" w:rsidR="00DA4851" w:rsidRPr="00DA4851" w:rsidRDefault="00DA4851" w:rsidP="000A2F99">
            <w:pPr>
              <w:keepNext/>
              <w:keepLines/>
              <w:tabs>
                <w:tab w:val="left" w:pos="180"/>
              </w:tabs>
              <w:spacing w:after="60"/>
              <w:rPr>
                <w:b/>
                <w:sz w:val="20"/>
                <w:szCs w:val="20"/>
              </w:rPr>
            </w:pPr>
            <w:r w:rsidRPr="00DA4851">
              <w:rPr>
                <w:b/>
                <w:sz w:val="20"/>
                <w:szCs w:val="20"/>
              </w:rPr>
              <w:t>Progression Free Survival</w:t>
            </w:r>
          </w:p>
        </w:tc>
        <w:tc>
          <w:tcPr>
            <w:tcW w:w="5196" w:type="dxa"/>
            <w:tcBorders>
              <w:top w:val="nil"/>
              <w:left w:val="nil"/>
              <w:bottom w:val="nil"/>
              <w:right w:val="nil"/>
            </w:tcBorders>
          </w:tcPr>
          <w:p w14:paraId="7C2646DE" w14:textId="77777777" w:rsidR="00DA4851" w:rsidRPr="00DA4851" w:rsidRDefault="00DA4851" w:rsidP="000A2F99">
            <w:pPr>
              <w:keepNext/>
              <w:keepLines/>
              <w:spacing w:after="60"/>
              <w:jc w:val="center"/>
              <w:rPr>
                <w:sz w:val="20"/>
                <w:szCs w:val="20"/>
              </w:rPr>
            </w:pPr>
          </w:p>
        </w:tc>
      </w:tr>
      <w:tr w:rsidR="00DA4851" w:rsidRPr="00D67DE3" w14:paraId="02F2DD14"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4F5360FE" w14:textId="77777777" w:rsidR="00DA4851" w:rsidRPr="00DA4851" w:rsidRDefault="00DA4851" w:rsidP="000A2F99">
            <w:pPr>
              <w:keepNext/>
              <w:keepLines/>
              <w:tabs>
                <w:tab w:val="left" w:pos="180"/>
              </w:tabs>
              <w:spacing w:after="60"/>
              <w:rPr>
                <w:sz w:val="20"/>
                <w:szCs w:val="20"/>
              </w:rPr>
            </w:pPr>
            <w:r w:rsidRPr="00DA4851">
              <w:rPr>
                <w:sz w:val="20"/>
                <w:szCs w:val="20"/>
              </w:rPr>
              <w:tab/>
              <w:t>Events (%)</w:t>
            </w:r>
          </w:p>
        </w:tc>
        <w:tc>
          <w:tcPr>
            <w:tcW w:w="5196" w:type="dxa"/>
            <w:tcBorders>
              <w:top w:val="nil"/>
              <w:left w:val="nil"/>
              <w:bottom w:val="nil"/>
              <w:right w:val="nil"/>
            </w:tcBorders>
          </w:tcPr>
          <w:p w14:paraId="4CBCD2E1" w14:textId="77777777" w:rsidR="00DA4851" w:rsidRPr="00DA4851" w:rsidRDefault="00DA4851" w:rsidP="000A2F99">
            <w:pPr>
              <w:keepNext/>
              <w:keepLines/>
              <w:spacing w:after="60"/>
              <w:jc w:val="center"/>
              <w:rPr>
                <w:sz w:val="20"/>
                <w:szCs w:val="20"/>
              </w:rPr>
            </w:pPr>
            <w:r w:rsidRPr="00DA4851">
              <w:rPr>
                <w:sz w:val="20"/>
                <w:szCs w:val="20"/>
              </w:rPr>
              <w:t>216 (80%)</w:t>
            </w:r>
          </w:p>
        </w:tc>
      </w:tr>
      <w:tr w:rsidR="00DA4851" w:rsidRPr="00D67DE3" w14:paraId="4D69808C"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A180BDA" w14:textId="77777777" w:rsidR="00DA4851" w:rsidRPr="00DA4851" w:rsidRDefault="00DA4851" w:rsidP="000A2F99">
            <w:pPr>
              <w:keepNext/>
              <w:keepLines/>
              <w:tabs>
                <w:tab w:val="left" w:pos="180"/>
              </w:tabs>
              <w:spacing w:after="60"/>
              <w:rPr>
                <w:sz w:val="20"/>
                <w:szCs w:val="20"/>
              </w:rPr>
            </w:pPr>
            <w:r w:rsidRPr="00DA4851">
              <w:rPr>
                <w:sz w:val="20"/>
                <w:szCs w:val="20"/>
              </w:rPr>
              <w:tab/>
              <w:t>Median (95% CI) months</w:t>
            </w:r>
          </w:p>
        </w:tc>
        <w:tc>
          <w:tcPr>
            <w:tcW w:w="5196" w:type="dxa"/>
            <w:tcBorders>
              <w:top w:val="nil"/>
              <w:left w:val="nil"/>
              <w:bottom w:val="nil"/>
              <w:right w:val="nil"/>
            </w:tcBorders>
          </w:tcPr>
          <w:p w14:paraId="478B7DE4" w14:textId="77777777" w:rsidR="00DA4851" w:rsidRPr="00DA4851" w:rsidRDefault="00DA4851" w:rsidP="000A2F99">
            <w:pPr>
              <w:keepNext/>
              <w:keepLines/>
              <w:spacing w:after="60"/>
              <w:jc w:val="center"/>
              <w:rPr>
                <w:sz w:val="20"/>
                <w:szCs w:val="20"/>
              </w:rPr>
            </w:pPr>
            <w:r w:rsidRPr="00DA4851">
              <w:rPr>
                <w:sz w:val="20"/>
                <w:szCs w:val="20"/>
              </w:rPr>
              <w:t>2.0 months (1.9, 2.6)</w:t>
            </w:r>
          </w:p>
        </w:tc>
      </w:tr>
      <w:tr w:rsidR="00DA4851" w:rsidRPr="00D67DE3" w14:paraId="5DF9EB09"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63756A33" w14:textId="5687436D" w:rsidR="00DA4851" w:rsidRPr="00DA4851" w:rsidRDefault="00DA4851" w:rsidP="00E20837">
            <w:pPr>
              <w:keepNext/>
              <w:keepLines/>
              <w:tabs>
                <w:tab w:val="left" w:pos="180"/>
              </w:tabs>
              <w:spacing w:after="60"/>
              <w:rPr>
                <w:sz w:val="20"/>
                <w:szCs w:val="20"/>
              </w:rPr>
            </w:pPr>
            <w:r w:rsidRPr="00DA4851">
              <w:rPr>
                <w:sz w:val="20"/>
                <w:szCs w:val="20"/>
              </w:rPr>
              <w:tab/>
              <w:t xml:space="preserve">Rate (95% CI) at </w:t>
            </w:r>
            <w:r w:rsidR="00E20837">
              <w:rPr>
                <w:sz w:val="20"/>
                <w:szCs w:val="20"/>
              </w:rPr>
              <w:t>12</w:t>
            </w:r>
            <w:r w:rsidRPr="00DA4851">
              <w:rPr>
                <w:sz w:val="20"/>
                <w:szCs w:val="20"/>
              </w:rPr>
              <w:t xml:space="preserve"> months</w:t>
            </w:r>
          </w:p>
        </w:tc>
        <w:tc>
          <w:tcPr>
            <w:tcW w:w="5196" w:type="dxa"/>
            <w:tcBorders>
              <w:top w:val="nil"/>
              <w:left w:val="nil"/>
              <w:bottom w:val="nil"/>
              <w:right w:val="nil"/>
            </w:tcBorders>
          </w:tcPr>
          <w:p w14:paraId="2A782396" w14:textId="56382760" w:rsidR="00DA4851" w:rsidRPr="00DA4851" w:rsidRDefault="00E20837" w:rsidP="003B3E7C">
            <w:pPr>
              <w:keepNext/>
              <w:keepLines/>
              <w:spacing w:after="60"/>
              <w:jc w:val="center"/>
              <w:rPr>
                <w:sz w:val="20"/>
                <w:szCs w:val="20"/>
              </w:rPr>
            </w:pPr>
            <w:r>
              <w:rPr>
                <w:sz w:val="20"/>
                <w:szCs w:val="20"/>
              </w:rPr>
              <w:t>17.5% (13.2, 22.4)</w:t>
            </w:r>
          </w:p>
        </w:tc>
      </w:tr>
      <w:tr w:rsidR="00E20837" w:rsidRPr="00D67DE3" w14:paraId="2A2C5573" w14:textId="77777777" w:rsidTr="000A2F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3701" w:type="dxa"/>
            <w:tcBorders>
              <w:top w:val="nil"/>
              <w:left w:val="nil"/>
              <w:bottom w:val="nil"/>
              <w:right w:val="nil"/>
            </w:tcBorders>
          </w:tcPr>
          <w:p w14:paraId="3D8C368E" w14:textId="61F25BD7" w:rsidR="00E20837" w:rsidRPr="00DA4851" w:rsidRDefault="00E20837" w:rsidP="00E20837">
            <w:pPr>
              <w:keepNext/>
              <w:keepLines/>
              <w:tabs>
                <w:tab w:val="left" w:pos="180"/>
              </w:tabs>
              <w:spacing w:after="60"/>
              <w:rPr>
                <w:sz w:val="20"/>
                <w:szCs w:val="20"/>
              </w:rPr>
            </w:pPr>
            <w:r w:rsidRPr="00DA4851">
              <w:rPr>
                <w:sz w:val="20"/>
                <w:szCs w:val="20"/>
              </w:rPr>
              <w:tab/>
              <w:t xml:space="preserve">Rate (95% CI) at </w:t>
            </w:r>
            <w:r>
              <w:rPr>
                <w:sz w:val="20"/>
                <w:szCs w:val="20"/>
              </w:rPr>
              <w:t>24</w:t>
            </w:r>
            <w:r w:rsidRPr="00DA4851">
              <w:rPr>
                <w:sz w:val="20"/>
                <w:szCs w:val="20"/>
              </w:rPr>
              <w:t xml:space="preserve"> months</w:t>
            </w:r>
          </w:p>
        </w:tc>
        <w:tc>
          <w:tcPr>
            <w:tcW w:w="5196" w:type="dxa"/>
            <w:tcBorders>
              <w:top w:val="nil"/>
              <w:left w:val="nil"/>
              <w:bottom w:val="nil"/>
              <w:right w:val="nil"/>
            </w:tcBorders>
          </w:tcPr>
          <w:p w14:paraId="4715CB7D" w14:textId="390C3BC8" w:rsidR="00E20837" w:rsidRDefault="00E20837" w:rsidP="00E20837">
            <w:pPr>
              <w:keepNext/>
              <w:keepLines/>
              <w:spacing w:after="60"/>
              <w:jc w:val="center"/>
              <w:rPr>
                <w:sz w:val="20"/>
                <w:szCs w:val="20"/>
              </w:rPr>
            </w:pPr>
            <w:r>
              <w:rPr>
                <w:sz w:val="20"/>
                <w:szCs w:val="20"/>
              </w:rPr>
              <w:t>7.9 (4.4, 12.8)</w:t>
            </w:r>
          </w:p>
        </w:tc>
      </w:tr>
      <w:tr w:rsidR="00DA4851" w:rsidRPr="00D67DE3" w14:paraId="4A7DD4DE" w14:textId="77777777" w:rsidTr="000A2F99">
        <w:tc>
          <w:tcPr>
            <w:tcW w:w="3701" w:type="dxa"/>
          </w:tcPr>
          <w:p w14:paraId="57BAA54A" w14:textId="77777777" w:rsidR="00DA4851" w:rsidRPr="00DA4851" w:rsidRDefault="00DA4851" w:rsidP="000A2F99">
            <w:pPr>
              <w:keepNext/>
              <w:keepLines/>
              <w:tabs>
                <w:tab w:val="left" w:pos="180"/>
              </w:tabs>
              <w:spacing w:after="60"/>
              <w:rPr>
                <w:b/>
                <w:sz w:val="20"/>
                <w:szCs w:val="20"/>
              </w:rPr>
            </w:pPr>
            <w:r w:rsidRPr="00DA4851">
              <w:rPr>
                <w:b/>
                <w:sz w:val="20"/>
                <w:szCs w:val="20"/>
              </w:rPr>
              <w:t>Overall survival</w:t>
            </w:r>
          </w:p>
        </w:tc>
        <w:tc>
          <w:tcPr>
            <w:tcW w:w="5196" w:type="dxa"/>
          </w:tcPr>
          <w:p w14:paraId="2E63ECBD" w14:textId="77777777" w:rsidR="00DA4851" w:rsidRPr="00DA4851" w:rsidRDefault="00DA4851" w:rsidP="000A2F99">
            <w:pPr>
              <w:keepNext/>
              <w:keepLines/>
              <w:spacing w:after="60"/>
              <w:jc w:val="center"/>
              <w:rPr>
                <w:sz w:val="20"/>
                <w:szCs w:val="20"/>
              </w:rPr>
            </w:pPr>
          </w:p>
        </w:tc>
      </w:tr>
      <w:tr w:rsidR="00DA4851" w:rsidRPr="00D67DE3" w14:paraId="69ACB0F9" w14:textId="77777777" w:rsidTr="000A2F99">
        <w:tc>
          <w:tcPr>
            <w:tcW w:w="3701" w:type="dxa"/>
          </w:tcPr>
          <w:p w14:paraId="585C2A0E" w14:textId="77777777" w:rsidR="00DA4851" w:rsidRPr="00DA4851" w:rsidRDefault="00DA4851" w:rsidP="000A2F99">
            <w:pPr>
              <w:keepNext/>
              <w:keepLines/>
              <w:tabs>
                <w:tab w:val="left" w:pos="180"/>
              </w:tabs>
              <w:spacing w:after="60"/>
              <w:rPr>
                <w:sz w:val="20"/>
                <w:szCs w:val="20"/>
              </w:rPr>
            </w:pPr>
            <w:r w:rsidRPr="00DA4851">
              <w:rPr>
                <w:sz w:val="20"/>
                <w:szCs w:val="20"/>
              </w:rPr>
              <w:tab/>
              <w:t>Events (%)</w:t>
            </w:r>
          </w:p>
        </w:tc>
        <w:tc>
          <w:tcPr>
            <w:tcW w:w="5196" w:type="dxa"/>
          </w:tcPr>
          <w:p w14:paraId="62C63A05" w14:textId="77777777" w:rsidR="00DA4851" w:rsidRPr="00DA4851" w:rsidRDefault="00DA4851" w:rsidP="000A2F99">
            <w:pPr>
              <w:keepNext/>
              <w:keepLines/>
              <w:spacing w:after="60"/>
              <w:jc w:val="center"/>
              <w:rPr>
                <w:sz w:val="20"/>
                <w:szCs w:val="20"/>
              </w:rPr>
            </w:pPr>
            <w:r w:rsidRPr="00DA4851">
              <w:rPr>
                <w:sz w:val="20"/>
                <w:szCs w:val="20"/>
              </w:rPr>
              <w:t>154 (57%)</w:t>
            </w:r>
          </w:p>
        </w:tc>
      </w:tr>
      <w:tr w:rsidR="00DA4851" w:rsidRPr="00D67DE3" w14:paraId="124A1448" w14:textId="77777777" w:rsidTr="000A2F99">
        <w:tc>
          <w:tcPr>
            <w:tcW w:w="3701" w:type="dxa"/>
          </w:tcPr>
          <w:p w14:paraId="210E3486" w14:textId="77777777" w:rsidR="00DA4851" w:rsidRPr="00DA4851" w:rsidRDefault="00DA4851" w:rsidP="000A2F99">
            <w:pPr>
              <w:keepNext/>
              <w:keepLines/>
              <w:tabs>
                <w:tab w:val="left" w:pos="180"/>
              </w:tabs>
              <w:spacing w:after="60"/>
              <w:rPr>
                <w:sz w:val="20"/>
                <w:szCs w:val="20"/>
              </w:rPr>
            </w:pPr>
            <w:r w:rsidRPr="00DA4851">
              <w:rPr>
                <w:sz w:val="20"/>
                <w:szCs w:val="20"/>
              </w:rPr>
              <w:tab/>
              <w:t>Median (95% CI) months</w:t>
            </w:r>
          </w:p>
        </w:tc>
        <w:tc>
          <w:tcPr>
            <w:tcW w:w="5196" w:type="dxa"/>
          </w:tcPr>
          <w:p w14:paraId="3901BA05" w14:textId="77777777" w:rsidR="00DA4851" w:rsidRPr="00DA4851" w:rsidRDefault="00DA4851" w:rsidP="000A2F99">
            <w:pPr>
              <w:keepNext/>
              <w:keepLines/>
              <w:spacing w:after="60"/>
              <w:jc w:val="center"/>
              <w:rPr>
                <w:sz w:val="20"/>
                <w:szCs w:val="20"/>
              </w:rPr>
            </w:pPr>
            <w:r w:rsidRPr="00DA4851">
              <w:rPr>
                <w:sz w:val="20"/>
                <w:szCs w:val="20"/>
              </w:rPr>
              <w:t>8.6 (6.1, 11.3)</w:t>
            </w:r>
          </w:p>
        </w:tc>
      </w:tr>
      <w:tr w:rsidR="00DA4851" w:rsidRPr="00D67DE3" w14:paraId="7A31969D" w14:textId="77777777" w:rsidTr="00C903D1">
        <w:tc>
          <w:tcPr>
            <w:tcW w:w="3701" w:type="dxa"/>
          </w:tcPr>
          <w:p w14:paraId="3EF8C60E" w14:textId="77777777" w:rsidR="00DA4851" w:rsidRPr="00DA4851" w:rsidRDefault="00DA4851" w:rsidP="000A2F99">
            <w:pPr>
              <w:keepNext/>
              <w:keepLines/>
              <w:tabs>
                <w:tab w:val="left" w:pos="180"/>
              </w:tabs>
              <w:spacing w:after="60"/>
              <w:rPr>
                <w:sz w:val="20"/>
                <w:szCs w:val="20"/>
              </w:rPr>
            </w:pPr>
            <w:r w:rsidRPr="00DA4851">
              <w:rPr>
                <w:sz w:val="20"/>
                <w:szCs w:val="20"/>
              </w:rPr>
              <w:tab/>
              <w:t>Rate (95% CI) at 12 months</w:t>
            </w:r>
          </w:p>
        </w:tc>
        <w:tc>
          <w:tcPr>
            <w:tcW w:w="5196" w:type="dxa"/>
          </w:tcPr>
          <w:p w14:paraId="68D2CDE4" w14:textId="1CD5F0E5" w:rsidR="00DA4851" w:rsidRPr="00DA4851" w:rsidRDefault="00E20837" w:rsidP="003B3E7C">
            <w:pPr>
              <w:keepNext/>
              <w:keepLines/>
              <w:spacing w:after="60"/>
              <w:jc w:val="center"/>
              <w:rPr>
                <w:sz w:val="20"/>
                <w:szCs w:val="20"/>
              </w:rPr>
            </w:pPr>
            <w:r>
              <w:rPr>
                <w:sz w:val="20"/>
                <w:szCs w:val="20"/>
              </w:rPr>
              <w:t>40.3 (34.4, 46.2)</w:t>
            </w:r>
          </w:p>
        </w:tc>
      </w:tr>
      <w:tr w:rsidR="00E20837" w:rsidRPr="00D67DE3" w14:paraId="3DEA3C40" w14:textId="77777777" w:rsidTr="000A2F99">
        <w:tc>
          <w:tcPr>
            <w:tcW w:w="3701" w:type="dxa"/>
            <w:tcBorders>
              <w:bottom w:val="single" w:sz="4" w:space="0" w:color="auto"/>
            </w:tcBorders>
          </w:tcPr>
          <w:p w14:paraId="12904ACD" w14:textId="05CE1102" w:rsidR="00E20837" w:rsidRPr="00DA4851" w:rsidRDefault="00E20837" w:rsidP="000A2F99">
            <w:pPr>
              <w:keepNext/>
              <w:keepLines/>
              <w:tabs>
                <w:tab w:val="left" w:pos="180"/>
              </w:tabs>
              <w:spacing w:after="60"/>
              <w:rPr>
                <w:sz w:val="20"/>
                <w:szCs w:val="20"/>
              </w:rPr>
            </w:pPr>
            <w:r w:rsidRPr="00DA4851">
              <w:rPr>
                <w:sz w:val="20"/>
                <w:szCs w:val="20"/>
              </w:rPr>
              <w:tab/>
            </w:r>
            <w:r>
              <w:rPr>
                <w:sz w:val="20"/>
                <w:szCs w:val="20"/>
              </w:rPr>
              <w:t>Rate (95% CI) at 24 months</w:t>
            </w:r>
          </w:p>
        </w:tc>
        <w:tc>
          <w:tcPr>
            <w:tcW w:w="5196" w:type="dxa"/>
            <w:tcBorders>
              <w:bottom w:val="single" w:sz="4" w:space="0" w:color="auto"/>
            </w:tcBorders>
          </w:tcPr>
          <w:p w14:paraId="44925C42" w14:textId="2F11CB71" w:rsidR="00E20837" w:rsidRDefault="00E20837" w:rsidP="00E20837">
            <w:pPr>
              <w:keepNext/>
              <w:keepLines/>
              <w:spacing w:after="60"/>
              <w:jc w:val="center"/>
              <w:rPr>
                <w:sz w:val="20"/>
                <w:szCs w:val="20"/>
              </w:rPr>
            </w:pPr>
            <w:r>
              <w:t>29.4 (23.9, 35.1)</w:t>
            </w:r>
          </w:p>
        </w:tc>
      </w:tr>
    </w:tbl>
    <w:p w14:paraId="60FAEDF3" w14:textId="77777777" w:rsidR="00264621" w:rsidRDefault="00264621" w:rsidP="00264621">
      <w:pPr>
        <w:pStyle w:val="EMEABodyText"/>
        <w:rPr>
          <w:sz w:val="24"/>
        </w:rPr>
      </w:pPr>
      <w:r w:rsidRPr="00264621">
        <w:rPr>
          <w:noProof/>
          <w:sz w:val="18"/>
          <w:szCs w:val="18"/>
        </w:rPr>
        <w:t>“</w:t>
      </w:r>
      <w:r w:rsidRPr="00264621">
        <w:rPr>
          <w:noProof/>
          <w:sz w:val="18"/>
          <w:szCs w:val="18"/>
          <w:vertAlign w:val="superscript"/>
        </w:rPr>
        <w:t>+</w:t>
      </w:r>
      <w:r w:rsidRPr="00264621">
        <w:rPr>
          <w:noProof/>
          <w:sz w:val="18"/>
          <w:szCs w:val="18"/>
        </w:rPr>
        <w:t>”</w:t>
      </w:r>
      <w:r w:rsidRPr="00264621">
        <w:rPr>
          <w:noProof/>
          <w:sz w:val="18"/>
          <w:szCs w:val="18"/>
        </w:rPr>
        <w:tab/>
      </w:r>
      <w:r w:rsidRPr="00264621">
        <w:rPr>
          <w:sz w:val="18"/>
          <w:szCs w:val="18"/>
        </w:rPr>
        <w:t>Denotes a censored observation</w:t>
      </w:r>
      <w:r w:rsidRPr="00D67DE3">
        <w:rPr>
          <w:sz w:val="24"/>
        </w:rPr>
        <w:t>.</w:t>
      </w:r>
    </w:p>
    <w:p w14:paraId="1C52DC2D" w14:textId="77777777" w:rsidR="00264621" w:rsidRPr="00D67DE3" w:rsidRDefault="00264621" w:rsidP="00264621">
      <w:pPr>
        <w:rPr>
          <w:noProof/>
        </w:rPr>
      </w:pPr>
      <w:r w:rsidRPr="00D67DE3">
        <w:rPr>
          <w:noProof/>
        </w:rPr>
        <w:t xml:space="preserve">Objective response per IRRC with nivolumab was observed regardless of baseline tumour PD-L1 expression status. </w:t>
      </w:r>
    </w:p>
    <w:p w14:paraId="615ABAE0" w14:textId="77777777" w:rsidR="00264621" w:rsidRPr="007F273D" w:rsidRDefault="00264621" w:rsidP="00264621">
      <w:r w:rsidRPr="007F273D">
        <w:t>In 77 patients who received prior systemic therapy only in the neoadjuvant or adjuvant setting, the ORR was 23.4% (95% CI: 14.5%, 34.4%).</w:t>
      </w:r>
    </w:p>
    <w:p w14:paraId="11FA264B" w14:textId="77777777" w:rsidR="00264621" w:rsidRPr="00D67DE3" w:rsidRDefault="00264621" w:rsidP="00264621">
      <w:pPr>
        <w:rPr>
          <w:noProof/>
          <w:lang w:val="en-US"/>
        </w:rPr>
      </w:pPr>
      <w:r w:rsidRPr="00D67DE3">
        <w:rPr>
          <w:noProof/>
          <w:lang w:val="en-US"/>
        </w:rPr>
        <w:t>Disease related and non-disease specific quality of life (QoL) was assessed using the validated European Organization for Research and Treatment of Cancer (EORTC) QLQ-C30, and the EuroQoL EQ-5D. Overall QoL scores remained stable while Global Health Status (GHS) based on the EORTC-QLQ-C30, continued to improve through week 4</w:t>
      </w:r>
      <w:r>
        <w:rPr>
          <w:noProof/>
          <w:lang w:val="en-US"/>
        </w:rPr>
        <w:t>9</w:t>
      </w:r>
      <w:r w:rsidRPr="00D67DE3">
        <w:rPr>
          <w:noProof/>
          <w:lang w:val="en-US"/>
        </w:rPr>
        <w:t>.</w:t>
      </w:r>
      <w:r w:rsidRPr="00D67DE3">
        <w:rPr>
          <w:noProof/>
          <w:vertAlign w:val="superscript"/>
          <w:lang w:val="en-US"/>
        </w:rPr>
        <w:t xml:space="preserve"> </w:t>
      </w:r>
      <w:r w:rsidRPr="00D67DE3">
        <w:rPr>
          <w:noProof/>
          <w:lang w:val="en-US"/>
        </w:rPr>
        <w:t>EQ-5D VAS scores showed clinically relevant improvement</w:t>
      </w:r>
      <w:r w:rsidRPr="00D67DE3">
        <w:rPr>
          <w:noProof/>
          <w:vertAlign w:val="superscript"/>
          <w:lang w:val="en-US"/>
        </w:rPr>
        <w:t>4</w:t>
      </w:r>
      <w:r w:rsidRPr="00D67DE3">
        <w:rPr>
          <w:noProof/>
          <w:lang w:val="en-US"/>
        </w:rPr>
        <w:t xml:space="preserve"> in QoL by Week 9, with continued improvement through Week 4</w:t>
      </w:r>
      <w:r>
        <w:rPr>
          <w:noProof/>
          <w:lang w:val="en-US"/>
        </w:rPr>
        <w:t>9</w:t>
      </w:r>
      <w:r w:rsidRPr="00D67DE3">
        <w:rPr>
          <w:noProof/>
          <w:lang w:val="en-US"/>
        </w:rPr>
        <w:t>. While both scales showed no detriment, QoL data should be interpreted cautiously in the context of the single arm study design.</w:t>
      </w:r>
    </w:p>
    <w:p w14:paraId="0C2A0CDC" w14:textId="77777777" w:rsidR="00264621" w:rsidRPr="00264621" w:rsidRDefault="00264621" w:rsidP="00264621">
      <w:pPr>
        <w:rPr>
          <w:b/>
        </w:rPr>
      </w:pPr>
      <w:r w:rsidRPr="00264621">
        <w:rPr>
          <w:b/>
        </w:rPr>
        <w:t xml:space="preserve">Study CA209032. A Phase 1/2, Open-label Study of </w:t>
      </w:r>
      <w:proofErr w:type="spellStart"/>
      <w:r w:rsidRPr="00264621">
        <w:rPr>
          <w:b/>
        </w:rPr>
        <w:t>Nivolumab</w:t>
      </w:r>
      <w:proofErr w:type="spellEnd"/>
      <w:r w:rsidRPr="00264621">
        <w:rPr>
          <w:b/>
        </w:rPr>
        <w:t xml:space="preserve"> Monotherapy or </w:t>
      </w:r>
      <w:proofErr w:type="spellStart"/>
      <w:r w:rsidRPr="00264621">
        <w:rPr>
          <w:b/>
        </w:rPr>
        <w:t>Nivolumab</w:t>
      </w:r>
      <w:proofErr w:type="spellEnd"/>
      <w:r w:rsidRPr="00264621">
        <w:rPr>
          <w:b/>
        </w:rPr>
        <w:t xml:space="preserve"> combined with Ipilimumab in Subjects with Advanced or Metastatic Solid </w:t>
      </w:r>
      <w:proofErr w:type="spellStart"/>
      <w:r w:rsidRPr="00264621">
        <w:rPr>
          <w:b/>
        </w:rPr>
        <w:t>Tumors</w:t>
      </w:r>
      <w:proofErr w:type="spellEnd"/>
      <w:r w:rsidRPr="00264621">
        <w:rPr>
          <w:b/>
        </w:rPr>
        <w:t>.</w:t>
      </w:r>
    </w:p>
    <w:p w14:paraId="54EB4316" w14:textId="77777777" w:rsidR="00264621" w:rsidRPr="00D67DE3" w:rsidRDefault="00264621" w:rsidP="00264621">
      <w:pPr>
        <w:rPr>
          <w:noProof/>
        </w:rPr>
      </w:pPr>
      <w:r w:rsidRPr="00D67DE3">
        <w:rPr>
          <w:noProof/>
        </w:rPr>
        <w:t xml:space="preserve">CA209032 was a Phase 1/2 open-label multi-cohort study which included a cohort of 78 patients with similar inclusion criteria to study CA209275 treated with nivolumab monotherapy 3 mg/kg for urothelial carcinoma. At a minimum follow-up of 9 months, investigator-assessed confirmed ORR </w:t>
      </w:r>
      <w:r w:rsidRPr="00D67DE3">
        <w:rPr>
          <w:noProof/>
        </w:rPr>
        <w:lastRenderedPageBreak/>
        <w:t>was</w:t>
      </w:r>
      <w:r>
        <w:rPr>
          <w:noProof/>
        </w:rPr>
        <w:t xml:space="preserve"> </w:t>
      </w:r>
      <w:r w:rsidRPr="00D67DE3">
        <w:rPr>
          <w:noProof/>
        </w:rPr>
        <w:t>24.4%</w:t>
      </w:r>
      <w:r>
        <w:rPr>
          <w:noProof/>
        </w:rPr>
        <w:t xml:space="preserve"> </w:t>
      </w:r>
      <w:r w:rsidRPr="00D67DE3">
        <w:rPr>
          <w:noProof/>
        </w:rPr>
        <w:t>(95% CI: 15.3, 35.4). The median duration of response was not reached (range: 4.4-16.6</w:t>
      </w:r>
      <w:r w:rsidRPr="00D67DE3">
        <w:rPr>
          <w:noProof/>
          <w:vertAlign w:val="superscript"/>
        </w:rPr>
        <w:t>+</w:t>
      </w:r>
      <w:r w:rsidRPr="00D67DE3">
        <w:rPr>
          <w:noProof/>
        </w:rPr>
        <w:t xml:space="preserve"> months). The median OS was 9.7 months (95% CI:7.26, 16.16) and the estimated OS rates were 69.2% (CI: 57.7, 78.2) at 6 months and 45.6% (CI: 34.2, 56.3) at 12 months.</w:t>
      </w:r>
    </w:p>
    <w:p w14:paraId="678F2BB0" w14:textId="1BE55F30" w:rsidR="001A3992" w:rsidRDefault="00E61227" w:rsidP="00DB5FE1">
      <w:pPr>
        <w:pStyle w:val="Heading2"/>
      </w:pPr>
      <w:r>
        <w:t>Pharmacokinetic properties</w:t>
      </w:r>
    </w:p>
    <w:p w14:paraId="27E7013E" w14:textId="77777777" w:rsidR="00C659AE" w:rsidRDefault="00C659AE" w:rsidP="009045DE">
      <w:bookmarkStart w:id="17" w:name="_Toc132615524"/>
      <w:bookmarkStart w:id="18" w:name="_Toc2059789"/>
      <w:bookmarkStart w:id="19" w:name="_Toc2060998"/>
      <w:bookmarkStart w:id="20" w:name="_Toc2061105"/>
      <w:bookmarkStart w:id="21" w:name="_Toc2061616"/>
      <w:bookmarkStart w:id="22" w:name="_Toc2061680"/>
      <w:bookmarkStart w:id="23" w:name="_Toc2061745"/>
      <w:bookmarkStart w:id="24" w:name="_Toc2062061"/>
      <w:proofErr w:type="spellStart"/>
      <w:r w:rsidRPr="00521EB0">
        <w:t>Nivolumab</w:t>
      </w:r>
      <w:proofErr w:type="spellEnd"/>
      <w:r w:rsidRPr="00521EB0">
        <w:t xml:space="preserve"> pharmacokinetics (PK) was assessed using a population PK approach for both single-agent </w:t>
      </w:r>
      <w:proofErr w:type="spellStart"/>
      <w:r w:rsidRPr="00521EB0">
        <w:t>nivolumab</w:t>
      </w:r>
      <w:proofErr w:type="spellEnd"/>
      <w:r w:rsidRPr="00521EB0">
        <w:t xml:space="preserve"> and </w:t>
      </w:r>
      <w:proofErr w:type="spellStart"/>
      <w:r w:rsidRPr="00521EB0">
        <w:t>nivolumab</w:t>
      </w:r>
      <w:proofErr w:type="spellEnd"/>
      <w:r w:rsidRPr="00521EB0">
        <w:t xml:space="preserve"> in combination with </w:t>
      </w:r>
      <w:proofErr w:type="spellStart"/>
      <w:r w:rsidRPr="00521EB0">
        <w:t>ipilimumab</w:t>
      </w:r>
      <w:proofErr w:type="spellEnd"/>
      <w:r>
        <w:t>.</w:t>
      </w:r>
    </w:p>
    <w:p w14:paraId="59EB4658" w14:textId="77777777" w:rsidR="00C659AE" w:rsidRPr="00EE22E9" w:rsidRDefault="00C659AE" w:rsidP="003E47FA">
      <w:pPr>
        <w:pStyle w:val="Heading3"/>
      </w:pPr>
      <w:r w:rsidRPr="00EE22E9">
        <w:t>Nivolumab Monotherapy</w:t>
      </w:r>
    </w:p>
    <w:p w14:paraId="5A7B4E0C" w14:textId="77777777" w:rsidR="00C659AE" w:rsidRDefault="00C659AE" w:rsidP="009045DE">
      <w:r w:rsidRPr="00521EB0">
        <w:t xml:space="preserve">The pharmacokinetics (PK) of </w:t>
      </w:r>
      <w:proofErr w:type="spellStart"/>
      <w:r w:rsidRPr="00521EB0">
        <w:t>nivolumab</w:t>
      </w:r>
      <w:proofErr w:type="spellEnd"/>
      <w:r w:rsidRPr="00521EB0">
        <w:t xml:space="preserve"> is linear in the dose range of 0.1 to 10 mg/kg. The exposure to </w:t>
      </w:r>
      <w:proofErr w:type="spellStart"/>
      <w:r w:rsidRPr="00521EB0">
        <w:t>nivolumab</w:t>
      </w:r>
      <w:proofErr w:type="spellEnd"/>
      <w:r w:rsidRPr="00521EB0">
        <w:t xml:space="preserve"> increased dose proportionally over the dose range of 0.1 to 10 mg/kg administered every 2 weeks</w:t>
      </w:r>
      <w:r>
        <w:t>.</w:t>
      </w:r>
    </w:p>
    <w:p w14:paraId="62C712CF" w14:textId="415DBE74" w:rsidR="00C659AE" w:rsidRDefault="00C659AE" w:rsidP="009045DE">
      <w:r>
        <w:t>Based on a population PK analysis, using data predominantly from patients with melanoma, NSCLC and RCC, t</w:t>
      </w:r>
      <w:r w:rsidRPr="00521EB0">
        <w:t>he geometric mean clearance (CL), terminal half-life, and average exposure at steady state at 3 mg/kg every</w:t>
      </w:r>
      <w:r>
        <w:t xml:space="preserve"> </w:t>
      </w:r>
      <w:r w:rsidRPr="00521EB0">
        <w:t xml:space="preserve">2 weeks of </w:t>
      </w:r>
      <w:proofErr w:type="spellStart"/>
      <w:r w:rsidRPr="00521EB0">
        <w:t>nivolumab</w:t>
      </w:r>
      <w:proofErr w:type="spellEnd"/>
      <w:r w:rsidRPr="00521EB0">
        <w:t xml:space="preserve"> were </w:t>
      </w:r>
      <w:r w:rsidR="00B7751B">
        <w:t>7.9</w:t>
      </w:r>
      <w:r w:rsidRPr="00521EB0">
        <w:t xml:space="preserve"> mL/h, </w:t>
      </w:r>
      <w:r w:rsidR="00B7751B">
        <w:t>25.0</w:t>
      </w:r>
      <w:r w:rsidRPr="00521EB0">
        <w:t xml:space="preserve"> days, and </w:t>
      </w:r>
      <w:proofErr w:type="gramStart"/>
      <w:r w:rsidR="00B7751B">
        <w:t>86.6</w:t>
      </w:r>
      <w:r w:rsidRPr="00521EB0">
        <w:t xml:space="preserve"> </w:t>
      </w:r>
      <w:proofErr w:type="spellStart"/>
      <w:r w:rsidRPr="00521EB0">
        <w:t>μg</w:t>
      </w:r>
      <w:proofErr w:type="spellEnd"/>
      <w:r w:rsidRPr="00521EB0">
        <w:t>/mL, respectively</w:t>
      </w:r>
      <w:proofErr w:type="gramEnd"/>
      <w:r w:rsidRPr="00521EB0">
        <w:t xml:space="preserve">. </w:t>
      </w:r>
    </w:p>
    <w:p w14:paraId="72DD48B9" w14:textId="77777777" w:rsidR="00C659AE" w:rsidRDefault="00C659AE" w:rsidP="009045DE">
      <w:r w:rsidRPr="00521EB0">
        <w:t xml:space="preserve">Steady-state concentrations of </w:t>
      </w:r>
      <w:proofErr w:type="spellStart"/>
      <w:r w:rsidRPr="00521EB0">
        <w:t>nivolumab</w:t>
      </w:r>
      <w:proofErr w:type="spellEnd"/>
      <w:r w:rsidRPr="00521EB0">
        <w:t xml:space="preserve"> were reached by 12 weeks when administered at 3 mg/kg every 2 weeks, and systemic accumulation was approximately 3-fold. </w:t>
      </w:r>
    </w:p>
    <w:p w14:paraId="2C1FD039" w14:textId="77777777" w:rsidR="00C659AE" w:rsidRPr="00817B3E" w:rsidRDefault="00C659AE" w:rsidP="00DB5FE1">
      <w:proofErr w:type="spellStart"/>
      <w:r w:rsidRPr="00817B3E">
        <w:t>Nivolumab</w:t>
      </w:r>
      <w:proofErr w:type="spellEnd"/>
      <w:r w:rsidRPr="00817B3E">
        <w:t xml:space="preserve"> CL increased with increasing body weight. Body weight normali</w:t>
      </w:r>
      <w:r>
        <w:t>s</w:t>
      </w:r>
      <w:r w:rsidRPr="00817B3E">
        <w:t>ed dosing produced approximately uniform steady</w:t>
      </w:r>
      <w:r w:rsidRPr="00817B3E">
        <w:noBreakHyphen/>
        <w:t>state trough concentration over a wide range of body weights (34</w:t>
      </w:r>
      <w:r w:rsidRPr="00817B3E">
        <w:noBreakHyphen/>
        <w:t>162 kg).</w:t>
      </w:r>
    </w:p>
    <w:p w14:paraId="6C6F7CE3" w14:textId="5101F0FE" w:rsidR="00C659AE" w:rsidRDefault="00C659AE" w:rsidP="00CF1847">
      <w:r w:rsidRPr="0086455C">
        <w:t xml:space="preserve">The metabolic pathway of </w:t>
      </w:r>
      <w:proofErr w:type="spellStart"/>
      <w:r w:rsidRPr="0086455C">
        <w:t>nivolumab</w:t>
      </w:r>
      <w:proofErr w:type="spellEnd"/>
      <w:r w:rsidRPr="0086455C">
        <w:t xml:space="preserve"> has not been characteri</w:t>
      </w:r>
      <w:r>
        <w:t>s</w:t>
      </w:r>
      <w:r w:rsidRPr="0086455C">
        <w:t xml:space="preserve">ed. As a fully human IgG4 monoclonal antibody, </w:t>
      </w:r>
      <w:proofErr w:type="spellStart"/>
      <w:r w:rsidRPr="0086455C">
        <w:t>nivolumab</w:t>
      </w:r>
      <w:proofErr w:type="spellEnd"/>
      <w:r w:rsidRPr="0086455C">
        <w:t xml:space="preserve"> is expected to be degraded into small peptides and amino acids via catabolic pathways in the same manner as endogenous IgG.</w:t>
      </w:r>
    </w:p>
    <w:p w14:paraId="371DA54D" w14:textId="2A770840" w:rsidR="00F67107" w:rsidRPr="00F67107" w:rsidRDefault="00F67107" w:rsidP="00F67107">
      <w:proofErr w:type="spellStart"/>
      <w:r w:rsidRPr="00F67107">
        <w:t>Nivolumab</w:t>
      </w:r>
      <w:proofErr w:type="spellEnd"/>
      <w:r w:rsidRPr="00F67107">
        <w:t xml:space="preserve"> baseline CL in adjuvant melanoma patients was approximately 40% lower and steady state CL approximately 20% lower relative to advanced melanoma. With available safety data, </w:t>
      </w:r>
      <w:proofErr w:type="gramStart"/>
      <w:r w:rsidRPr="00F67107">
        <w:t>this decreases</w:t>
      </w:r>
      <w:proofErr w:type="gramEnd"/>
      <w:r w:rsidRPr="00F67107">
        <w:t xml:space="preserve"> in CL </w:t>
      </w:r>
      <w:r w:rsidR="00E62440">
        <w:t xml:space="preserve">were </w:t>
      </w:r>
      <w:r w:rsidRPr="00F67107">
        <w:t>not clinically meaningful.</w:t>
      </w:r>
    </w:p>
    <w:p w14:paraId="021DEE16" w14:textId="42CC84ED" w:rsidR="00F67107" w:rsidRPr="0074363F" w:rsidRDefault="00F67107" w:rsidP="00F67107">
      <w:r>
        <w:t xml:space="preserve">In patients with </w:t>
      </w:r>
      <w:proofErr w:type="spellStart"/>
      <w:r>
        <w:t>cHL</w:t>
      </w:r>
      <w:proofErr w:type="spellEnd"/>
      <w:r>
        <w:t xml:space="preserve">, </w:t>
      </w:r>
      <w:proofErr w:type="spellStart"/>
      <w:r>
        <w:t>nivolumab</w:t>
      </w:r>
      <w:proofErr w:type="spellEnd"/>
      <w:r>
        <w:t xml:space="preserve"> </w:t>
      </w:r>
      <w:r w:rsidR="00043637">
        <w:t>CL</w:t>
      </w:r>
      <w:r>
        <w:t xml:space="preserve"> was lower resulting in a 15 day increase in the half-life and a 43% increase in exposure (as measured by median </w:t>
      </w:r>
      <w:proofErr w:type="spellStart"/>
      <w:r>
        <w:t>Cavgss</w:t>
      </w:r>
      <w:proofErr w:type="spellEnd"/>
      <w:r>
        <w:t xml:space="preserve">). The lower </w:t>
      </w:r>
      <w:proofErr w:type="spellStart"/>
      <w:r>
        <w:t>nivolumab</w:t>
      </w:r>
      <w:proofErr w:type="spellEnd"/>
      <w:r>
        <w:t xml:space="preserve"> </w:t>
      </w:r>
      <w:r w:rsidR="00043637">
        <w:t>CL</w:t>
      </w:r>
      <w:r>
        <w:t xml:space="preserve"> was not considered clinically meaningful; there was a flat predicted exposure-response relationship. </w:t>
      </w:r>
    </w:p>
    <w:p w14:paraId="528726D9" w14:textId="77777777" w:rsidR="00F67107" w:rsidRPr="0086455C" w:rsidRDefault="00F67107" w:rsidP="00CF1847"/>
    <w:p w14:paraId="6AF2ECEF" w14:textId="77777777" w:rsidR="00C659AE" w:rsidRPr="00EE22E9" w:rsidRDefault="00C659AE" w:rsidP="003E47FA">
      <w:pPr>
        <w:pStyle w:val="Heading3"/>
      </w:pPr>
      <w:r w:rsidRPr="00EE22E9">
        <w:t>Nivolumab in combination with ipilimumab</w:t>
      </w:r>
    </w:p>
    <w:p w14:paraId="1CCD59A3" w14:textId="792305CD" w:rsidR="00C659AE" w:rsidRPr="0086455C" w:rsidRDefault="00C659AE" w:rsidP="001042DD">
      <w:r w:rsidRPr="0086455C">
        <w:t xml:space="preserve">In the </w:t>
      </w:r>
      <w:proofErr w:type="spellStart"/>
      <w:r w:rsidRPr="0086455C">
        <w:t>nivolumab</w:t>
      </w:r>
      <w:proofErr w:type="spellEnd"/>
      <w:r w:rsidRPr="0086455C">
        <w:t xml:space="preserve"> and </w:t>
      </w:r>
      <w:proofErr w:type="spellStart"/>
      <w:r w:rsidRPr="0086455C">
        <w:t>ipilimumab</w:t>
      </w:r>
      <w:proofErr w:type="spellEnd"/>
      <w:r>
        <w:t xml:space="preserve"> combination, </w:t>
      </w:r>
      <w:proofErr w:type="spellStart"/>
      <w:r>
        <w:t>nivolumab</w:t>
      </w:r>
      <w:proofErr w:type="spellEnd"/>
      <w:r>
        <w:t xml:space="preserve"> 1mg/kg </w:t>
      </w:r>
      <w:r w:rsidRPr="0086455C">
        <w:t>had no effect on th</w:t>
      </w:r>
      <w:r>
        <w:t xml:space="preserve">e </w:t>
      </w:r>
      <w:r w:rsidR="00043637">
        <w:t>CL</w:t>
      </w:r>
      <w:r>
        <w:t xml:space="preserve"> of </w:t>
      </w:r>
      <w:proofErr w:type="spellStart"/>
      <w:r>
        <w:t>ipilimumab</w:t>
      </w:r>
      <w:proofErr w:type="spellEnd"/>
      <w:r>
        <w:t xml:space="preserve">, and </w:t>
      </w:r>
      <w:proofErr w:type="spellStart"/>
      <w:r w:rsidRPr="0086455C">
        <w:t>ipilimumab</w:t>
      </w:r>
      <w:proofErr w:type="spellEnd"/>
      <w:r w:rsidRPr="0086455C">
        <w:t xml:space="preserve"> 3mg/kg had a 24% increase in </w:t>
      </w:r>
      <w:r w:rsidR="00043637">
        <w:t>CL</w:t>
      </w:r>
      <w:r w:rsidRPr="0086455C">
        <w:t xml:space="preserve"> of </w:t>
      </w:r>
      <w:proofErr w:type="spellStart"/>
      <w:r w:rsidRPr="0086455C">
        <w:t>nivolumab</w:t>
      </w:r>
      <w:proofErr w:type="spellEnd"/>
      <w:r w:rsidRPr="0086455C">
        <w:t xml:space="preserve"> based on a population PK analysis.</w:t>
      </w:r>
    </w:p>
    <w:p w14:paraId="1E0842CA" w14:textId="4FA2706C" w:rsidR="00C659AE" w:rsidRPr="0067671F" w:rsidRDefault="00C659AE" w:rsidP="001042DD">
      <w:pPr>
        <w:rPr>
          <w:color w:val="000000" w:themeColor="text1"/>
        </w:rPr>
      </w:pPr>
      <w:r w:rsidRPr="0086455C">
        <w:t xml:space="preserve">In the </w:t>
      </w:r>
      <w:proofErr w:type="spellStart"/>
      <w:r w:rsidRPr="0086455C">
        <w:t>nivolumab</w:t>
      </w:r>
      <w:proofErr w:type="spellEnd"/>
      <w:r w:rsidRPr="0086455C">
        <w:t xml:space="preserve"> and </w:t>
      </w:r>
      <w:proofErr w:type="spellStart"/>
      <w:r w:rsidRPr="0086455C">
        <w:t>ipilimumab</w:t>
      </w:r>
      <w:proofErr w:type="spellEnd"/>
      <w:r w:rsidRPr="0086455C">
        <w:t xml:space="preserve"> combination, the </w:t>
      </w:r>
      <w:r w:rsidR="00043637">
        <w:t>CL</w:t>
      </w:r>
      <w:r w:rsidRPr="0086455C">
        <w:t xml:space="preserve"> of </w:t>
      </w:r>
      <w:proofErr w:type="spellStart"/>
      <w:r w:rsidRPr="0086455C">
        <w:t>niv</w:t>
      </w:r>
      <w:r>
        <w:t>olumab</w:t>
      </w:r>
      <w:proofErr w:type="spellEnd"/>
      <w:r>
        <w:t xml:space="preserve"> increased by 42% in the </w:t>
      </w:r>
      <w:r w:rsidRPr="0086455C">
        <w:t>presence of anti-</w:t>
      </w:r>
      <w:proofErr w:type="spellStart"/>
      <w:r w:rsidRPr="0086455C">
        <w:t>ni</w:t>
      </w:r>
      <w:r w:rsidRPr="0067671F">
        <w:rPr>
          <w:color w:val="000000" w:themeColor="text1"/>
        </w:rPr>
        <w:t>volumab</w:t>
      </w:r>
      <w:proofErr w:type="spellEnd"/>
      <w:r w:rsidRPr="0067671F">
        <w:rPr>
          <w:color w:val="000000" w:themeColor="text1"/>
        </w:rPr>
        <w:t xml:space="preserve"> antibody based on a population PK analysis.  There was no effect of anti-</w:t>
      </w:r>
      <w:proofErr w:type="spellStart"/>
      <w:r w:rsidRPr="0067671F">
        <w:rPr>
          <w:color w:val="000000" w:themeColor="text1"/>
        </w:rPr>
        <w:t>ipilimumab</w:t>
      </w:r>
      <w:proofErr w:type="spellEnd"/>
      <w:r w:rsidRPr="0067671F">
        <w:rPr>
          <w:color w:val="000000" w:themeColor="text1"/>
        </w:rPr>
        <w:t xml:space="preserve"> antibodies on the clearance of </w:t>
      </w:r>
      <w:proofErr w:type="spellStart"/>
      <w:r w:rsidRPr="0067671F">
        <w:rPr>
          <w:color w:val="000000" w:themeColor="text1"/>
        </w:rPr>
        <w:t>ipilimumab</w:t>
      </w:r>
      <w:proofErr w:type="spellEnd"/>
      <w:r w:rsidRPr="0067671F">
        <w:rPr>
          <w:color w:val="000000" w:themeColor="text1"/>
        </w:rPr>
        <w:t xml:space="preserve"> based on a population PK analysis.</w:t>
      </w:r>
    </w:p>
    <w:p w14:paraId="45B01504" w14:textId="77777777" w:rsidR="00C659AE" w:rsidRPr="00743811" w:rsidRDefault="00C659AE" w:rsidP="003E47FA">
      <w:pPr>
        <w:pStyle w:val="Heading3"/>
      </w:pPr>
      <w:r w:rsidRPr="00743811">
        <w:t>Special populations</w:t>
      </w:r>
    </w:p>
    <w:p w14:paraId="50C867AA" w14:textId="3968E788" w:rsidR="00C659AE" w:rsidRPr="0067671F" w:rsidRDefault="00C659AE" w:rsidP="001042DD">
      <w:r>
        <w:t>P</w:t>
      </w:r>
      <w:r w:rsidRPr="0067671F">
        <w:t xml:space="preserve">opulation PK analysis suggested no difference in CL of </w:t>
      </w:r>
      <w:proofErr w:type="spellStart"/>
      <w:r w:rsidRPr="0067671F">
        <w:t>nivolumab</w:t>
      </w:r>
      <w:proofErr w:type="spellEnd"/>
      <w:r w:rsidRPr="0067671F">
        <w:t xml:space="preserve"> based on age, gender, race, </w:t>
      </w:r>
      <w:r>
        <w:t xml:space="preserve">solid tumour type, </w:t>
      </w:r>
      <w:r w:rsidRPr="0067671F">
        <w:t xml:space="preserve">tumour size, and hepatic impairment. </w:t>
      </w:r>
      <w:r>
        <w:t xml:space="preserve">The majority of patients in this analysis were diagnosed with NSCLC. </w:t>
      </w:r>
      <w:r w:rsidRPr="0067671F">
        <w:rPr>
          <w:iCs/>
        </w:rPr>
        <w:t>Although ECOG status, baseline glomerular filtration rate (GFR)</w:t>
      </w:r>
      <w:r w:rsidR="00B7751B">
        <w:rPr>
          <w:iCs/>
        </w:rPr>
        <w:t xml:space="preserve"> and</w:t>
      </w:r>
      <w:r w:rsidRPr="0067671F">
        <w:rPr>
          <w:iCs/>
        </w:rPr>
        <w:t xml:space="preserve"> body weight had an effect on </w:t>
      </w:r>
      <w:proofErr w:type="spellStart"/>
      <w:r w:rsidRPr="0067671F">
        <w:rPr>
          <w:iCs/>
        </w:rPr>
        <w:t>nivolumab</w:t>
      </w:r>
      <w:proofErr w:type="spellEnd"/>
      <w:r w:rsidRPr="0067671F">
        <w:rPr>
          <w:iCs/>
        </w:rPr>
        <w:t xml:space="preserve"> CL, the effect was not clinically meaningful</w:t>
      </w:r>
      <w:r w:rsidRPr="0067671F">
        <w:t xml:space="preserve">. </w:t>
      </w:r>
    </w:p>
    <w:p w14:paraId="66777AB4" w14:textId="77777777" w:rsidR="00C659AE" w:rsidRPr="009B63D4" w:rsidRDefault="00C659AE" w:rsidP="001042DD">
      <w:r w:rsidRPr="00743811">
        <w:t xml:space="preserve">Patients with lower baseline serum albumin tended to have lower exposure to </w:t>
      </w:r>
      <w:proofErr w:type="spellStart"/>
      <w:r w:rsidRPr="00743811">
        <w:t>nivolumab</w:t>
      </w:r>
      <w:proofErr w:type="spellEnd"/>
      <w:r w:rsidRPr="00743811">
        <w:t xml:space="preserve">. However, because of the flat exposure-response relationship between </w:t>
      </w:r>
      <w:proofErr w:type="spellStart"/>
      <w:r w:rsidRPr="00743811">
        <w:t>nivolumab</w:t>
      </w:r>
      <w:proofErr w:type="spellEnd"/>
      <w:r w:rsidRPr="00743811">
        <w:t xml:space="preserve"> exposure and overall survival, </w:t>
      </w:r>
      <w:r w:rsidRPr="00743811">
        <w:lastRenderedPageBreak/>
        <w:t xml:space="preserve">this effect is unlikely to </w:t>
      </w:r>
      <w:r>
        <w:t>be clinically meaningful and no dose adjustment is recommended for patients with lower serum albumin.</w:t>
      </w:r>
    </w:p>
    <w:p w14:paraId="14778F4D" w14:textId="77777777" w:rsidR="00C659AE" w:rsidRPr="006D4B4C" w:rsidRDefault="00C659AE" w:rsidP="003E47FA">
      <w:pPr>
        <w:pStyle w:val="Heading3"/>
      </w:pPr>
      <w:r w:rsidRPr="006D4B4C">
        <w:t>Renal impairment</w:t>
      </w:r>
    </w:p>
    <w:p w14:paraId="15E7C0DF" w14:textId="7042C457" w:rsidR="00C659AE" w:rsidRDefault="00C659AE" w:rsidP="001042DD">
      <w:r w:rsidRPr="006D4B4C">
        <w:t xml:space="preserve">The effect of renal impairment on the CL of </w:t>
      </w:r>
      <w:proofErr w:type="spellStart"/>
      <w:r w:rsidRPr="006D4B4C">
        <w:t>nivolumab</w:t>
      </w:r>
      <w:proofErr w:type="spellEnd"/>
      <w:r w:rsidRPr="006D4B4C">
        <w:t xml:space="preserve"> was evaluated in patients with mild</w:t>
      </w:r>
      <w:r w:rsidR="00B7751B">
        <w:t>*</w:t>
      </w:r>
      <w:r w:rsidRPr="006D4B4C">
        <w:t xml:space="preserve"> (n = 379), moderate</w:t>
      </w:r>
      <w:r w:rsidR="00B7751B">
        <w:t>*</w:t>
      </w:r>
      <w:r w:rsidRPr="006D4B4C">
        <w:t xml:space="preserve"> (n = 179), or severe</w:t>
      </w:r>
      <w:r w:rsidR="00B7751B">
        <w:t>*</w:t>
      </w:r>
      <w:r w:rsidRPr="006D4B4C">
        <w:t xml:space="preserve"> (n = 2) renal impairment compared to patients with normal</w:t>
      </w:r>
      <w:r w:rsidR="00B7751B">
        <w:t>*</w:t>
      </w:r>
      <w:r w:rsidRPr="006D4B4C">
        <w:t xml:space="preserve"> renal function (n = 342) in population PK analyses. No clinically important differences in the CL of </w:t>
      </w:r>
      <w:proofErr w:type="spellStart"/>
      <w:r w:rsidRPr="006D4B4C">
        <w:t>nivolumab</w:t>
      </w:r>
      <w:proofErr w:type="spellEnd"/>
      <w:r w:rsidRPr="006D4B4C">
        <w:t xml:space="preserve"> were found between patients with mild or moderate renal impairment and patients with normal renal function. There were insufficient </w:t>
      </w:r>
      <w:r w:rsidRPr="00084F14">
        <w:t xml:space="preserve">data to determine the effect of severe renal impairment on the CL of </w:t>
      </w:r>
      <w:proofErr w:type="spellStart"/>
      <w:r w:rsidRPr="00084F14">
        <w:t>nivolumab</w:t>
      </w:r>
      <w:proofErr w:type="spellEnd"/>
      <w:r w:rsidRPr="006D4B4C">
        <w:t xml:space="preserve"> (</w:t>
      </w:r>
      <w:r w:rsidRPr="00F150A8">
        <w:t>see</w:t>
      </w:r>
      <w:r>
        <w:t xml:space="preserve"> </w:t>
      </w:r>
      <w:r w:rsidR="00241755">
        <w:t>Section 4.2</w:t>
      </w:r>
      <w:r w:rsidR="00DB5FE1">
        <w:t xml:space="preserve">. </w:t>
      </w:r>
      <w:proofErr w:type="gramStart"/>
      <w:r w:rsidR="00DB5FE1">
        <w:t>Dose and method of administration</w:t>
      </w:r>
      <w:r w:rsidR="00241755">
        <w:t xml:space="preserve"> and 4.4</w:t>
      </w:r>
      <w:r w:rsidR="00DB5FE1">
        <w:t>.</w:t>
      </w:r>
      <w:proofErr w:type="gramEnd"/>
      <w:r w:rsidR="00DB5FE1">
        <w:t xml:space="preserve"> </w:t>
      </w:r>
      <w:proofErr w:type="gramStart"/>
      <w:r w:rsidR="00DB5FE1">
        <w:t>Special warnings and precautions for use</w:t>
      </w:r>
      <w:r w:rsidR="00241755">
        <w:t>)</w:t>
      </w:r>
      <w:r w:rsidRPr="0094339C">
        <w:t>.</w:t>
      </w:r>
      <w:proofErr w:type="gramEnd"/>
    </w:p>
    <w:p w14:paraId="347427E6" w14:textId="61EDF2A3" w:rsidR="00B7751B" w:rsidRPr="00131E0E" w:rsidRDefault="00131E0E" w:rsidP="00131E0E">
      <w:pPr>
        <w:pStyle w:val="EMEABodyText"/>
        <w:rPr>
          <w:rFonts w:eastAsia="TimesNewRoman,Italic"/>
          <w:i/>
          <w:iCs/>
          <w:sz w:val="18"/>
          <w:szCs w:val="18"/>
        </w:rPr>
      </w:pPr>
      <w:r>
        <w:rPr>
          <w:rFonts w:eastAsia="TimesNewRoman,Italic"/>
          <w:i/>
          <w:iCs/>
          <w:sz w:val="18"/>
          <w:szCs w:val="18"/>
        </w:rPr>
        <w:t>*</w:t>
      </w:r>
      <w:r w:rsidR="00B7751B" w:rsidRPr="00131E0E">
        <w:rPr>
          <w:rFonts w:eastAsia="TimesNewRoman,Italic"/>
          <w:i/>
          <w:iCs/>
          <w:sz w:val="18"/>
          <w:szCs w:val="18"/>
        </w:rPr>
        <w:t>Per National Kidney Foundation criteria of renal impairment:</w:t>
      </w:r>
      <w:r w:rsidR="00B7751B">
        <w:rPr>
          <w:rFonts w:eastAsia="TimesNewRoman,Italic"/>
          <w:i/>
          <w:iCs/>
          <w:sz w:val="18"/>
          <w:szCs w:val="18"/>
        </w:rPr>
        <w:t xml:space="preserve"> </w:t>
      </w:r>
      <w:r w:rsidR="00B7751B" w:rsidRPr="00131E0E">
        <w:rPr>
          <w:rFonts w:eastAsia="TimesNewRoman,Italic"/>
          <w:i/>
          <w:iCs/>
          <w:sz w:val="18"/>
          <w:szCs w:val="18"/>
        </w:rPr>
        <w:t>Normal: GFR ≥90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Mild: GFR &lt;90 and ≥60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Moderate: GFR &lt;60 and ≥30 mL/min/1.73 m</w:t>
      </w:r>
      <w:r w:rsidR="00B7751B" w:rsidRPr="00131E0E">
        <w:rPr>
          <w:rFonts w:eastAsia="TimesNewRoman,Italic"/>
          <w:i/>
          <w:iCs/>
          <w:sz w:val="18"/>
          <w:szCs w:val="18"/>
          <w:vertAlign w:val="superscript"/>
        </w:rPr>
        <w:t>2</w:t>
      </w:r>
      <w:r w:rsidR="00B7751B">
        <w:rPr>
          <w:rFonts w:eastAsia="TimesNewRoman,Italic"/>
          <w:i/>
          <w:iCs/>
          <w:sz w:val="18"/>
          <w:szCs w:val="18"/>
        </w:rPr>
        <w:t xml:space="preserve">; </w:t>
      </w:r>
      <w:r w:rsidR="00B7751B" w:rsidRPr="00131E0E">
        <w:rPr>
          <w:rFonts w:eastAsia="TimesNewRoman,Italic"/>
          <w:i/>
          <w:iCs/>
          <w:sz w:val="18"/>
          <w:szCs w:val="18"/>
        </w:rPr>
        <w:t>Severe: GFR &lt;30 and ≥15 mL/min/1.73 m</w:t>
      </w:r>
      <w:r w:rsidR="00B7751B" w:rsidRPr="00131E0E">
        <w:rPr>
          <w:rFonts w:eastAsia="TimesNewRoman,Italic"/>
          <w:i/>
          <w:iCs/>
          <w:sz w:val="18"/>
          <w:szCs w:val="18"/>
          <w:vertAlign w:val="superscript"/>
        </w:rPr>
        <w:t>2</w:t>
      </w:r>
    </w:p>
    <w:p w14:paraId="607742A8" w14:textId="77777777" w:rsidR="00C659AE" w:rsidRDefault="00C659AE" w:rsidP="003E47FA">
      <w:pPr>
        <w:pStyle w:val="Heading3"/>
      </w:pPr>
      <w:r w:rsidRPr="0094339C">
        <w:t>Hepatic impairment</w:t>
      </w:r>
    </w:p>
    <w:p w14:paraId="263EE5AA" w14:textId="78B5C6F2" w:rsidR="00C659AE" w:rsidRDefault="00C659AE" w:rsidP="001042DD">
      <w:r w:rsidRPr="0094339C">
        <w:t xml:space="preserve">The effect of hepatic impairment on the CL of </w:t>
      </w:r>
      <w:proofErr w:type="spellStart"/>
      <w:r w:rsidRPr="0094339C">
        <w:t>nivolumab</w:t>
      </w:r>
      <w:proofErr w:type="spellEnd"/>
      <w:r w:rsidRPr="0094339C">
        <w:t xml:space="preserve"> was evaluated in patients with mild</w:t>
      </w:r>
      <w:r w:rsidR="00131E0E">
        <w:t>*</w:t>
      </w:r>
      <w:r w:rsidRPr="0094339C">
        <w:t xml:space="preserve"> hepatic </w:t>
      </w:r>
      <w:proofErr w:type="gramStart"/>
      <w:r w:rsidRPr="0094339C">
        <w:t>impairment  compared</w:t>
      </w:r>
      <w:proofErr w:type="gramEnd"/>
      <w:r w:rsidRPr="0094339C">
        <w:t xml:space="preserve"> to patients with normal</w:t>
      </w:r>
      <w:r w:rsidR="00131E0E">
        <w:t>*</w:t>
      </w:r>
      <w:r w:rsidRPr="0094339C">
        <w:t xml:space="preserve"> hepatic function (total bilirubin and AST ≤ ULN; n = 804) in the population PK analyses. No clinically important differences in the CL of </w:t>
      </w:r>
      <w:proofErr w:type="spellStart"/>
      <w:r w:rsidRPr="0094339C">
        <w:t>nivolumab</w:t>
      </w:r>
      <w:proofErr w:type="spellEnd"/>
      <w:r w:rsidRPr="0094339C">
        <w:t xml:space="preserve"> were found between patients with mild hepatic impairment and </w:t>
      </w:r>
      <w:r w:rsidR="00131E0E">
        <w:t xml:space="preserve">patients with </w:t>
      </w:r>
      <w:r w:rsidRPr="0094339C">
        <w:t xml:space="preserve">normal hepatic function. </w:t>
      </w:r>
      <w:proofErr w:type="spellStart"/>
      <w:r w:rsidRPr="0094339C">
        <w:t>Nivolumab</w:t>
      </w:r>
      <w:proofErr w:type="spellEnd"/>
      <w:r w:rsidRPr="0094339C">
        <w:t xml:space="preserve"> has not been studied in patients with moderate (total bilirubin &gt; 1.5 × to 3 × ULN and any AST) or severe hepatic impairment (total bilirubin &gt; 3 × ULN and any AST) (</w:t>
      </w:r>
      <w:r w:rsidRPr="00F150A8">
        <w:t>see</w:t>
      </w:r>
      <w:r w:rsidRPr="002C2768">
        <w:t xml:space="preserve"> </w:t>
      </w:r>
      <w:r w:rsidR="00E03130">
        <w:t>Section 4.2</w:t>
      </w:r>
      <w:r w:rsidR="00CF1847">
        <w:t xml:space="preserve">. </w:t>
      </w:r>
      <w:proofErr w:type="gramStart"/>
      <w:r w:rsidR="00CF1847">
        <w:t>Dose and method of administration</w:t>
      </w:r>
      <w:r w:rsidR="00E03130">
        <w:t xml:space="preserve"> and 4.4</w:t>
      </w:r>
      <w:r w:rsidR="00CF1847">
        <w:t>.</w:t>
      </w:r>
      <w:proofErr w:type="gramEnd"/>
      <w:r w:rsidR="00CF1847">
        <w:t xml:space="preserve"> </w:t>
      </w:r>
      <w:proofErr w:type="gramStart"/>
      <w:r w:rsidR="00CF1847">
        <w:t>Special warnings and precautions for use</w:t>
      </w:r>
      <w:r w:rsidR="00E03130">
        <w:t>)</w:t>
      </w:r>
      <w:r w:rsidRPr="0094339C">
        <w:t>.</w:t>
      </w:r>
      <w:proofErr w:type="gramEnd"/>
    </w:p>
    <w:p w14:paraId="0B5FFFB9" w14:textId="5B0A58DA" w:rsidR="00131E0E" w:rsidRPr="00131E0E" w:rsidRDefault="00131E0E" w:rsidP="00131E0E">
      <w:pPr>
        <w:rPr>
          <w:rFonts w:eastAsia="TimesNewRoman,Italic"/>
          <w:i/>
          <w:sz w:val="18"/>
          <w:szCs w:val="18"/>
        </w:rPr>
      </w:pPr>
      <w:r w:rsidRPr="00131E0E">
        <w:rPr>
          <w:rFonts w:eastAsia="TimesNewRoman,Italic"/>
          <w:i/>
          <w:sz w:val="18"/>
          <w:szCs w:val="18"/>
        </w:rPr>
        <w:t xml:space="preserve">*Per National Cancer Institute criteria of hepatic dysfunction: Normal: total bilirubin and AST ≤ ULN; Mild: total bilirubin &gt;1.0 to 1.5 times ULN or AST &gt; ULN; Moderate: total bilirubin &gt;1.5 to 3 times ULN and any AST; Severe: </w:t>
      </w:r>
      <w:r w:rsidRPr="00131E0E">
        <w:rPr>
          <w:rFonts w:eastAsia="TimesNewRoman"/>
          <w:i/>
          <w:sz w:val="18"/>
          <w:szCs w:val="18"/>
        </w:rPr>
        <w:t>t</w:t>
      </w:r>
      <w:r w:rsidRPr="00131E0E">
        <w:rPr>
          <w:rFonts w:eastAsia="TimesNewRoman,Italic"/>
          <w:i/>
          <w:sz w:val="18"/>
          <w:szCs w:val="18"/>
        </w:rPr>
        <w:t>otal bilirubin &gt;3 times ULN and any AST</w:t>
      </w:r>
    </w:p>
    <w:p w14:paraId="650795F2" w14:textId="77777777" w:rsidR="00C659AE" w:rsidRPr="0094339C" w:rsidRDefault="00C659AE" w:rsidP="003E47FA">
      <w:pPr>
        <w:pStyle w:val="Heading3"/>
      </w:pPr>
      <w:r w:rsidRPr="0094339C">
        <w:t>Cardiac Electrophysiology</w:t>
      </w:r>
    </w:p>
    <w:p w14:paraId="5DD3FD51" w14:textId="77777777" w:rsidR="00C659AE" w:rsidRPr="0094339C" w:rsidRDefault="00C659AE" w:rsidP="001042DD">
      <w:r w:rsidRPr="0094339C">
        <w:t xml:space="preserve">The potential effect of </w:t>
      </w:r>
      <w:proofErr w:type="spellStart"/>
      <w:r w:rsidRPr="0094339C">
        <w:t>nivolumab</w:t>
      </w:r>
      <w:proofErr w:type="spellEnd"/>
      <w:r w:rsidRPr="0094339C">
        <w:t xml:space="preserve"> on </w:t>
      </w:r>
      <w:proofErr w:type="spellStart"/>
      <w:r w:rsidRPr="0094339C">
        <w:t>QTc</w:t>
      </w:r>
      <w:proofErr w:type="spellEnd"/>
      <w:r w:rsidRPr="0094339C">
        <w:t xml:space="preserve"> interval was evaluated in 146 patients at doses up to 10 mg/kg every three weeks. No changes in mean QT interval were detected in </w:t>
      </w:r>
      <w:proofErr w:type="spellStart"/>
      <w:r w:rsidRPr="0094339C">
        <w:t>nivolumab</w:t>
      </w:r>
      <w:proofErr w:type="spellEnd"/>
      <w:r w:rsidRPr="0094339C">
        <w:t xml:space="preserve">-treated patients based on </w:t>
      </w:r>
      <w:proofErr w:type="spellStart"/>
      <w:r w:rsidRPr="0094339C">
        <w:t>Fridericia</w:t>
      </w:r>
      <w:proofErr w:type="spellEnd"/>
      <w:r w:rsidRPr="0094339C">
        <w:t xml:space="preserve"> correction method</w:t>
      </w:r>
      <w:r w:rsidRPr="005344EB">
        <w:t xml:space="preserve">. </w:t>
      </w:r>
    </w:p>
    <w:p w14:paraId="1C7FE783" w14:textId="0097E269" w:rsidR="00927F62" w:rsidRDefault="00C659AE" w:rsidP="001042DD">
      <w:r w:rsidRPr="009C6FF8">
        <w:t xml:space="preserve">Ipilimumab did not have a clinically meaningful effect on the </w:t>
      </w:r>
      <w:proofErr w:type="spellStart"/>
      <w:r w:rsidRPr="009C6FF8">
        <w:t>QTc</w:t>
      </w:r>
      <w:proofErr w:type="spellEnd"/>
      <w:r w:rsidRPr="009C6FF8">
        <w:t xml:space="preserve"> interval at doses up to 10mg/kg. Thus, QT interval prolongation is not expected with the </w:t>
      </w:r>
      <w:proofErr w:type="spellStart"/>
      <w:r w:rsidRPr="009C6FF8">
        <w:t>nivolumab</w:t>
      </w:r>
      <w:proofErr w:type="spellEnd"/>
      <w:r w:rsidRPr="009C6FF8">
        <w:t xml:space="preserve"> and </w:t>
      </w:r>
      <w:proofErr w:type="spellStart"/>
      <w:r w:rsidRPr="009C6FF8">
        <w:t>ipilimumab</w:t>
      </w:r>
      <w:proofErr w:type="spellEnd"/>
      <w:r w:rsidRPr="009C6FF8">
        <w:t xml:space="preserve"> combination.</w:t>
      </w:r>
    </w:p>
    <w:p w14:paraId="5DD57889" w14:textId="77777777" w:rsidR="00927F62" w:rsidRDefault="00927F62">
      <w:pPr>
        <w:spacing w:line="276" w:lineRule="auto"/>
        <w:jc w:val="left"/>
      </w:pPr>
      <w:r>
        <w:br w:type="page"/>
      </w:r>
    </w:p>
    <w:bookmarkEnd w:id="17"/>
    <w:bookmarkEnd w:id="18"/>
    <w:bookmarkEnd w:id="19"/>
    <w:bookmarkEnd w:id="20"/>
    <w:bookmarkEnd w:id="21"/>
    <w:bookmarkEnd w:id="22"/>
    <w:bookmarkEnd w:id="23"/>
    <w:bookmarkEnd w:id="24"/>
    <w:p w14:paraId="298FA0B1" w14:textId="3A745DCA" w:rsidR="001A3992" w:rsidRPr="003B14A8" w:rsidRDefault="001A3992" w:rsidP="00CF1847">
      <w:pPr>
        <w:pStyle w:val="Heading2"/>
      </w:pPr>
      <w:r w:rsidRPr="003B14A8">
        <w:lastRenderedPageBreak/>
        <w:t>Preclinical safety data</w:t>
      </w:r>
    </w:p>
    <w:p w14:paraId="13DFEFA2" w14:textId="77777777" w:rsidR="00A67FC2" w:rsidRPr="00A67FC2" w:rsidRDefault="00A67FC2" w:rsidP="000325AA">
      <w:pPr>
        <w:rPr>
          <w:snapToGrid w:val="0"/>
        </w:rPr>
      </w:pPr>
      <w:r w:rsidRPr="00A67FC2">
        <w:rPr>
          <w:snapToGrid w:val="0"/>
        </w:rPr>
        <w:t xml:space="preserve">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w:t>
      </w:r>
      <w:proofErr w:type="spellStart"/>
      <w:r w:rsidRPr="00A67FC2">
        <w:rPr>
          <w:snapToGrid w:val="0"/>
        </w:rPr>
        <w:t>fetal</w:t>
      </w:r>
      <w:proofErr w:type="spellEnd"/>
      <w:r w:rsidRPr="00A67FC2">
        <w:rPr>
          <w:snapToGrid w:val="0"/>
        </w:rPr>
        <w:t xml:space="preserve"> losses and increased neonatal mortality mainly in the 3rd trimester of pregnancy and after birth.</w:t>
      </w:r>
    </w:p>
    <w:p w14:paraId="55059288" w14:textId="1EF054E9" w:rsidR="00A67FC2" w:rsidRDefault="00A67FC2" w:rsidP="000325AA">
      <w:r w:rsidRPr="00A67FC2">
        <w:t>The remaining offspring of OPDIVO-treated females survived to scheduled termination, with no treatment-related clinical signs, alterations to normal development, organ-weight effects, or gross and microscopic pathology changes. Results for growth indices, as well as teratogenic, neurobehavioral, immunological and clinical pathology parameters throughout the 6-month postnatal period were comparable to the control group.</w:t>
      </w:r>
    </w:p>
    <w:p w14:paraId="06147C9F" w14:textId="636FD9DB" w:rsidR="001A3992" w:rsidRDefault="001A3992" w:rsidP="003E47FA">
      <w:pPr>
        <w:pStyle w:val="Heading3"/>
      </w:pPr>
      <w:r w:rsidRPr="003B14A8">
        <w:t>Genotoxicity</w:t>
      </w:r>
    </w:p>
    <w:p w14:paraId="1A76EA0F" w14:textId="6078C9D0" w:rsidR="00A67FC2" w:rsidRDefault="00A67FC2" w:rsidP="000325AA">
      <w:r w:rsidRPr="000D1179">
        <w:t xml:space="preserve">Studies to evaluate the </w:t>
      </w:r>
      <w:r>
        <w:t xml:space="preserve">genotoxic </w:t>
      </w:r>
      <w:r w:rsidRPr="000D1179">
        <w:t xml:space="preserve">potential of </w:t>
      </w:r>
      <w:r>
        <w:t>OPDIVO</w:t>
      </w:r>
      <w:r w:rsidRPr="000D1179">
        <w:t xml:space="preserve"> have not been performed. </w:t>
      </w:r>
    </w:p>
    <w:p w14:paraId="5AFD9CD4" w14:textId="11A8DAB8" w:rsidR="001A3992" w:rsidRDefault="001A3992" w:rsidP="003E47FA">
      <w:pPr>
        <w:pStyle w:val="Heading3"/>
      </w:pPr>
      <w:r w:rsidRPr="003B14A8">
        <w:t>Carcinogenicity</w:t>
      </w:r>
    </w:p>
    <w:p w14:paraId="72619135" w14:textId="3EA9559B" w:rsidR="00A67FC2" w:rsidRDefault="00A67FC2" w:rsidP="000325AA">
      <w:r w:rsidRPr="000D1179">
        <w:t xml:space="preserve">Studies to evaluate the carcinogenic potential of </w:t>
      </w:r>
      <w:r>
        <w:t>OPDIVO</w:t>
      </w:r>
      <w:r w:rsidRPr="000D1179">
        <w:t xml:space="preserve"> have not been performed. </w:t>
      </w:r>
    </w:p>
    <w:p w14:paraId="4E764C47" w14:textId="77777777" w:rsidR="001A3992" w:rsidRPr="003B14A8" w:rsidRDefault="001A3992" w:rsidP="004B6E16">
      <w:pPr>
        <w:pStyle w:val="Heading1"/>
      </w:pPr>
      <w:r w:rsidRPr="003B14A8">
        <w:t>Pharmaceutical particulars</w:t>
      </w:r>
    </w:p>
    <w:p w14:paraId="2B5922C6" w14:textId="26277D4E" w:rsidR="001A3992" w:rsidRDefault="00F01F58" w:rsidP="003C2DE8">
      <w:pPr>
        <w:pStyle w:val="Heading2"/>
      </w:pPr>
      <w:r>
        <w:t>List of excipients</w:t>
      </w:r>
    </w:p>
    <w:p w14:paraId="06594780" w14:textId="705020C2" w:rsidR="00A67FC2" w:rsidRPr="00A67FC2" w:rsidRDefault="00A67FC2" w:rsidP="000325AA">
      <w:pPr>
        <w:spacing w:after="0"/>
      </w:pPr>
      <w:r>
        <w:t>S</w:t>
      </w:r>
      <w:r w:rsidRPr="00A67FC2">
        <w:t>odium citrate</w:t>
      </w:r>
    </w:p>
    <w:p w14:paraId="2E7938AE" w14:textId="5F003CAC" w:rsidR="00A67FC2" w:rsidRPr="00A67FC2" w:rsidRDefault="00A67FC2" w:rsidP="000325AA">
      <w:pPr>
        <w:spacing w:after="0"/>
      </w:pPr>
      <w:r>
        <w:t>S</w:t>
      </w:r>
      <w:r w:rsidRPr="00A67FC2">
        <w:t>odium chloride</w:t>
      </w:r>
    </w:p>
    <w:p w14:paraId="07CF727B" w14:textId="474779E5" w:rsidR="00A67FC2" w:rsidRPr="00A67FC2" w:rsidRDefault="00A67FC2" w:rsidP="000325AA">
      <w:pPr>
        <w:spacing w:after="0"/>
      </w:pPr>
      <w:r>
        <w:t>M</w:t>
      </w:r>
      <w:r w:rsidRPr="00A67FC2">
        <w:t>annitol (E421)</w:t>
      </w:r>
    </w:p>
    <w:p w14:paraId="2DDCE240" w14:textId="5606BF32" w:rsidR="00A67FC2" w:rsidRPr="00A67FC2" w:rsidRDefault="00A67FC2" w:rsidP="000325AA">
      <w:pPr>
        <w:spacing w:after="0"/>
      </w:pPr>
      <w:proofErr w:type="spellStart"/>
      <w:r>
        <w:t>P</w:t>
      </w:r>
      <w:r w:rsidRPr="00A67FC2">
        <w:t>entetic</w:t>
      </w:r>
      <w:proofErr w:type="spellEnd"/>
      <w:r w:rsidRPr="00A67FC2">
        <w:t xml:space="preserve"> acid (</w:t>
      </w:r>
      <w:proofErr w:type="spellStart"/>
      <w:r w:rsidRPr="00A67FC2">
        <w:t>diethylenetriaminepentaacetic</w:t>
      </w:r>
      <w:proofErr w:type="spellEnd"/>
      <w:r w:rsidRPr="00A67FC2">
        <w:t xml:space="preserve"> acid)</w:t>
      </w:r>
    </w:p>
    <w:p w14:paraId="25986FE6" w14:textId="01CDE004" w:rsidR="00A50875" w:rsidRDefault="00A67FC2" w:rsidP="000325AA">
      <w:pPr>
        <w:spacing w:after="0"/>
      </w:pPr>
      <w:proofErr w:type="spellStart"/>
      <w:r>
        <w:t>P</w:t>
      </w:r>
      <w:r w:rsidRPr="00A67FC2">
        <w:t>olysorbate</w:t>
      </w:r>
      <w:proofErr w:type="spellEnd"/>
      <w:r w:rsidRPr="00A67FC2">
        <w:t xml:space="preserve"> 80</w:t>
      </w:r>
    </w:p>
    <w:p w14:paraId="368C737C" w14:textId="00965075" w:rsidR="00A67FC2" w:rsidRPr="00A67FC2" w:rsidRDefault="00A50875" w:rsidP="000325AA">
      <w:pPr>
        <w:spacing w:after="0"/>
        <w:rPr>
          <w:lang w:val="en-US"/>
        </w:rPr>
      </w:pPr>
      <w:r>
        <w:t>S</w:t>
      </w:r>
      <w:proofErr w:type="spellStart"/>
      <w:r w:rsidR="00A67FC2" w:rsidRPr="00A67FC2">
        <w:rPr>
          <w:lang w:val="en-US"/>
        </w:rPr>
        <w:t>odium</w:t>
      </w:r>
      <w:proofErr w:type="spellEnd"/>
      <w:r w:rsidR="00A67FC2" w:rsidRPr="00A67FC2">
        <w:rPr>
          <w:lang w:val="en-US"/>
        </w:rPr>
        <w:t xml:space="preserve"> hydroxide (for pH</w:t>
      </w:r>
      <w:r w:rsidR="00A67FC2" w:rsidRPr="00A67FC2">
        <w:rPr>
          <w:lang w:val="en-US"/>
        </w:rPr>
        <w:noBreakHyphen/>
        <w:t>adjustment)</w:t>
      </w:r>
    </w:p>
    <w:p w14:paraId="54BBCE68" w14:textId="61BEF89D" w:rsidR="00A67FC2" w:rsidRPr="00A67FC2" w:rsidRDefault="00A67FC2" w:rsidP="000325AA">
      <w:pPr>
        <w:spacing w:after="0"/>
      </w:pPr>
      <w:r>
        <w:rPr>
          <w:lang w:val="en-US"/>
        </w:rPr>
        <w:t>H</w:t>
      </w:r>
      <w:proofErr w:type="spellStart"/>
      <w:r w:rsidRPr="00A67FC2">
        <w:t>ydrochloric</w:t>
      </w:r>
      <w:proofErr w:type="spellEnd"/>
      <w:r w:rsidRPr="00A67FC2">
        <w:t xml:space="preserve"> acid (for pH</w:t>
      </w:r>
      <w:r w:rsidRPr="00A67FC2">
        <w:noBreakHyphen/>
        <w:t>adjustment)</w:t>
      </w:r>
    </w:p>
    <w:p w14:paraId="40E3C509" w14:textId="0EAFE4E0" w:rsidR="00A67FC2" w:rsidRDefault="00A67FC2" w:rsidP="000325AA">
      <w:proofErr w:type="gramStart"/>
      <w:r>
        <w:t>W</w:t>
      </w:r>
      <w:r w:rsidRPr="00A67FC2">
        <w:t>ater for injections.</w:t>
      </w:r>
      <w:proofErr w:type="gramEnd"/>
    </w:p>
    <w:p w14:paraId="6A056CF5" w14:textId="5CE35AE3" w:rsidR="00F01F58" w:rsidRDefault="00A67FC2" w:rsidP="000325AA">
      <w:r w:rsidRPr="00A67FC2">
        <w:t>This medicinal product does not contain any preservatives.</w:t>
      </w:r>
    </w:p>
    <w:p w14:paraId="1597DDC0" w14:textId="1E9B7B01" w:rsidR="001A3992" w:rsidRDefault="00F01F58" w:rsidP="00CF1847">
      <w:pPr>
        <w:pStyle w:val="Heading2"/>
      </w:pPr>
      <w:r>
        <w:t>Incompatibilities</w:t>
      </w:r>
    </w:p>
    <w:p w14:paraId="06CFCB11" w14:textId="241FC2F3" w:rsidR="00510AB1" w:rsidRDefault="00510AB1" w:rsidP="000325AA">
      <w:pPr>
        <w:rPr>
          <w:noProof/>
        </w:rPr>
      </w:pPr>
      <w:r w:rsidRPr="00C12E28">
        <w:rPr>
          <w:noProof/>
        </w:rPr>
        <w:t>OPDIVO should not be infused concomitantly in the same intravenous line with other medicinal products.</w:t>
      </w:r>
    </w:p>
    <w:p w14:paraId="7E22BDBA" w14:textId="18C6C200" w:rsidR="001A3992" w:rsidRDefault="00F01F58" w:rsidP="003C2DE8">
      <w:pPr>
        <w:pStyle w:val="Heading2"/>
      </w:pPr>
      <w:r>
        <w:t>Shelf life</w:t>
      </w:r>
    </w:p>
    <w:p w14:paraId="36780BD0" w14:textId="3A77953A" w:rsidR="00F01F58" w:rsidRPr="00A50875" w:rsidRDefault="00F01F58" w:rsidP="000325AA">
      <w:pPr>
        <w:rPr>
          <w:rFonts w:cs="Times New Roman"/>
          <w:szCs w:val="24"/>
        </w:rPr>
      </w:pPr>
      <w:r w:rsidRPr="00A50875">
        <w:rPr>
          <w:rFonts w:cs="Times New Roman"/>
          <w:szCs w:val="24"/>
        </w:rPr>
        <w:t>In Australia, information on the shelf life can be found on the public summary of the ARTG. The expiry date can be found on the packaging</w:t>
      </w:r>
      <w:r w:rsidR="00DD3FBA">
        <w:rPr>
          <w:rFonts w:cs="Times New Roman"/>
          <w:szCs w:val="24"/>
        </w:rPr>
        <w:t>.</w:t>
      </w:r>
      <w:r w:rsidRPr="00A50875">
        <w:rPr>
          <w:rFonts w:cs="Times New Roman"/>
          <w:szCs w:val="24"/>
        </w:rPr>
        <w:t xml:space="preserve"> </w:t>
      </w:r>
    </w:p>
    <w:p w14:paraId="15D58481" w14:textId="3BFC8CF0" w:rsidR="001A3992" w:rsidRDefault="00F01F58" w:rsidP="00CF1847">
      <w:pPr>
        <w:pStyle w:val="Heading2"/>
      </w:pPr>
      <w:r>
        <w:t>Special precautions for storage</w:t>
      </w:r>
    </w:p>
    <w:p w14:paraId="0BEAFB82" w14:textId="77777777" w:rsidR="00510AB1" w:rsidRPr="001F1978" w:rsidRDefault="00510AB1" w:rsidP="002C197D">
      <w:pPr>
        <w:spacing w:after="0"/>
      </w:pPr>
      <w:proofErr w:type="gramStart"/>
      <w:r w:rsidRPr="001F1978">
        <w:t>Store in a refrigerator (2°C to 8°C).</w:t>
      </w:r>
      <w:proofErr w:type="gramEnd"/>
    </w:p>
    <w:p w14:paraId="50BF5BAE" w14:textId="77777777" w:rsidR="00510AB1" w:rsidRPr="001F1978" w:rsidRDefault="00510AB1" w:rsidP="002C197D">
      <w:pPr>
        <w:spacing w:after="0"/>
      </w:pPr>
      <w:r w:rsidRPr="001F1978">
        <w:t>Do not freeze.</w:t>
      </w:r>
    </w:p>
    <w:p w14:paraId="582CF78E" w14:textId="7D95A37D" w:rsidR="00510AB1" w:rsidRDefault="00510AB1" w:rsidP="002C197D">
      <w:pPr>
        <w:spacing w:after="0"/>
      </w:pPr>
      <w:proofErr w:type="gramStart"/>
      <w:r w:rsidRPr="001F1978">
        <w:t>Store in the original package in order to protect from light.</w:t>
      </w:r>
      <w:proofErr w:type="gramEnd"/>
    </w:p>
    <w:p w14:paraId="5F5E218E" w14:textId="77777777" w:rsidR="00A86DAB" w:rsidRPr="001F1978" w:rsidRDefault="00A86DAB" w:rsidP="00A86DAB">
      <w:pPr>
        <w:rPr>
          <w:noProof/>
        </w:rPr>
      </w:pPr>
      <w:r>
        <w:rPr>
          <w:noProof/>
        </w:rPr>
        <w:t>The unopened vial can be stored at controlled room temperature up to 25</w:t>
      </w:r>
      <w:r w:rsidRPr="001F1978">
        <w:sym w:font="Symbol" w:char="F0B0"/>
      </w:r>
      <w:r w:rsidRPr="001F1978">
        <w:t>C</w:t>
      </w:r>
      <w:r>
        <w:t xml:space="preserve"> with room light for up to 48 hours.</w:t>
      </w:r>
    </w:p>
    <w:p w14:paraId="393A3CC6" w14:textId="77777777" w:rsidR="00A86DAB" w:rsidRPr="001F1978" w:rsidRDefault="00A86DAB" w:rsidP="00A86DAB">
      <w:r w:rsidRPr="001F1978">
        <w:t>After opening:</w:t>
      </w:r>
    </w:p>
    <w:p w14:paraId="0A3A38E5" w14:textId="77777777" w:rsidR="00A86DAB" w:rsidRPr="001F1978" w:rsidRDefault="00A86DAB" w:rsidP="00A86DAB">
      <w:pPr>
        <w:pStyle w:val="NoSpacing"/>
      </w:pPr>
      <w:r w:rsidRPr="001F1978">
        <w:t>To reduce microbiological hazard, once opened, the medicinal product should be infused immediately.</w:t>
      </w:r>
    </w:p>
    <w:p w14:paraId="76A56F2C" w14:textId="77777777" w:rsidR="00A86DAB" w:rsidRPr="001F1978" w:rsidRDefault="00A86DAB" w:rsidP="00A86DAB">
      <w:pPr>
        <w:pStyle w:val="NoSpacing"/>
      </w:pPr>
      <w:r w:rsidRPr="001F1978">
        <w:lastRenderedPageBreak/>
        <w:t>After preparation of infusion: The administration of the OPDIVO infusion must be completed within 24 hours of preparation. If not used immediately, the solution may be stored under refrigeration conditions: 2</w:t>
      </w:r>
      <w:r w:rsidRPr="001F1978">
        <w:sym w:font="Symbol" w:char="F0B0"/>
      </w:r>
      <w:r w:rsidRPr="001F1978">
        <w:t>-8</w:t>
      </w:r>
      <w:r w:rsidRPr="001F1978">
        <w:sym w:font="Symbol" w:char="F0B0"/>
      </w:r>
      <w:r w:rsidRPr="001F1978">
        <w:t xml:space="preserve">C and protected from light for up to 24 hours (a maximum of </w:t>
      </w:r>
      <w:r>
        <w:t>8</w:t>
      </w:r>
      <w:r w:rsidRPr="001F1978">
        <w:t xml:space="preserve"> hours of the total 24 hours can be at room temperature 20</w:t>
      </w:r>
      <w:r w:rsidRPr="001F1978">
        <w:sym w:font="Symbol" w:char="F0B0"/>
      </w:r>
      <w:r w:rsidRPr="001F1978">
        <w:t>-25</w:t>
      </w:r>
      <w:r w:rsidRPr="001F1978">
        <w:sym w:font="Symbol" w:char="F0B0"/>
      </w:r>
      <w:r w:rsidRPr="001F1978">
        <w:t xml:space="preserve">C and room light – the maximum </w:t>
      </w:r>
      <w:r>
        <w:t xml:space="preserve">8 </w:t>
      </w:r>
      <w:r w:rsidRPr="001F1978">
        <w:t>hour period under room temperature and room light conditions should be inclusive of the product administration period).</w:t>
      </w:r>
    </w:p>
    <w:p w14:paraId="43A6DDD9" w14:textId="77777777" w:rsidR="00A86DAB" w:rsidRPr="001F1978" w:rsidRDefault="00A86DAB" w:rsidP="002C197D">
      <w:r w:rsidRPr="001F1978">
        <w:rPr>
          <w:lang w:eastAsia="fr-BE"/>
        </w:rPr>
        <w:t>This medicinal product does not contain any preservatives.</w:t>
      </w:r>
    </w:p>
    <w:p w14:paraId="3B490D20" w14:textId="669A7041" w:rsidR="001A3992" w:rsidRDefault="001A3992" w:rsidP="002C197D">
      <w:pPr>
        <w:pStyle w:val="Heading2"/>
        <w:widowControl w:val="0"/>
      </w:pPr>
      <w:r w:rsidRPr="003B14A8">
        <w:t>N</w:t>
      </w:r>
      <w:r w:rsidR="005A7542">
        <w:t>ature and contents of container</w:t>
      </w:r>
    </w:p>
    <w:p w14:paraId="2A93147B" w14:textId="77777777" w:rsidR="009B6CBD" w:rsidRPr="001F1978" w:rsidRDefault="009B6CBD" w:rsidP="002C197D">
      <w:pPr>
        <w:widowControl w:val="0"/>
        <w:rPr>
          <w:noProof/>
        </w:rPr>
      </w:pPr>
      <w:r w:rsidRPr="001F1978">
        <w:rPr>
          <w:noProof/>
        </w:rPr>
        <w:t>40 mg of nivolumab in 4 mL</w:t>
      </w:r>
      <w:r w:rsidRPr="001F1978" w:rsidDel="001A0900">
        <w:rPr>
          <w:noProof/>
        </w:rPr>
        <w:t xml:space="preserve"> </w:t>
      </w:r>
      <w:r w:rsidRPr="001F1978">
        <w:rPr>
          <w:noProof/>
        </w:rPr>
        <w:t>of concentrate solution for infusion</w:t>
      </w:r>
      <w:r w:rsidRPr="001F1978" w:rsidDel="001A0900">
        <w:rPr>
          <w:noProof/>
        </w:rPr>
        <w:t xml:space="preserve"> </w:t>
      </w:r>
      <w:r w:rsidRPr="001F1978">
        <w:rPr>
          <w:noProof/>
        </w:rPr>
        <w:t xml:space="preserve">is supplied in a 10 mL vial (Type I glass) with a stopper (coated butyl rubber) and an </w:t>
      </w:r>
      <w:r w:rsidRPr="001F1978">
        <w:t xml:space="preserve">aluminium dark blue “flip off” seal. </w:t>
      </w:r>
      <w:r w:rsidRPr="001F1978">
        <w:rPr>
          <w:noProof/>
        </w:rPr>
        <w:t>Pack of 1 vial containing 4 mL.</w:t>
      </w:r>
    </w:p>
    <w:p w14:paraId="09BD3EBC" w14:textId="508C1458" w:rsidR="009B6CBD" w:rsidRDefault="009B6CBD" w:rsidP="008D319A">
      <w:r w:rsidRPr="001F1978">
        <w:rPr>
          <w:noProof/>
        </w:rPr>
        <w:t>100 mg of nivolumab in 10 mL</w:t>
      </w:r>
      <w:r w:rsidRPr="001F1978" w:rsidDel="001A0900">
        <w:rPr>
          <w:noProof/>
        </w:rPr>
        <w:t xml:space="preserve"> </w:t>
      </w:r>
      <w:r w:rsidRPr="001F1978">
        <w:rPr>
          <w:noProof/>
        </w:rPr>
        <w:t xml:space="preserve">of concentrate solution for infusion is supplied in a 10mL vial (Type I glass) with a stopper (coated butyl rubber) and an </w:t>
      </w:r>
      <w:r w:rsidRPr="001F1978">
        <w:t xml:space="preserve">aluminium grey “flip off” seal. Pack of 1 vial containing 10 </w:t>
      </w:r>
      <w:proofErr w:type="spellStart"/>
      <w:r w:rsidRPr="001F1978">
        <w:t>mL.</w:t>
      </w:r>
      <w:proofErr w:type="spellEnd"/>
    </w:p>
    <w:p w14:paraId="7C894A4E" w14:textId="26B74EC0" w:rsidR="001A3992" w:rsidRDefault="001A3992" w:rsidP="003C2DE8">
      <w:pPr>
        <w:pStyle w:val="Heading2"/>
      </w:pPr>
      <w:r w:rsidRPr="003B14A8">
        <w:t>S</w:t>
      </w:r>
      <w:r w:rsidR="004F767B">
        <w:t>pecial precautions for disposal</w:t>
      </w:r>
    </w:p>
    <w:p w14:paraId="6D053243" w14:textId="77777777" w:rsidR="009B6CBD" w:rsidRPr="001F1978" w:rsidRDefault="009B6CBD" w:rsidP="000325AA">
      <w:r w:rsidRPr="001F1978">
        <w:t>EACH VIAL OF OPDIVO</w:t>
      </w:r>
      <w:r w:rsidRPr="001F1978">
        <w:rPr>
          <w:vertAlign w:val="superscript"/>
        </w:rPr>
        <w:t>®</w:t>
      </w:r>
      <w:r w:rsidRPr="001F1978">
        <w:t xml:space="preserve"> IS FOR SINGLE USE IN ONE PATIENT ONLY. DISCARD ANY RESIDUE.</w:t>
      </w:r>
    </w:p>
    <w:p w14:paraId="2441FA00" w14:textId="77777777" w:rsidR="00497476" w:rsidRPr="006120F5" w:rsidRDefault="00497476" w:rsidP="002C197D">
      <w:pPr>
        <w:spacing w:after="0"/>
      </w:pPr>
      <w:r w:rsidRPr="006120F5">
        <w:t>Any unused medicinal product or waste material should be discarded in accordance with local requirements.</w:t>
      </w:r>
    </w:p>
    <w:p w14:paraId="4305D244" w14:textId="5FC0A262" w:rsidR="009B6CBD" w:rsidRPr="009B6CBD" w:rsidRDefault="009B6CBD" w:rsidP="00497476">
      <w:r w:rsidRPr="009B6CBD">
        <w:t>In Australia, unwanted medicines can be returned to local pharmacies involved in the Return Unwanted Medicines (RUM) Project.</w:t>
      </w:r>
    </w:p>
    <w:p w14:paraId="39F48FB1" w14:textId="63CDE585" w:rsidR="001A3992" w:rsidRPr="003B14A8" w:rsidRDefault="001A3992" w:rsidP="003C2DE8">
      <w:pPr>
        <w:pStyle w:val="Heading2"/>
      </w:pPr>
      <w:r w:rsidRPr="003B14A8">
        <w:t>Physicochemical properties</w:t>
      </w:r>
    </w:p>
    <w:p w14:paraId="0F90A541" w14:textId="6A0CEE32" w:rsidR="001A3992" w:rsidRPr="00667F98" w:rsidRDefault="001A3992" w:rsidP="00667F98">
      <w:pPr>
        <w:rPr>
          <w:b/>
          <w:u w:val="single"/>
        </w:rPr>
      </w:pPr>
      <w:r w:rsidRPr="00667F98">
        <w:rPr>
          <w:b/>
          <w:u w:val="single"/>
        </w:rPr>
        <w:t>CAS number</w:t>
      </w:r>
    </w:p>
    <w:p w14:paraId="1A86FDA9" w14:textId="2C29E3D0" w:rsidR="00207448" w:rsidRPr="00A50875" w:rsidRDefault="009B6CBD" w:rsidP="008D319A">
      <w:pPr>
        <w:rPr>
          <w:rFonts w:cs="Times New Roman"/>
        </w:rPr>
      </w:pPr>
      <w:r w:rsidRPr="00A50875">
        <w:rPr>
          <w:snapToGrid w:val="0"/>
        </w:rPr>
        <w:t>CAS: 946414-94-4.</w:t>
      </w:r>
    </w:p>
    <w:p w14:paraId="3B206A7B" w14:textId="77777777" w:rsidR="001A3992" w:rsidRDefault="001A3992" w:rsidP="004B6E16">
      <w:pPr>
        <w:pStyle w:val="Heading1"/>
      </w:pPr>
      <w:r w:rsidRPr="003B14A8">
        <w:t>Medicine schedule (Poisons Standard)</w:t>
      </w:r>
    </w:p>
    <w:p w14:paraId="3B8B424C" w14:textId="527DDED3" w:rsidR="00207448" w:rsidRPr="00A50875" w:rsidRDefault="009B6CBD" w:rsidP="008D319A">
      <w:pPr>
        <w:rPr>
          <w:lang w:val="en-US"/>
        </w:rPr>
      </w:pPr>
      <w:r w:rsidRPr="00A50875">
        <w:rPr>
          <w:lang w:val="en-US"/>
        </w:rPr>
        <w:t xml:space="preserve">S4. </w:t>
      </w:r>
      <w:r w:rsidR="00207448" w:rsidRPr="00A50875">
        <w:rPr>
          <w:lang w:val="en-US"/>
        </w:rPr>
        <w:t>Prescription Only Medicine</w:t>
      </w:r>
    </w:p>
    <w:p w14:paraId="65A1CF8A" w14:textId="77777777" w:rsidR="001A3992" w:rsidRDefault="001A3992" w:rsidP="004B6E16">
      <w:pPr>
        <w:pStyle w:val="Heading1"/>
      </w:pPr>
      <w:r w:rsidRPr="003B14A8">
        <w:t>Sponsor</w:t>
      </w:r>
    </w:p>
    <w:p w14:paraId="55F2E460" w14:textId="77777777" w:rsidR="009B6CBD" w:rsidRPr="00A50875" w:rsidRDefault="009B6CBD" w:rsidP="008D319A">
      <w:pPr>
        <w:spacing w:after="0"/>
      </w:pPr>
      <w:r w:rsidRPr="00A50875">
        <w:t>Bristol-Myers Squibb Australia Pty Ltd</w:t>
      </w:r>
    </w:p>
    <w:p w14:paraId="62302578" w14:textId="77777777" w:rsidR="009B6CBD" w:rsidRPr="00A50875" w:rsidRDefault="009B6CBD" w:rsidP="008D319A">
      <w:pPr>
        <w:spacing w:after="0"/>
      </w:pPr>
      <w:r w:rsidRPr="00A50875">
        <w:t>Level 2, 4 Nexus Court</w:t>
      </w:r>
    </w:p>
    <w:p w14:paraId="52D73D5D" w14:textId="77777777" w:rsidR="00A50405" w:rsidRDefault="009B6CBD" w:rsidP="00A50405">
      <w:pPr>
        <w:spacing w:after="0"/>
      </w:pPr>
      <w:proofErr w:type="gramStart"/>
      <w:r w:rsidRPr="00A50875">
        <w:t>MULGRAVE VIC 3170.</w:t>
      </w:r>
      <w:proofErr w:type="gramEnd"/>
    </w:p>
    <w:p w14:paraId="30F0F846" w14:textId="60E504AE" w:rsidR="00A50405" w:rsidRDefault="00A50405" w:rsidP="00A50405">
      <w:pPr>
        <w:spacing w:after="0"/>
      </w:pPr>
      <w:r>
        <w:t>Toll free number: 1800 067 567</w:t>
      </w:r>
    </w:p>
    <w:p w14:paraId="27716F58" w14:textId="77777777" w:rsidR="00A50405" w:rsidRDefault="00A50405" w:rsidP="00A50405">
      <w:pPr>
        <w:spacing w:after="0"/>
      </w:pPr>
      <w:r>
        <w:t xml:space="preserve">Email: </w:t>
      </w:r>
      <w:hyperlink r:id="rId23" w:history="1">
        <w:r>
          <w:rPr>
            <w:rStyle w:val="Hyperlink"/>
          </w:rPr>
          <w:t>MedInfo.Australia@bms.com</w:t>
        </w:r>
      </w:hyperlink>
    </w:p>
    <w:p w14:paraId="0BA3DFB1" w14:textId="4EBC4DBA" w:rsidR="001A3992" w:rsidRDefault="001A3992" w:rsidP="004B6E16">
      <w:pPr>
        <w:pStyle w:val="Heading1"/>
      </w:pPr>
      <w:r w:rsidRPr="003B14A8">
        <w:t>Date</w:t>
      </w:r>
      <w:r w:rsidR="007C4044">
        <w:t xml:space="preserve"> of first approval (ARTG entry)</w:t>
      </w:r>
    </w:p>
    <w:p w14:paraId="6DE4BA4C" w14:textId="77777777" w:rsidR="009B6CBD" w:rsidRDefault="009B6CBD" w:rsidP="008D319A">
      <w:r>
        <w:t>11 January 2016</w:t>
      </w:r>
    </w:p>
    <w:p w14:paraId="28C934C3" w14:textId="77777777" w:rsidR="001A3992" w:rsidRDefault="001A3992" w:rsidP="004B6E16">
      <w:pPr>
        <w:pStyle w:val="Heading1"/>
      </w:pPr>
      <w:r w:rsidRPr="00CB5929">
        <w:t>Date of revision of the text</w:t>
      </w:r>
    </w:p>
    <w:p w14:paraId="698AA5DE" w14:textId="13AD37B8" w:rsidR="004D3544" w:rsidRPr="004D3544" w:rsidRDefault="004D3544" w:rsidP="004D3544">
      <w:r w:rsidRPr="004D3544">
        <w:t>2</w:t>
      </w:r>
      <w:r w:rsidR="003D0C02">
        <w:t>4</w:t>
      </w:r>
      <w:r w:rsidRPr="004D3544">
        <w:t xml:space="preserve"> April 2018</w:t>
      </w:r>
    </w:p>
    <w:p w14:paraId="6314A126" w14:textId="17CB33B0" w:rsidR="00927F62" w:rsidRDefault="00026B31">
      <w:pPr>
        <w:spacing w:line="276" w:lineRule="auto"/>
        <w:jc w:val="left"/>
        <w:rPr>
          <w:lang w:val="en-US"/>
        </w:rPr>
      </w:pPr>
      <w:r>
        <w:rPr>
          <w:lang w:val="en-US"/>
        </w:rPr>
        <w:t xml:space="preserve"> </w:t>
      </w:r>
      <w:r w:rsidR="00927F62">
        <w:rPr>
          <w:lang w:val="en-US"/>
        </w:rPr>
        <w:br w:type="page"/>
      </w:r>
    </w:p>
    <w:p w14:paraId="47CD29FA" w14:textId="77777777" w:rsidR="00026B31" w:rsidRDefault="00026B31" w:rsidP="003556F9">
      <w:pPr>
        <w:rPr>
          <w:lang w:val="en-US"/>
        </w:rPr>
      </w:pPr>
    </w:p>
    <w:p w14:paraId="49F9DDCD" w14:textId="77777777" w:rsidR="001A3992" w:rsidRDefault="001A3992" w:rsidP="004B6E16">
      <w:pPr>
        <w:pStyle w:val="Heading2"/>
        <w:numPr>
          <w:ilvl w:val="0"/>
          <w:numId w:val="0"/>
        </w:numPr>
        <w:ind w:left="792" w:hanging="792"/>
      </w:pPr>
      <w:r w:rsidRPr="003B14A8">
        <w:t>Summary table of changes</w:t>
      </w:r>
    </w:p>
    <w:tbl>
      <w:tblPr>
        <w:tblStyle w:val="LightGrid"/>
        <w:tblW w:w="9440" w:type="dxa"/>
        <w:tblCellMar>
          <w:top w:w="57" w:type="dxa"/>
          <w:bottom w:w="57" w:type="dxa"/>
        </w:tblCellMar>
        <w:tblLook w:val="06A0" w:firstRow="1" w:lastRow="0" w:firstColumn="1" w:lastColumn="0" w:noHBand="1" w:noVBand="1"/>
      </w:tblPr>
      <w:tblGrid>
        <w:gridCol w:w="1368"/>
        <w:gridCol w:w="8072"/>
      </w:tblGrid>
      <w:tr w:rsidR="00403212" w:rsidRPr="003B14A8" w14:paraId="7BCF663E" w14:textId="77777777" w:rsidTr="00624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shd w:val="clear" w:color="auto" w:fill="F2F2F2" w:themeFill="background1" w:themeFillShade="F2"/>
            <w:vAlign w:val="center"/>
          </w:tcPr>
          <w:p w14:paraId="11BEEDD2" w14:textId="77777777" w:rsidR="00403212" w:rsidRPr="003B14A8" w:rsidRDefault="00403212" w:rsidP="001A3992">
            <w:pPr>
              <w:rPr>
                <w:rFonts w:cs="Times New Roman"/>
                <w:sz w:val="20"/>
                <w:lang w:val="en-US"/>
              </w:rPr>
            </w:pPr>
            <w:r w:rsidRPr="003B14A8">
              <w:rPr>
                <w:rFonts w:cs="Times New Roman"/>
                <w:sz w:val="20"/>
                <w:lang w:val="en-US"/>
              </w:rPr>
              <w:t>Section Changed</w:t>
            </w:r>
          </w:p>
        </w:tc>
        <w:tc>
          <w:tcPr>
            <w:tcW w:w="8072" w:type="dxa"/>
            <w:shd w:val="clear" w:color="auto" w:fill="F2F2F2" w:themeFill="background1" w:themeFillShade="F2"/>
            <w:vAlign w:val="center"/>
          </w:tcPr>
          <w:p w14:paraId="4338F9AE" w14:textId="77777777" w:rsidR="00403212" w:rsidRPr="003B14A8" w:rsidRDefault="00403212" w:rsidP="001A3992">
            <w:pPr>
              <w:cnfStyle w:val="100000000000" w:firstRow="1" w:lastRow="0" w:firstColumn="0" w:lastColumn="0" w:oddVBand="0" w:evenVBand="0" w:oddHBand="0" w:evenHBand="0" w:firstRowFirstColumn="0" w:firstRowLastColumn="0" w:lastRowFirstColumn="0" w:lastRowLastColumn="0"/>
              <w:rPr>
                <w:rFonts w:cs="Times New Roman"/>
                <w:sz w:val="20"/>
                <w:lang w:val="en-US"/>
              </w:rPr>
            </w:pPr>
            <w:r w:rsidRPr="003B14A8">
              <w:rPr>
                <w:rFonts w:cs="Times New Roman"/>
                <w:sz w:val="20"/>
                <w:lang w:val="en-US"/>
              </w:rPr>
              <w:t>Summary of new information</w:t>
            </w:r>
          </w:p>
        </w:tc>
      </w:tr>
      <w:tr w:rsidR="00C606A6" w:rsidRPr="003B14A8" w14:paraId="30E78ADD"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747B3832" w14:textId="58C73FD2" w:rsidR="00C606A6" w:rsidDel="00736CE8" w:rsidRDefault="00C606A6" w:rsidP="001A3992">
            <w:pPr>
              <w:rPr>
                <w:rFonts w:cs="Times New Roman"/>
                <w:lang w:val="en-US"/>
              </w:rPr>
            </w:pPr>
            <w:r>
              <w:rPr>
                <w:rFonts w:cs="Times New Roman"/>
                <w:lang w:val="en-US"/>
              </w:rPr>
              <w:t xml:space="preserve">4.1 </w:t>
            </w:r>
          </w:p>
        </w:tc>
        <w:tc>
          <w:tcPr>
            <w:tcW w:w="8072" w:type="dxa"/>
            <w:vAlign w:val="center"/>
          </w:tcPr>
          <w:p w14:paraId="3627D372" w14:textId="7271870B" w:rsidR="00C606A6" w:rsidRPr="00B47835" w:rsidDel="00736CE8" w:rsidRDefault="00C606A6" w:rsidP="002C356A">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xml:space="preserve">Addition of a new indication for the use of </w:t>
            </w:r>
            <w:proofErr w:type="spellStart"/>
            <w:r>
              <w:rPr>
                <w:rFonts w:cs="Times New Roman"/>
                <w:lang w:val="en-US"/>
              </w:rPr>
              <w:t>nivolumab</w:t>
            </w:r>
            <w:proofErr w:type="spellEnd"/>
            <w:r>
              <w:rPr>
                <w:rFonts w:cs="Times New Roman"/>
                <w:lang w:val="en-US"/>
              </w:rPr>
              <w:t xml:space="preserve"> monotherapy as an adjuvant therapy in patients with melanoma</w:t>
            </w:r>
          </w:p>
        </w:tc>
      </w:tr>
      <w:tr w:rsidR="00C606A6" w:rsidRPr="003B14A8" w14:paraId="496934F5"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1402791D" w14:textId="79904CCA" w:rsidR="00C606A6" w:rsidDel="00736CE8" w:rsidRDefault="00C606A6" w:rsidP="001A3992">
            <w:pPr>
              <w:rPr>
                <w:rFonts w:cs="Times New Roman"/>
                <w:lang w:val="en-US"/>
              </w:rPr>
            </w:pPr>
            <w:r>
              <w:rPr>
                <w:rFonts w:cs="Times New Roman"/>
                <w:lang w:val="en-US"/>
              </w:rPr>
              <w:t>4.2</w:t>
            </w:r>
          </w:p>
        </w:tc>
        <w:tc>
          <w:tcPr>
            <w:tcW w:w="8072" w:type="dxa"/>
            <w:vAlign w:val="center"/>
          </w:tcPr>
          <w:p w14:paraId="3DED086E" w14:textId="5E471FD8" w:rsidR="00C606A6" w:rsidRPr="00B47835" w:rsidDel="00736CE8" w:rsidRDefault="00C606A6" w:rsidP="002C356A">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xml:space="preserve">Addition of treatment duration of </w:t>
            </w:r>
            <w:proofErr w:type="spellStart"/>
            <w:r>
              <w:rPr>
                <w:rFonts w:cs="Times New Roman"/>
                <w:lang w:val="en-US"/>
              </w:rPr>
              <w:t>nivolumab</w:t>
            </w:r>
            <w:proofErr w:type="spellEnd"/>
            <w:r>
              <w:rPr>
                <w:rFonts w:cs="Times New Roman"/>
                <w:lang w:val="en-US"/>
              </w:rPr>
              <w:t xml:space="preserve"> monotherapy as an adjuvant therapy in patients with melanoma</w:t>
            </w:r>
          </w:p>
        </w:tc>
      </w:tr>
      <w:tr w:rsidR="00C606A6" w:rsidRPr="003B14A8" w14:paraId="186167C8"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049CB8D0" w14:textId="3CF117E6" w:rsidR="00C606A6" w:rsidDel="00736CE8" w:rsidRDefault="00C606A6" w:rsidP="001A3992">
            <w:pPr>
              <w:rPr>
                <w:rFonts w:cs="Times New Roman"/>
                <w:lang w:val="en-US"/>
              </w:rPr>
            </w:pPr>
            <w:r>
              <w:rPr>
                <w:rFonts w:cs="Times New Roman"/>
                <w:lang w:val="en-US"/>
              </w:rPr>
              <w:t>4.4</w:t>
            </w:r>
          </w:p>
        </w:tc>
        <w:tc>
          <w:tcPr>
            <w:tcW w:w="8072" w:type="dxa"/>
            <w:vAlign w:val="center"/>
          </w:tcPr>
          <w:p w14:paraId="0B6AB9AA" w14:textId="3D5B337F" w:rsidR="00C606A6" w:rsidRPr="00B47835" w:rsidDel="00736CE8" w:rsidRDefault="00C606A6" w:rsidP="00C606A6">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Update to Special Populations to include patients excluded from Study CA209238</w:t>
            </w:r>
          </w:p>
        </w:tc>
      </w:tr>
      <w:tr w:rsidR="00C606A6" w:rsidRPr="003B14A8" w14:paraId="66589208"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49E0723A" w14:textId="71AE6932" w:rsidR="00C606A6" w:rsidDel="00736CE8" w:rsidRDefault="00C606A6" w:rsidP="001A3992">
            <w:pPr>
              <w:rPr>
                <w:rFonts w:cs="Times New Roman"/>
                <w:lang w:val="en-US"/>
              </w:rPr>
            </w:pPr>
            <w:r>
              <w:rPr>
                <w:rFonts w:cs="Times New Roman"/>
                <w:lang w:val="en-US"/>
              </w:rPr>
              <w:t>4.8</w:t>
            </w:r>
          </w:p>
        </w:tc>
        <w:tc>
          <w:tcPr>
            <w:tcW w:w="8072" w:type="dxa"/>
            <w:vAlign w:val="center"/>
          </w:tcPr>
          <w:p w14:paraId="428AEAA5" w14:textId="22E83E64" w:rsidR="00C606A6" w:rsidRPr="00B47835" w:rsidDel="00736CE8" w:rsidRDefault="00C606A6" w:rsidP="002C356A">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 xml:space="preserve">Safety profile of </w:t>
            </w:r>
            <w:proofErr w:type="spellStart"/>
            <w:r>
              <w:rPr>
                <w:rFonts w:cs="Times New Roman"/>
                <w:lang w:val="en-US"/>
              </w:rPr>
              <w:t>nivolumab</w:t>
            </w:r>
            <w:proofErr w:type="spellEnd"/>
            <w:r>
              <w:rPr>
                <w:rFonts w:cs="Times New Roman"/>
                <w:lang w:val="en-US"/>
              </w:rPr>
              <w:t xml:space="preserve"> monotherapy as an adjuvant therapy in patients with melanoma added.</w:t>
            </w:r>
          </w:p>
        </w:tc>
      </w:tr>
      <w:tr w:rsidR="00C606A6" w:rsidRPr="003B14A8" w14:paraId="189E18ED"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1D07C765" w14:textId="0CE06712" w:rsidR="00C606A6" w:rsidDel="00736CE8" w:rsidRDefault="00C606A6" w:rsidP="001A3992">
            <w:pPr>
              <w:rPr>
                <w:rFonts w:cs="Times New Roman"/>
                <w:lang w:val="en-US"/>
              </w:rPr>
            </w:pPr>
            <w:r>
              <w:rPr>
                <w:rFonts w:cs="Times New Roman"/>
                <w:lang w:val="en-US"/>
              </w:rPr>
              <w:t>5.1</w:t>
            </w:r>
          </w:p>
        </w:tc>
        <w:tc>
          <w:tcPr>
            <w:tcW w:w="8072" w:type="dxa"/>
            <w:vAlign w:val="center"/>
          </w:tcPr>
          <w:p w14:paraId="036FD6A4" w14:textId="77777777" w:rsidR="00C606A6" w:rsidRDefault="00C606A6" w:rsidP="002C356A">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Clinical Trials</w:t>
            </w:r>
          </w:p>
          <w:p w14:paraId="4E792570" w14:textId="133C17F5" w:rsidR="00C606A6" w:rsidRPr="00B47835" w:rsidDel="00736CE8" w:rsidRDefault="00C606A6" w:rsidP="002C356A">
            <w:pPr>
              <w:cnfStyle w:val="000000000000" w:firstRow="0" w:lastRow="0" w:firstColumn="0" w:lastColumn="0" w:oddVBand="0" w:evenVBand="0" w:oddHBand="0" w:evenHBand="0" w:firstRowFirstColumn="0" w:firstRowLastColumn="0" w:lastRowFirstColumn="0" w:lastRowLastColumn="0"/>
              <w:rPr>
                <w:rFonts w:cs="Times New Roman"/>
                <w:lang w:val="en-US"/>
              </w:rPr>
            </w:pPr>
            <w:r>
              <w:rPr>
                <w:rFonts w:cs="Times New Roman"/>
                <w:lang w:val="en-US"/>
              </w:rPr>
              <w:t>Description of study CA209238 added.</w:t>
            </w:r>
          </w:p>
        </w:tc>
      </w:tr>
      <w:tr w:rsidR="00C606A6" w:rsidRPr="003B14A8" w14:paraId="41F662CC" w14:textId="77777777" w:rsidTr="00624AF8">
        <w:tc>
          <w:tcPr>
            <w:cnfStyle w:val="001000000000" w:firstRow="0" w:lastRow="0" w:firstColumn="1" w:lastColumn="0" w:oddVBand="0" w:evenVBand="0" w:oddHBand="0" w:evenHBand="0" w:firstRowFirstColumn="0" w:firstRowLastColumn="0" w:lastRowFirstColumn="0" w:lastRowLastColumn="0"/>
            <w:tcW w:w="1368" w:type="dxa"/>
            <w:vAlign w:val="center"/>
          </w:tcPr>
          <w:p w14:paraId="4FC86384" w14:textId="0D671436" w:rsidR="00C606A6" w:rsidDel="00736CE8" w:rsidRDefault="00C606A6" w:rsidP="001A3992">
            <w:pPr>
              <w:rPr>
                <w:rFonts w:cs="Times New Roman"/>
                <w:lang w:val="en-US"/>
              </w:rPr>
            </w:pPr>
            <w:r>
              <w:rPr>
                <w:rFonts w:cs="Times New Roman"/>
                <w:lang w:val="en-US"/>
              </w:rPr>
              <w:t>5.2</w:t>
            </w:r>
          </w:p>
        </w:tc>
        <w:tc>
          <w:tcPr>
            <w:tcW w:w="8072" w:type="dxa"/>
            <w:vAlign w:val="center"/>
          </w:tcPr>
          <w:p w14:paraId="559EA395" w14:textId="104459FA" w:rsidR="00C606A6" w:rsidRPr="00B47835" w:rsidDel="00736CE8" w:rsidRDefault="00C606A6" w:rsidP="00C606A6">
            <w:pPr>
              <w:cnfStyle w:val="000000000000" w:firstRow="0" w:lastRow="0" w:firstColumn="0" w:lastColumn="0" w:oddVBand="0" w:evenVBand="0" w:oddHBand="0" w:evenHBand="0" w:firstRowFirstColumn="0" w:firstRowLastColumn="0" w:lastRowFirstColumn="0" w:lastRowLastColumn="0"/>
              <w:rPr>
                <w:rFonts w:cs="Times New Roman"/>
                <w:lang w:val="en-US"/>
              </w:rPr>
            </w:pPr>
            <w:proofErr w:type="spellStart"/>
            <w:r>
              <w:rPr>
                <w:rFonts w:cs="Times New Roman"/>
                <w:lang w:val="en-US"/>
              </w:rPr>
              <w:t>Nivolumab</w:t>
            </w:r>
            <w:proofErr w:type="spellEnd"/>
            <w:r>
              <w:rPr>
                <w:rFonts w:cs="Times New Roman"/>
                <w:lang w:val="en-US"/>
              </w:rPr>
              <w:t xml:space="preserve"> monotherapy PK when used as an adjuvant therapy in patients with melanoma added. Editorial amendments made.</w:t>
            </w:r>
          </w:p>
        </w:tc>
      </w:tr>
    </w:tbl>
    <w:p w14:paraId="56317790" w14:textId="34EF8EA9" w:rsidR="003116ED" w:rsidRPr="0080269D" w:rsidRDefault="003116ED" w:rsidP="008D319A">
      <w:pPr>
        <w:spacing w:before="240"/>
        <w:rPr>
          <w:b/>
        </w:rPr>
      </w:pPr>
      <w:r>
        <w:t>OPDIVO</w:t>
      </w:r>
      <w:r>
        <w:rPr>
          <w:vertAlign w:val="superscript"/>
        </w:rPr>
        <w:t>®</w:t>
      </w:r>
      <w:r>
        <w:t xml:space="preserve"> and YERVOY</w:t>
      </w:r>
      <w:r>
        <w:rPr>
          <w:rFonts w:ascii="Arial" w:hAnsi="Arial" w:cs="Arial"/>
        </w:rPr>
        <w:t>®</w:t>
      </w:r>
      <w:r>
        <w:t xml:space="preserve"> are registered trademarks of Bristol-Myers Squibb</w:t>
      </w:r>
      <w:r w:rsidR="00F40275">
        <w:t xml:space="preserve"> Company.</w:t>
      </w:r>
    </w:p>
    <w:sectPr w:rsidR="003116ED" w:rsidRPr="0080269D" w:rsidSect="009015F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79C8A" w14:textId="77777777" w:rsidR="00683B20" w:rsidRDefault="00683B20" w:rsidP="001A3992">
      <w:pPr>
        <w:spacing w:after="0"/>
      </w:pPr>
      <w:r>
        <w:separator/>
      </w:r>
    </w:p>
  </w:endnote>
  <w:endnote w:type="continuationSeparator" w:id="0">
    <w:p w14:paraId="31BC9DC0" w14:textId="77777777" w:rsidR="00683B20" w:rsidRDefault="00683B20" w:rsidP="001A3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93163430"/>
      <w:docPartObj>
        <w:docPartGallery w:val="Page Numbers (Bottom of Page)"/>
        <w:docPartUnique/>
      </w:docPartObj>
    </w:sdtPr>
    <w:sdtEndPr>
      <w:rPr>
        <w:noProof/>
        <w:sz w:val="20"/>
      </w:rPr>
    </w:sdtEndPr>
    <w:sdtContent>
      <w:p w14:paraId="13ED8EB3" w14:textId="5C7D8E37" w:rsidR="00683B20" w:rsidRPr="003109D8" w:rsidRDefault="00683B20" w:rsidP="003109D8">
        <w:pPr>
          <w:pStyle w:val="Footer"/>
          <w:tabs>
            <w:tab w:val="clear" w:pos="4513"/>
          </w:tabs>
          <w:rPr>
            <w:rFonts w:ascii="Times New Roman" w:hAnsi="Times New Roman" w:cs="Times New Roman"/>
            <w:sz w:val="20"/>
          </w:rPr>
        </w:pPr>
        <w:r w:rsidRPr="003109D8">
          <w:rPr>
            <w:rFonts w:ascii="Times New Roman" w:hAnsi="Times New Roman" w:cs="Times New Roman"/>
            <w:sz w:val="20"/>
            <w:szCs w:val="20"/>
          </w:rPr>
          <w:t>AU_PI_</w:t>
        </w:r>
        <w:r>
          <w:rPr>
            <w:rFonts w:ascii="Times New Roman" w:hAnsi="Times New Roman" w:cs="Times New Roman"/>
            <w:sz w:val="20"/>
            <w:szCs w:val="20"/>
          </w:rPr>
          <w:t>OPDIVO_V12.0</w:t>
        </w:r>
        <w:r>
          <w:rPr>
            <w:rFonts w:ascii="Times New Roman" w:hAnsi="Times New Roman" w:cs="Times New Roman"/>
            <w:sz w:val="20"/>
            <w:szCs w:val="20"/>
          </w:rPr>
          <w:tab/>
        </w:r>
        <w:r w:rsidRPr="003109D8">
          <w:rPr>
            <w:rFonts w:ascii="Times New Roman" w:hAnsi="Times New Roman" w:cs="Times New Roman"/>
            <w:sz w:val="20"/>
          </w:rPr>
          <w:fldChar w:fldCharType="begin"/>
        </w:r>
        <w:r w:rsidRPr="003109D8">
          <w:rPr>
            <w:rFonts w:ascii="Times New Roman" w:hAnsi="Times New Roman" w:cs="Times New Roman"/>
            <w:sz w:val="20"/>
          </w:rPr>
          <w:instrText xml:space="preserve"> PAGE   \* MERGEFORMAT </w:instrText>
        </w:r>
        <w:r w:rsidRPr="003109D8">
          <w:rPr>
            <w:rFonts w:ascii="Times New Roman" w:hAnsi="Times New Roman" w:cs="Times New Roman"/>
            <w:sz w:val="20"/>
          </w:rPr>
          <w:fldChar w:fldCharType="separate"/>
        </w:r>
        <w:r w:rsidR="00861E5D">
          <w:rPr>
            <w:rFonts w:ascii="Times New Roman" w:hAnsi="Times New Roman" w:cs="Times New Roman"/>
            <w:noProof/>
            <w:sz w:val="20"/>
          </w:rPr>
          <w:t>1</w:t>
        </w:r>
        <w:r w:rsidRPr="003109D8">
          <w:rPr>
            <w:rFonts w:ascii="Times New Roman" w:hAnsi="Times New Roman" w:cs="Times New Roman"/>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CEA47C" w14:textId="77777777" w:rsidR="00683B20" w:rsidRDefault="00683B20" w:rsidP="001A3992">
      <w:pPr>
        <w:spacing w:after="0"/>
      </w:pPr>
      <w:r>
        <w:separator/>
      </w:r>
    </w:p>
  </w:footnote>
  <w:footnote w:type="continuationSeparator" w:id="0">
    <w:p w14:paraId="59866695" w14:textId="77777777" w:rsidR="00683B20" w:rsidRDefault="00683B20" w:rsidP="001A399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shd w:val="clear" w:color="auto" w:fill="E4F2E0"/>
      <w:tblLook w:val="04A0" w:firstRow="1" w:lastRow="0" w:firstColumn="1" w:lastColumn="0" w:noHBand="0" w:noVBand="1"/>
    </w:tblPr>
    <w:tblGrid>
      <w:gridCol w:w="8720"/>
    </w:tblGrid>
    <w:tr w:rsidR="00861E5D" w:rsidRPr="001C184C" w14:paraId="44BD3DB7" w14:textId="77777777" w:rsidTr="007B068B">
      <w:trPr>
        <w:trHeight w:val="602"/>
      </w:trPr>
      <w:tc>
        <w:tcPr>
          <w:tcW w:w="8720" w:type="dxa"/>
          <w:shd w:val="clear" w:color="auto" w:fill="E4F2E0"/>
        </w:tcPr>
        <w:p w14:paraId="2EC1328E" w14:textId="77777777" w:rsidR="00861E5D" w:rsidRPr="001C184C" w:rsidRDefault="00861E5D" w:rsidP="007B068B">
          <w:pPr>
            <w:pStyle w:val="Footer"/>
            <w:rPr>
              <w:b/>
              <w:sz w:val="18"/>
              <w:szCs w:val="18"/>
            </w:rPr>
          </w:pPr>
          <w:r w:rsidRPr="001C184C">
            <w:rPr>
              <w:b/>
              <w:sz w:val="18"/>
              <w:szCs w:val="18"/>
            </w:rPr>
            <w:t xml:space="preserve">Attachment 1: Product information for </w:t>
          </w:r>
          <w:r w:rsidRPr="00073775">
            <w:rPr>
              <w:b/>
              <w:sz w:val="18"/>
              <w:szCs w:val="18"/>
            </w:rPr>
            <w:t xml:space="preserve">AusPAR </w:t>
          </w:r>
          <w:proofErr w:type="spellStart"/>
          <w:r w:rsidRPr="00073775">
            <w:rPr>
              <w:b/>
              <w:sz w:val="18"/>
              <w:szCs w:val="18"/>
            </w:rPr>
            <w:t>Opdivo</w:t>
          </w:r>
          <w:proofErr w:type="spellEnd"/>
          <w:r w:rsidRPr="00073775">
            <w:rPr>
              <w:b/>
              <w:sz w:val="18"/>
              <w:szCs w:val="18"/>
            </w:rPr>
            <w:t xml:space="preserve"> </w:t>
          </w:r>
          <w:proofErr w:type="spellStart"/>
          <w:r w:rsidRPr="00073775">
            <w:rPr>
              <w:b/>
              <w:sz w:val="18"/>
              <w:szCs w:val="18"/>
            </w:rPr>
            <w:t>Nivolumab</w:t>
          </w:r>
          <w:proofErr w:type="spellEnd"/>
          <w:r w:rsidRPr="00073775">
            <w:rPr>
              <w:b/>
              <w:sz w:val="18"/>
              <w:szCs w:val="18"/>
            </w:rPr>
            <w:t xml:space="preserve"> BMS Australia PM-2017-03752-1-4</w:t>
          </w:r>
          <w:r>
            <w:rPr>
              <w:b/>
              <w:sz w:val="18"/>
              <w:szCs w:val="18"/>
            </w:rPr>
            <w:t xml:space="preserve"> </w:t>
          </w:r>
          <w:r w:rsidRPr="00073775">
            <w:rPr>
              <w:b/>
              <w:sz w:val="18"/>
              <w:szCs w:val="18"/>
            </w:rPr>
            <w:t>Final 6 August 2018</w:t>
          </w:r>
          <w:r>
            <w:rPr>
              <w:b/>
              <w:sz w:val="18"/>
              <w:szCs w:val="18"/>
            </w:rPr>
            <w:t xml:space="preserve"> </w:t>
          </w:r>
          <w:r w:rsidRPr="001C184C">
            <w:rPr>
              <w:b/>
              <w:sz w:val="18"/>
              <w:szCs w:val="18"/>
            </w:rPr>
            <w:t>This Product information was approved at the time this AusPAR was published.</w:t>
          </w:r>
        </w:p>
      </w:tc>
    </w:tr>
  </w:tbl>
  <w:p w14:paraId="702A6DB9" w14:textId="77777777" w:rsidR="00683B20" w:rsidRDefault="00683B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00D73"/>
    <w:multiLevelType w:val="hybridMultilevel"/>
    <w:tmpl w:val="5A82B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B5B37"/>
    <w:multiLevelType w:val="hybridMultilevel"/>
    <w:tmpl w:val="35D0D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1F76ED8"/>
    <w:multiLevelType w:val="hybridMultilevel"/>
    <w:tmpl w:val="21BA6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7203307"/>
    <w:multiLevelType w:val="multilevel"/>
    <w:tmpl w:val="09B48FEA"/>
    <w:lvl w:ilvl="0">
      <w:start w:val="1"/>
      <w:numFmt w:val="decimal"/>
      <w:pStyle w:val="BMSHeading1"/>
      <w:lvlText w:val="%1"/>
      <w:lvlJc w:val="left"/>
      <w:pPr>
        <w:tabs>
          <w:tab w:val="num" w:pos="1152"/>
        </w:tabs>
        <w:ind w:left="1152" w:hanging="1152"/>
      </w:pPr>
    </w:lvl>
    <w:lvl w:ilvl="1">
      <w:start w:val="1"/>
      <w:numFmt w:val="decimal"/>
      <w:pStyle w:val="BMSHeading2"/>
      <w:lvlText w:val="%1.%2"/>
      <w:lvlJc w:val="left"/>
      <w:pPr>
        <w:tabs>
          <w:tab w:val="num" w:pos="1152"/>
        </w:tabs>
        <w:ind w:left="1152" w:hanging="1152"/>
      </w:pPr>
    </w:lvl>
    <w:lvl w:ilvl="2">
      <w:start w:val="1"/>
      <w:numFmt w:val="decimal"/>
      <w:pStyle w:val="BMSHeading3"/>
      <w:lvlText w:val="%1.%2.%3"/>
      <w:lvlJc w:val="left"/>
      <w:pPr>
        <w:tabs>
          <w:tab w:val="num" w:pos="1152"/>
        </w:tabs>
        <w:ind w:left="1152" w:hanging="1152"/>
      </w:pPr>
    </w:lvl>
    <w:lvl w:ilvl="3">
      <w:start w:val="1"/>
      <w:numFmt w:val="decimal"/>
      <w:pStyle w:val="BMSHeading4"/>
      <w:lvlText w:val="%1.%2.%3.%4"/>
      <w:lvlJc w:val="left"/>
      <w:pPr>
        <w:tabs>
          <w:tab w:val="num" w:pos="1152"/>
        </w:tabs>
        <w:ind w:left="1152" w:hanging="1152"/>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3457214D"/>
    <w:multiLevelType w:val="hybridMultilevel"/>
    <w:tmpl w:val="8A5A32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0B17E56"/>
    <w:multiLevelType w:val="hybridMultilevel"/>
    <w:tmpl w:val="1B0C0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E66849"/>
    <w:multiLevelType w:val="singleLevel"/>
    <w:tmpl w:val="AD04EE68"/>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7">
    <w:nsid w:val="524B4336"/>
    <w:multiLevelType w:val="hybridMultilevel"/>
    <w:tmpl w:val="72D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9207B63"/>
    <w:multiLevelType w:val="hybridMultilevel"/>
    <w:tmpl w:val="AC8E6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B72673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69F38F8"/>
    <w:multiLevelType w:val="multilevel"/>
    <w:tmpl w:val="360600D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B265093"/>
    <w:multiLevelType w:val="hybridMultilevel"/>
    <w:tmpl w:val="EC2C1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166C50"/>
    <w:multiLevelType w:val="multilevel"/>
    <w:tmpl w:val="44CCD998"/>
    <w:lvl w:ilvl="0">
      <w:start w:val="1"/>
      <w:numFmt w:val="decimal"/>
      <w:pStyle w:val="BMSOutlineNumbering"/>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6F5F7099"/>
    <w:multiLevelType w:val="hybridMultilevel"/>
    <w:tmpl w:val="132251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6FC7661F"/>
    <w:multiLevelType w:val="hybridMultilevel"/>
    <w:tmpl w:val="22B4C2BC"/>
    <w:lvl w:ilvl="0" w:tplc="AF12DDAE">
      <w:start w:val="1"/>
      <w:numFmt w:val="bullet"/>
      <w:pStyle w:val="NoSpaci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332797"/>
    <w:multiLevelType w:val="multilevel"/>
    <w:tmpl w:val="E2440548"/>
    <w:lvl w:ilvl="0">
      <w:start w:val="1"/>
      <w:numFmt w:val="decimal"/>
      <w:lvlText w:val="%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74E67A36"/>
    <w:multiLevelType w:val="hybridMultilevel"/>
    <w:tmpl w:val="86B8A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6FD2CDA"/>
    <w:multiLevelType w:val="hybridMultilevel"/>
    <w:tmpl w:val="C400D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CF64B1"/>
    <w:multiLevelType w:val="hybridMultilevel"/>
    <w:tmpl w:val="393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12"/>
  </w:num>
  <w:num w:numId="4">
    <w:abstractNumId w:val="1"/>
  </w:num>
  <w:num w:numId="5">
    <w:abstractNumId w:val="6"/>
  </w:num>
  <w:num w:numId="6">
    <w:abstractNumId w:val="3"/>
  </w:num>
  <w:num w:numId="7">
    <w:abstractNumId w:val="7"/>
  </w:num>
  <w:num w:numId="8">
    <w:abstractNumId w:val="8"/>
  </w:num>
  <w:num w:numId="9">
    <w:abstractNumId w:val="16"/>
  </w:num>
  <w:num w:numId="10">
    <w:abstractNumId w:val="4"/>
  </w:num>
  <w:num w:numId="11">
    <w:abstractNumId w:val="13"/>
  </w:num>
  <w:num w:numId="12">
    <w:abstractNumId w:val="15"/>
  </w:num>
  <w:num w:numId="13">
    <w:abstractNumId w:val="15"/>
  </w:num>
  <w:num w:numId="14">
    <w:abstractNumId w:val="15"/>
  </w:num>
  <w:num w:numId="15">
    <w:abstractNumId w:val="15"/>
  </w:num>
  <w:num w:numId="16">
    <w:abstractNumId w:val="15"/>
  </w:num>
  <w:num w:numId="17">
    <w:abstractNumId w:val="15"/>
  </w:num>
  <w:num w:numId="18">
    <w:abstractNumId w:val="17"/>
  </w:num>
  <w:num w:numId="19">
    <w:abstractNumId w:val="5"/>
  </w:num>
  <w:num w:numId="20">
    <w:abstractNumId w:val="0"/>
  </w:num>
  <w:num w:numId="21">
    <w:abstractNumId w:val="9"/>
  </w:num>
  <w:num w:numId="22">
    <w:abstractNumId w:val="10"/>
  </w:num>
  <w:num w:numId="23">
    <w:abstractNumId w:val="11"/>
  </w:num>
  <w:num w:numId="24">
    <w:abstractNumId w:val="18"/>
  </w:num>
  <w:num w:numId="2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CoreTemplateVersion" w:val="4.01"/>
    <w:docVar w:name="InitialCoreTemplateVersion" w:val="4.01"/>
  </w:docVars>
  <w:rsids>
    <w:rsidRoot w:val="001829B1"/>
    <w:rsid w:val="00001BC1"/>
    <w:rsid w:val="000048EC"/>
    <w:rsid w:val="00004946"/>
    <w:rsid w:val="00023A3A"/>
    <w:rsid w:val="00024335"/>
    <w:rsid w:val="00026B31"/>
    <w:rsid w:val="000325AA"/>
    <w:rsid w:val="000346E4"/>
    <w:rsid w:val="00043637"/>
    <w:rsid w:val="00050F20"/>
    <w:rsid w:val="000540E2"/>
    <w:rsid w:val="00060386"/>
    <w:rsid w:val="00063588"/>
    <w:rsid w:val="000671A0"/>
    <w:rsid w:val="0007651D"/>
    <w:rsid w:val="000916E1"/>
    <w:rsid w:val="00091DD5"/>
    <w:rsid w:val="00097FB2"/>
    <w:rsid w:val="000A2F99"/>
    <w:rsid w:val="000A3698"/>
    <w:rsid w:val="000C203B"/>
    <w:rsid w:val="000D3434"/>
    <w:rsid w:val="000E1A25"/>
    <w:rsid w:val="000E5B87"/>
    <w:rsid w:val="000F03E1"/>
    <w:rsid w:val="00102F80"/>
    <w:rsid w:val="001042DD"/>
    <w:rsid w:val="001310BA"/>
    <w:rsid w:val="00131E0E"/>
    <w:rsid w:val="001338C2"/>
    <w:rsid w:val="001349D7"/>
    <w:rsid w:val="001353CB"/>
    <w:rsid w:val="00147E17"/>
    <w:rsid w:val="00150005"/>
    <w:rsid w:val="00151EB6"/>
    <w:rsid w:val="00167658"/>
    <w:rsid w:val="001810E1"/>
    <w:rsid w:val="001829B1"/>
    <w:rsid w:val="00196FA1"/>
    <w:rsid w:val="001A3992"/>
    <w:rsid w:val="001B3132"/>
    <w:rsid w:val="001D1088"/>
    <w:rsid w:val="001D53CF"/>
    <w:rsid w:val="001D5C14"/>
    <w:rsid w:val="001F57B8"/>
    <w:rsid w:val="002007AB"/>
    <w:rsid w:val="00201B7C"/>
    <w:rsid w:val="0020264B"/>
    <w:rsid w:val="00207448"/>
    <w:rsid w:val="00214BF9"/>
    <w:rsid w:val="002155D5"/>
    <w:rsid w:val="00217269"/>
    <w:rsid w:val="0022005D"/>
    <w:rsid w:val="00230DC5"/>
    <w:rsid w:val="00241755"/>
    <w:rsid w:val="00242604"/>
    <w:rsid w:val="00242A03"/>
    <w:rsid w:val="002503AB"/>
    <w:rsid w:val="0025040D"/>
    <w:rsid w:val="00257C8F"/>
    <w:rsid w:val="00260B7E"/>
    <w:rsid w:val="00260EDC"/>
    <w:rsid w:val="00262691"/>
    <w:rsid w:val="00264621"/>
    <w:rsid w:val="0027261C"/>
    <w:rsid w:val="00277373"/>
    <w:rsid w:val="00294364"/>
    <w:rsid w:val="00294601"/>
    <w:rsid w:val="0029602A"/>
    <w:rsid w:val="002A367E"/>
    <w:rsid w:val="002B019E"/>
    <w:rsid w:val="002B0C88"/>
    <w:rsid w:val="002B376A"/>
    <w:rsid w:val="002C197D"/>
    <w:rsid w:val="002C356A"/>
    <w:rsid w:val="002C5D3A"/>
    <w:rsid w:val="002D743D"/>
    <w:rsid w:val="002E277D"/>
    <w:rsid w:val="002F6422"/>
    <w:rsid w:val="0030249B"/>
    <w:rsid w:val="00310419"/>
    <w:rsid w:val="003109D8"/>
    <w:rsid w:val="003116ED"/>
    <w:rsid w:val="00312D0B"/>
    <w:rsid w:val="003137ED"/>
    <w:rsid w:val="00323A96"/>
    <w:rsid w:val="00330201"/>
    <w:rsid w:val="00353D2E"/>
    <w:rsid w:val="003556F9"/>
    <w:rsid w:val="00356656"/>
    <w:rsid w:val="003621D9"/>
    <w:rsid w:val="00364CA1"/>
    <w:rsid w:val="00366305"/>
    <w:rsid w:val="00382645"/>
    <w:rsid w:val="00390BBE"/>
    <w:rsid w:val="00394724"/>
    <w:rsid w:val="003A187D"/>
    <w:rsid w:val="003B14A8"/>
    <w:rsid w:val="003B3E7C"/>
    <w:rsid w:val="003C2DE8"/>
    <w:rsid w:val="003C5E1F"/>
    <w:rsid w:val="003C627D"/>
    <w:rsid w:val="003C741E"/>
    <w:rsid w:val="003D0C02"/>
    <w:rsid w:val="003D202A"/>
    <w:rsid w:val="003E24B4"/>
    <w:rsid w:val="003E47FA"/>
    <w:rsid w:val="003E5E4F"/>
    <w:rsid w:val="003F65AB"/>
    <w:rsid w:val="00403212"/>
    <w:rsid w:val="004032BD"/>
    <w:rsid w:val="00410CEE"/>
    <w:rsid w:val="00413966"/>
    <w:rsid w:val="00431ACD"/>
    <w:rsid w:val="00463F0F"/>
    <w:rsid w:val="004704A9"/>
    <w:rsid w:val="00471C1A"/>
    <w:rsid w:val="004764A4"/>
    <w:rsid w:val="00484F15"/>
    <w:rsid w:val="004901FA"/>
    <w:rsid w:val="00493B85"/>
    <w:rsid w:val="00497476"/>
    <w:rsid w:val="004B018F"/>
    <w:rsid w:val="004B6E16"/>
    <w:rsid w:val="004C40A4"/>
    <w:rsid w:val="004D3544"/>
    <w:rsid w:val="004D3592"/>
    <w:rsid w:val="004D7D64"/>
    <w:rsid w:val="004E3701"/>
    <w:rsid w:val="004E479C"/>
    <w:rsid w:val="004F3718"/>
    <w:rsid w:val="004F7254"/>
    <w:rsid w:val="004F767B"/>
    <w:rsid w:val="00503B6E"/>
    <w:rsid w:val="00510AB1"/>
    <w:rsid w:val="00512BA0"/>
    <w:rsid w:val="00517111"/>
    <w:rsid w:val="00531D8A"/>
    <w:rsid w:val="005621A7"/>
    <w:rsid w:val="00570F78"/>
    <w:rsid w:val="00571096"/>
    <w:rsid w:val="00583761"/>
    <w:rsid w:val="0059631E"/>
    <w:rsid w:val="00597894"/>
    <w:rsid w:val="005A752C"/>
    <w:rsid w:val="005A7542"/>
    <w:rsid w:val="005B04F6"/>
    <w:rsid w:val="005D261D"/>
    <w:rsid w:val="005D3254"/>
    <w:rsid w:val="005E7F77"/>
    <w:rsid w:val="006028ED"/>
    <w:rsid w:val="00605524"/>
    <w:rsid w:val="00606D0C"/>
    <w:rsid w:val="00624AF8"/>
    <w:rsid w:val="00626488"/>
    <w:rsid w:val="00633793"/>
    <w:rsid w:val="00644643"/>
    <w:rsid w:val="0064754A"/>
    <w:rsid w:val="00655F9F"/>
    <w:rsid w:val="0065751E"/>
    <w:rsid w:val="00662840"/>
    <w:rsid w:val="00667F98"/>
    <w:rsid w:val="0067316B"/>
    <w:rsid w:val="00674692"/>
    <w:rsid w:val="00675853"/>
    <w:rsid w:val="00683B20"/>
    <w:rsid w:val="00690E42"/>
    <w:rsid w:val="00694DFD"/>
    <w:rsid w:val="006A1E17"/>
    <w:rsid w:val="006B0AE5"/>
    <w:rsid w:val="006B49A8"/>
    <w:rsid w:val="006D3CB9"/>
    <w:rsid w:val="006D73A6"/>
    <w:rsid w:val="006F04BA"/>
    <w:rsid w:val="006F0ECC"/>
    <w:rsid w:val="00714903"/>
    <w:rsid w:val="007326B7"/>
    <w:rsid w:val="00736CE8"/>
    <w:rsid w:val="007434E4"/>
    <w:rsid w:val="00746B5A"/>
    <w:rsid w:val="00755517"/>
    <w:rsid w:val="0076382D"/>
    <w:rsid w:val="007659AE"/>
    <w:rsid w:val="007663C6"/>
    <w:rsid w:val="00766861"/>
    <w:rsid w:val="0077482A"/>
    <w:rsid w:val="007749E4"/>
    <w:rsid w:val="00777194"/>
    <w:rsid w:val="007771A9"/>
    <w:rsid w:val="00792B3D"/>
    <w:rsid w:val="007941E1"/>
    <w:rsid w:val="007A3DBD"/>
    <w:rsid w:val="007C1EDB"/>
    <w:rsid w:val="007C4044"/>
    <w:rsid w:val="007E5F98"/>
    <w:rsid w:val="007E79E8"/>
    <w:rsid w:val="007F0406"/>
    <w:rsid w:val="007F1F1B"/>
    <w:rsid w:val="007F6ECD"/>
    <w:rsid w:val="00807021"/>
    <w:rsid w:val="00810147"/>
    <w:rsid w:val="00832EF6"/>
    <w:rsid w:val="00833BB2"/>
    <w:rsid w:val="00834A84"/>
    <w:rsid w:val="00842A71"/>
    <w:rsid w:val="00861E5D"/>
    <w:rsid w:val="00873EAD"/>
    <w:rsid w:val="00874BF8"/>
    <w:rsid w:val="008863B1"/>
    <w:rsid w:val="008B60A0"/>
    <w:rsid w:val="008C724E"/>
    <w:rsid w:val="008D08BA"/>
    <w:rsid w:val="008D319A"/>
    <w:rsid w:val="008D5033"/>
    <w:rsid w:val="008E1FD4"/>
    <w:rsid w:val="008E2DDE"/>
    <w:rsid w:val="008F1577"/>
    <w:rsid w:val="008F50C4"/>
    <w:rsid w:val="008F52CB"/>
    <w:rsid w:val="009015F8"/>
    <w:rsid w:val="009045DE"/>
    <w:rsid w:val="00915A46"/>
    <w:rsid w:val="0092231B"/>
    <w:rsid w:val="0092589D"/>
    <w:rsid w:val="00927F62"/>
    <w:rsid w:val="00951FDB"/>
    <w:rsid w:val="00955AD5"/>
    <w:rsid w:val="00960083"/>
    <w:rsid w:val="00960CD5"/>
    <w:rsid w:val="00994589"/>
    <w:rsid w:val="009A45BF"/>
    <w:rsid w:val="009B2F32"/>
    <w:rsid w:val="009B59BA"/>
    <w:rsid w:val="009B6CBD"/>
    <w:rsid w:val="009C5D42"/>
    <w:rsid w:val="009D0000"/>
    <w:rsid w:val="009F0492"/>
    <w:rsid w:val="00A20060"/>
    <w:rsid w:val="00A42846"/>
    <w:rsid w:val="00A4504C"/>
    <w:rsid w:val="00A50405"/>
    <w:rsid w:val="00A50875"/>
    <w:rsid w:val="00A62F8A"/>
    <w:rsid w:val="00A65E67"/>
    <w:rsid w:val="00A66958"/>
    <w:rsid w:val="00A67FC2"/>
    <w:rsid w:val="00A810B9"/>
    <w:rsid w:val="00A841AB"/>
    <w:rsid w:val="00A85FED"/>
    <w:rsid w:val="00A8608B"/>
    <w:rsid w:val="00A86DAB"/>
    <w:rsid w:val="00A93226"/>
    <w:rsid w:val="00AA7768"/>
    <w:rsid w:val="00AB3B14"/>
    <w:rsid w:val="00AB523B"/>
    <w:rsid w:val="00AB778A"/>
    <w:rsid w:val="00AC3E58"/>
    <w:rsid w:val="00AC4611"/>
    <w:rsid w:val="00AC758E"/>
    <w:rsid w:val="00AD2CAD"/>
    <w:rsid w:val="00AD5343"/>
    <w:rsid w:val="00AE66E6"/>
    <w:rsid w:val="00AF0232"/>
    <w:rsid w:val="00B07255"/>
    <w:rsid w:val="00B07278"/>
    <w:rsid w:val="00B37145"/>
    <w:rsid w:val="00B47835"/>
    <w:rsid w:val="00B558F6"/>
    <w:rsid w:val="00B57C92"/>
    <w:rsid w:val="00B67800"/>
    <w:rsid w:val="00B71F8D"/>
    <w:rsid w:val="00B75C65"/>
    <w:rsid w:val="00B7751B"/>
    <w:rsid w:val="00B80CB5"/>
    <w:rsid w:val="00B830E2"/>
    <w:rsid w:val="00B929C7"/>
    <w:rsid w:val="00BA0123"/>
    <w:rsid w:val="00BA04BC"/>
    <w:rsid w:val="00BA0E3B"/>
    <w:rsid w:val="00BA6CC3"/>
    <w:rsid w:val="00BC6306"/>
    <w:rsid w:val="00BE172A"/>
    <w:rsid w:val="00BF2F27"/>
    <w:rsid w:val="00BF7D0E"/>
    <w:rsid w:val="00C00F7A"/>
    <w:rsid w:val="00C046F7"/>
    <w:rsid w:val="00C054B7"/>
    <w:rsid w:val="00C11CD9"/>
    <w:rsid w:val="00C13A8C"/>
    <w:rsid w:val="00C204A2"/>
    <w:rsid w:val="00C207B3"/>
    <w:rsid w:val="00C27979"/>
    <w:rsid w:val="00C321D3"/>
    <w:rsid w:val="00C3270F"/>
    <w:rsid w:val="00C606A6"/>
    <w:rsid w:val="00C60C11"/>
    <w:rsid w:val="00C62D3A"/>
    <w:rsid w:val="00C65823"/>
    <w:rsid w:val="00C659AE"/>
    <w:rsid w:val="00C66A9C"/>
    <w:rsid w:val="00C75E2B"/>
    <w:rsid w:val="00C76523"/>
    <w:rsid w:val="00C828F7"/>
    <w:rsid w:val="00C83397"/>
    <w:rsid w:val="00C838A8"/>
    <w:rsid w:val="00C84D8B"/>
    <w:rsid w:val="00C903D1"/>
    <w:rsid w:val="00C95CC4"/>
    <w:rsid w:val="00CA30B7"/>
    <w:rsid w:val="00CA6CCF"/>
    <w:rsid w:val="00CB5929"/>
    <w:rsid w:val="00CB6ABF"/>
    <w:rsid w:val="00CC182B"/>
    <w:rsid w:val="00CC4036"/>
    <w:rsid w:val="00CC55B8"/>
    <w:rsid w:val="00CD7A52"/>
    <w:rsid w:val="00CE511A"/>
    <w:rsid w:val="00CF1847"/>
    <w:rsid w:val="00CF3B37"/>
    <w:rsid w:val="00CF5818"/>
    <w:rsid w:val="00CF703D"/>
    <w:rsid w:val="00CF7197"/>
    <w:rsid w:val="00D16B7E"/>
    <w:rsid w:val="00D2122D"/>
    <w:rsid w:val="00D34524"/>
    <w:rsid w:val="00D370AB"/>
    <w:rsid w:val="00D504E6"/>
    <w:rsid w:val="00D62FF7"/>
    <w:rsid w:val="00D7586A"/>
    <w:rsid w:val="00D76363"/>
    <w:rsid w:val="00D9074B"/>
    <w:rsid w:val="00D9698B"/>
    <w:rsid w:val="00DA06A7"/>
    <w:rsid w:val="00DA3F91"/>
    <w:rsid w:val="00DA4851"/>
    <w:rsid w:val="00DB1AA4"/>
    <w:rsid w:val="00DB5FE1"/>
    <w:rsid w:val="00DC742F"/>
    <w:rsid w:val="00DD212A"/>
    <w:rsid w:val="00DD3FBA"/>
    <w:rsid w:val="00DD7DE3"/>
    <w:rsid w:val="00DF5190"/>
    <w:rsid w:val="00E03130"/>
    <w:rsid w:val="00E0377C"/>
    <w:rsid w:val="00E06492"/>
    <w:rsid w:val="00E17D7D"/>
    <w:rsid w:val="00E20444"/>
    <w:rsid w:val="00E20837"/>
    <w:rsid w:val="00E20F17"/>
    <w:rsid w:val="00E23211"/>
    <w:rsid w:val="00E261EC"/>
    <w:rsid w:val="00E2637E"/>
    <w:rsid w:val="00E269E2"/>
    <w:rsid w:val="00E3061F"/>
    <w:rsid w:val="00E37C07"/>
    <w:rsid w:val="00E43E88"/>
    <w:rsid w:val="00E44264"/>
    <w:rsid w:val="00E47C40"/>
    <w:rsid w:val="00E50B8A"/>
    <w:rsid w:val="00E552AD"/>
    <w:rsid w:val="00E61227"/>
    <w:rsid w:val="00E62440"/>
    <w:rsid w:val="00E67AD0"/>
    <w:rsid w:val="00E74A56"/>
    <w:rsid w:val="00E9218B"/>
    <w:rsid w:val="00E93BFB"/>
    <w:rsid w:val="00E942C4"/>
    <w:rsid w:val="00EA48C0"/>
    <w:rsid w:val="00EB7822"/>
    <w:rsid w:val="00ED63FA"/>
    <w:rsid w:val="00EE22DA"/>
    <w:rsid w:val="00EE5D4D"/>
    <w:rsid w:val="00EE6520"/>
    <w:rsid w:val="00EF37E4"/>
    <w:rsid w:val="00F01F58"/>
    <w:rsid w:val="00F110E5"/>
    <w:rsid w:val="00F24DC0"/>
    <w:rsid w:val="00F40275"/>
    <w:rsid w:val="00F43D5A"/>
    <w:rsid w:val="00F6098A"/>
    <w:rsid w:val="00F67107"/>
    <w:rsid w:val="00F67B72"/>
    <w:rsid w:val="00F70DA5"/>
    <w:rsid w:val="00F75111"/>
    <w:rsid w:val="00F762FF"/>
    <w:rsid w:val="00F80465"/>
    <w:rsid w:val="00F95BB0"/>
    <w:rsid w:val="00FA3DC0"/>
    <w:rsid w:val="00FA6FF1"/>
    <w:rsid w:val="00FB0AC0"/>
    <w:rsid w:val="00FB13AC"/>
    <w:rsid w:val="00FB27DB"/>
    <w:rsid w:val="00FC0417"/>
    <w:rsid w:val="00FC64C2"/>
    <w:rsid w:val="00FD7C7B"/>
    <w:rsid w:val="00FE53C0"/>
    <w:rsid w:val="00FF1901"/>
    <w:rsid w:val="00FF2E1D"/>
    <w:rsid w:val="00FF4558"/>
    <w:rsid w:val="00FF4BD4"/>
    <w:rsid w:val="00FF50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14:docId w14:val="6CB2C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0"/>
    <w:lsdException w:name="toc 9" w:uiPriority="39"/>
    <w:lsdException w:name="footer" w:uiPriority="0"/>
    <w:lsdException w:name="caption" w:uiPriority="35" w:qFormat="1"/>
    <w:lsdException w:name="page number" w:uiPriority="0"/>
    <w:lsdException w:name="endnote reference" w:uiPriority="0" w:qFormat="1"/>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3718"/>
    <w:pPr>
      <w:spacing w:line="240" w:lineRule="auto"/>
      <w:jc w:val="both"/>
    </w:pPr>
    <w:rPr>
      <w:rFonts w:ascii="Times New Roman" w:hAnsi="Times New Roman"/>
    </w:rPr>
  </w:style>
  <w:style w:type="paragraph" w:styleId="Heading1">
    <w:name w:val="heading 1"/>
    <w:basedOn w:val="Normal"/>
    <w:next w:val="Normal"/>
    <w:link w:val="Heading1Char"/>
    <w:autoRedefine/>
    <w:qFormat/>
    <w:rsid w:val="004B6E16"/>
    <w:pPr>
      <w:keepNext/>
      <w:keepLines/>
      <w:numPr>
        <w:numId w:val="22"/>
      </w:numPr>
      <w:spacing w:before="200" w:after="120"/>
      <w:ind w:left="540" w:hanging="540"/>
      <w:outlineLvl w:val="0"/>
    </w:pPr>
    <w:rPr>
      <w:rFonts w:eastAsiaTheme="majorEastAsia" w:cstheme="majorBidi"/>
      <w:b/>
      <w:bCs/>
      <w:caps/>
      <w:sz w:val="28"/>
      <w:szCs w:val="28"/>
      <w:lang w:val="en-US"/>
    </w:rPr>
  </w:style>
  <w:style w:type="paragraph" w:styleId="Heading2">
    <w:name w:val="heading 2"/>
    <w:basedOn w:val="Normal"/>
    <w:next w:val="Normal"/>
    <w:link w:val="Heading2Char"/>
    <w:autoRedefine/>
    <w:unhideWhenUsed/>
    <w:qFormat/>
    <w:rsid w:val="00667F98"/>
    <w:pPr>
      <w:numPr>
        <w:ilvl w:val="1"/>
        <w:numId w:val="22"/>
      </w:numPr>
      <w:spacing w:after="120"/>
      <w:ind w:hanging="792"/>
      <w:outlineLvl w:val="1"/>
    </w:pPr>
    <w:rPr>
      <w:rFonts w:ascii="Times New Roman Bold" w:eastAsia="Times New Roman" w:hAnsi="Times New Roman Bold" w:cs="Times New Roman"/>
      <w:b/>
      <w:caps/>
      <w:sz w:val="26"/>
      <w:szCs w:val="26"/>
      <w:lang w:val="en-US"/>
    </w:rPr>
  </w:style>
  <w:style w:type="paragraph" w:styleId="Heading3">
    <w:name w:val="heading 3"/>
    <w:basedOn w:val="Normal"/>
    <w:next w:val="Normal"/>
    <w:link w:val="Heading3Char"/>
    <w:autoRedefine/>
    <w:unhideWhenUsed/>
    <w:qFormat/>
    <w:rsid w:val="00214BF9"/>
    <w:pPr>
      <w:keepNext/>
      <w:keepLines/>
      <w:spacing w:before="200" w:after="160"/>
      <w:outlineLvl w:val="2"/>
    </w:pPr>
    <w:rPr>
      <w:rFonts w:eastAsia="MS Mincho" w:cstheme="majorBidi"/>
      <w:b/>
      <w:bCs/>
      <w:noProof/>
      <w:snapToGrid w:val="0"/>
      <w:sz w:val="24"/>
      <w:u w:val="single"/>
      <w:lang w:val="en-US"/>
    </w:rPr>
  </w:style>
  <w:style w:type="paragraph" w:styleId="Heading4">
    <w:name w:val="heading 4"/>
    <w:basedOn w:val="Normal"/>
    <w:next w:val="Normal"/>
    <w:link w:val="Heading4Char"/>
    <w:autoRedefine/>
    <w:unhideWhenUsed/>
    <w:qFormat/>
    <w:rsid w:val="003F65AB"/>
    <w:pPr>
      <w:keepNext/>
      <w:keepLines/>
      <w:spacing w:before="200"/>
      <w:outlineLvl w:val="3"/>
    </w:pPr>
    <w:rPr>
      <w:rFonts w:ascii="Times New Roman Bold" w:eastAsiaTheme="majorEastAsia" w:hAnsi="Times New Roman Bold" w:cstheme="majorBidi"/>
      <w:b/>
      <w:bCs/>
      <w:i/>
      <w:iCs/>
    </w:rPr>
  </w:style>
  <w:style w:type="paragraph" w:styleId="Heading5">
    <w:name w:val="heading 5"/>
    <w:basedOn w:val="Normal"/>
    <w:next w:val="Normal"/>
    <w:link w:val="Heading5Char"/>
    <w:unhideWhenUsed/>
    <w:qFormat/>
    <w:rsid w:val="001A39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endix Heading"/>
    <w:basedOn w:val="Normal"/>
    <w:next w:val="Normal"/>
    <w:link w:val="Heading7Char"/>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E16"/>
    <w:rPr>
      <w:rFonts w:ascii="Times New Roman" w:eastAsiaTheme="majorEastAsia" w:hAnsi="Times New Roman" w:cstheme="majorBidi"/>
      <w:b/>
      <w:bCs/>
      <w:caps/>
      <w:sz w:val="28"/>
      <w:szCs w:val="28"/>
      <w:lang w:val="en-US"/>
    </w:rPr>
  </w:style>
  <w:style w:type="character" w:customStyle="1" w:styleId="Heading2Char">
    <w:name w:val="Heading 2 Char"/>
    <w:basedOn w:val="DefaultParagraphFont"/>
    <w:link w:val="Heading2"/>
    <w:rsid w:val="00667F98"/>
    <w:rPr>
      <w:rFonts w:ascii="Times New Roman Bold" w:eastAsia="Times New Roman" w:hAnsi="Times New Roman Bold" w:cs="Times New Roman"/>
      <w:b/>
      <w:caps/>
      <w:sz w:val="26"/>
      <w:szCs w:val="26"/>
      <w:lang w:val="en-US"/>
    </w:rPr>
  </w:style>
  <w:style w:type="character" w:customStyle="1" w:styleId="Heading3Char">
    <w:name w:val="Heading 3 Char"/>
    <w:basedOn w:val="DefaultParagraphFont"/>
    <w:link w:val="Heading3"/>
    <w:rsid w:val="00214BF9"/>
    <w:rPr>
      <w:rFonts w:ascii="Times New Roman" w:eastAsia="MS Mincho" w:hAnsi="Times New Roman" w:cstheme="majorBidi"/>
      <w:b/>
      <w:bCs/>
      <w:noProof/>
      <w:snapToGrid w:val="0"/>
      <w:sz w:val="24"/>
      <w:u w:val="single"/>
      <w:lang w:val="en-US"/>
    </w:rPr>
  </w:style>
  <w:style w:type="character" w:customStyle="1" w:styleId="Heading4Char">
    <w:name w:val="Heading 4 Char"/>
    <w:basedOn w:val="DefaultParagraphFont"/>
    <w:link w:val="Heading4"/>
    <w:rsid w:val="003F65AB"/>
    <w:rPr>
      <w:rFonts w:ascii="Times New Roman Bold" w:eastAsiaTheme="majorEastAsia" w:hAnsi="Times New Roman Bold" w:cstheme="majorBidi"/>
      <w:b/>
      <w:bCs/>
      <w:i/>
      <w:iCs/>
    </w:rPr>
  </w:style>
  <w:style w:type="character" w:customStyle="1" w:styleId="Heading5Char">
    <w:name w:val="Heading 5 Char"/>
    <w:basedOn w:val="DefaultParagraphFont"/>
    <w:link w:val="Heading5"/>
    <w:rsid w:val="001A3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aliases w:val="Appendix Heading Char"/>
    <w:basedOn w:val="DefaultParagraphFont"/>
    <w:link w:val="Heading7"/>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semiHidden/>
    <w:unhideWhenUsed/>
    <w:rsid w:val="001A39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pPr>
  </w:style>
  <w:style w:type="character" w:customStyle="1" w:styleId="HeaderChar">
    <w:name w:val="Header Char"/>
    <w:basedOn w:val="DefaultParagraphFont"/>
    <w:link w:val="Header"/>
    <w:uiPriority w:val="99"/>
    <w:rsid w:val="00CA6CCF"/>
  </w:style>
  <w:style w:type="paragraph" w:styleId="CommentSubject">
    <w:name w:val="annotation subject"/>
    <w:basedOn w:val="CommentText"/>
    <w:next w:val="CommentText"/>
    <w:link w:val="CommentSubjectChar"/>
    <w:semiHidden/>
    <w:unhideWhenUsed/>
    <w:rsid w:val="00C046F7"/>
    <w:rPr>
      <w:rFonts w:asciiTheme="minorHAnsi" w:hAnsiTheme="minorHAnsi"/>
      <w:b/>
      <w:bCs/>
    </w:rPr>
  </w:style>
  <w:style w:type="character" w:customStyle="1" w:styleId="CommentSubjectChar">
    <w:name w:val="Comment Subject Char"/>
    <w:basedOn w:val="CommentTextChar"/>
    <w:link w:val="CommentSubject"/>
    <w:uiPriority w:val="99"/>
    <w:semiHidden/>
    <w:rsid w:val="00C046F7"/>
    <w:rPr>
      <w:rFonts w:ascii="Cambria" w:hAnsi="Cambria"/>
      <w:b/>
      <w:bCs/>
      <w:sz w:val="20"/>
      <w:szCs w:val="20"/>
    </w:rPr>
  </w:style>
  <w:style w:type="paragraph" w:customStyle="1" w:styleId="Default">
    <w:name w:val="Default"/>
    <w:rsid w:val="00C046F7"/>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autoRedefine/>
    <w:uiPriority w:val="10"/>
    <w:qFormat/>
    <w:rsid w:val="000E5B87"/>
    <w:pPr>
      <w:spacing w:before="240" w:after="240"/>
      <w:contextualSpacing/>
      <w:jc w:val="center"/>
    </w:pPr>
    <w:rPr>
      <w:rFonts w:eastAsia="SimSun" w:cstheme="majorBidi"/>
      <w:b/>
      <w:caps/>
      <w:spacing w:val="-10"/>
      <w:kern w:val="28"/>
      <w:sz w:val="32"/>
      <w:szCs w:val="56"/>
    </w:rPr>
  </w:style>
  <w:style w:type="character" w:customStyle="1" w:styleId="TitleChar">
    <w:name w:val="Title Char"/>
    <w:basedOn w:val="DefaultParagraphFont"/>
    <w:link w:val="Title"/>
    <w:uiPriority w:val="10"/>
    <w:rsid w:val="000E5B87"/>
    <w:rPr>
      <w:rFonts w:ascii="Times New Roman" w:eastAsia="SimSun" w:hAnsi="Times New Roman" w:cstheme="majorBidi"/>
      <w:b/>
      <w:caps/>
      <w:spacing w:val="-10"/>
      <w:kern w:val="28"/>
      <w:sz w:val="32"/>
      <w:szCs w:val="56"/>
    </w:rPr>
  </w:style>
  <w:style w:type="paragraph" w:styleId="NoSpacing">
    <w:name w:val="No Spacing"/>
    <w:aliases w:val="Bullet"/>
    <w:autoRedefine/>
    <w:uiPriority w:val="1"/>
    <w:qFormat/>
    <w:rsid w:val="00BA6CC3"/>
    <w:pPr>
      <w:numPr>
        <w:numId w:val="2"/>
      </w:numPr>
      <w:spacing w:after="120" w:line="240" w:lineRule="auto"/>
    </w:pPr>
    <w:rPr>
      <w:rFonts w:ascii="Times New Roman" w:hAnsi="Times New Roman"/>
    </w:rPr>
  </w:style>
  <w:style w:type="character" w:styleId="IntenseReference">
    <w:name w:val="Intense Reference"/>
    <w:basedOn w:val="DefaultParagraphFont"/>
    <w:uiPriority w:val="32"/>
    <w:rsid w:val="00570F78"/>
    <w:rPr>
      <w:b/>
      <w:bCs/>
      <w:smallCaps/>
      <w:color w:val="4F81BD" w:themeColor="accent1"/>
      <w:spacing w:val="5"/>
    </w:rPr>
  </w:style>
  <w:style w:type="paragraph" w:customStyle="1" w:styleId="EMEABodyText">
    <w:name w:val="EMEA Body Text"/>
    <w:basedOn w:val="Normal"/>
    <w:link w:val="EMEABodyTextChar"/>
    <w:rsid w:val="003E5E4F"/>
    <w:pPr>
      <w:spacing w:after="0"/>
    </w:pPr>
    <w:rPr>
      <w:rFonts w:eastAsia="Times New Roman" w:cs="Times New Roman"/>
      <w:szCs w:val="24"/>
      <w:lang w:val="en-GB"/>
    </w:rPr>
  </w:style>
  <w:style w:type="character" w:customStyle="1" w:styleId="EMEABodyTextChar">
    <w:name w:val="EMEA Body Text Char"/>
    <w:basedOn w:val="DefaultParagraphFont"/>
    <w:link w:val="EMEABodyText"/>
    <w:rsid w:val="003E5E4F"/>
    <w:rPr>
      <w:rFonts w:ascii="Times New Roman" w:eastAsia="Times New Roman" w:hAnsi="Times New Roman" w:cs="Times New Roman"/>
      <w:szCs w:val="24"/>
      <w:lang w:val="en-GB"/>
    </w:rPr>
  </w:style>
  <w:style w:type="paragraph" w:customStyle="1" w:styleId="BMSBodyText">
    <w:name w:val="BMS Body Text"/>
    <w:link w:val="BMSBodyTextChar"/>
    <w:qFormat/>
    <w:rsid w:val="003E5E4F"/>
    <w:pPr>
      <w:spacing w:before="120" w:after="120" w:line="300" w:lineRule="auto"/>
      <w:jc w:val="both"/>
    </w:pPr>
    <w:rPr>
      <w:rFonts w:ascii="Times New Roman" w:eastAsia="Times New Roman" w:hAnsi="Times New Roman" w:cs="Times New Roman"/>
      <w:color w:val="000000"/>
      <w:sz w:val="24"/>
      <w:szCs w:val="24"/>
      <w:lang w:val="en-US"/>
    </w:rPr>
  </w:style>
  <w:style w:type="character" w:customStyle="1" w:styleId="BMSBodyTextChar">
    <w:name w:val="BMS Body Text Char"/>
    <w:basedOn w:val="DefaultParagraphFont"/>
    <w:link w:val="BMSBodyText"/>
    <w:rsid w:val="003E5E4F"/>
    <w:rPr>
      <w:rFonts w:ascii="Times New Roman" w:eastAsia="Times New Roman" w:hAnsi="Times New Roman" w:cs="Times New Roman"/>
      <w:color w:val="000000"/>
      <w:sz w:val="24"/>
      <w:szCs w:val="24"/>
      <w:lang w:val="en-US"/>
    </w:rPr>
  </w:style>
  <w:style w:type="paragraph" w:customStyle="1" w:styleId="BMSTableHeader">
    <w:name w:val="BMS Table Header"/>
    <w:basedOn w:val="BMSTableText"/>
    <w:link w:val="BMSTableHeaderChar"/>
    <w:rsid w:val="00EE5D4D"/>
    <w:rPr>
      <w:b/>
    </w:rPr>
  </w:style>
  <w:style w:type="paragraph" w:customStyle="1" w:styleId="BMSTableText">
    <w:name w:val="BMS Table Text"/>
    <w:link w:val="BMSTableTextChar"/>
    <w:rsid w:val="00EE5D4D"/>
    <w:pPr>
      <w:tabs>
        <w:tab w:val="left" w:pos="360"/>
      </w:tabs>
      <w:spacing w:before="60" w:after="60" w:line="240" w:lineRule="auto"/>
      <w:jc w:val="center"/>
    </w:pPr>
    <w:rPr>
      <w:rFonts w:ascii="Times New Roman" w:eastAsia="Times New Roman" w:hAnsi="Times New Roman" w:cs="Times New Roman"/>
      <w:sz w:val="20"/>
      <w:szCs w:val="20"/>
      <w:lang w:val="en-US"/>
    </w:rPr>
  </w:style>
  <w:style w:type="character" w:customStyle="1" w:styleId="BMSTableTextChar">
    <w:name w:val="BMS Table Text Char"/>
    <w:basedOn w:val="DefaultParagraphFont"/>
    <w:link w:val="BMSTableText"/>
    <w:rsid w:val="00EE5D4D"/>
    <w:rPr>
      <w:rFonts w:ascii="Times New Roman" w:eastAsia="Times New Roman" w:hAnsi="Times New Roman" w:cs="Times New Roman"/>
      <w:sz w:val="20"/>
      <w:szCs w:val="20"/>
      <w:lang w:val="en-US"/>
    </w:rPr>
  </w:style>
  <w:style w:type="character" w:customStyle="1" w:styleId="BMSTableHeaderChar">
    <w:name w:val="BMS Table Header Char"/>
    <w:link w:val="BMSTableHeader"/>
    <w:rsid w:val="00EE5D4D"/>
    <w:rPr>
      <w:rFonts w:ascii="Times New Roman" w:eastAsia="Times New Roman" w:hAnsi="Times New Roman" w:cs="Times New Roman"/>
      <w:b/>
      <w:sz w:val="20"/>
      <w:szCs w:val="20"/>
      <w:lang w:val="en-US"/>
    </w:rPr>
  </w:style>
  <w:style w:type="character" w:customStyle="1" w:styleId="EMEASuperscript">
    <w:name w:val="EMEA Superscript"/>
    <w:rsid w:val="00EE5D4D"/>
    <w:rPr>
      <w:sz w:val="22"/>
      <w:vertAlign w:val="superscript"/>
    </w:rPr>
  </w:style>
  <w:style w:type="paragraph" w:customStyle="1" w:styleId="BMSOutlineNumbering">
    <w:name w:val="BMS Outline Numbering"/>
    <w:basedOn w:val="BMSBodyText"/>
    <w:rsid w:val="00147E17"/>
    <w:pPr>
      <w:numPr>
        <w:numId w:val="3"/>
      </w:numPr>
      <w:spacing w:before="0" w:after="60" w:line="240" w:lineRule="auto"/>
    </w:pPr>
    <w:rPr>
      <w:szCs w:val="20"/>
    </w:rPr>
  </w:style>
  <w:style w:type="paragraph" w:customStyle="1" w:styleId="EMEABodyTextIndent">
    <w:name w:val="EMEA Body Text Indent"/>
    <w:basedOn w:val="EMEABodyText"/>
    <w:next w:val="EMEABodyText"/>
    <w:rsid w:val="00147E17"/>
    <w:pPr>
      <w:numPr>
        <w:numId w:val="5"/>
      </w:numPr>
      <w:tabs>
        <w:tab w:val="clear" w:pos="360"/>
      </w:tabs>
      <w:ind w:left="567" w:hanging="567"/>
    </w:pPr>
    <w:rPr>
      <w:szCs w:val="20"/>
    </w:rPr>
  </w:style>
  <w:style w:type="paragraph" w:customStyle="1" w:styleId="BMSTableTitle">
    <w:name w:val="BMS Table Title"/>
    <w:link w:val="BMSTableTitleChar"/>
    <w:rsid w:val="00060386"/>
    <w:pPr>
      <w:keepNext/>
      <w:keepLines/>
      <w:tabs>
        <w:tab w:val="left" w:pos="2160"/>
      </w:tabs>
      <w:spacing w:before="120" w:after="120" w:line="240" w:lineRule="auto"/>
      <w:ind w:left="2160" w:hanging="2160"/>
    </w:pPr>
    <w:rPr>
      <w:rFonts w:ascii="Times New Roman" w:eastAsia="Times New Roman" w:hAnsi="Times New Roman" w:cs="Times New Roman"/>
      <w:b/>
      <w:sz w:val="24"/>
      <w:szCs w:val="20"/>
      <w:lang w:val="en-US"/>
    </w:rPr>
  </w:style>
  <w:style w:type="character" w:customStyle="1" w:styleId="BMSTableTitleChar">
    <w:name w:val="BMS Table Title Char"/>
    <w:basedOn w:val="DefaultParagraphFont"/>
    <w:link w:val="BMSTableTitle"/>
    <w:rsid w:val="00060386"/>
    <w:rPr>
      <w:rFonts w:ascii="Times New Roman" w:eastAsia="Times New Roman" w:hAnsi="Times New Roman" w:cs="Times New Roman"/>
      <w:b/>
      <w:sz w:val="24"/>
      <w:szCs w:val="20"/>
      <w:lang w:val="en-US"/>
    </w:rPr>
  </w:style>
  <w:style w:type="character" w:customStyle="1" w:styleId="BMSSuperscript">
    <w:name w:val="BMS Superscript"/>
    <w:rsid w:val="00060386"/>
    <w:rPr>
      <w:sz w:val="28"/>
      <w:vertAlign w:val="superscript"/>
    </w:rPr>
  </w:style>
  <w:style w:type="paragraph" w:styleId="EndnoteText">
    <w:name w:val="endnote text"/>
    <w:basedOn w:val="BMSBodyText"/>
    <w:link w:val="EndnoteTextChar"/>
    <w:rsid w:val="00C659AE"/>
    <w:pPr>
      <w:tabs>
        <w:tab w:val="left" w:pos="360"/>
      </w:tabs>
      <w:ind w:left="360" w:hanging="360"/>
    </w:pPr>
  </w:style>
  <w:style w:type="character" w:customStyle="1" w:styleId="EndnoteTextChar">
    <w:name w:val="Endnote Text Char"/>
    <w:basedOn w:val="DefaultParagraphFont"/>
    <w:link w:val="EndnoteText"/>
    <w:rsid w:val="00C659AE"/>
    <w:rPr>
      <w:rFonts w:ascii="Times New Roman" w:eastAsia="Times New Roman" w:hAnsi="Times New Roman" w:cs="Times New Roman"/>
      <w:color w:val="000000"/>
      <w:sz w:val="24"/>
      <w:szCs w:val="24"/>
      <w:lang w:val="en-US"/>
    </w:rPr>
  </w:style>
  <w:style w:type="paragraph" w:customStyle="1" w:styleId="p6">
    <w:name w:val="p6"/>
    <w:basedOn w:val="Normal"/>
    <w:rsid w:val="00C659AE"/>
    <w:pPr>
      <w:widowControl w:val="0"/>
      <w:tabs>
        <w:tab w:val="left" w:pos="204"/>
      </w:tabs>
      <w:autoSpaceDE w:val="0"/>
      <w:autoSpaceDN w:val="0"/>
      <w:adjustRightInd w:val="0"/>
      <w:spacing w:after="0"/>
    </w:pPr>
    <w:rPr>
      <w:rFonts w:eastAsia="Times New Roman" w:cs="Times New Roman"/>
      <w:sz w:val="24"/>
      <w:szCs w:val="24"/>
      <w:lang w:val="en-US"/>
    </w:rPr>
  </w:style>
  <w:style w:type="character" w:customStyle="1" w:styleId="BMSTableNote">
    <w:name w:val="BMS Table Note"/>
    <w:basedOn w:val="DefaultParagraphFont"/>
    <w:rsid w:val="00C659A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C659AE"/>
    <w:pPr>
      <w:tabs>
        <w:tab w:val="left" w:pos="216"/>
      </w:tabs>
      <w:spacing w:before="40" w:after="0" w:line="240" w:lineRule="auto"/>
      <w:ind w:left="216" w:hanging="216"/>
    </w:pPr>
    <w:rPr>
      <w:sz w:val="20"/>
      <w:szCs w:val="20"/>
    </w:rPr>
  </w:style>
  <w:style w:type="character" w:customStyle="1" w:styleId="BMSTableNoteInfoChar">
    <w:name w:val="BMS Table Note Info Char"/>
    <w:basedOn w:val="DefaultParagraphFont"/>
    <w:link w:val="BMSTableNoteInfo"/>
    <w:locked/>
    <w:rsid w:val="00C659AE"/>
    <w:rPr>
      <w:rFonts w:ascii="Times New Roman" w:eastAsia="Times New Roman" w:hAnsi="Times New Roman" w:cs="Times New Roman"/>
      <w:color w:val="000000"/>
      <w:sz w:val="20"/>
      <w:szCs w:val="20"/>
      <w:lang w:val="en-US"/>
    </w:rPr>
  </w:style>
  <w:style w:type="paragraph" w:customStyle="1" w:styleId="BMSHeading1">
    <w:name w:val="BMS Heading 1"/>
    <w:next w:val="BMSBodyText"/>
    <w:rsid w:val="00C659AE"/>
    <w:pPr>
      <w:keepNext/>
      <w:keepLines/>
      <w:numPr>
        <w:numId w:val="6"/>
      </w:numPr>
      <w:spacing w:before="120" w:after="240" w:line="240" w:lineRule="auto"/>
      <w:outlineLvl w:val="0"/>
    </w:pPr>
    <w:rPr>
      <w:rFonts w:ascii="Arial" w:eastAsia="Times New Roman" w:hAnsi="Arial" w:cs="Times New Roman"/>
      <w:b/>
      <w:caps/>
      <w:color w:val="000000"/>
      <w:sz w:val="28"/>
      <w:szCs w:val="20"/>
      <w:lang w:val="en-US"/>
    </w:rPr>
  </w:style>
  <w:style w:type="paragraph" w:customStyle="1" w:styleId="BMSHeading2">
    <w:name w:val="BMS Heading 2"/>
    <w:next w:val="BMSBodyText"/>
    <w:rsid w:val="00C659AE"/>
    <w:pPr>
      <w:keepNext/>
      <w:keepLines/>
      <w:numPr>
        <w:ilvl w:val="1"/>
        <w:numId w:val="6"/>
      </w:numPr>
      <w:spacing w:before="120" w:after="240" w:line="240" w:lineRule="auto"/>
      <w:outlineLvl w:val="1"/>
    </w:pPr>
    <w:rPr>
      <w:rFonts w:ascii="Arial" w:eastAsia="Times New Roman" w:hAnsi="Arial" w:cs="Times New Roman"/>
      <w:b/>
      <w:color w:val="000000"/>
      <w:sz w:val="28"/>
      <w:szCs w:val="20"/>
      <w:lang w:val="en-US"/>
    </w:rPr>
  </w:style>
  <w:style w:type="paragraph" w:customStyle="1" w:styleId="BMSHeading3">
    <w:name w:val="BMS Heading 3"/>
    <w:next w:val="BMSBodyText"/>
    <w:rsid w:val="00C659AE"/>
    <w:pPr>
      <w:keepNext/>
      <w:keepLines/>
      <w:numPr>
        <w:ilvl w:val="2"/>
        <w:numId w:val="6"/>
      </w:numPr>
      <w:spacing w:before="120" w:after="240" w:line="240" w:lineRule="auto"/>
      <w:outlineLvl w:val="2"/>
    </w:pPr>
    <w:rPr>
      <w:rFonts w:ascii="Arial" w:eastAsia="Times New Roman" w:hAnsi="Arial" w:cs="Times New Roman"/>
      <w:b/>
      <w:color w:val="000000"/>
      <w:sz w:val="24"/>
      <w:szCs w:val="20"/>
      <w:lang w:val="en-US"/>
    </w:rPr>
  </w:style>
  <w:style w:type="paragraph" w:customStyle="1" w:styleId="BMSHeading4">
    <w:name w:val="BMS Heading 4"/>
    <w:next w:val="BMSBodyText"/>
    <w:rsid w:val="00C659AE"/>
    <w:pPr>
      <w:keepNext/>
      <w:keepLines/>
      <w:numPr>
        <w:ilvl w:val="3"/>
        <w:numId w:val="6"/>
      </w:numPr>
      <w:spacing w:before="120" w:after="240" w:line="240" w:lineRule="auto"/>
      <w:outlineLvl w:val="3"/>
    </w:pPr>
    <w:rPr>
      <w:rFonts w:ascii="Arial" w:eastAsia="Times New Roman" w:hAnsi="Arial" w:cs="Times New Roman"/>
      <w:b/>
      <w:i/>
      <w:color w:val="000000"/>
      <w:sz w:val="24"/>
      <w:szCs w:val="20"/>
      <w:lang w:val="en-US"/>
    </w:rPr>
  </w:style>
  <w:style w:type="character" w:customStyle="1" w:styleId="BMSSubscript">
    <w:name w:val="BMS Subscript"/>
    <w:rsid w:val="00C659AE"/>
    <w:rPr>
      <w:sz w:val="28"/>
      <w:vertAlign w:val="subscript"/>
    </w:rPr>
  </w:style>
  <w:style w:type="paragraph" w:customStyle="1" w:styleId="BMSFigureCaption">
    <w:name w:val="BMS Figure Caption"/>
    <w:basedOn w:val="BMSTableTitle"/>
    <w:rsid w:val="00C659AE"/>
  </w:style>
  <w:style w:type="character" w:styleId="PageNumber">
    <w:name w:val="page number"/>
    <w:basedOn w:val="DefaultParagraphFont"/>
    <w:rsid w:val="00C659AE"/>
  </w:style>
  <w:style w:type="paragraph" w:customStyle="1" w:styleId="EMEAHeading1">
    <w:name w:val="EMEA Heading 1"/>
    <w:basedOn w:val="EMEABodyText"/>
    <w:next w:val="EMEABodyText"/>
    <w:rsid w:val="00C659AE"/>
    <w:pPr>
      <w:keepNext/>
      <w:keepLines/>
      <w:ind w:left="567" w:hanging="567"/>
      <w:outlineLvl w:val="0"/>
    </w:pPr>
    <w:rPr>
      <w:b/>
      <w:caps/>
      <w:szCs w:val="20"/>
    </w:rPr>
  </w:style>
  <w:style w:type="paragraph" w:customStyle="1" w:styleId="EMEAHeading2">
    <w:name w:val="EMEA Heading 2"/>
    <w:basedOn w:val="EMEABodyText"/>
    <w:next w:val="EMEABodyText"/>
    <w:rsid w:val="00C659AE"/>
    <w:pPr>
      <w:keepNext/>
      <w:keepLines/>
      <w:ind w:left="567" w:hanging="567"/>
      <w:outlineLvl w:val="1"/>
    </w:pPr>
    <w:rPr>
      <w:b/>
      <w:szCs w:val="20"/>
    </w:rPr>
  </w:style>
  <w:style w:type="paragraph" w:customStyle="1" w:styleId="EMEATableHeader">
    <w:name w:val="EMEA Table Header"/>
    <w:basedOn w:val="Normal"/>
    <w:rsid w:val="00C659AE"/>
    <w:pPr>
      <w:keepNext/>
      <w:keepLines/>
      <w:spacing w:after="0"/>
      <w:jc w:val="center"/>
    </w:pPr>
    <w:rPr>
      <w:rFonts w:eastAsia="Times New Roman" w:cs="Times New Roman"/>
      <w:b/>
      <w:szCs w:val="20"/>
      <w:lang w:val="en-GB"/>
    </w:rPr>
  </w:style>
  <w:style w:type="paragraph" w:customStyle="1" w:styleId="EMEAHeading3">
    <w:name w:val="EMEA Heading 3"/>
    <w:basedOn w:val="EMEABodyText"/>
    <w:next w:val="EMEABodyText"/>
    <w:rsid w:val="00C659AE"/>
    <w:pPr>
      <w:keepNext/>
      <w:keepLines/>
      <w:outlineLvl w:val="2"/>
    </w:pPr>
    <w:rPr>
      <w:b/>
      <w:szCs w:val="20"/>
    </w:rPr>
  </w:style>
  <w:style w:type="character" w:customStyle="1" w:styleId="EMEASubscript">
    <w:name w:val="EMEA Subscript"/>
    <w:rsid w:val="00C659AE"/>
    <w:rPr>
      <w:sz w:val="22"/>
      <w:vertAlign w:val="subscript"/>
    </w:rPr>
  </w:style>
  <w:style w:type="table" w:styleId="TableGrid">
    <w:name w:val="Table Grid"/>
    <w:basedOn w:val="TableNormal"/>
    <w:uiPriority w:val="59"/>
    <w:rsid w:val="00C659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ListNumbering">
    <w:name w:val="BMS List Numbering"/>
    <w:basedOn w:val="BMSBodyText"/>
    <w:rsid w:val="00C659AE"/>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C659AE"/>
    <w:pPr>
      <w:spacing w:after="0"/>
      <w:ind w:left="660"/>
    </w:pPr>
    <w:rPr>
      <w:rFonts w:eastAsia="Times New Roman" w:cs="Times New Roman"/>
      <w:szCs w:val="20"/>
      <w:lang w:val="en-GB"/>
    </w:rPr>
  </w:style>
  <w:style w:type="paragraph" w:styleId="ListBullet2">
    <w:name w:val="List Bullet 2"/>
    <w:basedOn w:val="Normal"/>
    <w:rsid w:val="00C659AE"/>
    <w:pPr>
      <w:spacing w:after="0"/>
      <w:ind w:left="360" w:hanging="360"/>
      <w:contextualSpacing/>
    </w:pPr>
    <w:rPr>
      <w:rFonts w:eastAsia="Times New Roman" w:cs="Times New Roman"/>
      <w:sz w:val="20"/>
      <w:szCs w:val="20"/>
      <w:lang w:val="en-US"/>
    </w:rPr>
  </w:style>
  <w:style w:type="paragraph" w:customStyle="1" w:styleId="BMSTableInfo">
    <w:name w:val="BMS Table Info"/>
    <w:basedOn w:val="BMSTableNoteInfo"/>
    <w:rsid w:val="00C659AE"/>
    <w:pPr>
      <w:spacing w:before="0" w:after="60"/>
      <w:ind w:left="0" w:firstLine="0"/>
    </w:pPr>
    <w:rPr>
      <w:color w:val="auto"/>
      <w:lang w:val="en-AU"/>
    </w:rPr>
  </w:style>
  <w:style w:type="paragraph" w:customStyle="1" w:styleId="A-Guided">
    <w:name w:val="A-Guided"/>
    <w:basedOn w:val="Normal"/>
    <w:rsid w:val="00C659AE"/>
    <w:pPr>
      <w:spacing w:before="60" w:after="240" w:line="280" w:lineRule="atLeast"/>
    </w:pPr>
    <w:rPr>
      <w:rFonts w:ascii="Arial" w:eastAsia="Times New Roman" w:hAnsi="Arial" w:cs="Times New Roman"/>
      <w:sz w:val="24"/>
      <w:szCs w:val="20"/>
      <w:lang w:val="en-GB"/>
    </w:rPr>
  </w:style>
  <w:style w:type="paragraph" w:customStyle="1" w:styleId="A-Heading1">
    <w:name w:val="A-Heading 1"/>
    <w:basedOn w:val="Normal"/>
    <w:next w:val="Normal"/>
    <w:rsid w:val="00C659AE"/>
    <w:pPr>
      <w:keepNext/>
      <w:spacing w:before="480" w:after="240" w:line="280" w:lineRule="atLeast"/>
      <w:outlineLvl w:val="0"/>
    </w:pPr>
    <w:rPr>
      <w:rFonts w:ascii="Arial" w:eastAsia="Times New Roman" w:hAnsi="Arial" w:cs="Times New Roman"/>
      <w:b/>
      <w:caps/>
      <w:sz w:val="24"/>
      <w:szCs w:val="20"/>
      <w:lang w:val="en-GB"/>
    </w:rPr>
  </w:style>
  <w:style w:type="paragraph" w:styleId="NormalWeb">
    <w:name w:val="Normal (Web)"/>
    <w:basedOn w:val="Normal"/>
    <w:uiPriority w:val="99"/>
    <w:semiHidden/>
    <w:unhideWhenUsed/>
    <w:rsid w:val="00C659AE"/>
    <w:pPr>
      <w:spacing w:before="100" w:beforeAutospacing="1" w:after="100" w:afterAutospacing="1"/>
    </w:pPr>
    <w:rPr>
      <w:rFonts w:eastAsiaTheme="minorEastAsia" w:cs="Times New Roman"/>
      <w:sz w:val="24"/>
      <w:szCs w:val="24"/>
      <w:lang w:val="en-US"/>
    </w:rPr>
  </w:style>
  <w:style w:type="paragraph" w:styleId="TOC1">
    <w:name w:val="toc 1"/>
    <w:basedOn w:val="Normal"/>
    <w:next w:val="Normal"/>
    <w:autoRedefine/>
    <w:semiHidden/>
    <w:unhideWhenUsed/>
    <w:rsid w:val="00C659AE"/>
    <w:pPr>
      <w:tabs>
        <w:tab w:val="right" w:leader="dot" w:pos="9360"/>
      </w:tabs>
      <w:spacing w:after="100"/>
    </w:pPr>
    <w:rPr>
      <w:rFonts w:eastAsia="Times New Roman" w:cs="Times New Roman"/>
      <w:sz w:val="24"/>
      <w:szCs w:val="24"/>
      <w:lang w:val="en-US"/>
    </w:rPr>
  </w:style>
  <w:style w:type="character" w:styleId="EndnoteReference">
    <w:name w:val="endnote reference"/>
    <w:semiHidden/>
    <w:qFormat/>
    <w:rsid w:val="001810E1"/>
    <w:rPr>
      <w:color w:val="0000FF"/>
      <w:sz w:val="28"/>
      <w:vertAlign w:val="superscript"/>
    </w:rPr>
  </w:style>
  <w:style w:type="character" w:customStyle="1" w:styleId="ext-mb-text">
    <w:name w:val="ext-mb-text"/>
    <w:rsid w:val="001810E1"/>
  </w:style>
  <w:style w:type="paragraph" w:styleId="BodyText">
    <w:name w:val="Body Text"/>
    <w:basedOn w:val="Normal"/>
    <w:link w:val="BodyTextChar"/>
    <w:uiPriority w:val="1"/>
    <w:qFormat/>
    <w:rsid w:val="00DF5190"/>
    <w:pPr>
      <w:autoSpaceDE w:val="0"/>
      <w:autoSpaceDN w:val="0"/>
      <w:adjustRightInd w:val="0"/>
      <w:spacing w:after="0"/>
      <w:ind w:left="40"/>
      <w:jc w:val="left"/>
    </w:pPr>
    <w:rPr>
      <w:rFonts w:cs="Times New Roman"/>
      <w:b/>
      <w:bCs/>
      <w:sz w:val="24"/>
      <w:szCs w:val="24"/>
      <w:u w:val="single"/>
    </w:rPr>
  </w:style>
  <w:style w:type="character" w:customStyle="1" w:styleId="BodyTextChar">
    <w:name w:val="Body Text Char"/>
    <w:basedOn w:val="DefaultParagraphFont"/>
    <w:link w:val="BodyText"/>
    <w:uiPriority w:val="1"/>
    <w:rsid w:val="00DF5190"/>
    <w:rPr>
      <w:rFonts w:ascii="Times New Roman" w:hAnsi="Times New Roman" w:cs="Times New Roman"/>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0"/>
    <w:lsdException w:name="toc 9" w:uiPriority="39"/>
    <w:lsdException w:name="footer" w:uiPriority="0"/>
    <w:lsdException w:name="caption" w:uiPriority="35" w:qFormat="1"/>
    <w:lsdException w:name="page number" w:uiPriority="0"/>
    <w:lsdException w:name="endnote reference" w:uiPriority="0" w:qFormat="1"/>
    <w:lsdException w:name="endnote text" w:uiPriority="0"/>
    <w:lsdException w:name="List Bullet 2" w:uiPriority="0"/>
    <w:lsdException w:name="Title" w:semiHidden="0" w:uiPriority="10" w:unhideWhenUsed="0" w:qFormat="1"/>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F3718"/>
    <w:pPr>
      <w:spacing w:line="240" w:lineRule="auto"/>
      <w:jc w:val="both"/>
    </w:pPr>
    <w:rPr>
      <w:rFonts w:ascii="Times New Roman" w:hAnsi="Times New Roman"/>
    </w:rPr>
  </w:style>
  <w:style w:type="paragraph" w:styleId="Heading1">
    <w:name w:val="heading 1"/>
    <w:basedOn w:val="Normal"/>
    <w:next w:val="Normal"/>
    <w:link w:val="Heading1Char"/>
    <w:autoRedefine/>
    <w:qFormat/>
    <w:rsid w:val="004B6E16"/>
    <w:pPr>
      <w:keepNext/>
      <w:keepLines/>
      <w:numPr>
        <w:numId w:val="22"/>
      </w:numPr>
      <w:spacing w:before="200" w:after="120"/>
      <w:ind w:left="540" w:hanging="540"/>
      <w:outlineLvl w:val="0"/>
    </w:pPr>
    <w:rPr>
      <w:rFonts w:eastAsiaTheme="majorEastAsia" w:cstheme="majorBidi"/>
      <w:b/>
      <w:bCs/>
      <w:caps/>
      <w:sz w:val="28"/>
      <w:szCs w:val="28"/>
      <w:lang w:val="en-US"/>
    </w:rPr>
  </w:style>
  <w:style w:type="paragraph" w:styleId="Heading2">
    <w:name w:val="heading 2"/>
    <w:basedOn w:val="Normal"/>
    <w:next w:val="Normal"/>
    <w:link w:val="Heading2Char"/>
    <w:autoRedefine/>
    <w:unhideWhenUsed/>
    <w:qFormat/>
    <w:rsid w:val="00667F98"/>
    <w:pPr>
      <w:numPr>
        <w:ilvl w:val="1"/>
        <w:numId w:val="22"/>
      </w:numPr>
      <w:spacing w:after="120"/>
      <w:ind w:hanging="792"/>
      <w:outlineLvl w:val="1"/>
    </w:pPr>
    <w:rPr>
      <w:rFonts w:ascii="Times New Roman Bold" w:eastAsia="Times New Roman" w:hAnsi="Times New Roman Bold" w:cs="Times New Roman"/>
      <w:b/>
      <w:caps/>
      <w:sz w:val="26"/>
      <w:szCs w:val="26"/>
      <w:lang w:val="en-US"/>
    </w:rPr>
  </w:style>
  <w:style w:type="paragraph" w:styleId="Heading3">
    <w:name w:val="heading 3"/>
    <w:basedOn w:val="Normal"/>
    <w:next w:val="Normal"/>
    <w:link w:val="Heading3Char"/>
    <w:autoRedefine/>
    <w:unhideWhenUsed/>
    <w:qFormat/>
    <w:rsid w:val="00214BF9"/>
    <w:pPr>
      <w:keepNext/>
      <w:keepLines/>
      <w:spacing w:before="200" w:after="160"/>
      <w:outlineLvl w:val="2"/>
    </w:pPr>
    <w:rPr>
      <w:rFonts w:eastAsia="MS Mincho" w:cstheme="majorBidi"/>
      <w:b/>
      <w:bCs/>
      <w:noProof/>
      <w:snapToGrid w:val="0"/>
      <w:sz w:val="24"/>
      <w:u w:val="single"/>
      <w:lang w:val="en-US"/>
    </w:rPr>
  </w:style>
  <w:style w:type="paragraph" w:styleId="Heading4">
    <w:name w:val="heading 4"/>
    <w:basedOn w:val="Normal"/>
    <w:next w:val="Normal"/>
    <w:link w:val="Heading4Char"/>
    <w:autoRedefine/>
    <w:unhideWhenUsed/>
    <w:qFormat/>
    <w:rsid w:val="003F65AB"/>
    <w:pPr>
      <w:keepNext/>
      <w:keepLines/>
      <w:spacing w:before="200"/>
      <w:outlineLvl w:val="3"/>
    </w:pPr>
    <w:rPr>
      <w:rFonts w:ascii="Times New Roman Bold" w:eastAsiaTheme="majorEastAsia" w:hAnsi="Times New Roman Bold" w:cstheme="majorBidi"/>
      <w:b/>
      <w:bCs/>
      <w:i/>
      <w:iCs/>
    </w:rPr>
  </w:style>
  <w:style w:type="paragraph" w:styleId="Heading5">
    <w:name w:val="heading 5"/>
    <w:basedOn w:val="Normal"/>
    <w:next w:val="Normal"/>
    <w:link w:val="Heading5Char"/>
    <w:unhideWhenUsed/>
    <w:qFormat/>
    <w:rsid w:val="001A3992"/>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A3992"/>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Appendix Heading"/>
    <w:basedOn w:val="Normal"/>
    <w:next w:val="Normal"/>
    <w:link w:val="Heading7Char"/>
    <w:unhideWhenUsed/>
    <w:qFormat/>
    <w:rsid w:val="001A399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1A399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1A399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6E16"/>
    <w:rPr>
      <w:rFonts w:ascii="Times New Roman" w:eastAsiaTheme="majorEastAsia" w:hAnsi="Times New Roman" w:cstheme="majorBidi"/>
      <w:b/>
      <w:bCs/>
      <w:caps/>
      <w:sz w:val="28"/>
      <w:szCs w:val="28"/>
      <w:lang w:val="en-US"/>
    </w:rPr>
  </w:style>
  <w:style w:type="character" w:customStyle="1" w:styleId="Heading2Char">
    <w:name w:val="Heading 2 Char"/>
    <w:basedOn w:val="DefaultParagraphFont"/>
    <w:link w:val="Heading2"/>
    <w:rsid w:val="00667F98"/>
    <w:rPr>
      <w:rFonts w:ascii="Times New Roman Bold" w:eastAsia="Times New Roman" w:hAnsi="Times New Roman Bold" w:cs="Times New Roman"/>
      <w:b/>
      <w:caps/>
      <w:sz w:val="26"/>
      <w:szCs w:val="26"/>
      <w:lang w:val="en-US"/>
    </w:rPr>
  </w:style>
  <w:style w:type="character" w:customStyle="1" w:styleId="Heading3Char">
    <w:name w:val="Heading 3 Char"/>
    <w:basedOn w:val="DefaultParagraphFont"/>
    <w:link w:val="Heading3"/>
    <w:rsid w:val="00214BF9"/>
    <w:rPr>
      <w:rFonts w:ascii="Times New Roman" w:eastAsia="MS Mincho" w:hAnsi="Times New Roman" w:cstheme="majorBidi"/>
      <w:b/>
      <w:bCs/>
      <w:noProof/>
      <w:snapToGrid w:val="0"/>
      <w:sz w:val="24"/>
      <w:u w:val="single"/>
      <w:lang w:val="en-US"/>
    </w:rPr>
  </w:style>
  <w:style w:type="character" w:customStyle="1" w:styleId="Heading4Char">
    <w:name w:val="Heading 4 Char"/>
    <w:basedOn w:val="DefaultParagraphFont"/>
    <w:link w:val="Heading4"/>
    <w:rsid w:val="003F65AB"/>
    <w:rPr>
      <w:rFonts w:ascii="Times New Roman Bold" w:eastAsiaTheme="majorEastAsia" w:hAnsi="Times New Roman Bold" w:cstheme="majorBidi"/>
      <w:b/>
      <w:bCs/>
      <w:i/>
      <w:iCs/>
    </w:rPr>
  </w:style>
  <w:style w:type="character" w:customStyle="1" w:styleId="Heading5Char">
    <w:name w:val="Heading 5 Char"/>
    <w:basedOn w:val="DefaultParagraphFont"/>
    <w:link w:val="Heading5"/>
    <w:rsid w:val="001A399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1A3992"/>
    <w:rPr>
      <w:rFonts w:asciiTheme="majorHAnsi" w:eastAsiaTheme="majorEastAsia" w:hAnsiTheme="majorHAnsi" w:cstheme="majorBidi"/>
      <w:i/>
      <w:iCs/>
      <w:color w:val="243F60" w:themeColor="accent1" w:themeShade="7F"/>
    </w:rPr>
  </w:style>
  <w:style w:type="character" w:customStyle="1" w:styleId="Heading7Char">
    <w:name w:val="Heading 7 Char"/>
    <w:aliases w:val="Appendix Heading Char"/>
    <w:basedOn w:val="DefaultParagraphFont"/>
    <w:link w:val="Heading7"/>
    <w:rsid w:val="001A399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1A399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1A399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1A3992"/>
    <w:pPr>
      <w:ind w:left="720"/>
      <w:contextualSpacing/>
    </w:pPr>
    <w:rPr>
      <w:rFonts w:ascii="Cambria" w:hAnsi="Cambria"/>
    </w:rPr>
  </w:style>
  <w:style w:type="character" w:styleId="CommentReference">
    <w:name w:val="annotation reference"/>
    <w:basedOn w:val="DefaultParagraphFont"/>
    <w:uiPriority w:val="99"/>
    <w:unhideWhenUsed/>
    <w:rsid w:val="001A3992"/>
    <w:rPr>
      <w:sz w:val="16"/>
      <w:szCs w:val="16"/>
    </w:rPr>
  </w:style>
  <w:style w:type="paragraph" w:styleId="CommentText">
    <w:name w:val="annotation text"/>
    <w:basedOn w:val="Normal"/>
    <w:link w:val="CommentTextChar"/>
    <w:uiPriority w:val="99"/>
    <w:unhideWhenUsed/>
    <w:rsid w:val="001A3992"/>
    <w:rPr>
      <w:rFonts w:ascii="Cambria" w:hAnsi="Cambria"/>
      <w:sz w:val="20"/>
      <w:szCs w:val="20"/>
    </w:rPr>
  </w:style>
  <w:style w:type="character" w:customStyle="1" w:styleId="CommentTextChar">
    <w:name w:val="Comment Text Char"/>
    <w:basedOn w:val="DefaultParagraphFont"/>
    <w:link w:val="CommentText"/>
    <w:uiPriority w:val="99"/>
    <w:rsid w:val="001A3992"/>
    <w:rPr>
      <w:rFonts w:ascii="Cambria" w:hAnsi="Cambria"/>
      <w:sz w:val="20"/>
      <w:szCs w:val="20"/>
    </w:rPr>
  </w:style>
  <w:style w:type="paragraph" w:styleId="FootnoteText">
    <w:name w:val="footnote text"/>
    <w:basedOn w:val="Normal"/>
    <w:link w:val="FootnoteTextChar"/>
    <w:uiPriority w:val="99"/>
    <w:rsid w:val="001A3992"/>
    <w:pPr>
      <w:keepLines/>
      <w:spacing w:before="180" w:after="180"/>
    </w:pPr>
    <w:rPr>
      <w:rFonts w:ascii="Calibri" w:eastAsia="Calibri" w:hAnsi="Calibri" w:cs="Times New Roman"/>
      <w:sz w:val="20"/>
    </w:rPr>
  </w:style>
  <w:style w:type="character" w:customStyle="1" w:styleId="FootnoteTextChar">
    <w:name w:val="Footnote Text Char"/>
    <w:basedOn w:val="DefaultParagraphFont"/>
    <w:link w:val="FootnoteText"/>
    <w:uiPriority w:val="99"/>
    <w:rsid w:val="001A3992"/>
    <w:rPr>
      <w:rFonts w:ascii="Calibri" w:eastAsia="Calibri" w:hAnsi="Calibri" w:cs="Times New Roman"/>
      <w:sz w:val="20"/>
    </w:rPr>
  </w:style>
  <w:style w:type="character" w:styleId="FootnoteReference">
    <w:name w:val="footnote reference"/>
    <w:basedOn w:val="DefaultParagraphFont"/>
    <w:uiPriority w:val="99"/>
    <w:unhideWhenUsed/>
    <w:rsid w:val="001A3992"/>
    <w:rPr>
      <w:vertAlign w:val="superscript"/>
    </w:rPr>
  </w:style>
  <w:style w:type="paragraph" w:styleId="ListBullet">
    <w:name w:val="List Bullet"/>
    <w:basedOn w:val="Normal"/>
    <w:uiPriority w:val="99"/>
    <w:unhideWhenUsed/>
    <w:rsid w:val="001A3992"/>
    <w:pPr>
      <w:ind w:left="425" w:hanging="425"/>
      <w:contextualSpacing/>
    </w:pPr>
    <w:rPr>
      <w:rFonts w:ascii="Cambria" w:hAnsi="Cambria"/>
    </w:rPr>
  </w:style>
  <w:style w:type="character" w:styleId="Hyperlink">
    <w:name w:val="Hyperlink"/>
    <w:basedOn w:val="DefaultParagraphFont"/>
    <w:uiPriority w:val="99"/>
    <w:unhideWhenUsed/>
    <w:rsid w:val="001A3992"/>
    <w:rPr>
      <w:color w:val="0000FF" w:themeColor="hyperlink"/>
      <w:u w:val="single"/>
    </w:rPr>
  </w:style>
  <w:style w:type="table" w:styleId="LightGrid">
    <w:name w:val="Light Grid"/>
    <w:basedOn w:val="TableNormal"/>
    <w:uiPriority w:val="62"/>
    <w:rsid w:val="001A39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nhideWhenUsed/>
    <w:rsid w:val="001A3992"/>
    <w:pPr>
      <w:tabs>
        <w:tab w:val="center" w:pos="4513"/>
        <w:tab w:val="right" w:pos="9026"/>
      </w:tabs>
      <w:spacing w:after="0"/>
    </w:pPr>
    <w:rPr>
      <w:rFonts w:ascii="Cambria" w:hAnsi="Cambria"/>
    </w:rPr>
  </w:style>
  <w:style w:type="character" w:customStyle="1" w:styleId="FooterChar">
    <w:name w:val="Footer Char"/>
    <w:basedOn w:val="DefaultParagraphFont"/>
    <w:link w:val="Footer"/>
    <w:rsid w:val="001A3992"/>
    <w:rPr>
      <w:rFonts w:ascii="Cambria" w:hAnsi="Cambria"/>
    </w:rPr>
  </w:style>
  <w:style w:type="paragraph" w:styleId="BalloonText">
    <w:name w:val="Balloon Text"/>
    <w:basedOn w:val="Normal"/>
    <w:link w:val="BalloonTextChar"/>
    <w:semiHidden/>
    <w:unhideWhenUsed/>
    <w:rsid w:val="001A399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3992"/>
    <w:rPr>
      <w:rFonts w:ascii="Tahoma" w:hAnsi="Tahoma" w:cs="Tahoma"/>
      <w:sz w:val="16"/>
      <w:szCs w:val="16"/>
    </w:rPr>
  </w:style>
  <w:style w:type="paragraph" w:styleId="Header">
    <w:name w:val="header"/>
    <w:basedOn w:val="Normal"/>
    <w:link w:val="HeaderChar"/>
    <w:uiPriority w:val="99"/>
    <w:unhideWhenUsed/>
    <w:rsid w:val="00CA6CCF"/>
    <w:pPr>
      <w:tabs>
        <w:tab w:val="center" w:pos="4513"/>
        <w:tab w:val="right" w:pos="9026"/>
      </w:tabs>
      <w:spacing w:after="0"/>
    </w:pPr>
  </w:style>
  <w:style w:type="character" w:customStyle="1" w:styleId="HeaderChar">
    <w:name w:val="Header Char"/>
    <w:basedOn w:val="DefaultParagraphFont"/>
    <w:link w:val="Header"/>
    <w:uiPriority w:val="99"/>
    <w:rsid w:val="00CA6CCF"/>
  </w:style>
  <w:style w:type="paragraph" w:styleId="CommentSubject">
    <w:name w:val="annotation subject"/>
    <w:basedOn w:val="CommentText"/>
    <w:next w:val="CommentText"/>
    <w:link w:val="CommentSubjectChar"/>
    <w:semiHidden/>
    <w:unhideWhenUsed/>
    <w:rsid w:val="00C046F7"/>
    <w:rPr>
      <w:rFonts w:asciiTheme="minorHAnsi" w:hAnsiTheme="minorHAnsi"/>
      <w:b/>
      <w:bCs/>
    </w:rPr>
  </w:style>
  <w:style w:type="character" w:customStyle="1" w:styleId="CommentSubjectChar">
    <w:name w:val="Comment Subject Char"/>
    <w:basedOn w:val="CommentTextChar"/>
    <w:link w:val="CommentSubject"/>
    <w:uiPriority w:val="99"/>
    <w:semiHidden/>
    <w:rsid w:val="00C046F7"/>
    <w:rPr>
      <w:rFonts w:ascii="Cambria" w:hAnsi="Cambria"/>
      <w:b/>
      <w:bCs/>
      <w:sz w:val="20"/>
      <w:szCs w:val="20"/>
    </w:rPr>
  </w:style>
  <w:style w:type="paragraph" w:customStyle="1" w:styleId="Default">
    <w:name w:val="Default"/>
    <w:rsid w:val="00C046F7"/>
    <w:pPr>
      <w:autoSpaceDE w:val="0"/>
      <w:autoSpaceDN w:val="0"/>
      <w:adjustRightInd w:val="0"/>
      <w:spacing w:after="0" w:line="240" w:lineRule="auto"/>
    </w:pPr>
    <w:rPr>
      <w:rFonts w:ascii="Cambria" w:hAnsi="Cambria" w:cs="Cambria"/>
      <w:color w:val="000000"/>
      <w:sz w:val="24"/>
      <w:szCs w:val="24"/>
      <w:lang w:val="en-US"/>
    </w:rPr>
  </w:style>
  <w:style w:type="paragraph" w:styleId="Title">
    <w:name w:val="Title"/>
    <w:basedOn w:val="Normal"/>
    <w:next w:val="Normal"/>
    <w:link w:val="TitleChar"/>
    <w:autoRedefine/>
    <w:uiPriority w:val="10"/>
    <w:qFormat/>
    <w:rsid w:val="000E5B87"/>
    <w:pPr>
      <w:spacing w:before="240" w:after="240"/>
      <w:contextualSpacing/>
      <w:jc w:val="center"/>
    </w:pPr>
    <w:rPr>
      <w:rFonts w:eastAsia="SimSun" w:cstheme="majorBidi"/>
      <w:b/>
      <w:caps/>
      <w:spacing w:val="-10"/>
      <w:kern w:val="28"/>
      <w:sz w:val="32"/>
      <w:szCs w:val="56"/>
    </w:rPr>
  </w:style>
  <w:style w:type="character" w:customStyle="1" w:styleId="TitleChar">
    <w:name w:val="Title Char"/>
    <w:basedOn w:val="DefaultParagraphFont"/>
    <w:link w:val="Title"/>
    <w:uiPriority w:val="10"/>
    <w:rsid w:val="000E5B87"/>
    <w:rPr>
      <w:rFonts w:ascii="Times New Roman" w:eastAsia="SimSun" w:hAnsi="Times New Roman" w:cstheme="majorBidi"/>
      <w:b/>
      <w:caps/>
      <w:spacing w:val="-10"/>
      <w:kern w:val="28"/>
      <w:sz w:val="32"/>
      <w:szCs w:val="56"/>
    </w:rPr>
  </w:style>
  <w:style w:type="paragraph" w:styleId="NoSpacing">
    <w:name w:val="No Spacing"/>
    <w:aliases w:val="Bullet"/>
    <w:autoRedefine/>
    <w:uiPriority w:val="1"/>
    <w:qFormat/>
    <w:rsid w:val="00BA6CC3"/>
    <w:pPr>
      <w:numPr>
        <w:numId w:val="2"/>
      </w:numPr>
      <w:spacing w:after="120" w:line="240" w:lineRule="auto"/>
    </w:pPr>
    <w:rPr>
      <w:rFonts w:ascii="Times New Roman" w:hAnsi="Times New Roman"/>
    </w:rPr>
  </w:style>
  <w:style w:type="character" w:styleId="IntenseReference">
    <w:name w:val="Intense Reference"/>
    <w:basedOn w:val="DefaultParagraphFont"/>
    <w:uiPriority w:val="32"/>
    <w:rsid w:val="00570F78"/>
    <w:rPr>
      <w:b/>
      <w:bCs/>
      <w:smallCaps/>
      <w:color w:val="4F81BD" w:themeColor="accent1"/>
      <w:spacing w:val="5"/>
    </w:rPr>
  </w:style>
  <w:style w:type="paragraph" w:customStyle="1" w:styleId="EMEABodyText">
    <w:name w:val="EMEA Body Text"/>
    <w:basedOn w:val="Normal"/>
    <w:link w:val="EMEABodyTextChar"/>
    <w:rsid w:val="003E5E4F"/>
    <w:pPr>
      <w:spacing w:after="0"/>
    </w:pPr>
    <w:rPr>
      <w:rFonts w:eastAsia="Times New Roman" w:cs="Times New Roman"/>
      <w:szCs w:val="24"/>
      <w:lang w:val="en-GB"/>
    </w:rPr>
  </w:style>
  <w:style w:type="character" w:customStyle="1" w:styleId="EMEABodyTextChar">
    <w:name w:val="EMEA Body Text Char"/>
    <w:basedOn w:val="DefaultParagraphFont"/>
    <w:link w:val="EMEABodyText"/>
    <w:rsid w:val="003E5E4F"/>
    <w:rPr>
      <w:rFonts w:ascii="Times New Roman" w:eastAsia="Times New Roman" w:hAnsi="Times New Roman" w:cs="Times New Roman"/>
      <w:szCs w:val="24"/>
      <w:lang w:val="en-GB"/>
    </w:rPr>
  </w:style>
  <w:style w:type="paragraph" w:customStyle="1" w:styleId="BMSBodyText">
    <w:name w:val="BMS Body Text"/>
    <w:link w:val="BMSBodyTextChar"/>
    <w:qFormat/>
    <w:rsid w:val="003E5E4F"/>
    <w:pPr>
      <w:spacing w:before="120" w:after="120" w:line="300" w:lineRule="auto"/>
      <w:jc w:val="both"/>
    </w:pPr>
    <w:rPr>
      <w:rFonts w:ascii="Times New Roman" w:eastAsia="Times New Roman" w:hAnsi="Times New Roman" w:cs="Times New Roman"/>
      <w:color w:val="000000"/>
      <w:sz w:val="24"/>
      <w:szCs w:val="24"/>
      <w:lang w:val="en-US"/>
    </w:rPr>
  </w:style>
  <w:style w:type="character" w:customStyle="1" w:styleId="BMSBodyTextChar">
    <w:name w:val="BMS Body Text Char"/>
    <w:basedOn w:val="DefaultParagraphFont"/>
    <w:link w:val="BMSBodyText"/>
    <w:rsid w:val="003E5E4F"/>
    <w:rPr>
      <w:rFonts w:ascii="Times New Roman" w:eastAsia="Times New Roman" w:hAnsi="Times New Roman" w:cs="Times New Roman"/>
      <w:color w:val="000000"/>
      <w:sz w:val="24"/>
      <w:szCs w:val="24"/>
      <w:lang w:val="en-US"/>
    </w:rPr>
  </w:style>
  <w:style w:type="paragraph" w:customStyle="1" w:styleId="BMSTableHeader">
    <w:name w:val="BMS Table Header"/>
    <w:basedOn w:val="BMSTableText"/>
    <w:link w:val="BMSTableHeaderChar"/>
    <w:rsid w:val="00EE5D4D"/>
    <w:rPr>
      <w:b/>
    </w:rPr>
  </w:style>
  <w:style w:type="paragraph" w:customStyle="1" w:styleId="BMSTableText">
    <w:name w:val="BMS Table Text"/>
    <w:link w:val="BMSTableTextChar"/>
    <w:rsid w:val="00EE5D4D"/>
    <w:pPr>
      <w:tabs>
        <w:tab w:val="left" w:pos="360"/>
      </w:tabs>
      <w:spacing w:before="60" w:after="60" w:line="240" w:lineRule="auto"/>
      <w:jc w:val="center"/>
    </w:pPr>
    <w:rPr>
      <w:rFonts w:ascii="Times New Roman" w:eastAsia="Times New Roman" w:hAnsi="Times New Roman" w:cs="Times New Roman"/>
      <w:sz w:val="20"/>
      <w:szCs w:val="20"/>
      <w:lang w:val="en-US"/>
    </w:rPr>
  </w:style>
  <w:style w:type="character" w:customStyle="1" w:styleId="BMSTableTextChar">
    <w:name w:val="BMS Table Text Char"/>
    <w:basedOn w:val="DefaultParagraphFont"/>
    <w:link w:val="BMSTableText"/>
    <w:rsid w:val="00EE5D4D"/>
    <w:rPr>
      <w:rFonts w:ascii="Times New Roman" w:eastAsia="Times New Roman" w:hAnsi="Times New Roman" w:cs="Times New Roman"/>
      <w:sz w:val="20"/>
      <w:szCs w:val="20"/>
      <w:lang w:val="en-US"/>
    </w:rPr>
  </w:style>
  <w:style w:type="character" w:customStyle="1" w:styleId="BMSTableHeaderChar">
    <w:name w:val="BMS Table Header Char"/>
    <w:link w:val="BMSTableHeader"/>
    <w:rsid w:val="00EE5D4D"/>
    <w:rPr>
      <w:rFonts w:ascii="Times New Roman" w:eastAsia="Times New Roman" w:hAnsi="Times New Roman" w:cs="Times New Roman"/>
      <w:b/>
      <w:sz w:val="20"/>
      <w:szCs w:val="20"/>
      <w:lang w:val="en-US"/>
    </w:rPr>
  </w:style>
  <w:style w:type="character" w:customStyle="1" w:styleId="EMEASuperscript">
    <w:name w:val="EMEA Superscript"/>
    <w:rsid w:val="00EE5D4D"/>
    <w:rPr>
      <w:sz w:val="22"/>
      <w:vertAlign w:val="superscript"/>
    </w:rPr>
  </w:style>
  <w:style w:type="paragraph" w:customStyle="1" w:styleId="BMSOutlineNumbering">
    <w:name w:val="BMS Outline Numbering"/>
    <w:basedOn w:val="BMSBodyText"/>
    <w:rsid w:val="00147E17"/>
    <w:pPr>
      <w:numPr>
        <w:numId w:val="3"/>
      </w:numPr>
      <w:spacing w:before="0" w:after="60" w:line="240" w:lineRule="auto"/>
    </w:pPr>
    <w:rPr>
      <w:szCs w:val="20"/>
    </w:rPr>
  </w:style>
  <w:style w:type="paragraph" w:customStyle="1" w:styleId="EMEABodyTextIndent">
    <w:name w:val="EMEA Body Text Indent"/>
    <w:basedOn w:val="EMEABodyText"/>
    <w:next w:val="EMEABodyText"/>
    <w:rsid w:val="00147E17"/>
    <w:pPr>
      <w:numPr>
        <w:numId w:val="5"/>
      </w:numPr>
      <w:tabs>
        <w:tab w:val="clear" w:pos="360"/>
      </w:tabs>
      <w:ind w:left="567" w:hanging="567"/>
    </w:pPr>
    <w:rPr>
      <w:szCs w:val="20"/>
    </w:rPr>
  </w:style>
  <w:style w:type="paragraph" w:customStyle="1" w:styleId="BMSTableTitle">
    <w:name w:val="BMS Table Title"/>
    <w:link w:val="BMSTableTitleChar"/>
    <w:rsid w:val="00060386"/>
    <w:pPr>
      <w:keepNext/>
      <w:keepLines/>
      <w:tabs>
        <w:tab w:val="left" w:pos="2160"/>
      </w:tabs>
      <w:spacing w:before="120" w:after="120" w:line="240" w:lineRule="auto"/>
      <w:ind w:left="2160" w:hanging="2160"/>
    </w:pPr>
    <w:rPr>
      <w:rFonts w:ascii="Times New Roman" w:eastAsia="Times New Roman" w:hAnsi="Times New Roman" w:cs="Times New Roman"/>
      <w:b/>
      <w:sz w:val="24"/>
      <w:szCs w:val="20"/>
      <w:lang w:val="en-US"/>
    </w:rPr>
  </w:style>
  <w:style w:type="character" w:customStyle="1" w:styleId="BMSTableTitleChar">
    <w:name w:val="BMS Table Title Char"/>
    <w:basedOn w:val="DefaultParagraphFont"/>
    <w:link w:val="BMSTableTitle"/>
    <w:rsid w:val="00060386"/>
    <w:rPr>
      <w:rFonts w:ascii="Times New Roman" w:eastAsia="Times New Roman" w:hAnsi="Times New Roman" w:cs="Times New Roman"/>
      <w:b/>
      <w:sz w:val="24"/>
      <w:szCs w:val="20"/>
      <w:lang w:val="en-US"/>
    </w:rPr>
  </w:style>
  <w:style w:type="character" w:customStyle="1" w:styleId="BMSSuperscript">
    <w:name w:val="BMS Superscript"/>
    <w:rsid w:val="00060386"/>
    <w:rPr>
      <w:sz w:val="28"/>
      <w:vertAlign w:val="superscript"/>
    </w:rPr>
  </w:style>
  <w:style w:type="paragraph" w:styleId="EndnoteText">
    <w:name w:val="endnote text"/>
    <w:basedOn w:val="BMSBodyText"/>
    <w:link w:val="EndnoteTextChar"/>
    <w:rsid w:val="00C659AE"/>
    <w:pPr>
      <w:tabs>
        <w:tab w:val="left" w:pos="360"/>
      </w:tabs>
      <w:ind w:left="360" w:hanging="360"/>
    </w:pPr>
  </w:style>
  <w:style w:type="character" w:customStyle="1" w:styleId="EndnoteTextChar">
    <w:name w:val="Endnote Text Char"/>
    <w:basedOn w:val="DefaultParagraphFont"/>
    <w:link w:val="EndnoteText"/>
    <w:rsid w:val="00C659AE"/>
    <w:rPr>
      <w:rFonts w:ascii="Times New Roman" w:eastAsia="Times New Roman" w:hAnsi="Times New Roman" w:cs="Times New Roman"/>
      <w:color w:val="000000"/>
      <w:sz w:val="24"/>
      <w:szCs w:val="24"/>
      <w:lang w:val="en-US"/>
    </w:rPr>
  </w:style>
  <w:style w:type="paragraph" w:customStyle="1" w:styleId="p6">
    <w:name w:val="p6"/>
    <w:basedOn w:val="Normal"/>
    <w:rsid w:val="00C659AE"/>
    <w:pPr>
      <w:widowControl w:val="0"/>
      <w:tabs>
        <w:tab w:val="left" w:pos="204"/>
      </w:tabs>
      <w:autoSpaceDE w:val="0"/>
      <w:autoSpaceDN w:val="0"/>
      <w:adjustRightInd w:val="0"/>
      <w:spacing w:after="0"/>
    </w:pPr>
    <w:rPr>
      <w:rFonts w:eastAsia="Times New Roman" w:cs="Times New Roman"/>
      <w:sz w:val="24"/>
      <w:szCs w:val="24"/>
      <w:lang w:val="en-US"/>
    </w:rPr>
  </w:style>
  <w:style w:type="character" w:customStyle="1" w:styleId="BMSTableNote">
    <w:name w:val="BMS Table Note"/>
    <w:basedOn w:val="DefaultParagraphFont"/>
    <w:rsid w:val="00C659AE"/>
    <w:rPr>
      <w:rFonts w:ascii="Times New Roman" w:hAnsi="Times New Roman"/>
      <w:dstrike w:val="0"/>
      <w:color w:val="auto"/>
      <w:sz w:val="28"/>
      <w:vertAlign w:val="superscript"/>
    </w:rPr>
  </w:style>
  <w:style w:type="paragraph" w:customStyle="1" w:styleId="BMSTableNoteInfo">
    <w:name w:val="BMS Table Note Info"/>
    <w:basedOn w:val="BMSBodyText"/>
    <w:next w:val="BMSBodyText"/>
    <w:link w:val="BMSTableNoteInfoChar"/>
    <w:rsid w:val="00C659AE"/>
    <w:pPr>
      <w:tabs>
        <w:tab w:val="left" w:pos="216"/>
      </w:tabs>
      <w:spacing w:before="40" w:after="0" w:line="240" w:lineRule="auto"/>
      <w:ind w:left="216" w:hanging="216"/>
    </w:pPr>
    <w:rPr>
      <w:sz w:val="20"/>
      <w:szCs w:val="20"/>
    </w:rPr>
  </w:style>
  <w:style w:type="character" w:customStyle="1" w:styleId="BMSTableNoteInfoChar">
    <w:name w:val="BMS Table Note Info Char"/>
    <w:basedOn w:val="DefaultParagraphFont"/>
    <w:link w:val="BMSTableNoteInfo"/>
    <w:locked/>
    <w:rsid w:val="00C659AE"/>
    <w:rPr>
      <w:rFonts w:ascii="Times New Roman" w:eastAsia="Times New Roman" w:hAnsi="Times New Roman" w:cs="Times New Roman"/>
      <w:color w:val="000000"/>
      <w:sz w:val="20"/>
      <w:szCs w:val="20"/>
      <w:lang w:val="en-US"/>
    </w:rPr>
  </w:style>
  <w:style w:type="paragraph" w:customStyle="1" w:styleId="BMSHeading1">
    <w:name w:val="BMS Heading 1"/>
    <w:next w:val="BMSBodyText"/>
    <w:rsid w:val="00C659AE"/>
    <w:pPr>
      <w:keepNext/>
      <w:keepLines/>
      <w:numPr>
        <w:numId w:val="6"/>
      </w:numPr>
      <w:spacing w:before="120" w:after="240" w:line="240" w:lineRule="auto"/>
      <w:outlineLvl w:val="0"/>
    </w:pPr>
    <w:rPr>
      <w:rFonts w:ascii="Arial" w:eastAsia="Times New Roman" w:hAnsi="Arial" w:cs="Times New Roman"/>
      <w:b/>
      <w:caps/>
      <w:color w:val="000000"/>
      <w:sz w:val="28"/>
      <w:szCs w:val="20"/>
      <w:lang w:val="en-US"/>
    </w:rPr>
  </w:style>
  <w:style w:type="paragraph" w:customStyle="1" w:styleId="BMSHeading2">
    <w:name w:val="BMS Heading 2"/>
    <w:next w:val="BMSBodyText"/>
    <w:rsid w:val="00C659AE"/>
    <w:pPr>
      <w:keepNext/>
      <w:keepLines/>
      <w:numPr>
        <w:ilvl w:val="1"/>
        <w:numId w:val="6"/>
      </w:numPr>
      <w:spacing w:before="120" w:after="240" w:line="240" w:lineRule="auto"/>
      <w:outlineLvl w:val="1"/>
    </w:pPr>
    <w:rPr>
      <w:rFonts w:ascii="Arial" w:eastAsia="Times New Roman" w:hAnsi="Arial" w:cs="Times New Roman"/>
      <w:b/>
      <w:color w:val="000000"/>
      <w:sz w:val="28"/>
      <w:szCs w:val="20"/>
      <w:lang w:val="en-US"/>
    </w:rPr>
  </w:style>
  <w:style w:type="paragraph" w:customStyle="1" w:styleId="BMSHeading3">
    <w:name w:val="BMS Heading 3"/>
    <w:next w:val="BMSBodyText"/>
    <w:rsid w:val="00C659AE"/>
    <w:pPr>
      <w:keepNext/>
      <w:keepLines/>
      <w:numPr>
        <w:ilvl w:val="2"/>
        <w:numId w:val="6"/>
      </w:numPr>
      <w:spacing w:before="120" w:after="240" w:line="240" w:lineRule="auto"/>
      <w:outlineLvl w:val="2"/>
    </w:pPr>
    <w:rPr>
      <w:rFonts w:ascii="Arial" w:eastAsia="Times New Roman" w:hAnsi="Arial" w:cs="Times New Roman"/>
      <w:b/>
      <w:color w:val="000000"/>
      <w:sz w:val="24"/>
      <w:szCs w:val="20"/>
      <w:lang w:val="en-US"/>
    </w:rPr>
  </w:style>
  <w:style w:type="paragraph" w:customStyle="1" w:styleId="BMSHeading4">
    <w:name w:val="BMS Heading 4"/>
    <w:next w:val="BMSBodyText"/>
    <w:rsid w:val="00C659AE"/>
    <w:pPr>
      <w:keepNext/>
      <w:keepLines/>
      <w:numPr>
        <w:ilvl w:val="3"/>
        <w:numId w:val="6"/>
      </w:numPr>
      <w:spacing w:before="120" w:after="240" w:line="240" w:lineRule="auto"/>
      <w:outlineLvl w:val="3"/>
    </w:pPr>
    <w:rPr>
      <w:rFonts w:ascii="Arial" w:eastAsia="Times New Roman" w:hAnsi="Arial" w:cs="Times New Roman"/>
      <w:b/>
      <w:i/>
      <w:color w:val="000000"/>
      <w:sz w:val="24"/>
      <w:szCs w:val="20"/>
      <w:lang w:val="en-US"/>
    </w:rPr>
  </w:style>
  <w:style w:type="character" w:customStyle="1" w:styleId="BMSSubscript">
    <w:name w:val="BMS Subscript"/>
    <w:rsid w:val="00C659AE"/>
    <w:rPr>
      <w:sz w:val="28"/>
      <w:vertAlign w:val="subscript"/>
    </w:rPr>
  </w:style>
  <w:style w:type="paragraph" w:customStyle="1" w:styleId="BMSFigureCaption">
    <w:name w:val="BMS Figure Caption"/>
    <w:basedOn w:val="BMSTableTitle"/>
    <w:rsid w:val="00C659AE"/>
  </w:style>
  <w:style w:type="character" w:styleId="PageNumber">
    <w:name w:val="page number"/>
    <w:basedOn w:val="DefaultParagraphFont"/>
    <w:rsid w:val="00C659AE"/>
  </w:style>
  <w:style w:type="paragraph" w:customStyle="1" w:styleId="EMEAHeading1">
    <w:name w:val="EMEA Heading 1"/>
    <w:basedOn w:val="EMEABodyText"/>
    <w:next w:val="EMEABodyText"/>
    <w:rsid w:val="00C659AE"/>
    <w:pPr>
      <w:keepNext/>
      <w:keepLines/>
      <w:ind w:left="567" w:hanging="567"/>
      <w:outlineLvl w:val="0"/>
    </w:pPr>
    <w:rPr>
      <w:b/>
      <w:caps/>
      <w:szCs w:val="20"/>
    </w:rPr>
  </w:style>
  <w:style w:type="paragraph" w:customStyle="1" w:styleId="EMEAHeading2">
    <w:name w:val="EMEA Heading 2"/>
    <w:basedOn w:val="EMEABodyText"/>
    <w:next w:val="EMEABodyText"/>
    <w:rsid w:val="00C659AE"/>
    <w:pPr>
      <w:keepNext/>
      <w:keepLines/>
      <w:ind w:left="567" w:hanging="567"/>
      <w:outlineLvl w:val="1"/>
    </w:pPr>
    <w:rPr>
      <w:b/>
      <w:szCs w:val="20"/>
    </w:rPr>
  </w:style>
  <w:style w:type="paragraph" w:customStyle="1" w:styleId="EMEATableHeader">
    <w:name w:val="EMEA Table Header"/>
    <w:basedOn w:val="Normal"/>
    <w:rsid w:val="00C659AE"/>
    <w:pPr>
      <w:keepNext/>
      <w:keepLines/>
      <w:spacing w:after="0"/>
      <w:jc w:val="center"/>
    </w:pPr>
    <w:rPr>
      <w:rFonts w:eastAsia="Times New Roman" w:cs="Times New Roman"/>
      <w:b/>
      <w:szCs w:val="20"/>
      <w:lang w:val="en-GB"/>
    </w:rPr>
  </w:style>
  <w:style w:type="paragraph" w:customStyle="1" w:styleId="EMEAHeading3">
    <w:name w:val="EMEA Heading 3"/>
    <w:basedOn w:val="EMEABodyText"/>
    <w:next w:val="EMEABodyText"/>
    <w:rsid w:val="00C659AE"/>
    <w:pPr>
      <w:keepNext/>
      <w:keepLines/>
      <w:outlineLvl w:val="2"/>
    </w:pPr>
    <w:rPr>
      <w:b/>
      <w:szCs w:val="20"/>
    </w:rPr>
  </w:style>
  <w:style w:type="character" w:customStyle="1" w:styleId="EMEASubscript">
    <w:name w:val="EMEA Subscript"/>
    <w:rsid w:val="00C659AE"/>
    <w:rPr>
      <w:sz w:val="22"/>
      <w:vertAlign w:val="subscript"/>
    </w:rPr>
  </w:style>
  <w:style w:type="table" w:styleId="TableGrid">
    <w:name w:val="Table Grid"/>
    <w:basedOn w:val="TableNormal"/>
    <w:uiPriority w:val="59"/>
    <w:rsid w:val="00C659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MSListNumbering">
    <w:name w:val="BMS List Numbering"/>
    <w:basedOn w:val="BMSBodyText"/>
    <w:rsid w:val="00C659AE"/>
    <w:pPr>
      <w:tabs>
        <w:tab w:val="num" w:pos="1152"/>
      </w:tabs>
      <w:spacing w:before="0" w:after="60" w:line="240" w:lineRule="auto"/>
      <w:ind w:left="1152" w:hanging="1152"/>
    </w:pPr>
    <w:rPr>
      <w:szCs w:val="20"/>
      <w:lang w:eastAsia="ja-JP"/>
    </w:rPr>
  </w:style>
  <w:style w:type="paragraph" w:styleId="TOC4">
    <w:name w:val="toc 4"/>
    <w:basedOn w:val="Normal"/>
    <w:next w:val="Normal"/>
    <w:autoRedefine/>
    <w:rsid w:val="00C659AE"/>
    <w:pPr>
      <w:spacing w:after="0"/>
      <w:ind w:left="660"/>
    </w:pPr>
    <w:rPr>
      <w:rFonts w:eastAsia="Times New Roman" w:cs="Times New Roman"/>
      <w:szCs w:val="20"/>
      <w:lang w:val="en-GB"/>
    </w:rPr>
  </w:style>
  <w:style w:type="paragraph" w:styleId="ListBullet2">
    <w:name w:val="List Bullet 2"/>
    <w:basedOn w:val="Normal"/>
    <w:rsid w:val="00C659AE"/>
    <w:pPr>
      <w:spacing w:after="0"/>
      <w:ind w:left="360" w:hanging="360"/>
      <w:contextualSpacing/>
    </w:pPr>
    <w:rPr>
      <w:rFonts w:eastAsia="Times New Roman" w:cs="Times New Roman"/>
      <w:sz w:val="20"/>
      <w:szCs w:val="20"/>
      <w:lang w:val="en-US"/>
    </w:rPr>
  </w:style>
  <w:style w:type="paragraph" w:customStyle="1" w:styleId="BMSTableInfo">
    <w:name w:val="BMS Table Info"/>
    <w:basedOn w:val="BMSTableNoteInfo"/>
    <w:rsid w:val="00C659AE"/>
    <w:pPr>
      <w:spacing w:before="0" w:after="60"/>
      <w:ind w:left="0" w:firstLine="0"/>
    </w:pPr>
    <w:rPr>
      <w:color w:val="auto"/>
      <w:lang w:val="en-AU"/>
    </w:rPr>
  </w:style>
  <w:style w:type="paragraph" w:customStyle="1" w:styleId="A-Guided">
    <w:name w:val="A-Guided"/>
    <w:basedOn w:val="Normal"/>
    <w:rsid w:val="00C659AE"/>
    <w:pPr>
      <w:spacing w:before="60" w:after="240" w:line="280" w:lineRule="atLeast"/>
    </w:pPr>
    <w:rPr>
      <w:rFonts w:ascii="Arial" w:eastAsia="Times New Roman" w:hAnsi="Arial" w:cs="Times New Roman"/>
      <w:sz w:val="24"/>
      <w:szCs w:val="20"/>
      <w:lang w:val="en-GB"/>
    </w:rPr>
  </w:style>
  <w:style w:type="paragraph" w:customStyle="1" w:styleId="A-Heading1">
    <w:name w:val="A-Heading 1"/>
    <w:basedOn w:val="Normal"/>
    <w:next w:val="Normal"/>
    <w:rsid w:val="00C659AE"/>
    <w:pPr>
      <w:keepNext/>
      <w:spacing w:before="480" w:after="240" w:line="280" w:lineRule="atLeast"/>
      <w:outlineLvl w:val="0"/>
    </w:pPr>
    <w:rPr>
      <w:rFonts w:ascii="Arial" w:eastAsia="Times New Roman" w:hAnsi="Arial" w:cs="Times New Roman"/>
      <w:b/>
      <w:caps/>
      <w:sz w:val="24"/>
      <w:szCs w:val="20"/>
      <w:lang w:val="en-GB"/>
    </w:rPr>
  </w:style>
  <w:style w:type="paragraph" w:styleId="NormalWeb">
    <w:name w:val="Normal (Web)"/>
    <w:basedOn w:val="Normal"/>
    <w:uiPriority w:val="99"/>
    <w:semiHidden/>
    <w:unhideWhenUsed/>
    <w:rsid w:val="00C659AE"/>
    <w:pPr>
      <w:spacing w:before="100" w:beforeAutospacing="1" w:after="100" w:afterAutospacing="1"/>
    </w:pPr>
    <w:rPr>
      <w:rFonts w:eastAsiaTheme="minorEastAsia" w:cs="Times New Roman"/>
      <w:sz w:val="24"/>
      <w:szCs w:val="24"/>
      <w:lang w:val="en-US"/>
    </w:rPr>
  </w:style>
  <w:style w:type="paragraph" w:styleId="TOC1">
    <w:name w:val="toc 1"/>
    <w:basedOn w:val="Normal"/>
    <w:next w:val="Normal"/>
    <w:autoRedefine/>
    <w:semiHidden/>
    <w:unhideWhenUsed/>
    <w:rsid w:val="00C659AE"/>
    <w:pPr>
      <w:tabs>
        <w:tab w:val="right" w:leader="dot" w:pos="9360"/>
      </w:tabs>
      <w:spacing w:after="100"/>
    </w:pPr>
    <w:rPr>
      <w:rFonts w:eastAsia="Times New Roman" w:cs="Times New Roman"/>
      <w:sz w:val="24"/>
      <w:szCs w:val="24"/>
      <w:lang w:val="en-US"/>
    </w:rPr>
  </w:style>
  <w:style w:type="character" w:styleId="EndnoteReference">
    <w:name w:val="endnote reference"/>
    <w:semiHidden/>
    <w:qFormat/>
    <w:rsid w:val="001810E1"/>
    <w:rPr>
      <w:color w:val="0000FF"/>
      <w:sz w:val="28"/>
      <w:vertAlign w:val="superscript"/>
    </w:rPr>
  </w:style>
  <w:style w:type="character" w:customStyle="1" w:styleId="ext-mb-text">
    <w:name w:val="ext-mb-text"/>
    <w:rsid w:val="001810E1"/>
  </w:style>
  <w:style w:type="paragraph" w:styleId="BodyText">
    <w:name w:val="Body Text"/>
    <w:basedOn w:val="Normal"/>
    <w:link w:val="BodyTextChar"/>
    <w:uiPriority w:val="1"/>
    <w:qFormat/>
    <w:rsid w:val="00DF5190"/>
    <w:pPr>
      <w:autoSpaceDE w:val="0"/>
      <w:autoSpaceDN w:val="0"/>
      <w:adjustRightInd w:val="0"/>
      <w:spacing w:after="0"/>
      <w:ind w:left="40"/>
      <w:jc w:val="left"/>
    </w:pPr>
    <w:rPr>
      <w:rFonts w:cs="Times New Roman"/>
      <w:b/>
      <w:bCs/>
      <w:sz w:val="24"/>
      <w:szCs w:val="24"/>
      <w:u w:val="single"/>
    </w:rPr>
  </w:style>
  <w:style w:type="character" w:customStyle="1" w:styleId="BodyTextChar">
    <w:name w:val="Body Text Char"/>
    <w:basedOn w:val="DefaultParagraphFont"/>
    <w:link w:val="BodyText"/>
    <w:uiPriority w:val="1"/>
    <w:rsid w:val="00DF5190"/>
    <w:rPr>
      <w:rFonts w:ascii="Times New Roman" w:hAnsi="Times New Roman" w:cs="Times New Roman"/>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48063">
      <w:bodyDiv w:val="1"/>
      <w:marLeft w:val="0"/>
      <w:marRight w:val="0"/>
      <w:marTop w:val="0"/>
      <w:marBottom w:val="0"/>
      <w:divBdr>
        <w:top w:val="none" w:sz="0" w:space="0" w:color="auto"/>
        <w:left w:val="none" w:sz="0" w:space="0" w:color="auto"/>
        <w:bottom w:val="none" w:sz="0" w:space="0" w:color="auto"/>
        <w:right w:val="none" w:sz="0" w:space="0" w:color="auto"/>
      </w:divBdr>
    </w:div>
    <w:div w:id="452753165">
      <w:bodyDiv w:val="1"/>
      <w:marLeft w:val="0"/>
      <w:marRight w:val="0"/>
      <w:marTop w:val="0"/>
      <w:marBottom w:val="0"/>
      <w:divBdr>
        <w:top w:val="none" w:sz="0" w:space="0" w:color="auto"/>
        <w:left w:val="none" w:sz="0" w:space="0" w:color="auto"/>
        <w:bottom w:val="none" w:sz="0" w:space="0" w:color="auto"/>
        <w:right w:val="none" w:sz="0" w:space="0" w:color="auto"/>
      </w:divBdr>
    </w:div>
    <w:div w:id="513567792">
      <w:bodyDiv w:val="1"/>
      <w:marLeft w:val="0"/>
      <w:marRight w:val="0"/>
      <w:marTop w:val="0"/>
      <w:marBottom w:val="0"/>
      <w:divBdr>
        <w:top w:val="none" w:sz="0" w:space="0" w:color="auto"/>
        <w:left w:val="none" w:sz="0" w:space="0" w:color="auto"/>
        <w:bottom w:val="none" w:sz="0" w:space="0" w:color="auto"/>
        <w:right w:val="none" w:sz="0" w:space="0" w:color="auto"/>
      </w:divBdr>
    </w:div>
    <w:div w:id="525557336">
      <w:bodyDiv w:val="1"/>
      <w:marLeft w:val="0"/>
      <w:marRight w:val="0"/>
      <w:marTop w:val="0"/>
      <w:marBottom w:val="0"/>
      <w:divBdr>
        <w:top w:val="none" w:sz="0" w:space="0" w:color="auto"/>
        <w:left w:val="none" w:sz="0" w:space="0" w:color="auto"/>
        <w:bottom w:val="none" w:sz="0" w:space="0" w:color="auto"/>
        <w:right w:val="none" w:sz="0" w:space="0" w:color="auto"/>
      </w:divBdr>
    </w:div>
    <w:div w:id="845167441">
      <w:bodyDiv w:val="1"/>
      <w:marLeft w:val="0"/>
      <w:marRight w:val="0"/>
      <w:marTop w:val="0"/>
      <w:marBottom w:val="0"/>
      <w:divBdr>
        <w:top w:val="none" w:sz="0" w:space="0" w:color="auto"/>
        <w:left w:val="none" w:sz="0" w:space="0" w:color="auto"/>
        <w:bottom w:val="none" w:sz="0" w:space="0" w:color="auto"/>
        <w:right w:val="none" w:sz="0" w:space="0" w:color="auto"/>
      </w:divBdr>
    </w:div>
    <w:div w:id="980768894">
      <w:bodyDiv w:val="1"/>
      <w:marLeft w:val="0"/>
      <w:marRight w:val="0"/>
      <w:marTop w:val="0"/>
      <w:marBottom w:val="0"/>
      <w:divBdr>
        <w:top w:val="none" w:sz="0" w:space="0" w:color="auto"/>
        <w:left w:val="none" w:sz="0" w:space="0" w:color="auto"/>
        <w:bottom w:val="none" w:sz="0" w:space="0" w:color="auto"/>
        <w:right w:val="none" w:sz="0" w:space="0" w:color="auto"/>
      </w:divBdr>
    </w:div>
    <w:div w:id="1008141146">
      <w:bodyDiv w:val="1"/>
      <w:marLeft w:val="0"/>
      <w:marRight w:val="0"/>
      <w:marTop w:val="0"/>
      <w:marBottom w:val="0"/>
      <w:divBdr>
        <w:top w:val="none" w:sz="0" w:space="0" w:color="auto"/>
        <w:left w:val="none" w:sz="0" w:space="0" w:color="auto"/>
        <w:bottom w:val="none" w:sz="0" w:space="0" w:color="auto"/>
        <w:right w:val="none" w:sz="0" w:space="0" w:color="auto"/>
      </w:divBdr>
    </w:div>
    <w:div w:id="1204823987">
      <w:bodyDiv w:val="1"/>
      <w:marLeft w:val="0"/>
      <w:marRight w:val="0"/>
      <w:marTop w:val="0"/>
      <w:marBottom w:val="0"/>
      <w:divBdr>
        <w:top w:val="none" w:sz="0" w:space="0" w:color="auto"/>
        <w:left w:val="none" w:sz="0" w:space="0" w:color="auto"/>
        <w:bottom w:val="none" w:sz="0" w:space="0" w:color="auto"/>
        <w:right w:val="none" w:sz="0" w:space="0" w:color="auto"/>
      </w:divBdr>
    </w:div>
    <w:div w:id="1409426619">
      <w:bodyDiv w:val="1"/>
      <w:marLeft w:val="0"/>
      <w:marRight w:val="0"/>
      <w:marTop w:val="0"/>
      <w:marBottom w:val="0"/>
      <w:divBdr>
        <w:top w:val="none" w:sz="0" w:space="0" w:color="auto"/>
        <w:left w:val="none" w:sz="0" w:space="0" w:color="auto"/>
        <w:bottom w:val="none" w:sz="0" w:space="0" w:color="auto"/>
        <w:right w:val="none" w:sz="0" w:space="0" w:color="auto"/>
      </w:divBdr>
    </w:div>
    <w:div w:id="1422991517">
      <w:bodyDiv w:val="1"/>
      <w:marLeft w:val="0"/>
      <w:marRight w:val="0"/>
      <w:marTop w:val="0"/>
      <w:marBottom w:val="0"/>
      <w:divBdr>
        <w:top w:val="none" w:sz="0" w:space="0" w:color="auto"/>
        <w:left w:val="none" w:sz="0" w:space="0" w:color="auto"/>
        <w:bottom w:val="none" w:sz="0" w:space="0" w:color="auto"/>
        <w:right w:val="none" w:sz="0" w:space="0" w:color="auto"/>
      </w:divBdr>
    </w:div>
    <w:div w:id="1464931809">
      <w:bodyDiv w:val="1"/>
      <w:marLeft w:val="0"/>
      <w:marRight w:val="0"/>
      <w:marTop w:val="0"/>
      <w:marBottom w:val="0"/>
      <w:divBdr>
        <w:top w:val="none" w:sz="0" w:space="0" w:color="auto"/>
        <w:left w:val="none" w:sz="0" w:space="0" w:color="auto"/>
        <w:bottom w:val="none" w:sz="0" w:space="0" w:color="auto"/>
        <w:right w:val="none" w:sz="0" w:space="0" w:color="auto"/>
      </w:divBdr>
    </w:div>
    <w:div w:id="1555389561">
      <w:bodyDiv w:val="1"/>
      <w:marLeft w:val="0"/>
      <w:marRight w:val="0"/>
      <w:marTop w:val="0"/>
      <w:marBottom w:val="0"/>
      <w:divBdr>
        <w:top w:val="none" w:sz="0" w:space="0" w:color="auto"/>
        <w:left w:val="none" w:sz="0" w:space="0" w:color="auto"/>
        <w:bottom w:val="none" w:sz="0" w:space="0" w:color="auto"/>
        <w:right w:val="none" w:sz="0" w:space="0" w:color="auto"/>
      </w:divBdr>
    </w:div>
    <w:div w:id="1672444989">
      <w:bodyDiv w:val="1"/>
      <w:marLeft w:val="0"/>
      <w:marRight w:val="0"/>
      <w:marTop w:val="0"/>
      <w:marBottom w:val="0"/>
      <w:divBdr>
        <w:top w:val="none" w:sz="0" w:space="0" w:color="auto"/>
        <w:left w:val="none" w:sz="0" w:space="0" w:color="auto"/>
        <w:bottom w:val="none" w:sz="0" w:space="0" w:color="auto"/>
        <w:right w:val="none" w:sz="0" w:space="0" w:color="auto"/>
      </w:divBdr>
    </w:div>
    <w:div w:id="1691293581">
      <w:bodyDiv w:val="1"/>
      <w:marLeft w:val="0"/>
      <w:marRight w:val="0"/>
      <w:marTop w:val="0"/>
      <w:marBottom w:val="0"/>
      <w:divBdr>
        <w:top w:val="none" w:sz="0" w:space="0" w:color="auto"/>
        <w:left w:val="none" w:sz="0" w:space="0" w:color="auto"/>
        <w:bottom w:val="none" w:sz="0" w:space="0" w:color="auto"/>
        <w:right w:val="none" w:sz="0" w:space="0" w:color="auto"/>
      </w:divBdr>
    </w:div>
    <w:div w:id="1693384732">
      <w:bodyDiv w:val="1"/>
      <w:marLeft w:val="0"/>
      <w:marRight w:val="0"/>
      <w:marTop w:val="0"/>
      <w:marBottom w:val="0"/>
      <w:divBdr>
        <w:top w:val="none" w:sz="0" w:space="0" w:color="auto"/>
        <w:left w:val="none" w:sz="0" w:space="0" w:color="auto"/>
        <w:bottom w:val="none" w:sz="0" w:space="0" w:color="auto"/>
        <w:right w:val="none" w:sz="0" w:space="0" w:color="auto"/>
      </w:divBdr>
    </w:div>
    <w:div w:id="1823618666">
      <w:bodyDiv w:val="1"/>
      <w:marLeft w:val="0"/>
      <w:marRight w:val="0"/>
      <w:marTop w:val="0"/>
      <w:marBottom w:val="0"/>
      <w:divBdr>
        <w:top w:val="none" w:sz="0" w:space="0" w:color="auto"/>
        <w:left w:val="none" w:sz="0" w:space="0" w:color="auto"/>
        <w:bottom w:val="none" w:sz="0" w:space="0" w:color="auto"/>
        <w:right w:val="none" w:sz="0" w:space="0" w:color="auto"/>
      </w:divBdr>
    </w:div>
    <w:div w:id="1853954056">
      <w:bodyDiv w:val="1"/>
      <w:marLeft w:val="0"/>
      <w:marRight w:val="0"/>
      <w:marTop w:val="0"/>
      <w:marBottom w:val="0"/>
      <w:divBdr>
        <w:top w:val="none" w:sz="0" w:space="0" w:color="auto"/>
        <w:left w:val="none" w:sz="0" w:space="0" w:color="auto"/>
        <w:bottom w:val="none" w:sz="0" w:space="0" w:color="auto"/>
        <w:right w:val="none" w:sz="0" w:space="0" w:color="auto"/>
      </w:divBdr>
    </w:div>
    <w:div w:id="199749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MedInfo.Australia@bms.com"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insDel="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EAD"/>
    <w:rsid w:val="00A86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42DFBBF23C4757A36B4CAE8AD9EF4D">
    <w:name w:val="1F42DFBBF23C4757A36B4CAE8AD9EF4D"/>
    <w:rsid w:val="00A86EA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42DFBBF23C4757A36B4CAE8AD9EF4D">
    <w:name w:val="1F42DFBBF23C4757A36B4CAE8AD9EF4D"/>
    <w:rsid w:val="00A86E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20954</Words>
  <Characters>118184</Characters>
  <Application>Microsoft Office Word</Application>
  <DocSecurity>0</DocSecurity>
  <Lines>2462</Lines>
  <Paragraphs>1449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137689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Product Information: Nivolumab</dc:title>
  <dc:subject>prescription medicines</dc:subject>
  <dc:creator/>
  <cp:keywords>AusPARs</cp:keywords>
  <dc:description/>
  <cp:lastModifiedBy/>
  <cp:revision>1</cp:revision>
  <dcterms:created xsi:type="dcterms:W3CDTF">2018-08-23T05:27:00Z</dcterms:created>
  <dcterms:modified xsi:type="dcterms:W3CDTF">2018-08-23T06:35:00Z</dcterms:modified>
</cp:coreProperties>
</file>